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3B02B0" w14:paraId="594CA1C8" w14:textId="77777777" w:rsidTr="00A12EF9">
        <w:trPr>
          <w:cantSplit/>
          <w:trHeight w:val="1134"/>
        </w:trPr>
        <w:tc>
          <w:tcPr>
            <w:tcW w:w="2410" w:type="dxa"/>
            <w:vAlign w:val="center"/>
          </w:tcPr>
          <w:p w14:paraId="38C2D3D7" w14:textId="38516DD4" w:rsidR="00590ECE" w:rsidRPr="003B02B0" w:rsidRDefault="00B411A7" w:rsidP="00A12EF9">
            <w:pPr>
              <w:tabs>
                <w:tab w:val="clear" w:pos="1191"/>
                <w:tab w:val="clear" w:pos="1588"/>
                <w:tab w:val="clear" w:pos="1985"/>
              </w:tabs>
              <w:spacing w:after="120"/>
              <w:ind w:left="34"/>
              <w:jc w:val="center"/>
              <w:rPr>
                <w:b/>
                <w:bCs/>
                <w:sz w:val="32"/>
                <w:szCs w:val="32"/>
                <w:lang w:val="es-ES_tradnl"/>
              </w:rPr>
            </w:pPr>
            <w:r w:rsidRPr="003B02B0">
              <w:rPr>
                <w:b/>
                <w:bCs/>
                <w:noProof/>
                <w:sz w:val="32"/>
                <w:szCs w:val="32"/>
                <w:lang w:val="en-US"/>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vAlign w:val="center"/>
          </w:tcPr>
          <w:p w14:paraId="2545A4CA" w14:textId="77777777" w:rsidR="00590ECE" w:rsidRPr="003B02B0" w:rsidRDefault="00590ECE" w:rsidP="00A12EF9">
            <w:pPr>
              <w:tabs>
                <w:tab w:val="clear" w:pos="1191"/>
                <w:tab w:val="clear" w:pos="1588"/>
                <w:tab w:val="clear" w:pos="1985"/>
              </w:tabs>
              <w:spacing w:before="280" w:after="120"/>
              <w:ind w:left="34"/>
              <w:jc w:val="center"/>
              <w:rPr>
                <w:b/>
                <w:bCs/>
                <w:sz w:val="32"/>
                <w:szCs w:val="32"/>
                <w:lang w:val="es-ES_tradnl"/>
              </w:rPr>
            </w:pPr>
            <w:r w:rsidRPr="003B02B0">
              <w:rPr>
                <w:b/>
                <w:bCs/>
                <w:sz w:val="32"/>
                <w:szCs w:val="32"/>
                <w:lang w:val="es-ES_tradnl"/>
              </w:rPr>
              <w:t>Grupo Asesor de Desarrollo de las Telecomunicaciones (GADT)</w:t>
            </w:r>
          </w:p>
          <w:p w14:paraId="7BCFB05F" w14:textId="77777777" w:rsidR="00590ECE" w:rsidRPr="003B02B0" w:rsidRDefault="00590ECE" w:rsidP="00A12EF9">
            <w:pPr>
              <w:tabs>
                <w:tab w:val="clear" w:pos="1191"/>
                <w:tab w:val="clear" w:pos="1588"/>
                <w:tab w:val="clear" w:pos="1985"/>
              </w:tabs>
              <w:spacing w:before="100" w:after="120"/>
              <w:ind w:left="34"/>
              <w:jc w:val="center"/>
              <w:rPr>
                <w:rFonts w:ascii="Verdana" w:hAnsi="Verdana"/>
                <w:sz w:val="28"/>
                <w:szCs w:val="28"/>
                <w:lang w:val="es-ES_tradnl"/>
              </w:rPr>
            </w:pPr>
            <w:r w:rsidRPr="003B02B0">
              <w:rPr>
                <w:b/>
                <w:bCs/>
                <w:sz w:val="26"/>
                <w:szCs w:val="26"/>
                <w:lang w:val="es-ES_tradnl"/>
              </w:rPr>
              <w:t>29ª reunión, virtual, 8-12 de noviembre de 2021</w:t>
            </w:r>
          </w:p>
        </w:tc>
        <w:tc>
          <w:tcPr>
            <w:tcW w:w="1524" w:type="dxa"/>
          </w:tcPr>
          <w:p w14:paraId="69AE284B" w14:textId="77777777" w:rsidR="00590ECE" w:rsidRPr="003B02B0" w:rsidRDefault="00590ECE" w:rsidP="00AD4677">
            <w:pPr>
              <w:spacing w:before="240"/>
              <w:ind w:right="142"/>
              <w:jc w:val="right"/>
              <w:rPr>
                <w:lang w:val="es-ES_tradnl"/>
              </w:rPr>
            </w:pPr>
            <w:r w:rsidRPr="003B02B0">
              <w:rPr>
                <w:noProof/>
                <w:lang w:val="es-ES_tradnl"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3B02B0" w14:paraId="0ED2CE68" w14:textId="77777777" w:rsidTr="0009076F">
        <w:trPr>
          <w:cantSplit/>
        </w:trPr>
        <w:tc>
          <w:tcPr>
            <w:tcW w:w="6379" w:type="dxa"/>
            <w:gridSpan w:val="2"/>
            <w:tcBorders>
              <w:top w:val="single" w:sz="12" w:space="0" w:color="auto"/>
            </w:tcBorders>
          </w:tcPr>
          <w:p w14:paraId="6BE75C02" w14:textId="77777777" w:rsidR="00590ECE" w:rsidRPr="003B02B0" w:rsidRDefault="00590ECE" w:rsidP="00107E85">
            <w:pPr>
              <w:spacing w:before="0"/>
              <w:rPr>
                <w:rFonts w:cs="Arial"/>
                <w:b/>
                <w:bCs/>
                <w:sz w:val="20"/>
                <w:lang w:val="es-ES_tradnl"/>
              </w:rPr>
            </w:pPr>
          </w:p>
        </w:tc>
        <w:tc>
          <w:tcPr>
            <w:tcW w:w="3509" w:type="dxa"/>
            <w:gridSpan w:val="2"/>
            <w:tcBorders>
              <w:top w:val="single" w:sz="12" w:space="0" w:color="auto"/>
            </w:tcBorders>
          </w:tcPr>
          <w:p w14:paraId="25C19737" w14:textId="77777777" w:rsidR="00590ECE" w:rsidRPr="003B02B0" w:rsidRDefault="00590ECE" w:rsidP="00107E85">
            <w:pPr>
              <w:spacing w:before="0"/>
              <w:rPr>
                <w:b/>
                <w:bCs/>
                <w:sz w:val="20"/>
                <w:lang w:val="es-ES_tradnl"/>
              </w:rPr>
            </w:pPr>
          </w:p>
        </w:tc>
      </w:tr>
      <w:tr w:rsidR="00590ECE" w:rsidRPr="003B02B0" w14:paraId="2635C729" w14:textId="77777777" w:rsidTr="0009076F">
        <w:trPr>
          <w:cantSplit/>
        </w:trPr>
        <w:tc>
          <w:tcPr>
            <w:tcW w:w="6379" w:type="dxa"/>
            <w:gridSpan w:val="2"/>
          </w:tcPr>
          <w:p w14:paraId="484532D0" w14:textId="77777777" w:rsidR="00590ECE" w:rsidRPr="003B02B0" w:rsidRDefault="00590ECE" w:rsidP="00400CCF">
            <w:pPr>
              <w:pStyle w:val="Committee"/>
              <w:spacing w:before="0"/>
              <w:rPr>
                <w:b w:val="0"/>
                <w:szCs w:val="24"/>
                <w:lang w:val="es-ES_tradnl"/>
              </w:rPr>
            </w:pPr>
          </w:p>
        </w:tc>
        <w:tc>
          <w:tcPr>
            <w:tcW w:w="3509" w:type="dxa"/>
            <w:gridSpan w:val="2"/>
          </w:tcPr>
          <w:p w14:paraId="21BB36E6" w14:textId="754D9B7D" w:rsidR="00590ECE" w:rsidRPr="003B02B0" w:rsidRDefault="00590ECE" w:rsidP="00B648C7">
            <w:pPr>
              <w:spacing w:before="0"/>
              <w:jc w:val="both"/>
              <w:rPr>
                <w:bCs/>
                <w:szCs w:val="24"/>
                <w:lang w:val="es-ES_tradnl"/>
              </w:rPr>
            </w:pPr>
            <w:r w:rsidRPr="003B02B0">
              <w:rPr>
                <w:b/>
                <w:bCs/>
                <w:lang w:val="es-ES_tradnl"/>
              </w:rPr>
              <w:t xml:space="preserve">Documento </w:t>
            </w:r>
            <w:bookmarkStart w:id="0" w:name="DocRef1"/>
            <w:bookmarkEnd w:id="0"/>
            <w:r w:rsidRPr="003B02B0">
              <w:rPr>
                <w:b/>
                <w:bCs/>
                <w:lang w:val="es-ES_tradnl"/>
              </w:rPr>
              <w:t>TDAG-2</w:t>
            </w:r>
            <w:bookmarkStart w:id="1" w:name="DocNo1"/>
            <w:bookmarkEnd w:id="1"/>
            <w:r w:rsidRPr="003B02B0">
              <w:rPr>
                <w:b/>
                <w:bCs/>
                <w:lang w:val="es-ES_tradnl"/>
              </w:rPr>
              <w:t>1/2/</w:t>
            </w:r>
            <w:r w:rsidR="00B865FB">
              <w:rPr>
                <w:b/>
                <w:bCs/>
                <w:lang w:val="es-ES_tradnl"/>
              </w:rPr>
              <w:t>4</w:t>
            </w:r>
            <w:r w:rsidRPr="003B02B0">
              <w:rPr>
                <w:b/>
                <w:bCs/>
                <w:lang w:val="es-ES_tradnl"/>
              </w:rPr>
              <w:t>-</w:t>
            </w:r>
            <w:r w:rsidR="00E73628" w:rsidRPr="003B02B0">
              <w:rPr>
                <w:b/>
                <w:bCs/>
                <w:lang w:val="es-ES_tradnl"/>
              </w:rPr>
              <w:t>S</w:t>
            </w:r>
          </w:p>
        </w:tc>
      </w:tr>
      <w:tr w:rsidR="00590ECE" w:rsidRPr="003B02B0" w14:paraId="596C93B0" w14:textId="77777777" w:rsidTr="0009076F">
        <w:trPr>
          <w:cantSplit/>
        </w:trPr>
        <w:tc>
          <w:tcPr>
            <w:tcW w:w="6379" w:type="dxa"/>
            <w:gridSpan w:val="2"/>
          </w:tcPr>
          <w:p w14:paraId="78262CCF" w14:textId="77777777" w:rsidR="00590ECE" w:rsidRPr="003B02B0" w:rsidRDefault="00590ECE" w:rsidP="00400CCF">
            <w:pPr>
              <w:spacing w:before="0"/>
              <w:rPr>
                <w:b/>
                <w:bCs/>
                <w:smallCaps/>
                <w:szCs w:val="24"/>
                <w:lang w:val="es-ES_tradnl"/>
              </w:rPr>
            </w:pPr>
          </w:p>
        </w:tc>
        <w:tc>
          <w:tcPr>
            <w:tcW w:w="3509" w:type="dxa"/>
            <w:gridSpan w:val="2"/>
          </w:tcPr>
          <w:p w14:paraId="6B91F4E3" w14:textId="47707F0D" w:rsidR="00590ECE" w:rsidRPr="003B02B0" w:rsidRDefault="00B865FB" w:rsidP="00B648C7">
            <w:pPr>
              <w:spacing w:before="0"/>
              <w:rPr>
                <w:b/>
                <w:szCs w:val="24"/>
                <w:lang w:val="es-ES_tradnl"/>
              </w:rPr>
            </w:pPr>
            <w:bookmarkStart w:id="2" w:name="CreationDate"/>
            <w:bookmarkEnd w:id="2"/>
            <w:r w:rsidRPr="00B865FB">
              <w:rPr>
                <w:b/>
                <w:bCs/>
                <w:szCs w:val="28"/>
                <w:lang w:val="es-ES_tradnl"/>
              </w:rPr>
              <w:t>14 de septiembre de 2021</w:t>
            </w:r>
          </w:p>
        </w:tc>
      </w:tr>
      <w:tr w:rsidR="00590ECE" w:rsidRPr="003B02B0" w14:paraId="54D1D00E" w14:textId="77777777" w:rsidTr="0009076F">
        <w:trPr>
          <w:cantSplit/>
        </w:trPr>
        <w:tc>
          <w:tcPr>
            <w:tcW w:w="6379" w:type="dxa"/>
            <w:gridSpan w:val="2"/>
          </w:tcPr>
          <w:p w14:paraId="356A9E14" w14:textId="77777777" w:rsidR="00590ECE" w:rsidRPr="003B02B0" w:rsidRDefault="00590ECE" w:rsidP="00400CCF">
            <w:pPr>
              <w:spacing w:before="0"/>
              <w:rPr>
                <w:b/>
                <w:bCs/>
                <w:smallCaps/>
                <w:szCs w:val="24"/>
                <w:lang w:val="es-ES_tradnl"/>
              </w:rPr>
            </w:pPr>
          </w:p>
        </w:tc>
        <w:tc>
          <w:tcPr>
            <w:tcW w:w="3509" w:type="dxa"/>
            <w:gridSpan w:val="2"/>
          </w:tcPr>
          <w:p w14:paraId="563F489F" w14:textId="77777777" w:rsidR="00590ECE" w:rsidRPr="003B02B0" w:rsidRDefault="00590ECE" w:rsidP="00400CCF">
            <w:pPr>
              <w:spacing w:before="0"/>
              <w:rPr>
                <w:szCs w:val="24"/>
                <w:lang w:val="es-ES_tradnl"/>
              </w:rPr>
            </w:pPr>
            <w:r w:rsidRPr="003B02B0">
              <w:rPr>
                <w:b/>
                <w:lang w:val="es-ES_tradnl"/>
              </w:rPr>
              <w:t>Original:</w:t>
            </w:r>
            <w:bookmarkStart w:id="3" w:name="Original"/>
            <w:bookmarkEnd w:id="3"/>
            <w:r w:rsidRPr="003B02B0">
              <w:rPr>
                <w:b/>
                <w:lang w:val="es-ES_tradnl"/>
              </w:rPr>
              <w:t xml:space="preserve"> inglés</w:t>
            </w:r>
          </w:p>
        </w:tc>
      </w:tr>
      <w:tr w:rsidR="00590ECE" w:rsidRPr="003B02B0" w14:paraId="58D358E1" w14:textId="77777777" w:rsidTr="00107E85">
        <w:trPr>
          <w:cantSplit/>
          <w:trHeight w:val="852"/>
        </w:trPr>
        <w:tc>
          <w:tcPr>
            <w:tcW w:w="9888" w:type="dxa"/>
            <w:gridSpan w:val="4"/>
          </w:tcPr>
          <w:p w14:paraId="10279031" w14:textId="33513CF8" w:rsidR="00590ECE" w:rsidRPr="003B02B0" w:rsidRDefault="00B865FB" w:rsidP="0030353C">
            <w:pPr>
              <w:pStyle w:val="Source"/>
              <w:rPr>
                <w:lang w:val="es-ES_tradnl"/>
              </w:rPr>
            </w:pPr>
            <w:bookmarkStart w:id="4" w:name="Source"/>
            <w:bookmarkEnd w:id="4"/>
            <w:r w:rsidRPr="00B865FB">
              <w:rPr>
                <w:lang w:val="es-ES_tradnl"/>
              </w:rPr>
              <w:t>Directora de la Oficina de Desarrollo de las Telecomunicaciones</w:t>
            </w:r>
          </w:p>
        </w:tc>
      </w:tr>
      <w:tr w:rsidR="00590ECE" w:rsidRPr="003B02B0" w14:paraId="5256661E" w14:textId="77777777" w:rsidTr="00107E85">
        <w:trPr>
          <w:cantSplit/>
        </w:trPr>
        <w:tc>
          <w:tcPr>
            <w:tcW w:w="9888" w:type="dxa"/>
            <w:gridSpan w:val="4"/>
          </w:tcPr>
          <w:p w14:paraId="3F05889B" w14:textId="4CCCF0A2" w:rsidR="00590ECE" w:rsidRPr="003B02B0" w:rsidRDefault="00B865FB" w:rsidP="00B865FB">
            <w:pPr>
              <w:pStyle w:val="Title1"/>
              <w:rPr>
                <w:lang w:val="es-ES_tradnl"/>
              </w:rPr>
            </w:pPr>
            <w:bookmarkStart w:id="5" w:name="Title"/>
            <w:bookmarkEnd w:id="5"/>
            <w:r w:rsidRPr="00B865FB">
              <w:rPr>
                <w:lang w:val="es-ES"/>
              </w:rPr>
              <w:t>Asociaciones y movilización de recursos en el UIT-D</w:t>
            </w:r>
          </w:p>
        </w:tc>
      </w:tr>
      <w:tr w:rsidR="00590ECE" w:rsidRPr="003B02B0" w14:paraId="0EE078DC" w14:textId="77777777" w:rsidTr="00A721F4">
        <w:trPr>
          <w:cantSplit/>
        </w:trPr>
        <w:tc>
          <w:tcPr>
            <w:tcW w:w="9888" w:type="dxa"/>
            <w:gridSpan w:val="4"/>
            <w:tcBorders>
              <w:bottom w:val="single" w:sz="4" w:space="0" w:color="auto"/>
            </w:tcBorders>
          </w:tcPr>
          <w:p w14:paraId="5798757F" w14:textId="77777777" w:rsidR="00590ECE" w:rsidRPr="003B02B0" w:rsidRDefault="00590ECE" w:rsidP="0030353C">
            <w:pPr>
              <w:rPr>
                <w:lang w:val="es-ES_tradnl"/>
              </w:rPr>
            </w:pPr>
          </w:p>
        </w:tc>
      </w:tr>
      <w:tr w:rsidR="00590ECE" w:rsidRPr="003B02B0" w14:paraId="640B1959"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4893CBA" w14:textId="77777777" w:rsidR="00590ECE" w:rsidRPr="003B02B0" w:rsidRDefault="00590ECE" w:rsidP="00EA0C51">
            <w:pPr>
              <w:spacing w:after="120"/>
              <w:rPr>
                <w:b/>
                <w:bCs/>
                <w:szCs w:val="24"/>
                <w:lang w:val="es-ES_tradnl"/>
              </w:rPr>
            </w:pPr>
            <w:r w:rsidRPr="003B02B0">
              <w:rPr>
                <w:b/>
                <w:bCs/>
                <w:szCs w:val="24"/>
                <w:lang w:val="es-ES_tradnl"/>
              </w:rPr>
              <w:t>Resumen:</w:t>
            </w:r>
          </w:p>
          <w:p w14:paraId="2FEB9D3D" w14:textId="2DE88A03" w:rsidR="00590ECE" w:rsidRPr="003B02B0" w:rsidRDefault="00B865FB" w:rsidP="00B865FB">
            <w:pPr>
              <w:spacing w:after="120"/>
              <w:rPr>
                <w:szCs w:val="24"/>
                <w:lang w:val="es-ES_tradnl"/>
              </w:rPr>
            </w:pPr>
            <w:r w:rsidRPr="00B865FB">
              <w:rPr>
                <w:lang w:val="es-ES"/>
              </w:rPr>
              <w:t xml:space="preserve">La importancia que revisten las asociaciones y la movilización de recursos se puso de relieve en la Conferencia Mundial de Desarrollo de las Telecomunicaciones de 2017 (CMDT-17). Este documento informa acerca de las asociaciones y actividades de movilización de recursos emprendidas entre el 1 de abril y el 31 de agosto, y se basa en los informes del </w:t>
            </w:r>
            <w:r w:rsidR="00C25DA5" w:rsidRPr="00B865FB">
              <w:rPr>
                <w:lang w:val="es-ES"/>
              </w:rPr>
              <w:t>Documento</w:t>
            </w:r>
            <w:r w:rsidR="00C25DA5">
              <w:rPr>
                <w:lang w:val="es-ES"/>
              </w:rPr>
              <w:t> </w:t>
            </w:r>
            <w:r w:rsidRPr="00B865FB">
              <w:rPr>
                <w:b/>
                <w:bCs/>
                <w:lang w:val="es-ES"/>
              </w:rPr>
              <w:t>TDAG</w:t>
            </w:r>
            <w:r>
              <w:rPr>
                <w:b/>
                <w:bCs/>
                <w:lang w:val="es-ES"/>
              </w:rPr>
              <w:noBreakHyphen/>
            </w:r>
            <w:r w:rsidRPr="00B865FB">
              <w:rPr>
                <w:b/>
                <w:bCs/>
                <w:lang w:val="es-ES"/>
              </w:rPr>
              <w:t>21/7</w:t>
            </w:r>
            <w:r w:rsidRPr="00B865FB">
              <w:rPr>
                <w:lang w:val="es-ES"/>
              </w:rPr>
              <w:t xml:space="preserve"> sometido a la reunión del GADT que se celebró del 24 al 28 de mayo de</w:t>
            </w:r>
            <w:r w:rsidR="005F3DDF">
              <w:rPr>
                <w:lang w:val="es-ES"/>
              </w:rPr>
              <w:t> </w:t>
            </w:r>
            <w:r w:rsidRPr="00B865FB">
              <w:rPr>
                <w:lang w:val="es-ES"/>
              </w:rPr>
              <w:t>2021.</w:t>
            </w:r>
          </w:p>
          <w:p w14:paraId="7CFBF5B0" w14:textId="77777777" w:rsidR="00590ECE" w:rsidRPr="003B02B0" w:rsidRDefault="00590ECE" w:rsidP="00EA0C51">
            <w:pPr>
              <w:spacing w:after="120"/>
              <w:rPr>
                <w:b/>
                <w:bCs/>
                <w:szCs w:val="24"/>
                <w:lang w:val="es-ES_tradnl"/>
              </w:rPr>
            </w:pPr>
            <w:r w:rsidRPr="003B02B0">
              <w:rPr>
                <w:b/>
                <w:bCs/>
                <w:lang w:val="es-ES_tradnl"/>
              </w:rPr>
              <w:t>Acción solicitada:</w:t>
            </w:r>
          </w:p>
          <w:p w14:paraId="690D5A8B" w14:textId="5F702FD1" w:rsidR="00590ECE" w:rsidRPr="003B02B0" w:rsidRDefault="00B865FB" w:rsidP="00EA0C51">
            <w:pPr>
              <w:spacing w:after="120"/>
              <w:rPr>
                <w:szCs w:val="24"/>
                <w:lang w:val="es-ES_tradnl"/>
              </w:rPr>
            </w:pPr>
            <w:r w:rsidRPr="00B865FB">
              <w:rPr>
                <w:lang w:val="es-ES_tradnl"/>
              </w:rPr>
              <w:t>Se invita al GADT a tomar nota del presente documento y a formular los comentarios que estime convenientes.</w:t>
            </w:r>
          </w:p>
          <w:p w14:paraId="40577F35" w14:textId="77777777" w:rsidR="00590ECE" w:rsidRPr="003B02B0" w:rsidRDefault="00590ECE" w:rsidP="00EA0C51">
            <w:pPr>
              <w:spacing w:after="120"/>
              <w:rPr>
                <w:b/>
                <w:bCs/>
                <w:szCs w:val="24"/>
                <w:lang w:val="es-ES_tradnl"/>
              </w:rPr>
            </w:pPr>
            <w:r w:rsidRPr="003B02B0">
              <w:rPr>
                <w:b/>
                <w:bCs/>
                <w:szCs w:val="24"/>
                <w:lang w:val="es-ES_tradnl"/>
              </w:rPr>
              <w:t>Referencias:</w:t>
            </w:r>
          </w:p>
          <w:p w14:paraId="2802F44B" w14:textId="77777777" w:rsidR="00B865FB" w:rsidRPr="00B865FB" w:rsidRDefault="00B865FB" w:rsidP="00B865FB">
            <w:pPr>
              <w:spacing w:after="120"/>
              <w:rPr>
                <w:lang w:val="es-ES"/>
              </w:rPr>
            </w:pPr>
            <w:r w:rsidRPr="00B865FB">
              <w:rPr>
                <w:lang w:val="es-ES"/>
              </w:rPr>
              <w:t>Meta 5 de la UIT</w:t>
            </w:r>
          </w:p>
          <w:p w14:paraId="77B7DFA1" w14:textId="027EED74" w:rsidR="00590ECE" w:rsidRPr="00347F68" w:rsidRDefault="00B865FB" w:rsidP="00347F68">
            <w:pPr>
              <w:spacing w:after="120"/>
              <w:rPr>
                <w:lang w:val="es-ES"/>
              </w:rPr>
            </w:pPr>
            <w:r w:rsidRPr="00B865FB">
              <w:rPr>
                <w:lang w:val="es-ES"/>
              </w:rPr>
              <w:t>Plan de Acción de Buenos Aires, Sección 4.5 del Informe final de la CMDT-17</w:t>
            </w:r>
            <w:r w:rsidR="00347F68">
              <w:rPr>
                <w:lang w:val="es-ES"/>
              </w:rPr>
              <w:t xml:space="preserve">, </w:t>
            </w:r>
            <w:r w:rsidRPr="00B865FB">
              <w:rPr>
                <w:lang w:val="es-ES"/>
              </w:rPr>
              <w:t>Resoluciones 17 (Rev.</w:t>
            </w:r>
            <w:r w:rsidR="00347F68">
              <w:rPr>
                <w:lang w:val="es-ES"/>
              </w:rPr>
              <w:t> </w:t>
            </w:r>
            <w:r w:rsidRPr="00B865FB">
              <w:rPr>
                <w:lang w:val="es-ES"/>
              </w:rPr>
              <w:t>Buenos Aires, 2017) y 71 (Rev. Buenos Aires, 2017) de la CMDT</w:t>
            </w:r>
          </w:p>
        </w:tc>
      </w:tr>
    </w:tbl>
    <w:p w14:paraId="78605E19" w14:textId="77777777" w:rsidR="00590ECE" w:rsidRPr="003B02B0" w:rsidRDefault="00590ECE">
      <w:pPr>
        <w:tabs>
          <w:tab w:val="clear" w:pos="794"/>
          <w:tab w:val="clear" w:pos="1191"/>
          <w:tab w:val="clear" w:pos="1588"/>
          <w:tab w:val="clear" w:pos="1985"/>
        </w:tabs>
        <w:overflowPunct/>
        <w:autoSpaceDE/>
        <w:autoSpaceDN/>
        <w:adjustRightInd/>
        <w:spacing w:before="0"/>
        <w:textAlignment w:val="auto"/>
        <w:rPr>
          <w:lang w:val="es-ES_tradnl"/>
        </w:rPr>
      </w:pPr>
      <w:r w:rsidRPr="003B02B0">
        <w:rPr>
          <w:lang w:val="es-ES_tradnl"/>
        </w:rPr>
        <w:br w:type="page"/>
      </w:r>
    </w:p>
    <w:p w14:paraId="08EE8253" w14:textId="77777777" w:rsidR="00B865FB" w:rsidRPr="00B865FB" w:rsidRDefault="00B865FB" w:rsidP="00B865FB">
      <w:pPr>
        <w:pStyle w:val="Heading1"/>
        <w:rPr>
          <w:lang w:val="es-ES"/>
        </w:rPr>
      </w:pPr>
      <w:r w:rsidRPr="00B865FB">
        <w:rPr>
          <w:lang w:val="es-ES"/>
        </w:rPr>
        <w:lastRenderedPageBreak/>
        <w:t>1</w:t>
      </w:r>
      <w:r w:rsidRPr="00B865FB">
        <w:rPr>
          <w:lang w:val="es-ES"/>
        </w:rPr>
        <w:tab/>
        <w:t>Antecedentes</w:t>
      </w:r>
    </w:p>
    <w:p w14:paraId="410A6FE9" w14:textId="77777777" w:rsidR="00B865FB" w:rsidRPr="00B865FB" w:rsidRDefault="00B865FB" w:rsidP="00B865FB">
      <w:pPr>
        <w:rPr>
          <w:lang w:val="es-ES"/>
        </w:rPr>
      </w:pPr>
      <w:r w:rsidRPr="00B865FB">
        <w:rPr>
          <w:lang w:val="es-ES"/>
        </w:rPr>
        <w:t>En la Conferencia Mundial de Desarrollo de las Telecomunicaciones de 2017 (CMDT-17), se destacó el papel fundamental de las asociaciones y la movilización de recursos para apoyar la implementación del Plan de Acción de Buenos Aires, las líneas de acción de la CMSI y los Objetivos de Desarrollo Sostenible (ODS).</w:t>
      </w:r>
    </w:p>
    <w:p w14:paraId="48741B9B" w14:textId="77777777" w:rsidR="00B865FB" w:rsidRPr="00B865FB" w:rsidRDefault="00B865FB" w:rsidP="00B865FB">
      <w:pPr>
        <w:rPr>
          <w:lang w:val="es-ES"/>
        </w:rPr>
      </w:pPr>
      <w:r w:rsidRPr="00B865FB">
        <w:rPr>
          <w:lang w:val="es-ES"/>
        </w:rPr>
        <w:t>El Plan de Acción de la CMDT-17 indica que los programas y las iniciativas regionales deben llevarse a cabo, en la medida de lo posible, en asociación con una amplia gama de partes interesadas. En la Resolución 17 (Rev. Buenos Aires, 2017) de la CMDT se encarga a la BDT que siga concertando activamente asociaciones con los Estados Miembros, Miembros del Sector UIT-D, instituciones financieras y organizaciones internacionales a fin de patrocinar la ejecución de iniciativas regionales. Esta misma Resolución exhorta a las organizaciones/organismos internacionales de financiación, a proveedores de equipos y a operadores/proveedores de servicios a contribuir, de forma plena o parcial, a financiar las iniciativas regionales adoptadas.</w:t>
      </w:r>
    </w:p>
    <w:p w14:paraId="2953DA9C" w14:textId="77777777" w:rsidR="00B865FB" w:rsidRPr="00B865FB" w:rsidRDefault="00B865FB" w:rsidP="00B865FB">
      <w:pPr>
        <w:pStyle w:val="Heading1"/>
        <w:rPr>
          <w:lang w:val="es-ES"/>
        </w:rPr>
      </w:pPr>
      <w:r w:rsidRPr="00C90D1D">
        <w:rPr>
          <w:lang w:val="es-ES"/>
        </w:rPr>
        <w:t>2</w:t>
      </w:r>
      <w:r w:rsidRPr="00C90D1D">
        <w:rPr>
          <w:lang w:val="es-ES"/>
        </w:rPr>
        <w:tab/>
        <w:t>Objetivo estratégico del UIT-D: asociaciones y movilización de recursos</w:t>
      </w:r>
    </w:p>
    <w:p w14:paraId="10F64939" w14:textId="77777777" w:rsidR="00B865FB" w:rsidRPr="00B865FB" w:rsidRDefault="00B865FB" w:rsidP="00B865FB">
      <w:pPr>
        <w:rPr>
          <w:lang w:val="es-ES"/>
        </w:rPr>
      </w:pPr>
      <w:r w:rsidRPr="00B865FB">
        <w:rPr>
          <w:lang w:val="es-ES"/>
        </w:rPr>
        <w:t>De acuerdo con los resultados de la CMDT-17, el objetivo es facilitar, desarrollar y reforzar la colaboración con el mayor número posible de socios tanto de países desarrollados como en desarrollo, a fin de aumentar la movilización de recursos para la ejecución de programas e iniciativas regionales para el desarrollo sostenible.</w:t>
      </w:r>
    </w:p>
    <w:p w14:paraId="07E5C1EA" w14:textId="0FF48105" w:rsidR="00B865FB" w:rsidRPr="00B865FB" w:rsidRDefault="00B865FB" w:rsidP="005F3DDF">
      <w:pPr>
        <w:pStyle w:val="Heading1"/>
        <w:rPr>
          <w:lang w:val="es-ES"/>
        </w:rPr>
      </w:pPr>
      <w:bookmarkStart w:id="6" w:name="_Hlk83655759"/>
      <w:r w:rsidRPr="007E0737">
        <w:rPr>
          <w:lang w:val="es-ES"/>
        </w:rPr>
        <w:t>3</w:t>
      </w:r>
      <w:r w:rsidRPr="007E0737">
        <w:rPr>
          <w:lang w:val="es-ES"/>
        </w:rPr>
        <w:tab/>
        <w:t>Asociaciones y movilización de recursos</w:t>
      </w:r>
    </w:p>
    <w:p w14:paraId="73087954" w14:textId="21ABAF87" w:rsidR="00B865FB" w:rsidRPr="009E2192" w:rsidRDefault="00B865FB" w:rsidP="00B865FB">
      <w:pPr>
        <w:rPr>
          <w:lang w:val="es-ES"/>
        </w:rPr>
      </w:pPr>
      <w:r w:rsidRPr="009E2192">
        <w:rPr>
          <w:lang w:val="es-ES"/>
        </w:rPr>
        <w:t>Entre el 1 de abril y el 31 de agosto de 2021, la BDT firmó 27 acuerdos, de los cuales 20 conllevan contribuciones financieras que suman aproximadamente 5,7 millones USD (cofinanciados por los socios (73 por ciento) y por la UIT (27 por ciento)). En el Documento TDAG-21/2/INF/2 se encuentra la lista de estos acuerdos.</w:t>
      </w:r>
    </w:p>
    <w:p w14:paraId="66E3297A" w14:textId="1E45C794" w:rsidR="00B865FB" w:rsidRPr="00B865FB" w:rsidRDefault="00B865FB" w:rsidP="00B865FB">
      <w:pPr>
        <w:rPr>
          <w:lang w:val="es-ES"/>
        </w:rPr>
      </w:pPr>
      <w:r w:rsidRPr="00B865FB">
        <w:rPr>
          <w:lang w:val="es-ES"/>
        </w:rPr>
        <w:t xml:space="preserve">Los principales socios financieros de la BDT fueron principalmente Estados Miembros de la UIT y otras entidades gubernamentales (35,3 por ciento), seguidos por organizaciones internacionales y regionales (34 por ciento) y entidades del sector privado </w:t>
      </w:r>
      <w:r w:rsidR="00C90D1D">
        <w:rPr>
          <w:lang w:val="es-ES"/>
        </w:rPr>
        <w:t>(</w:t>
      </w:r>
      <w:r w:rsidRPr="00B865FB">
        <w:rPr>
          <w:lang w:val="es-ES"/>
        </w:rPr>
        <w:t>28 por ciento</w:t>
      </w:r>
      <w:r w:rsidR="00C90D1D">
        <w:rPr>
          <w:lang w:val="es-ES"/>
        </w:rPr>
        <w:t>)</w:t>
      </w:r>
      <w:r w:rsidRPr="00B865FB">
        <w:rPr>
          <w:lang w:val="es-ES"/>
        </w:rPr>
        <w:t>.</w:t>
      </w:r>
    </w:p>
    <w:p w14:paraId="299B5B3B" w14:textId="64EDEA4B" w:rsidR="00B865FB" w:rsidRPr="00B865FB" w:rsidRDefault="00B865FB" w:rsidP="00B865FB">
      <w:pPr>
        <w:rPr>
          <w:lang w:val="es-ES"/>
        </w:rPr>
      </w:pPr>
      <w:r w:rsidRPr="00B865FB">
        <w:rPr>
          <w:lang w:val="es-ES"/>
        </w:rPr>
        <w:t>Los tres socios financieros con las mayores contribuciones durante el periodo objeto de examen fueron:</w:t>
      </w:r>
    </w:p>
    <w:p w14:paraId="4807B5B5" w14:textId="16421CC2" w:rsidR="00B865FB" w:rsidRPr="00B865FB" w:rsidRDefault="00B865FB" w:rsidP="005F3DDF">
      <w:pPr>
        <w:pStyle w:val="enumlev1"/>
        <w:rPr>
          <w:lang w:val="es-ES"/>
        </w:rPr>
      </w:pPr>
      <w:r w:rsidRPr="00B865FB">
        <w:rPr>
          <w:lang w:val="es-ES"/>
        </w:rPr>
        <w:t>–</w:t>
      </w:r>
      <w:r w:rsidRPr="00B865FB">
        <w:rPr>
          <w:lang w:val="es-ES"/>
        </w:rPr>
        <w:tab/>
        <w:t>la Unidad de Apoyo al Autorizador Nacional del Fondo Europeo de Desarrollo (COFED), Rep. Dem. del Congo/Delegación de la Unión Europea, Rep. Dem. del Congo, con una contribución financiera suscrita de 1,2 millones USD;</w:t>
      </w:r>
    </w:p>
    <w:p w14:paraId="6AD2C156" w14:textId="5D23C1CA" w:rsidR="00B865FB" w:rsidRPr="00B865FB" w:rsidRDefault="00B865FB" w:rsidP="005F3DDF">
      <w:pPr>
        <w:pStyle w:val="enumlev1"/>
        <w:rPr>
          <w:lang w:val="es-ES"/>
        </w:rPr>
      </w:pPr>
      <w:r w:rsidRPr="00B865FB">
        <w:rPr>
          <w:lang w:val="es-ES"/>
        </w:rPr>
        <w:t>–</w:t>
      </w:r>
      <w:r w:rsidRPr="00B865FB">
        <w:rPr>
          <w:lang w:val="es-ES"/>
        </w:rPr>
        <w:tab/>
        <w:t>Huawei Technologies Co., Ltd.</w:t>
      </w:r>
      <w:r w:rsidRPr="00B865FB">
        <w:t xml:space="preserve"> </w:t>
      </w:r>
      <w:r w:rsidRPr="00B865FB">
        <w:rPr>
          <w:lang w:val="es-ES"/>
        </w:rPr>
        <w:t>con una contribución financiera suscrita de 670</w:t>
      </w:r>
      <w:r w:rsidR="0023456F">
        <w:rPr>
          <w:lang w:val="es-ES"/>
        </w:rPr>
        <w:t> </w:t>
      </w:r>
      <w:r w:rsidRPr="00B865FB">
        <w:rPr>
          <w:lang w:val="es-ES"/>
        </w:rPr>
        <w:t>000 USD;</w:t>
      </w:r>
    </w:p>
    <w:p w14:paraId="324FDF41" w14:textId="79A4E3EA" w:rsidR="00B865FB" w:rsidRPr="0023456F" w:rsidRDefault="00B865FB" w:rsidP="0023456F">
      <w:pPr>
        <w:pStyle w:val="enumlev1"/>
        <w:rPr>
          <w:lang w:val="es-ES"/>
        </w:rPr>
      </w:pPr>
      <w:r w:rsidRPr="0023456F">
        <w:rPr>
          <w:lang w:val="es-ES"/>
        </w:rPr>
        <w:t>–</w:t>
      </w:r>
      <w:r w:rsidRPr="0023456F">
        <w:rPr>
          <w:lang w:val="es-ES"/>
        </w:rPr>
        <w:tab/>
        <w:t>el Departamento de Infraestructura, Transporte, Desarrollo y Comunicaciones Regionales (DITRDC), Australia</w:t>
      </w:r>
      <w:r w:rsidR="0023456F" w:rsidRPr="0023456F">
        <w:rPr>
          <w:lang w:val="es-ES"/>
        </w:rPr>
        <w:t xml:space="preserve"> con una contribución financiera suscrita de 650 000 USD</w:t>
      </w:r>
      <w:r w:rsidRPr="0023456F">
        <w:rPr>
          <w:lang w:val="es-ES"/>
        </w:rPr>
        <w:t>.</w:t>
      </w:r>
    </w:p>
    <w:p w14:paraId="5BB4A9DF" w14:textId="652DAA7B" w:rsidR="00B865FB" w:rsidRPr="00B865FB" w:rsidRDefault="00B865FB" w:rsidP="009E2192">
      <w:pPr>
        <w:rPr>
          <w:lang w:val="es-ES"/>
        </w:rPr>
      </w:pPr>
      <w:r w:rsidRPr="00B865FB">
        <w:rPr>
          <w:lang w:val="es-ES"/>
        </w:rPr>
        <w:t>Los acuerdos estuvieron dedicados principalmente a África (44 por ciento), seguidos de los multirregiones (23 por ciento) y Asia</w:t>
      </w:r>
      <w:r w:rsidR="00E650BD">
        <w:rPr>
          <w:lang w:val="es-ES"/>
        </w:rPr>
        <w:t>-</w:t>
      </w:r>
      <w:r w:rsidRPr="00B865FB">
        <w:rPr>
          <w:lang w:val="es-ES"/>
        </w:rPr>
        <w:t xml:space="preserve">Pacífico (20 por ciento). En cuanto a áreas temáticas, el desglose es el siguiente: </w:t>
      </w:r>
      <w:r w:rsidR="0023456F">
        <w:rPr>
          <w:lang w:val="es-ES"/>
        </w:rPr>
        <w:t>t</w:t>
      </w:r>
      <w:r w:rsidRPr="00B865FB">
        <w:rPr>
          <w:lang w:val="es-ES"/>
        </w:rPr>
        <w:t>emas múltiples (47 por ciento) y Política y reglamentación (32 por ciento).</w:t>
      </w:r>
    </w:p>
    <w:p w14:paraId="2B9DD416" w14:textId="77777777" w:rsidR="00B865FB" w:rsidRPr="00B865FB" w:rsidRDefault="00B865FB" w:rsidP="005F3DDF">
      <w:pPr>
        <w:pStyle w:val="Heading1"/>
        <w:rPr>
          <w:lang w:val="es-ES"/>
        </w:rPr>
      </w:pPr>
      <w:r w:rsidRPr="007E0737">
        <w:rPr>
          <w:lang w:val="es-ES"/>
        </w:rPr>
        <w:lastRenderedPageBreak/>
        <w:t>4</w:t>
      </w:r>
      <w:r w:rsidRPr="007E0737">
        <w:rPr>
          <w:lang w:val="es-ES"/>
        </w:rPr>
        <w:tab/>
        <w:t>Acciones y resultados clave</w:t>
      </w:r>
    </w:p>
    <w:p w14:paraId="60DE19F2" w14:textId="77777777" w:rsidR="00B865FB" w:rsidRPr="00B865FB" w:rsidRDefault="00B865FB" w:rsidP="00B865FB">
      <w:pPr>
        <w:rPr>
          <w:lang w:val="es-ES"/>
        </w:rPr>
      </w:pPr>
      <w:r w:rsidRPr="00B865FB">
        <w:rPr>
          <w:lang w:val="es-ES"/>
        </w:rPr>
        <w:t>La BDT ha estado llevando a cabo una serie de acciones estratégicas que incluyen el desarrollo y la mejora de sus productos internos y servicios externos a fin de mejorar las asociaciones y la movilización de recursos, como:</w:t>
      </w:r>
    </w:p>
    <w:p w14:paraId="40D7B308" w14:textId="232EF1DC" w:rsidR="00B865FB" w:rsidRPr="00B865FB" w:rsidRDefault="00B865FB" w:rsidP="005F3DDF">
      <w:pPr>
        <w:pStyle w:val="enumlev1"/>
        <w:rPr>
          <w:lang w:val="es-ES"/>
        </w:rPr>
      </w:pPr>
      <w:r w:rsidRPr="00B865FB">
        <w:rPr>
          <w:bCs/>
          <w:lang w:val="es-ES"/>
        </w:rPr>
        <w:t>–</w:t>
      </w:r>
      <w:r w:rsidRPr="00B865FB">
        <w:rPr>
          <w:bCs/>
          <w:lang w:val="es-ES"/>
        </w:rPr>
        <w:tab/>
      </w:r>
      <w:r w:rsidRPr="009E2192">
        <w:rPr>
          <w:b/>
          <w:bCs/>
          <w:lang w:val="es-ES"/>
        </w:rPr>
        <w:t>Mejora del material de divulgación</w:t>
      </w:r>
      <w:r w:rsidRPr="00B865FB">
        <w:rPr>
          <w:lang w:val="es-ES"/>
        </w:rPr>
        <w:t xml:space="preserve">: </w:t>
      </w:r>
      <w:r w:rsidR="00C25DA5" w:rsidRPr="00B865FB">
        <w:rPr>
          <w:lang w:val="es-ES"/>
        </w:rPr>
        <w:t>l</w:t>
      </w:r>
      <w:r w:rsidRPr="00B865FB">
        <w:rPr>
          <w:lang w:val="es-ES"/>
        </w:rPr>
        <w:t>a BDT ha elaborado una presentación corporativa, que incluye una introducción a la UIT, a la CMDT, a las prioridades temáticas y a la iniciativa emblemática, para apoyar sus actividades de divulgación dirigidas a posibles socios.</w:t>
      </w:r>
    </w:p>
    <w:p w14:paraId="2DFC0D4E" w14:textId="099514A8" w:rsidR="00B865FB" w:rsidRPr="00B865FB" w:rsidRDefault="00B865FB" w:rsidP="005F3DDF">
      <w:pPr>
        <w:pStyle w:val="enumlev1"/>
        <w:rPr>
          <w:lang w:val="es-ES"/>
        </w:rPr>
      </w:pPr>
      <w:r w:rsidRPr="00B865FB">
        <w:rPr>
          <w:lang w:val="es-ES"/>
        </w:rPr>
        <w:t>–</w:t>
      </w:r>
      <w:r w:rsidRPr="00B865FB">
        <w:rPr>
          <w:lang w:val="es-ES"/>
        </w:rPr>
        <w:tab/>
      </w:r>
      <w:r w:rsidRPr="009E2192">
        <w:rPr>
          <w:b/>
          <w:lang w:val="es-ES"/>
        </w:rPr>
        <w:t>Coalición Partner2 Connect</w:t>
      </w:r>
      <w:r w:rsidRPr="00B865FB">
        <w:rPr>
          <w:lang w:val="es-ES"/>
        </w:rPr>
        <w:t xml:space="preserve">: </w:t>
      </w:r>
      <w:r w:rsidR="00C25DA5" w:rsidRPr="00B865FB">
        <w:rPr>
          <w:lang w:val="es-ES"/>
        </w:rPr>
        <w:t>l</w:t>
      </w:r>
      <w:r w:rsidRPr="00B865FB">
        <w:rPr>
          <w:lang w:val="es-ES"/>
        </w:rPr>
        <w:t>a UIT puso en marcha la Coalición Digital Partner2Connect para fomentar una conectividad y una transformación digital efectivas en las comunidades y los países que tienen dificultades para conectarse, incluidos los PMA, los PDSL y los PEID. Para más información sobre la Coalición Partner2Connect, consulte el Documento</w:t>
      </w:r>
      <w:r w:rsidR="007E0737">
        <w:rPr>
          <w:lang w:val="es-ES"/>
        </w:rPr>
        <w:t> </w:t>
      </w:r>
      <w:r w:rsidRPr="00B865FB">
        <w:rPr>
          <w:lang w:val="es-ES"/>
        </w:rPr>
        <w:t>TDAG</w:t>
      </w:r>
      <w:r w:rsidR="009E2192">
        <w:rPr>
          <w:lang w:val="es-ES"/>
        </w:rPr>
        <w:noBreakHyphen/>
      </w:r>
      <w:r w:rsidRPr="00B865FB">
        <w:rPr>
          <w:lang w:val="es-ES"/>
        </w:rPr>
        <w:t>21/2/15</w:t>
      </w:r>
      <w:r w:rsidR="007E0737">
        <w:rPr>
          <w:lang w:val="es-ES"/>
        </w:rPr>
        <w:t>.</w:t>
      </w:r>
    </w:p>
    <w:p w14:paraId="3997232E" w14:textId="642879BD" w:rsidR="00B865FB" w:rsidRPr="00B865FB" w:rsidRDefault="00B865FB" w:rsidP="005F3DDF">
      <w:pPr>
        <w:pStyle w:val="enumlev1"/>
        <w:rPr>
          <w:lang w:val="es-ES"/>
        </w:rPr>
      </w:pPr>
      <w:r w:rsidRPr="00B865FB">
        <w:rPr>
          <w:lang w:val="es-ES"/>
        </w:rPr>
        <w:t>–</w:t>
      </w:r>
      <w:r w:rsidRPr="00B865FB">
        <w:rPr>
          <w:lang w:val="es-ES"/>
        </w:rPr>
        <w:tab/>
      </w:r>
      <w:r w:rsidRPr="009E2192">
        <w:rPr>
          <w:b/>
          <w:lang w:val="es-ES"/>
        </w:rPr>
        <w:t>Colaboración con organizaciones de las Naciones Unidas</w:t>
      </w:r>
      <w:r w:rsidRPr="00B865FB">
        <w:rPr>
          <w:lang w:val="es-ES"/>
        </w:rPr>
        <w:t xml:space="preserve">: </w:t>
      </w:r>
      <w:r w:rsidR="00C25DA5" w:rsidRPr="00B865FB">
        <w:rPr>
          <w:lang w:val="es-ES"/>
        </w:rPr>
        <w:t>l</w:t>
      </w:r>
      <w:r w:rsidRPr="00B865FB">
        <w:rPr>
          <w:lang w:val="es-ES"/>
        </w:rPr>
        <w:t xml:space="preserve">a BDT reforzó su cooperación con otras organizaciones de la ONU, como el Alto Comisionado de las Naciones Unidas para los Refugiados (ACNUR) y el Fondo de las Naciones Unidas para la Infancia (UNICEF). La asociación con ACNUR se centra en la cooperación digital para apoyar a los desplazados forzosos, los refugiados, los apátridas y sus comunidades de acogida a nivel mundial, regional y nacional. La BDT y el ACNUR colaborarán de forma más sistemática para acelerar la inclusión digital de estos grupos de personas en consonancia con la </w:t>
      </w:r>
      <w:r w:rsidRPr="00E650BD">
        <w:rPr>
          <w:lang w:val="es-ES"/>
        </w:rPr>
        <w:t>H</w:t>
      </w:r>
      <w:r w:rsidRPr="00B865FB">
        <w:rPr>
          <w:lang w:val="es-ES"/>
        </w:rPr>
        <w:t>oja de ruta para la cooperación digital del Secretario General de las Naciones Unidas. El trabajo con UNICEF sigue centrándose en la iniciativa Giga, cuyo objetivo es consolidar los logros de la primera fase en las regiones prioritarias de África, Asia Central y el Caribe Oriental y Central, y ampliarla a nuevas regiones, así como a Asia</w:t>
      </w:r>
      <w:r w:rsidR="007E0737">
        <w:rPr>
          <w:lang w:val="es-ES"/>
        </w:rPr>
        <w:t>-</w:t>
      </w:r>
      <w:r w:rsidRPr="00B865FB">
        <w:rPr>
          <w:lang w:val="es-ES"/>
        </w:rPr>
        <w:t>Pacífico y Sudamérica.</w:t>
      </w:r>
    </w:p>
    <w:p w14:paraId="4A50E4E4" w14:textId="77777777" w:rsidR="00B865FB" w:rsidRPr="00B865FB" w:rsidRDefault="00B865FB" w:rsidP="005F3DDF">
      <w:pPr>
        <w:pStyle w:val="Heading1"/>
        <w:rPr>
          <w:lang w:val="es-ES"/>
        </w:rPr>
      </w:pPr>
      <w:r w:rsidRPr="007E0737">
        <w:rPr>
          <w:lang w:val="es-ES"/>
        </w:rPr>
        <w:t>5</w:t>
      </w:r>
      <w:r w:rsidRPr="007E0737">
        <w:rPr>
          <w:lang w:val="es-ES"/>
        </w:rPr>
        <w:tab/>
        <w:t>Resumen</w:t>
      </w:r>
    </w:p>
    <w:p w14:paraId="1C69ED0D" w14:textId="49ACDFC4" w:rsidR="00B865FB" w:rsidRPr="00B865FB" w:rsidRDefault="00B865FB" w:rsidP="00B865FB">
      <w:pPr>
        <w:rPr>
          <w:lang w:val="es-ES"/>
        </w:rPr>
      </w:pPr>
      <w:r w:rsidRPr="00B865FB">
        <w:rPr>
          <w:lang w:val="es-ES"/>
        </w:rPr>
        <w:t xml:space="preserve">En 2021 (a 31 de agosto de 2021), la BDT había firmado 45 acuerdos con sus socios, de los cuales 32 contaban con contribuciones financieras que ascendían a unos 11,6 millones </w:t>
      </w:r>
      <w:r w:rsidR="00E650BD">
        <w:rPr>
          <w:lang w:val="es-ES"/>
        </w:rPr>
        <w:t>USD</w:t>
      </w:r>
      <w:r w:rsidRPr="00B865FB">
        <w:rPr>
          <w:lang w:val="es-ES"/>
        </w:rPr>
        <w:t>, cofinanciados por los socios (78 por ciento) y la UIT (22 por ciento).</w:t>
      </w:r>
    </w:p>
    <w:p w14:paraId="26B7C69E" w14:textId="4DFF6BEA" w:rsidR="00B865FB" w:rsidRPr="00B865FB" w:rsidRDefault="00B865FB" w:rsidP="00B865FB">
      <w:pPr>
        <w:rPr>
          <w:lang w:val="es-ES"/>
        </w:rPr>
      </w:pPr>
      <w:r w:rsidRPr="00B865FB">
        <w:rPr>
          <w:lang w:val="es-ES"/>
        </w:rPr>
        <w:t>Los principales socios de financiación de la BDT fueron principalmente los Estados Miembros de la</w:t>
      </w:r>
      <w:r w:rsidR="007E0737">
        <w:rPr>
          <w:lang w:val="es-ES"/>
        </w:rPr>
        <w:t> </w:t>
      </w:r>
      <w:r w:rsidRPr="00B865FB">
        <w:rPr>
          <w:lang w:val="es-ES"/>
        </w:rPr>
        <w:t>UIT y otras entidades gubernamentales, seguidos por organizaciones internacionales y regionales y entidades del sector privado:</w:t>
      </w:r>
    </w:p>
    <w:p w14:paraId="0C538996" w14:textId="08656085" w:rsidR="00A12EF9" w:rsidRPr="00A12EF9" w:rsidRDefault="00A12EF9" w:rsidP="00A12EF9">
      <w:pPr>
        <w:pStyle w:val="Figure"/>
      </w:pPr>
      <w:r>
        <w:rPr>
          <w:noProof/>
        </w:rPr>
        <w:lastRenderedPageBreak/>
        <w:drawing>
          <wp:inline distT="0" distB="0" distL="0" distR="0" wp14:anchorId="40FE1EC8" wp14:editId="3434719C">
            <wp:extent cx="5068800" cy="256680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8800" cy="2566800"/>
                    </a:xfrm>
                    <a:prstGeom prst="rect">
                      <a:avLst/>
                    </a:prstGeom>
                    <a:noFill/>
                  </pic:spPr>
                </pic:pic>
              </a:graphicData>
            </a:graphic>
          </wp:inline>
        </w:drawing>
      </w:r>
    </w:p>
    <w:p w14:paraId="2F8A4618" w14:textId="75E2D225" w:rsidR="00B865FB" w:rsidRPr="00B865FB" w:rsidRDefault="00B865FB" w:rsidP="00B865FB">
      <w:pPr>
        <w:rPr>
          <w:lang w:val="es-ES"/>
        </w:rPr>
      </w:pPr>
      <w:r w:rsidRPr="00B865FB">
        <w:rPr>
          <w:lang w:val="es-ES"/>
        </w:rPr>
        <w:t>Los siguientes gráficos muestran las asignaciones de las contribuciones financieras firmadas por región y por área temática.</w:t>
      </w:r>
    </w:p>
    <w:p w14:paraId="025835DF" w14:textId="5638286A" w:rsidR="00B865FB" w:rsidRPr="00B865FB" w:rsidRDefault="00B865FB" w:rsidP="00891647">
      <w:pPr>
        <w:pStyle w:val="Figure"/>
        <w:keepNext w:val="0"/>
        <w:keepLines w:val="0"/>
      </w:pPr>
      <w:r w:rsidRPr="009E2192">
        <w:rPr>
          <w:noProof/>
        </w:rPr>
        <w:drawing>
          <wp:inline distT="0" distB="0" distL="0" distR="0" wp14:anchorId="14372E41" wp14:editId="76F9EF2C">
            <wp:extent cx="5745480" cy="2381250"/>
            <wp:effectExtent l="0" t="0" r="7620" b="0"/>
            <wp:docPr id="15" name="Chart 15">
              <a:extLst xmlns:a="http://schemas.openxmlformats.org/drawingml/2006/main">
                <a:ext uri="{FF2B5EF4-FFF2-40B4-BE49-F238E27FC236}">
                  <a16:creationId xmlns:a16="http://schemas.microsoft.com/office/drawing/2014/main" id="{D5CDC7CE-D4B7-43B6-8163-ED4B6E1E91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823BBD" w14:textId="5EA8A6A9" w:rsidR="00347F68" w:rsidRDefault="00347F68" w:rsidP="00891647">
      <w:pPr>
        <w:pStyle w:val="Figure"/>
        <w:keepNext w:val="0"/>
        <w:keepLines w:val="0"/>
      </w:pPr>
      <w:r w:rsidRPr="00347F68">
        <w:rPr>
          <w:noProof/>
        </w:rPr>
        <w:drawing>
          <wp:inline distT="0" distB="0" distL="0" distR="0" wp14:anchorId="070E9430" wp14:editId="1087C49E">
            <wp:extent cx="6120130" cy="3048000"/>
            <wp:effectExtent l="0" t="0" r="0" b="0"/>
            <wp:docPr id="14" name="Picture 14"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treemap chart&#10;&#10;Description automatically generated"/>
                    <pic:cNvPicPr/>
                  </pic:nvPicPr>
                  <pic:blipFill>
                    <a:blip r:embed="rId11"/>
                    <a:stretch>
                      <a:fillRect/>
                    </a:stretch>
                  </pic:blipFill>
                  <pic:spPr>
                    <a:xfrm>
                      <a:off x="0" y="0"/>
                      <a:ext cx="6120130" cy="3048000"/>
                    </a:xfrm>
                    <a:prstGeom prst="rect">
                      <a:avLst/>
                    </a:prstGeom>
                  </pic:spPr>
                </pic:pic>
              </a:graphicData>
            </a:graphic>
          </wp:inline>
        </w:drawing>
      </w:r>
    </w:p>
    <w:p w14:paraId="1AB95494" w14:textId="6B31F828" w:rsidR="00B865FB" w:rsidRPr="009E2192" w:rsidRDefault="00B865FB" w:rsidP="007E0737">
      <w:pPr>
        <w:pStyle w:val="Headingb"/>
        <w:spacing w:after="120"/>
        <w:rPr>
          <w:lang w:val="es-ES"/>
        </w:rPr>
      </w:pPr>
      <w:r w:rsidRPr="00B865FB">
        <w:rPr>
          <w:lang w:val="es-ES"/>
        </w:rPr>
        <w:lastRenderedPageBreak/>
        <w:t>Análisis comparativo para el mismo periodo de 2020 y 2021 (enero</w:t>
      </w:r>
      <w:r w:rsidR="00347F68">
        <w:rPr>
          <w:lang w:val="es-ES"/>
        </w:rPr>
        <w:t xml:space="preserve"> </w:t>
      </w:r>
      <w:r w:rsidR="00347F68" w:rsidRPr="00347F68">
        <w:rPr>
          <w:lang w:val="es-ES"/>
        </w:rPr>
        <w:t>–</w:t>
      </w:r>
      <w:r w:rsidR="00347F68">
        <w:rPr>
          <w:lang w:val="es-ES"/>
        </w:rPr>
        <w:t xml:space="preserve"> </w:t>
      </w:r>
      <w:r w:rsidRPr="00B865FB">
        <w:rPr>
          <w:lang w:val="es-ES"/>
        </w:rPr>
        <w:t>final de agosto)</w:t>
      </w:r>
    </w:p>
    <w:tbl>
      <w:tblPr>
        <w:tblW w:w="5000" w:type="pct"/>
        <w:jc w:val="center"/>
        <w:tblLook w:val="04A0" w:firstRow="1" w:lastRow="0" w:firstColumn="1" w:lastColumn="0" w:noHBand="0" w:noVBand="1"/>
      </w:tblPr>
      <w:tblGrid>
        <w:gridCol w:w="3106"/>
        <w:gridCol w:w="6532"/>
      </w:tblGrid>
      <w:tr w:rsidR="007E0737" w:rsidRPr="00B865FB" w14:paraId="01027BB8" w14:textId="77777777" w:rsidTr="007E0737">
        <w:trPr>
          <w:jc w:val="center"/>
        </w:trPr>
        <w:tc>
          <w:tcPr>
            <w:tcW w:w="3106" w:type="dxa"/>
          </w:tcPr>
          <w:p w14:paraId="001AFD8F" w14:textId="2C289C20" w:rsidR="007E0737" w:rsidRPr="00B865FB" w:rsidRDefault="007E0737" w:rsidP="00BC7334">
            <w:pPr>
              <w:spacing w:after="120"/>
              <w:jc w:val="center"/>
              <w:rPr>
                <w:lang w:val="en-US"/>
              </w:rPr>
            </w:pPr>
            <w:r>
              <w:rPr>
                <w:noProof/>
                <w:lang w:val="en-US"/>
              </w:rPr>
              <w:drawing>
                <wp:inline distT="0" distB="0" distL="0" distR="0" wp14:anchorId="01A684B0" wp14:editId="3FAAF2FC">
                  <wp:extent cx="1825200" cy="18000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5200" cy="1800000"/>
                          </a:xfrm>
                          <a:prstGeom prst="rect">
                            <a:avLst/>
                          </a:prstGeom>
                          <a:noFill/>
                        </pic:spPr>
                      </pic:pic>
                    </a:graphicData>
                  </a:graphic>
                </wp:inline>
              </w:drawing>
            </w:r>
          </w:p>
        </w:tc>
        <w:tc>
          <w:tcPr>
            <w:tcW w:w="6532" w:type="dxa"/>
          </w:tcPr>
          <w:p w14:paraId="4B93D295" w14:textId="66C64BCF" w:rsidR="007E0737" w:rsidRPr="00B865FB" w:rsidRDefault="007E0737" w:rsidP="00BC7334">
            <w:pPr>
              <w:spacing w:after="120"/>
              <w:jc w:val="center"/>
              <w:rPr>
                <w:lang w:val="en-US"/>
              </w:rPr>
            </w:pPr>
            <w:r>
              <w:rPr>
                <w:noProof/>
                <w:lang w:val="en-US"/>
              </w:rPr>
              <w:drawing>
                <wp:inline distT="0" distB="0" distL="0" distR="0" wp14:anchorId="1850C836" wp14:editId="1C3896D3">
                  <wp:extent cx="3808800" cy="180000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8800" cy="1800000"/>
                          </a:xfrm>
                          <a:prstGeom prst="rect">
                            <a:avLst/>
                          </a:prstGeom>
                          <a:noFill/>
                        </pic:spPr>
                      </pic:pic>
                    </a:graphicData>
                  </a:graphic>
                </wp:inline>
              </w:drawing>
            </w:r>
          </w:p>
        </w:tc>
      </w:tr>
    </w:tbl>
    <w:p w14:paraId="7F279360" w14:textId="77C94140" w:rsidR="00B865FB" w:rsidRPr="00B865FB" w:rsidRDefault="009E2192" w:rsidP="009E2192">
      <w:pPr>
        <w:pStyle w:val="Heading1"/>
        <w:rPr>
          <w:lang w:val="es-ES"/>
        </w:rPr>
      </w:pPr>
      <w:r>
        <w:rPr>
          <w:lang w:val="es-ES"/>
        </w:rPr>
        <w:t>6</w:t>
      </w:r>
      <w:r>
        <w:rPr>
          <w:lang w:val="es-ES"/>
        </w:rPr>
        <w:tab/>
      </w:r>
      <w:r w:rsidR="00B865FB" w:rsidRPr="00B865FB">
        <w:rPr>
          <w:lang w:val="es-ES"/>
        </w:rPr>
        <w:t>Camino a seguir</w:t>
      </w:r>
    </w:p>
    <w:p w14:paraId="2C4DC01D" w14:textId="6FA4FD81" w:rsidR="00B865FB" w:rsidRPr="00B865FB" w:rsidRDefault="00B865FB" w:rsidP="00E650BD">
      <w:pPr>
        <w:keepNext/>
        <w:keepLines/>
        <w:rPr>
          <w:lang w:val="es-ES"/>
        </w:rPr>
      </w:pPr>
      <w:r w:rsidRPr="00B865FB">
        <w:rPr>
          <w:lang w:val="es-ES"/>
        </w:rPr>
        <w:t>La BDT ha realizado avances notables en la negociación y el establecimiento de nuevas asociaciones con un amplio grupo de socios, que resultaron en la movilización de nuevos recursos. Los esfuerzos en curso están enfocados a la consolidación de los socios existentes y a atraer a otros nuevos a fin de captar más recursos para poder financiar los proyectos a gran escala y con repercusión que se requieren para el éxito de la implementación de los programas y las iniciativas regionales de la CMDT-17 y los futuros resultados de la CMDT que incluyen iniciativas regionales.</w:t>
      </w:r>
    </w:p>
    <w:bookmarkEnd w:id="6"/>
    <w:p w14:paraId="7694112A" w14:textId="77777777" w:rsidR="00B865FB" w:rsidRPr="003B02B0" w:rsidRDefault="00B865FB" w:rsidP="009E2192">
      <w:pPr>
        <w:rPr>
          <w:lang w:val="es-ES_tradnl"/>
        </w:rPr>
      </w:pPr>
    </w:p>
    <w:p w14:paraId="1AA52540" w14:textId="77777777" w:rsidR="00590ECE" w:rsidRPr="00AB05CA" w:rsidRDefault="00590ECE">
      <w:pPr>
        <w:jc w:val="center"/>
        <w:rPr>
          <w:lang w:val="es-ES_tradnl"/>
        </w:rPr>
      </w:pPr>
      <w:r w:rsidRPr="003B02B0">
        <w:rPr>
          <w:lang w:val="es-ES_tradnl"/>
        </w:rPr>
        <w:t>______________</w:t>
      </w:r>
    </w:p>
    <w:sectPr w:rsidR="00590ECE" w:rsidRPr="00AB05CA" w:rsidSect="004B7893">
      <w:headerReference w:type="default" r:id="rId14"/>
      <w:footerReference w:type="default" r:id="rId15"/>
      <w:footerReference w:type="first" r:id="rId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AEBD" w14:textId="77777777" w:rsidR="00891974" w:rsidRDefault="00891974" w:rsidP="0088106F">
      <w:r>
        <w:separator/>
      </w:r>
    </w:p>
  </w:endnote>
  <w:endnote w:type="continuationSeparator" w:id="0">
    <w:p w14:paraId="60FF1ABE" w14:textId="77777777" w:rsidR="00891974" w:rsidRDefault="0089197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1FE7" w14:textId="128526E1" w:rsidR="0088106F" w:rsidRPr="009A6FC4" w:rsidRDefault="00891647" w:rsidP="005F3DDF">
    <w:pPr>
      <w:pStyle w:val="Footer"/>
    </w:pPr>
    <w:r>
      <w:fldChar w:fldCharType="begin"/>
    </w:r>
    <w:r>
      <w:instrText xml:space="preserve"> FILENAME \p  \* MERGEFORMAT </w:instrText>
    </w:r>
    <w:r>
      <w:fldChar w:fldCharType="separate"/>
    </w:r>
    <w:r w:rsidR="005F3DDF">
      <w:t>P:\ESP\ITU-D\CONF-D\TDAG21\TDAG21-29\000\004S.docx</w:t>
    </w:r>
    <w:r>
      <w:fldChar w:fldCharType="end"/>
    </w:r>
    <w:r w:rsidR="005F3DDF">
      <w:t xml:space="preserve"> (494506)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6599CD8E" w14:textId="77777777" w:rsidTr="004E3CF5">
      <w:tc>
        <w:tcPr>
          <w:tcW w:w="1134" w:type="dxa"/>
          <w:tcBorders>
            <w:top w:val="single" w:sz="4" w:space="0" w:color="000000"/>
          </w:tcBorders>
          <w:shd w:val="clear" w:color="auto" w:fill="auto"/>
        </w:tcPr>
        <w:p w14:paraId="192D48D6" w14:textId="77777777"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794FED84" w14:textId="77777777"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0A57CE80" w14:textId="1B55A1E6" w:rsidR="009D1BD4" w:rsidRPr="00050E06" w:rsidRDefault="00B865FB" w:rsidP="00B865FB">
          <w:pPr>
            <w:pStyle w:val="FirstFooter"/>
            <w:tabs>
              <w:tab w:val="left" w:pos="2302"/>
            </w:tabs>
            <w:rPr>
              <w:sz w:val="18"/>
              <w:szCs w:val="18"/>
              <w:lang w:val="en-US"/>
            </w:rPr>
          </w:pPr>
          <w:bookmarkStart w:id="7" w:name="OrgName"/>
          <w:bookmarkEnd w:id="7"/>
          <w:r w:rsidRPr="00B865FB">
            <w:rPr>
              <w:sz w:val="18"/>
              <w:szCs w:val="18"/>
              <w:lang w:val="es-ES_tradnl"/>
            </w:rPr>
            <w:t>Dr. Cosmas Zavazava, Jefe del Departamento de Asociaciones para el Desarrollo Digital, Oficina de Desarrollo de las Telecomunicaciones</w:t>
          </w:r>
        </w:p>
      </w:tc>
    </w:tr>
    <w:tr w:rsidR="009D1BD4" w:rsidRPr="004D495C" w14:paraId="4D0B6212" w14:textId="77777777" w:rsidTr="004E3CF5">
      <w:tc>
        <w:tcPr>
          <w:tcW w:w="1134" w:type="dxa"/>
          <w:shd w:val="clear" w:color="auto" w:fill="auto"/>
        </w:tcPr>
        <w:p w14:paraId="586F9E3F"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4D16B2AC" w14:textId="77777777"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7AD15DE0" w14:textId="3EA38A56" w:rsidR="009D1BD4" w:rsidRPr="00050E06" w:rsidRDefault="00B865FB" w:rsidP="009D1BD4">
          <w:pPr>
            <w:pStyle w:val="FirstFooter"/>
            <w:tabs>
              <w:tab w:val="left" w:pos="2302"/>
            </w:tabs>
            <w:rPr>
              <w:sz w:val="18"/>
              <w:szCs w:val="18"/>
              <w:lang w:val="en-US"/>
            </w:rPr>
          </w:pPr>
          <w:bookmarkStart w:id="8" w:name="PhoneNo"/>
          <w:bookmarkEnd w:id="8"/>
          <w:r w:rsidRPr="00B865FB">
            <w:rPr>
              <w:sz w:val="18"/>
              <w:szCs w:val="18"/>
              <w:lang w:val="en-US"/>
            </w:rPr>
            <w:t>+41 22 730 5447</w:t>
          </w:r>
        </w:p>
      </w:tc>
    </w:tr>
    <w:tr w:rsidR="009D1BD4" w:rsidRPr="004D495C" w14:paraId="2EAB3EA1" w14:textId="77777777" w:rsidTr="004E3CF5">
      <w:tc>
        <w:tcPr>
          <w:tcW w:w="1134" w:type="dxa"/>
          <w:shd w:val="clear" w:color="auto" w:fill="auto"/>
        </w:tcPr>
        <w:p w14:paraId="48BE2494"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418E2C04" w14:textId="77777777"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14:paraId="063B5EA9" w14:textId="4C81A95E" w:rsidR="009D1BD4" w:rsidRPr="00050E06" w:rsidRDefault="00B865FB"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B865FB">
            <w:rPr>
              <w:sz w:val="18"/>
              <w:szCs w:val="18"/>
              <w:lang w:val="en-US"/>
            </w:rPr>
            <w:instrText>cosmas.zavazava@itu.int</w:instrText>
          </w:r>
          <w:r>
            <w:rPr>
              <w:sz w:val="18"/>
              <w:szCs w:val="18"/>
              <w:lang w:val="en-US"/>
            </w:rPr>
            <w:instrText xml:space="preserve">" </w:instrText>
          </w:r>
          <w:r>
            <w:rPr>
              <w:sz w:val="18"/>
              <w:szCs w:val="18"/>
              <w:lang w:val="en-US"/>
            </w:rPr>
            <w:fldChar w:fldCharType="separate"/>
          </w:r>
          <w:r w:rsidRPr="00C076CC">
            <w:rPr>
              <w:rStyle w:val="Hyperlink"/>
              <w:sz w:val="18"/>
              <w:szCs w:val="18"/>
              <w:lang w:val="en-US"/>
            </w:rPr>
            <w:t>cosmas.zavazava@itu.int</w:t>
          </w:r>
          <w:r>
            <w:rPr>
              <w:sz w:val="18"/>
              <w:szCs w:val="18"/>
              <w:lang w:val="en-US"/>
            </w:rPr>
            <w:fldChar w:fldCharType="end"/>
          </w:r>
        </w:p>
      </w:tc>
    </w:tr>
  </w:tbl>
  <w:p w14:paraId="46EC730D" w14:textId="1016FA69" w:rsidR="006E4AB3" w:rsidRPr="006E4AB3" w:rsidRDefault="00891647" w:rsidP="00B865FB">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C670F6">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1004" w14:textId="77777777" w:rsidR="00891974" w:rsidRDefault="00891974" w:rsidP="0088106F">
      <w:r>
        <w:separator/>
      </w:r>
    </w:p>
  </w:footnote>
  <w:footnote w:type="continuationSeparator" w:id="0">
    <w:p w14:paraId="7C50C968" w14:textId="77777777" w:rsidR="00891974" w:rsidRDefault="00891974"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DAA" w14:textId="2D6566B4"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416576" w:rsidRPr="00416576">
      <w:rPr>
        <w:rFonts w:ascii="Calibri" w:hAnsi="Calibri"/>
        <w:sz w:val="22"/>
        <w:szCs w:val="22"/>
        <w:lang w:val="de-CH"/>
      </w:rPr>
      <w:t>TDAG-21/2/</w:t>
    </w:r>
    <w:r w:rsidR="00B865FB">
      <w:rPr>
        <w:rFonts w:ascii="Calibri" w:hAnsi="Calibri"/>
        <w:sz w:val="22"/>
        <w:szCs w:val="22"/>
        <w:lang w:val="de-CH"/>
      </w:rPr>
      <w:t>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135AE"/>
    <w:rsid w:val="00033D49"/>
    <w:rsid w:val="000725A1"/>
    <w:rsid w:val="000C0AA7"/>
    <w:rsid w:val="000E7A0A"/>
    <w:rsid w:val="00155065"/>
    <w:rsid w:val="00175475"/>
    <w:rsid w:val="00194CB2"/>
    <w:rsid w:val="00213302"/>
    <w:rsid w:val="00221C14"/>
    <w:rsid w:val="00225D2E"/>
    <w:rsid w:val="0023456F"/>
    <w:rsid w:val="00241CB9"/>
    <w:rsid w:val="00280273"/>
    <w:rsid w:val="002A7FAB"/>
    <w:rsid w:val="002D1D36"/>
    <w:rsid w:val="002D4BE6"/>
    <w:rsid w:val="002D6772"/>
    <w:rsid w:val="002F7F49"/>
    <w:rsid w:val="00302736"/>
    <w:rsid w:val="0033649F"/>
    <w:rsid w:val="00347F68"/>
    <w:rsid w:val="00360762"/>
    <w:rsid w:val="00390391"/>
    <w:rsid w:val="003B02B0"/>
    <w:rsid w:val="003D4CFB"/>
    <w:rsid w:val="00416576"/>
    <w:rsid w:val="00482632"/>
    <w:rsid w:val="00492B9B"/>
    <w:rsid w:val="004B7893"/>
    <w:rsid w:val="004E7861"/>
    <w:rsid w:val="00535C50"/>
    <w:rsid w:val="005557A3"/>
    <w:rsid w:val="005637B9"/>
    <w:rsid w:val="005643DC"/>
    <w:rsid w:val="00590ECE"/>
    <w:rsid w:val="005F3DDF"/>
    <w:rsid w:val="00602B27"/>
    <w:rsid w:val="00603CC6"/>
    <w:rsid w:val="006339E7"/>
    <w:rsid w:val="00635A62"/>
    <w:rsid w:val="006E4AB3"/>
    <w:rsid w:val="006F39EB"/>
    <w:rsid w:val="00781268"/>
    <w:rsid w:val="007C3061"/>
    <w:rsid w:val="007E0737"/>
    <w:rsid w:val="007E471D"/>
    <w:rsid w:val="00835A77"/>
    <w:rsid w:val="008430E5"/>
    <w:rsid w:val="0086435F"/>
    <w:rsid w:val="0088106F"/>
    <w:rsid w:val="00891647"/>
    <w:rsid w:val="00891974"/>
    <w:rsid w:val="008C1852"/>
    <w:rsid w:val="008D2AF6"/>
    <w:rsid w:val="008D789A"/>
    <w:rsid w:val="00917B12"/>
    <w:rsid w:val="009752D2"/>
    <w:rsid w:val="00991B13"/>
    <w:rsid w:val="009952F6"/>
    <w:rsid w:val="009A6FC4"/>
    <w:rsid w:val="009D1BD4"/>
    <w:rsid w:val="009E2192"/>
    <w:rsid w:val="00A12EF9"/>
    <w:rsid w:val="00A33516"/>
    <w:rsid w:val="00A87DD9"/>
    <w:rsid w:val="00AA076A"/>
    <w:rsid w:val="00AB05CA"/>
    <w:rsid w:val="00AE1BA7"/>
    <w:rsid w:val="00AF563E"/>
    <w:rsid w:val="00B411A7"/>
    <w:rsid w:val="00B865FB"/>
    <w:rsid w:val="00BA199F"/>
    <w:rsid w:val="00BC7208"/>
    <w:rsid w:val="00BC7334"/>
    <w:rsid w:val="00C25DA5"/>
    <w:rsid w:val="00C670F6"/>
    <w:rsid w:val="00C85582"/>
    <w:rsid w:val="00C90D1D"/>
    <w:rsid w:val="00CB277B"/>
    <w:rsid w:val="00D16175"/>
    <w:rsid w:val="00D372A5"/>
    <w:rsid w:val="00DA3FD2"/>
    <w:rsid w:val="00E17138"/>
    <w:rsid w:val="00E204A0"/>
    <w:rsid w:val="00E27B33"/>
    <w:rsid w:val="00E30F06"/>
    <w:rsid w:val="00E3519F"/>
    <w:rsid w:val="00E51C72"/>
    <w:rsid w:val="00E650BD"/>
    <w:rsid w:val="00E73628"/>
    <w:rsid w:val="00E827C2"/>
    <w:rsid w:val="00EB6D19"/>
    <w:rsid w:val="00ED2681"/>
    <w:rsid w:val="00F01E28"/>
    <w:rsid w:val="00F12690"/>
    <w:rsid w:val="00F5741F"/>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B865FB"/>
    <w:rPr>
      <w:color w:val="605E5C"/>
      <w:shd w:val="clear" w:color="auto" w:fill="E1DFDD"/>
    </w:rPr>
  </w:style>
  <w:style w:type="paragraph" w:customStyle="1" w:styleId="Figure">
    <w:name w:val="Figure"/>
    <w:basedOn w:val="Normal"/>
    <w:next w:val="Figuretitle"/>
    <w:rsid w:val="00280273"/>
    <w:pPr>
      <w:keepNext/>
      <w:keepLines/>
      <w:tabs>
        <w:tab w:val="clear" w:pos="794"/>
        <w:tab w:val="clear" w:pos="1191"/>
        <w:tab w:val="clear" w:pos="1588"/>
        <w:tab w:val="clear" w:pos="1985"/>
        <w:tab w:val="left" w:pos="1134"/>
        <w:tab w:val="left" w:pos="1871"/>
        <w:tab w:val="left" w:pos="2268"/>
      </w:tabs>
      <w:jc w:val="center"/>
    </w:pPr>
    <w:rPr>
      <w:rFonts w:ascii="Times New Roman" w:hAnsi="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GB" sz="1100" b="1">
                <a:solidFill>
                  <a:schemeClr val="tx1">
                    <a:lumMod val="65000"/>
                    <a:lumOff val="35000"/>
                  </a:schemeClr>
                </a:solidFill>
              </a:rPr>
              <a:t>Acuerdos firmados por región</a:t>
            </a:r>
            <a:endParaRPr lang="en-GB" sz="1100" b="1" baseline="0">
              <a:solidFill>
                <a:schemeClr val="tx1">
                  <a:lumMod val="65000"/>
                  <a:lumOff val="35000"/>
                </a:schemeClr>
              </a:solidFill>
            </a:endParaRPr>
          </a:p>
          <a:p>
            <a:pPr>
              <a:defRPr sz="1100" b="1"/>
            </a:pPr>
            <a:r>
              <a:rPr lang="en-GB" sz="1100" b="1" baseline="0">
                <a:solidFill>
                  <a:schemeClr val="tx1">
                    <a:lumMod val="65000"/>
                    <a:lumOff val="35000"/>
                  </a:schemeClr>
                </a:solidFill>
              </a:rPr>
              <a:t>(1 de enero </a:t>
            </a:r>
            <a:r>
              <a:rPr lang="es-ES" sz="1100" b="1" i="0" u="none" strike="noStrike" baseline="0">
                <a:effectLst/>
              </a:rPr>
              <a:t>–</a:t>
            </a:r>
            <a:r>
              <a:rPr lang="en-GB" sz="1100" b="1" baseline="0">
                <a:solidFill>
                  <a:schemeClr val="tx1">
                    <a:lumMod val="65000"/>
                    <a:lumOff val="35000"/>
                  </a:schemeClr>
                </a:solidFill>
              </a:rPr>
              <a:t> 31 de agosto de 2021)</a:t>
            </a:r>
            <a:endParaRPr lang="en-GB" sz="1100"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237465295696389"/>
          <c:y val="0.21264373023567681"/>
          <c:w val="0.32115644635329677"/>
          <c:h val="0.629304023993548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FF-43F2-B241-D5C1E9D3E3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FF-43F2-B241-D5C1E9D3E3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FF-43F2-B241-D5C1E9D3E3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FF-43F2-B241-D5C1E9D3E3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1FF-43F2-B241-D5C1E9D3E3A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1FF-43F2-B241-D5C1E9D3E3A8}"/>
              </c:ext>
            </c:extLst>
          </c:dPt>
          <c:dLbls>
            <c:dLbl>
              <c:idx val="0"/>
              <c:tx>
                <c:rich>
                  <a:bodyPr/>
                  <a:lstStyle/>
                  <a:p>
                    <a:r>
                      <a:rPr lang="en-US"/>
                      <a:t>África</a:t>
                    </a:r>
                    <a:endParaRPr lang="en-US" baseline="0"/>
                  </a:p>
                  <a:p>
                    <a:fld id="{3190F70B-1E42-45A4-BC5C-56A47AE73C4D}" type="VALUE">
                      <a:rPr lang="en-US" baseline="0"/>
                      <a:pPr/>
                      <a:t>[VALUE]</a:t>
                    </a:fld>
                    <a:endParaRPr lang="en-US"/>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1FF-43F2-B241-D5C1E9D3E3A8}"/>
                </c:ext>
              </c:extLst>
            </c:dLbl>
            <c:dLbl>
              <c:idx val="1"/>
              <c:layout>
                <c:manualLayout>
                  <c:x val="3.6255065045851992E-2"/>
                  <c:y val="-1.284796573875803E-2"/>
                </c:manualLayout>
              </c:layout>
              <c:tx>
                <c:rich>
                  <a:bodyPr/>
                  <a:lstStyle/>
                  <a:p>
                    <a:r>
                      <a:rPr lang="en-US"/>
                      <a:t>Américas</a:t>
                    </a:r>
                    <a:endParaRPr lang="en-US" baseline="0"/>
                  </a:p>
                  <a:p>
                    <a:fld id="{D96CC4CA-6F61-450B-9DAA-3A9BE9129F58}" type="VALUE">
                      <a:rPr lang="en-US" baseline="0"/>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1FF-43F2-B241-D5C1E9D3E3A8}"/>
                </c:ext>
              </c:extLst>
            </c:dLbl>
            <c:dLbl>
              <c:idx val="2"/>
              <c:layout>
                <c:manualLayout>
                  <c:x val="2.7724461505651526E-2"/>
                  <c:y val="1.284796573875803E-2"/>
                </c:manualLayout>
              </c:layout>
              <c:tx>
                <c:rich>
                  <a:bodyPr/>
                  <a:lstStyle/>
                  <a:p>
                    <a:r>
                      <a:rPr lang="en-US"/>
                      <a:t>Estados Árabes</a:t>
                    </a:r>
                    <a:endParaRPr lang="en-US" baseline="0"/>
                  </a:p>
                  <a:p>
                    <a:fld id="{D90C4D48-4B95-490B-A7DF-20B42422D193}" type="VALUE">
                      <a:rPr lang="en-US" baseline="0"/>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1FF-43F2-B241-D5C1E9D3E3A8}"/>
                </c:ext>
              </c:extLst>
            </c:dLbl>
            <c:dLbl>
              <c:idx val="3"/>
              <c:tx>
                <c:rich>
                  <a:bodyPr/>
                  <a:lstStyle/>
                  <a:p>
                    <a:r>
                      <a:rPr lang="en-US"/>
                      <a:t>Asia-Pacífico</a:t>
                    </a:r>
                  </a:p>
                  <a:p>
                    <a:fld id="{7DDE17A1-36F9-4AAB-BE7E-164C8E24B339}" type="VALUE">
                      <a:rPr lang="en-US" baseline="0"/>
                      <a:pPr/>
                      <a:t>[VALUE]</a:t>
                    </a:fld>
                    <a:endParaRPr lang="en-US"/>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1FF-43F2-B241-D5C1E9D3E3A8}"/>
                </c:ext>
              </c:extLst>
            </c:dLbl>
            <c:dLbl>
              <c:idx val="4"/>
              <c:layout>
                <c:manualLayout>
                  <c:x val="-6.1846875666453444E-2"/>
                  <c:y val="-6.8522483940042747E-2"/>
                </c:manualLayout>
              </c:layout>
              <c:tx>
                <c:rich>
                  <a:bodyPr/>
                  <a:lstStyle/>
                  <a:p>
                    <a:r>
                      <a:rPr lang="en-US" baseline="0"/>
                      <a:t>Europa</a:t>
                    </a:r>
                  </a:p>
                  <a:p>
                    <a:fld id="{50FC3429-8A74-4B1A-B66C-80EDBE2A0DE5}" type="VALUE">
                      <a:rPr lang="en-US" baseline="0"/>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1FF-43F2-B241-D5C1E9D3E3A8}"/>
                </c:ext>
              </c:extLst>
            </c:dLbl>
            <c:dLbl>
              <c:idx val="5"/>
              <c:tx>
                <c:rich>
                  <a:bodyPr/>
                  <a:lstStyle/>
                  <a:p>
                    <a:r>
                      <a:rPr lang="en-US"/>
                      <a:t>Multirregiones</a:t>
                    </a:r>
                  </a:p>
                  <a:p>
                    <a:fld id="{B26870C0-9D74-4E3E-B85D-8B2606616392}" type="VALUE">
                      <a:rPr lang="en-US" baseline="0"/>
                      <a:pPr/>
                      <a:t>[VALUE]</a:t>
                    </a:fld>
                    <a:endParaRPr lang="en-US"/>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1FF-43F2-B241-D5C1E9D3E3A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regions!$F$42:$F$47</c:f>
              <c:strCache>
                <c:ptCount val="6"/>
                <c:pt idx="0">
                  <c:v>Africa</c:v>
                </c:pt>
                <c:pt idx="1">
                  <c:v>Americas</c:v>
                </c:pt>
                <c:pt idx="2">
                  <c:v>Arab States</c:v>
                </c:pt>
                <c:pt idx="3">
                  <c:v>Asia-Pacific</c:v>
                </c:pt>
                <c:pt idx="4">
                  <c:v>Europe</c:v>
                </c:pt>
                <c:pt idx="5">
                  <c:v>Multi-regions</c:v>
                </c:pt>
              </c:strCache>
            </c:strRef>
          </c:cat>
          <c:val>
            <c:numRef>
              <c:f>regions!$G$42:$G$47</c:f>
              <c:numCache>
                <c:formatCode>0.0%</c:formatCode>
                <c:ptCount val="6"/>
                <c:pt idx="0">
                  <c:v>0.40099751041800163</c:v>
                </c:pt>
                <c:pt idx="1">
                  <c:v>9.3549814113706498E-2</c:v>
                </c:pt>
                <c:pt idx="2">
                  <c:v>3.5248774157499212E-2</c:v>
                </c:pt>
                <c:pt idx="3">
                  <c:v>9.1316852671367604E-2</c:v>
                </c:pt>
                <c:pt idx="4">
                  <c:v>1.8949721094363525E-3</c:v>
                </c:pt>
                <c:pt idx="5">
                  <c:v>0.37699207652998873</c:v>
                </c:pt>
              </c:numCache>
            </c:numRef>
          </c:val>
          <c:extLst>
            <c:ext xmlns:c16="http://schemas.microsoft.com/office/drawing/2014/chart" uri="{C3380CC4-5D6E-409C-BE32-E72D297353CC}">
              <c16:uniqueId val="{0000000C-71FF-43F2-B241-D5C1E9D3E3A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Spanish83</cp:lastModifiedBy>
  <cp:revision>12</cp:revision>
  <dcterms:created xsi:type="dcterms:W3CDTF">2021-09-27T15:24:00Z</dcterms:created>
  <dcterms:modified xsi:type="dcterms:W3CDTF">2021-09-30T14:18:00Z</dcterms:modified>
</cp:coreProperties>
</file>