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B745B4" w14:paraId="1C20896F" w14:textId="77777777" w:rsidTr="005221A2">
        <w:trPr>
          <w:cantSplit/>
          <w:trHeight w:val="1134"/>
        </w:trPr>
        <w:tc>
          <w:tcPr>
            <w:tcW w:w="2268" w:type="dxa"/>
          </w:tcPr>
          <w:p w14:paraId="45C5ED40" w14:textId="2302CB51" w:rsidR="005221A2" w:rsidRPr="00B745B4" w:rsidRDefault="008463B6" w:rsidP="003E0D2A">
            <w:pPr>
              <w:tabs>
                <w:tab w:val="clear" w:pos="1191"/>
                <w:tab w:val="clear" w:pos="1588"/>
                <w:tab w:val="clear" w:pos="1985"/>
              </w:tabs>
              <w:spacing w:after="120"/>
              <w:ind w:left="34"/>
              <w:rPr>
                <w:b/>
                <w:bCs/>
                <w:sz w:val="32"/>
                <w:szCs w:val="32"/>
                <w:lang w:val="fr-FR"/>
              </w:rPr>
            </w:pPr>
            <w:r w:rsidRPr="00B745B4">
              <w:rPr>
                <w:lang w:val="fr-FR"/>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B745B4" w:rsidRDefault="005221A2" w:rsidP="003E0D2A">
            <w:pPr>
              <w:tabs>
                <w:tab w:val="clear" w:pos="1191"/>
                <w:tab w:val="clear" w:pos="1588"/>
                <w:tab w:val="clear" w:pos="1985"/>
              </w:tabs>
              <w:spacing w:before="280" w:after="120"/>
              <w:ind w:left="34"/>
              <w:rPr>
                <w:b/>
                <w:bCs/>
                <w:sz w:val="32"/>
                <w:szCs w:val="32"/>
                <w:lang w:val="fr-FR"/>
              </w:rPr>
            </w:pPr>
            <w:r w:rsidRPr="00B745B4">
              <w:rPr>
                <w:b/>
                <w:bCs/>
                <w:sz w:val="32"/>
                <w:szCs w:val="32"/>
                <w:lang w:val="fr-FR"/>
              </w:rPr>
              <w:t xml:space="preserve">Groupe consultatif pour le développement </w:t>
            </w:r>
            <w:r w:rsidRPr="00B745B4">
              <w:rPr>
                <w:b/>
                <w:bCs/>
                <w:sz w:val="32"/>
                <w:szCs w:val="32"/>
                <w:lang w:val="fr-FR"/>
              </w:rPr>
              <w:br/>
              <w:t>des télécommunications (GCDT)</w:t>
            </w:r>
          </w:p>
          <w:p w14:paraId="3DFE313D" w14:textId="3AA721C0" w:rsidR="005221A2" w:rsidRPr="00B745B4" w:rsidRDefault="00BE62D1" w:rsidP="003E0D2A">
            <w:pPr>
              <w:tabs>
                <w:tab w:val="clear" w:pos="1191"/>
                <w:tab w:val="clear" w:pos="1588"/>
                <w:tab w:val="clear" w:pos="1985"/>
              </w:tabs>
              <w:spacing w:before="100" w:after="120"/>
              <w:ind w:left="34"/>
              <w:rPr>
                <w:rFonts w:ascii="Verdana" w:hAnsi="Verdana"/>
                <w:sz w:val="28"/>
                <w:szCs w:val="28"/>
                <w:lang w:val="fr-FR"/>
              </w:rPr>
            </w:pPr>
            <w:r w:rsidRPr="00B745B4">
              <w:rPr>
                <w:b/>
                <w:bCs/>
                <w:sz w:val="26"/>
                <w:szCs w:val="26"/>
                <w:lang w:val="fr-FR"/>
              </w:rPr>
              <w:t>29ème réunion, virtuelle, 8-12 novembre 2021</w:t>
            </w:r>
          </w:p>
        </w:tc>
        <w:tc>
          <w:tcPr>
            <w:tcW w:w="1524" w:type="dxa"/>
          </w:tcPr>
          <w:p w14:paraId="5BB3CF32" w14:textId="2BFBE1BC" w:rsidR="005221A2" w:rsidRPr="00B745B4" w:rsidRDefault="002E38ED" w:rsidP="003E0D2A">
            <w:pPr>
              <w:spacing w:before="240"/>
              <w:ind w:right="142"/>
              <w:jc w:val="right"/>
              <w:rPr>
                <w:lang w:val="fr-FR"/>
              </w:rPr>
            </w:pPr>
            <w:r w:rsidRPr="00B745B4">
              <w:rPr>
                <w:lang w:val="fr-FR"/>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745B4" w14:paraId="27F9265D" w14:textId="77777777" w:rsidTr="005221A2">
        <w:trPr>
          <w:cantSplit/>
        </w:trPr>
        <w:tc>
          <w:tcPr>
            <w:tcW w:w="6379" w:type="dxa"/>
            <w:gridSpan w:val="2"/>
            <w:tcBorders>
              <w:top w:val="single" w:sz="12" w:space="0" w:color="auto"/>
            </w:tcBorders>
          </w:tcPr>
          <w:p w14:paraId="274519C1" w14:textId="77777777" w:rsidR="00683C32" w:rsidRPr="00B745B4" w:rsidRDefault="00683C32" w:rsidP="003E0D2A">
            <w:pPr>
              <w:spacing w:before="0"/>
              <w:rPr>
                <w:rFonts w:cs="Arial"/>
                <w:b/>
                <w:bCs/>
                <w:sz w:val="20"/>
                <w:lang w:val="fr-FR"/>
              </w:rPr>
            </w:pPr>
          </w:p>
        </w:tc>
        <w:tc>
          <w:tcPr>
            <w:tcW w:w="3509" w:type="dxa"/>
            <w:gridSpan w:val="2"/>
            <w:tcBorders>
              <w:top w:val="single" w:sz="12" w:space="0" w:color="auto"/>
            </w:tcBorders>
          </w:tcPr>
          <w:p w14:paraId="20F9BDF5" w14:textId="77777777" w:rsidR="00683C32" w:rsidRPr="00B745B4" w:rsidRDefault="00683C32" w:rsidP="003E0D2A">
            <w:pPr>
              <w:spacing w:before="0"/>
              <w:rPr>
                <w:b/>
                <w:bCs/>
                <w:sz w:val="20"/>
                <w:lang w:val="fr-FR"/>
              </w:rPr>
            </w:pPr>
          </w:p>
        </w:tc>
      </w:tr>
      <w:tr w:rsidR="00BE62D1" w:rsidRPr="00B745B4" w14:paraId="46C2A819" w14:textId="77777777" w:rsidTr="005221A2">
        <w:trPr>
          <w:cantSplit/>
        </w:trPr>
        <w:tc>
          <w:tcPr>
            <w:tcW w:w="6379" w:type="dxa"/>
            <w:gridSpan w:val="2"/>
          </w:tcPr>
          <w:p w14:paraId="1C4186C5" w14:textId="77777777" w:rsidR="00BE62D1" w:rsidRPr="00B745B4" w:rsidRDefault="00BE62D1" w:rsidP="003E0D2A">
            <w:pPr>
              <w:pStyle w:val="Committee"/>
              <w:spacing w:before="0"/>
              <w:rPr>
                <w:b w:val="0"/>
                <w:szCs w:val="24"/>
                <w:lang w:val="fr-FR"/>
              </w:rPr>
            </w:pPr>
          </w:p>
        </w:tc>
        <w:tc>
          <w:tcPr>
            <w:tcW w:w="3509" w:type="dxa"/>
            <w:gridSpan w:val="2"/>
          </w:tcPr>
          <w:p w14:paraId="18DBE3E6" w14:textId="4430453F" w:rsidR="00BE62D1" w:rsidRPr="00B745B4" w:rsidRDefault="00BE62D1" w:rsidP="003E0D2A">
            <w:pPr>
              <w:spacing w:before="0"/>
              <w:jc w:val="both"/>
              <w:rPr>
                <w:bCs/>
                <w:szCs w:val="24"/>
                <w:lang w:val="fr-FR"/>
              </w:rPr>
            </w:pPr>
            <w:r w:rsidRPr="00B745B4">
              <w:rPr>
                <w:b/>
                <w:bCs/>
                <w:lang w:val="fr-FR"/>
              </w:rPr>
              <w:t xml:space="preserve">Document </w:t>
            </w:r>
            <w:bookmarkStart w:id="0" w:name="DocRef1"/>
            <w:bookmarkEnd w:id="0"/>
            <w:r w:rsidRPr="00B745B4">
              <w:rPr>
                <w:b/>
                <w:bCs/>
                <w:lang w:val="fr-FR"/>
              </w:rPr>
              <w:t>TDAG-2</w:t>
            </w:r>
            <w:bookmarkStart w:id="1" w:name="DocNo1"/>
            <w:bookmarkEnd w:id="1"/>
            <w:r w:rsidRPr="00B745B4">
              <w:rPr>
                <w:b/>
                <w:bCs/>
                <w:lang w:val="fr-FR"/>
              </w:rPr>
              <w:t>1/2/</w:t>
            </w:r>
            <w:r w:rsidR="00CC5362" w:rsidRPr="00B745B4">
              <w:rPr>
                <w:b/>
                <w:bCs/>
                <w:lang w:val="fr-FR"/>
              </w:rPr>
              <w:t>4</w:t>
            </w:r>
            <w:r w:rsidRPr="00B745B4">
              <w:rPr>
                <w:b/>
                <w:bCs/>
                <w:lang w:val="fr-FR"/>
              </w:rPr>
              <w:t>-F</w:t>
            </w:r>
          </w:p>
        </w:tc>
      </w:tr>
      <w:tr w:rsidR="00BE62D1" w:rsidRPr="00B745B4" w14:paraId="3E4E062E" w14:textId="77777777" w:rsidTr="005221A2">
        <w:trPr>
          <w:cantSplit/>
        </w:trPr>
        <w:tc>
          <w:tcPr>
            <w:tcW w:w="6379" w:type="dxa"/>
            <w:gridSpan w:val="2"/>
          </w:tcPr>
          <w:p w14:paraId="34B7B41B" w14:textId="77777777" w:rsidR="00BE62D1" w:rsidRPr="00B745B4" w:rsidRDefault="00BE62D1" w:rsidP="003E0D2A">
            <w:pPr>
              <w:spacing w:before="0"/>
              <w:rPr>
                <w:b/>
                <w:bCs/>
                <w:smallCaps/>
                <w:szCs w:val="24"/>
                <w:lang w:val="fr-FR"/>
              </w:rPr>
            </w:pPr>
          </w:p>
        </w:tc>
        <w:tc>
          <w:tcPr>
            <w:tcW w:w="3509" w:type="dxa"/>
            <w:gridSpan w:val="2"/>
          </w:tcPr>
          <w:p w14:paraId="06852E4D" w14:textId="6E0F6B71" w:rsidR="00BE62D1" w:rsidRPr="00B745B4" w:rsidRDefault="00CC5362" w:rsidP="003E0D2A">
            <w:pPr>
              <w:spacing w:before="0"/>
              <w:rPr>
                <w:b/>
                <w:szCs w:val="24"/>
                <w:lang w:val="fr-FR"/>
              </w:rPr>
            </w:pPr>
            <w:bookmarkStart w:id="2" w:name="CreationDate"/>
            <w:bookmarkEnd w:id="2"/>
            <w:r w:rsidRPr="00B745B4">
              <w:rPr>
                <w:b/>
                <w:bCs/>
                <w:szCs w:val="28"/>
                <w:lang w:val="fr-FR"/>
              </w:rPr>
              <w:t>14 septembre</w:t>
            </w:r>
            <w:r w:rsidR="00BE62D1" w:rsidRPr="00B745B4">
              <w:rPr>
                <w:b/>
                <w:bCs/>
                <w:szCs w:val="28"/>
                <w:lang w:val="fr-FR"/>
              </w:rPr>
              <w:t xml:space="preserve"> 2021</w:t>
            </w:r>
          </w:p>
        </w:tc>
      </w:tr>
      <w:tr w:rsidR="00683C32" w:rsidRPr="00B745B4" w14:paraId="3834278A" w14:textId="77777777" w:rsidTr="005221A2">
        <w:trPr>
          <w:cantSplit/>
        </w:trPr>
        <w:tc>
          <w:tcPr>
            <w:tcW w:w="6379" w:type="dxa"/>
            <w:gridSpan w:val="2"/>
          </w:tcPr>
          <w:p w14:paraId="524FF41E" w14:textId="77777777" w:rsidR="00683C32" w:rsidRPr="00B745B4" w:rsidRDefault="00683C32" w:rsidP="003E0D2A">
            <w:pPr>
              <w:spacing w:before="0"/>
              <w:rPr>
                <w:b/>
                <w:bCs/>
                <w:smallCaps/>
                <w:szCs w:val="24"/>
                <w:lang w:val="fr-FR"/>
              </w:rPr>
            </w:pPr>
          </w:p>
        </w:tc>
        <w:tc>
          <w:tcPr>
            <w:tcW w:w="3509" w:type="dxa"/>
            <w:gridSpan w:val="2"/>
          </w:tcPr>
          <w:p w14:paraId="605501D5" w14:textId="395EB052" w:rsidR="00514D2F" w:rsidRPr="00B745B4" w:rsidRDefault="0096201B" w:rsidP="003E0D2A">
            <w:pPr>
              <w:spacing w:before="0"/>
              <w:rPr>
                <w:szCs w:val="24"/>
                <w:lang w:val="fr-FR"/>
              </w:rPr>
            </w:pPr>
            <w:r w:rsidRPr="00B745B4">
              <w:rPr>
                <w:b/>
                <w:lang w:val="fr-FR"/>
              </w:rPr>
              <w:t>Original:</w:t>
            </w:r>
            <w:bookmarkStart w:id="3" w:name="Original"/>
            <w:bookmarkEnd w:id="3"/>
            <w:r w:rsidR="00CE0422" w:rsidRPr="00B745B4">
              <w:rPr>
                <w:b/>
                <w:lang w:val="fr-FR"/>
              </w:rPr>
              <w:t xml:space="preserve"> </w:t>
            </w:r>
            <w:r w:rsidR="009B008D" w:rsidRPr="00B745B4">
              <w:rPr>
                <w:b/>
                <w:lang w:val="fr-FR"/>
              </w:rPr>
              <w:t>anglais</w:t>
            </w:r>
          </w:p>
        </w:tc>
      </w:tr>
      <w:tr w:rsidR="00A13162" w:rsidRPr="00B745B4" w14:paraId="29562115" w14:textId="77777777" w:rsidTr="00107E85">
        <w:trPr>
          <w:cantSplit/>
          <w:trHeight w:val="852"/>
        </w:trPr>
        <w:tc>
          <w:tcPr>
            <w:tcW w:w="9888" w:type="dxa"/>
            <w:gridSpan w:val="4"/>
          </w:tcPr>
          <w:p w14:paraId="43DDA6D5" w14:textId="09B23312" w:rsidR="00A13162" w:rsidRPr="00B745B4" w:rsidRDefault="00CC5362" w:rsidP="003E0D2A">
            <w:pPr>
              <w:pStyle w:val="Source"/>
              <w:rPr>
                <w:lang w:val="fr-FR"/>
              </w:rPr>
            </w:pPr>
            <w:bookmarkStart w:id="4" w:name="Source"/>
            <w:bookmarkEnd w:id="4"/>
            <w:r w:rsidRPr="00B745B4">
              <w:rPr>
                <w:lang w:val="fr-FR"/>
              </w:rPr>
              <w:t>Directrice du Bureau de développement des télécommunications</w:t>
            </w:r>
          </w:p>
        </w:tc>
      </w:tr>
      <w:tr w:rsidR="00AC6F14" w:rsidRPr="00B745B4" w14:paraId="7644819D" w14:textId="77777777" w:rsidTr="00107E85">
        <w:trPr>
          <w:cantSplit/>
        </w:trPr>
        <w:tc>
          <w:tcPr>
            <w:tcW w:w="9888" w:type="dxa"/>
            <w:gridSpan w:val="4"/>
          </w:tcPr>
          <w:p w14:paraId="683FE517" w14:textId="6F076A73" w:rsidR="00AC6F14" w:rsidRPr="00B745B4" w:rsidRDefault="00CC5362" w:rsidP="003E0D2A">
            <w:pPr>
              <w:pStyle w:val="Title1"/>
              <w:rPr>
                <w:lang w:val="fr-FR"/>
              </w:rPr>
            </w:pPr>
            <w:bookmarkStart w:id="5" w:name="Title"/>
            <w:bookmarkEnd w:id="5"/>
            <w:r w:rsidRPr="00B745B4">
              <w:rPr>
                <w:lang w:val="fr-FR"/>
              </w:rPr>
              <w:t>PARTENARIATS ET MOBILISATION DES RESSOURCES À L'UIT-D</w:t>
            </w:r>
          </w:p>
        </w:tc>
      </w:tr>
      <w:tr w:rsidR="00A721F4" w:rsidRPr="00B745B4" w14:paraId="0E912AC2" w14:textId="77777777" w:rsidTr="00A721F4">
        <w:trPr>
          <w:cantSplit/>
        </w:trPr>
        <w:tc>
          <w:tcPr>
            <w:tcW w:w="9888" w:type="dxa"/>
            <w:gridSpan w:val="4"/>
            <w:tcBorders>
              <w:bottom w:val="single" w:sz="4" w:space="0" w:color="auto"/>
            </w:tcBorders>
          </w:tcPr>
          <w:p w14:paraId="3D2D5135" w14:textId="77777777" w:rsidR="00A721F4" w:rsidRPr="00B745B4" w:rsidRDefault="00A721F4" w:rsidP="003E0D2A">
            <w:pPr>
              <w:rPr>
                <w:lang w:val="fr-FR"/>
              </w:rPr>
            </w:pPr>
          </w:p>
        </w:tc>
      </w:tr>
      <w:tr w:rsidR="00A721F4" w:rsidRPr="00B745B4"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B745B4" w:rsidRDefault="00D37A23" w:rsidP="003E0D2A">
            <w:pPr>
              <w:spacing w:after="120"/>
              <w:rPr>
                <w:b/>
                <w:bCs/>
                <w:szCs w:val="24"/>
                <w:lang w:val="fr-FR"/>
              </w:rPr>
            </w:pPr>
            <w:r w:rsidRPr="00B745B4">
              <w:rPr>
                <w:b/>
                <w:bCs/>
                <w:szCs w:val="24"/>
                <w:lang w:val="fr-FR"/>
              </w:rPr>
              <w:t>Résumé</w:t>
            </w:r>
            <w:r w:rsidR="00A721F4" w:rsidRPr="00B745B4">
              <w:rPr>
                <w:b/>
                <w:bCs/>
                <w:szCs w:val="24"/>
                <w:lang w:val="fr-FR"/>
              </w:rPr>
              <w:t>:</w:t>
            </w:r>
          </w:p>
          <w:p w14:paraId="47745426" w14:textId="6FF7AD28" w:rsidR="005221A2" w:rsidRPr="00B745B4" w:rsidRDefault="00CC5362" w:rsidP="003E0D2A">
            <w:pPr>
              <w:spacing w:after="120"/>
              <w:rPr>
                <w:szCs w:val="24"/>
                <w:lang w:val="fr-FR"/>
              </w:rPr>
            </w:pPr>
            <w:r w:rsidRPr="00B745B4">
              <w:rPr>
                <w:lang w:val="fr-FR"/>
              </w:rPr>
              <w:t>L'importance des partenariats et de la mobilisation des ressources a été soulignée par la Conférence mondiale de développement des télécommunications de 2017 (CMDT-17). Le présent document rend compte des activités relatives aux partenariats et à la mobilisation des ressources menées</w:t>
            </w:r>
            <w:r w:rsidR="00E40730" w:rsidRPr="00B745B4">
              <w:rPr>
                <w:lang w:val="fr-FR"/>
              </w:rPr>
              <w:t xml:space="preserve"> </w:t>
            </w:r>
            <w:r w:rsidR="00A91599" w:rsidRPr="00B745B4">
              <w:rPr>
                <w:lang w:val="fr-FR"/>
              </w:rPr>
              <w:t xml:space="preserve">entre le 1er avril et le 31 août et complète le rapport soumis à la réunion du GCDT tenue du 24 au 28 mai 2021 dans le Document </w:t>
            </w:r>
            <w:r w:rsidR="00A91599" w:rsidRPr="00B745B4">
              <w:rPr>
                <w:b/>
                <w:bCs/>
                <w:lang w:val="fr-FR"/>
              </w:rPr>
              <w:t>TDAG-21/7</w:t>
            </w:r>
            <w:r w:rsidR="00A91599" w:rsidRPr="00B745B4">
              <w:rPr>
                <w:lang w:val="fr-FR"/>
              </w:rPr>
              <w:t>.</w:t>
            </w:r>
          </w:p>
          <w:p w14:paraId="238E500E" w14:textId="33A88DD0" w:rsidR="00A721F4" w:rsidRPr="00B745B4" w:rsidRDefault="00D37A23" w:rsidP="003E0D2A">
            <w:pPr>
              <w:spacing w:after="120"/>
              <w:rPr>
                <w:b/>
                <w:bCs/>
                <w:szCs w:val="24"/>
                <w:lang w:val="fr-FR"/>
              </w:rPr>
            </w:pPr>
            <w:r w:rsidRPr="00B745B4">
              <w:rPr>
                <w:b/>
                <w:bCs/>
                <w:lang w:val="fr-FR"/>
              </w:rPr>
              <w:t>Suite à donner</w:t>
            </w:r>
            <w:r w:rsidR="00A721F4" w:rsidRPr="00B745B4">
              <w:rPr>
                <w:b/>
                <w:bCs/>
                <w:lang w:val="fr-FR"/>
              </w:rPr>
              <w:t>:</w:t>
            </w:r>
          </w:p>
          <w:p w14:paraId="1032B5F3" w14:textId="1E192399" w:rsidR="005221A2" w:rsidRPr="00B745B4" w:rsidRDefault="00CC5362" w:rsidP="003E0D2A">
            <w:pPr>
              <w:spacing w:after="120"/>
              <w:rPr>
                <w:szCs w:val="24"/>
                <w:lang w:val="fr-FR"/>
              </w:rPr>
            </w:pPr>
            <w:r w:rsidRPr="00B745B4">
              <w:rPr>
                <w:lang w:val="fr-FR"/>
              </w:rPr>
              <w:t>Le GCDT est invité à prendre note du présent document et à fournir les indications qu'il jugera utiles.</w:t>
            </w:r>
          </w:p>
          <w:p w14:paraId="4E7A67C4" w14:textId="318D14E2" w:rsidR="00A721F4" w:rsidRPr="00B745B4" w:rsidRDefault="00A721F4" w:rsidP="003E0D2A">
            <w:pPr>
              <w:spacing w:after="120"/>
              <w:rPr>
                <w:b/>
                <w:bCs/>
                <w:szCs w:val="24"/>
                <w:lang w:val="fr-FR"/>
              </w:rPr>
            </w:pPr>
            <w:r w:rsidRPr="00B745B4">
              <w:rPr>
                <w:b/>
                <w:bCs/>
                <w:szCs w:val="24"/>
                <w:lang w:val="fr-FR"/>
              </w:rPr>
              <w:t>R</w:t>
            </w:r>
            <w:r w:rsidR="00D37A23" w:rsidRPr="00B745B4">
              <w:rPr>
                <w:b/>
                <w:bCs/>
                <w:szCs w:val="24"/>
                <w:lang w:val="fr-FR"/>
              </w:rPr>
              <w:t>é</w:t>
            </w:r>
            <w:r w:rsidRPr="00B745B4">
              <w:rPr>
                <w:b/>
                <w:bCs/>
                <w:szCs w:val="24"/>
                <w:lang w:val="fr-FR"/>
              </w:rPr>
              <w:t>f</w:t>
            </w:r>
            <w:r w:rsidR="00D37A23" w:rsidRPr="00B745B4">
              <w:rPr>
                <w:b/>
                <w:bCs/>
                <w:szCs w:val="24"/>
                <w:lang w:val="fr-FR"/>
              </w:rPr>
              <w:t>é</w:t>
            </w:r>
            <w:r w:rsidRPr="00B745B4">
              <w:rPr>
                <w:b/>
                <w:bCs/>
                <w:szCs w:val="24"/>
                <w:lang w:val="fr-FR"/>
              </w:rPr>
              <w:t>rences:</w:t>
            </w:r>
          </w:p>
          <w:p w14:paraId="56A06020" w14:textId="77777777" w:rsidR="00CC5362" w:rsidRPr="00B745B4" w:rsidRDefault="00CC5362" w:rsidP="003E0D2A">
            <w:pPr>
              <w:spacing w:after="120"/>
              <w:rPr>
                <w:lang w:val="fr-FR"/>
              </w:rPr>
            </w:pPr>
            <w:r w:rsidRPr="00B745B4">
              <w:rPr>
                <w:lang w:val="fr-FR"/>
              </w:rPr>
              <w:t>But 5 de l'UIT.</w:t>
            </w:r>
          </w:p>
          <w:p w14:paraId="48EBB74C" w14:textId="37DF182C" w:rsidR="00A721F4" w:rsidRPr="00B745B4" w:rsidRDefault="00CC5362" w:rsidP="003E0D2A">
            <w:pPr>
              <w:spacing w:after="120"/>
              <w:rPr>
                <w:lang w:val="fr-FR"/>
              </w:rPr>
            </w:pPr>
            <w:r w:rsidRPr="00B745B4">
              <w:rPr>
                <w:lang w:val="fr-FR"/>
              </w:rPr>
              <w:t>Plan d'action de Buenos Aires, section 4.5 du Rapport final de la CMDT-17</w:t>
            </w:r>
            <w:r w:rsidR="001B081A" w:rsidRPr="00B745B4">
              <w:rPr>
                <w:lang w:val="fr-FR"/>
              </w:rPr>
              <w:t xml:space="preserve">, </w:t>
            </w:r>
            <w:r w:rsidRPr="00B745B4">
              <w:rPr>
                <w:lang w:val="fr-FR"/>
              </w:rPr>
              <w:t>Résolutions 17 (Rév.Buenos Aires, 2017) et 71 (Rév.Buenos Aires, 2017) de la CMDT.</w:t>
            </w:r>
          </w:p>
        </w:tc>
      </w:tr>
    </w:tbl>
    <w:p w14:paraId="54B2E332" w14:textId="64BD3458" w:rsidR="00D24347" w:rsidRPr="00B745B4" w:rsidRDefault="00D24347" w:rsidP="003E0D2A">
      <w:pPr>
        <w:spacing w:before="240"/>
        <w:rPr>
          <w:lang w:val="fr-FR"/>
        </w:rPr>
      </w:pPr>
      <w:r w:rsidRPr="00B745B4">
        <w:rPr>
          <w:lang w:val="fr-FR"/>
        </w:rPr>
        <w:br w:type="page"/>
      </w:r>
    </w:p>
    <w:p w14:paraId="352ADB02" w14:textId="77777777" w:rsidR="00CC5362" w:rsidRPr="00B745B4" w:rsidRDefault="00CC5362" w:rsidP="003E0D2A">
      <w:pPr>
        <w:pStyle w:val="Heading1"/>
        <w:rPr>
          <w:sz w:val="24"/>
          <w:szCs w:val="24"/>
          <w:lang w:val="fr-FR"/>
        </w:rPr>
      </w:pPr>
      <w:r w:rsidRPr="00B745B4">
        <w:rPr>
          <w:sz w:val="24"/>
          <w:szCs w:val="24"/>
          <w:lang w:val="fr-FR"/>
        </w:rPr>
        <w:lastRenderedPageBreak/>
        <w:t>1</w:t>
      </w:r>
      <w:r w:rsidRPr="00B745B4">
        <w:rPr>
          <w:sz w:val="24"/>
          <w:szCs w:val="24"/>
          <w:lang w:val="fr-FR"/>
        </w:rPr>
        <w:tab/>
        <w:t>Rappel</w:t>
      </w:r>
    </w:p>
    <w:p w14:paraId="4820A156" w14:textId="77777777" w:rsidR="00CC5362" w:rsidRPr="00B745B4" w:rsidRDefault="00CC5362" w:rsidP="003E0D2A">
      <w:pPr>
        <w:rPr>
          <w:lang w:val="fr-FR"/>
        </w:rPr>
      </w:pPr>
      <w:r w:rsidRPr="00B745B4">
        <w:rPr>
          <w:lang w:val="fr-FR"/>
        </w:rPr>
        <w:t>La Conférence mondiale de développement des télécommunications de 2017 (CMDT-17) a mis en lumière l'importance des partenariats et de la mobilisation des ressources pour appuyer la mise en œuvre du Plan d'action de Buenos Aires, des grandes orientations du SMSI et des Objectifs de développement durable (ODD).</w:t>
      </w:r>
    </w:p>
    <w:p w14:paraId="26DA3044" w14:textId="77777777" w:rsidR="00CC5362" w:rsidRPr="00B745B4" w:rsidRDefault="00CC5362" w:rsidP="003E0D2A">
      <w:pPr>
        <w:rPr>
          <w:lang w:val="fr-FR"/>
        </w:rPr>
      </w:pPr>
      <w:r w:rsidRPr="00B745B4">
        <w:rPr>
          <w:lang w:val="fr-FR"/>
        </w:rPr>
        <w:t>Comme indiqué dans le Plan d'action de la CMDT-17, les programmes et les initiatives régionales devraient, autant que faire se peut, être mis en œuvre en partenariat avec un large éventail de parties prenantes. Aux termes de la Résolution 17 (Rév.Buenos Aires, 2017), le BDT doit continuer de conclure activement des partenariats avec des États Membres, des Membres du Secteur de l'UIT-D et des institutions de financement, ainsi qu'avec des organisations internationales, afin de financer les activités de mise en œuvre des initiatives régionales. Toujours aux termes de cette Résolution, il est demandé aux organisations ou organismes internationaux de financement, aux équipementiers ainsi qu'aux opérateurs/fournisseurs de services, de contribuer, en partie ou en totalité, au financement de ces initiatives approuvées au niveau régional.</w:t>
      </w:r>
    </w:p>
    <w:p w14:paraId="1B7A7A3F" w14:textId="77777777" w:rsidR="00CC5362" w:rsidRPr="00B745B4" w:rsidRDefault="00CC5362" w:rsidP="003E0D2A">
      <w:pPr>
        <w:pStyle w:val="Heading1"/>
        <w:rPr>
          <w:sz w:val="24"/>
          <w:szCs w:val="24"/>
          <w:lang w:val="fr-FR"/>
        </w:rPr>
      </w:pPr>
      <w:r w:rsidRPr="00B745B4">
        <w:rPr>
          <w:sz w:val="24"/>
          <w:szCs w:val="24"/>
          <w:lang w:val="fr-FR"/>
        </w:rPr>
        <w:t>2</w:t>
      </w:r>
      <w:r w:rsidRPr="00B745B4">
        <w:rPr>
          <w:sz w:val="24"/>
          <w:szCs w:val="24"/>
          <w:lang w:val="fr-FR"/>
        </w:rPr>
        <w:tab/>
        <w:t>Objectif stratégique des partenariats et de la mobilisation des ressources à l'UIT-D</w:t>
      </w:r>
    </w:p>
    <w:p w14:paraId="44B078AF" w14:textId="77777777" w:rsidR="00CC5362" w:rsidRPr="00B745B4" w:rsidRDefault="00CC5362" w:rsidP="003E0D2A">
      <w:pPr>
        <w:rPr>
          <w:lang w:val="fr-FR"/>
        </w:rPr>
      </w:pPr>
      <w:r w:rsidRPr="00B745B4">
        <w:rPr>
          <w:lang w:val="fr-FR"/>
        </w:rPr>
        <w:t>Conformément aux résultats de la CMDT-17, l'objectif est de faciliter, de développer et de renforcer la collaboration avec le plus large éventail possible de partenaires des pays développés comme des pays en développement, afin de mobiliser davantage de ressources pour mettre en œuvre les programmes et les initiatives régionales en vue de parvenir au développement durable.</w:t>
      </w:r>
    </w:p>
    <w:p w14:paraId="4112BB73" w14:textId="1020B60A" w:rsidR="00CC5362" w:rsidRPr="00B745B4" w:rsidRDefault="00CC5362" w:rsidP="003E0D2A">
      <w:pPr>
        <w:pStyle w:val="Heading1"/>
        <w:rPr>
          <w:sz w:val="24"/>
          <w:szCs w:val="24"/>
          <w:lang w:val="fr-FR"/>
        </w:rPr>
      </w:pPr>
      <w:r w:rsidRPr="00B745B4">
        <w:rPr>
          <w:sz w:val="24"/>
          <w:szCs w:val="24"/>
          <w:lang w:val="fr-FR"/>
        </w:rPr>
        <w:t>3</w:t>
      </w:r>
      <w:r w:rsidRPr="00B745B4">
        <w:rPr>
          <w:sz w:val="24"/>
          <w:szCs w:val="24"/>
          <w:lang w:val="fr-FR"/>
        </w:rPr>
        <w:tab/>
        <w:t>Partenariats et de mobilisation des ressources</w:t>
      </w:r>
    </w:p>
    <w:p w14:paraId="339E7010" w14:textId="27ABD2A0" w:rsidR="00CC5362" w:rsidRPr="00B745B4" w:rsidRDefault="00E40730" w:rsidP="003E0D2A">
      <w:pPr>
        <w:rPr>
          <w:lang w:val="fr-FR"/>
        </w:rPr>
      </w:pPr>
      <w:r w:rsidRPr="00B745B4">
        <w:rPr>
          <w:lang w:val="fr-FR"/>
        </w:rPr>
        <w:t xml:space="preserve">Entre le 1er avril et le 31 août 2021, </w:t>
      </w:r>
      <w:r w:rsidR="00CC5362" w:rsidRPr="00B745B4">
        <w:rPr>
          <w:lang w:val="fr-FR"/>
        </w:rPr>
        <w:t xml:space="preserve">le BDT a signé </w:t>
      </w:r>
      <w:r w:rsidRPr="00B745B4">
        <w:rPr>
          <w:lang w:val="fr-FR"/>
        </w:rPr>
        <w:t>27</w:t>
      </w:r>
      <w:r w:rsidR="00CC5362" w:rsidRPr="00B745B4">
        <w:rPr>
          <w:lang w:val="fr-FR"/>
        </w:rPr>
        <w:t xml:space="preserve"> accords</w:t>
      </w:r>
      <w:r w:rsidRPr="00B745B4">
        <w:rPr>
          <w:lang w:val="fr-FR"/>
        </w:rPr>
        <w:t>,</w:t>
      </w:r>
      <w:r w:rsidR="00CC5362" w:rsidRPr="00B745B4">
        <w:rPr>
          <w:lang w:val="fr-FR"/>
        </w:rPr>
        <w:t xml:space="preserve"> </w:t>
      </w:r>
      <w:r w:rsidRPr="00B745B4">
        <w:rPr>
          <w:lang w:val="fr-FR"/>
        </w:rPr>
        <w:t>20</w:t>
      </w:r>
      <w:r w:rsidR="00CC5362" w:rsidRPr="00B745B4">
        <w:rPr>
          <w:lang w:val="fr-FR"/>
        </w:rPr>
        <w:t xml:space="preserve"> d'entre eux prévoient des contributions financières, dont le montant s'élève à environ </w:t>
      </w:r>
      <w:r w:rsidRPr="00B745B4">
        <w:rPr>
          <w:lang w:val="fr-FR"/>
        </w:rPr>
        <w:t>5,7</w:t>
      </w:r>
      <w:r w:rsidR="00CC5362" w:rsidRPr="00B745B4">
        <w:rPr>
          <w:lang w:val="fr-FR"/>
        </w:rPr>
        <w:t xml:space="preserve"> millions USD</w:t>
      </w:r>
      <w:r w:rsidRPr="00B745B4">
        <w:rPr>
          <w:lang w:val="fr-FR"/>
        </w:rPr>
        <w:t xml:space="preserve"> (</w:t>
      </w:r>
      <w:r w:rsidR="00E02C81" w:rsidRPr="00B745B4">
        <w:rPr>
          <w:lang w:val="fr-FR"/>
        </w:rPr>
        <w:t xml:space="preserve">financés conjointement par les partenaires (73%) et l'UIT (27%)). </w:t>
      </w:r>
      <w:r w:rsidR="00CC5362" w:rsidRPr="00B745B4">
        <w:rPr>
          <w:lang w:val="fr-FR"/>
        </w:rPr>
        <w:t xml:space="preserve">La liste de ces accords est disponible dans le </w:t>
      </w:r>
      <w:r w:rsidR="00982F21" w:rsidRPr="00B745B4">
        <w:rPr>
          <w:lang w:val="fr-FR"/>
        </w:rPr>
        <w:t>Document TDAG</w:t>
      </w:r>
      <w:r w:rsidR="00982F21" w:rsidRPr="00B745B4">
        <w:rPr>
          <w:lang w:val="fr-FR"/>
        </w:rPr>
        <w:noBreakHyphen/>
        <w:t>21/2/INF/2</w:t>
      </w:r>
      <w:r w:rsidR="00CC5362" w:rsidRPr="00B745B4">
        <w:rPr>
          <w:bCs/>
          <w:lang w:val="fr-FR"/>
        </w:rPr>
        <w:t>.</w:t>
      </w:r>
    </w:p>
    <w:p w14:paraId="617880A5" w14:textId="01CADED5" w:rsidR="00CC5362" w:rsidRPr="00B745B4" w:rsidRDefault="00982F21" w:rsidP="003E0D2A">
      <w:pPr>
        <w:rPr>
          <w:lang w:val="fr-FR"/>
        </w:rPr>
      </w:pPr>
      <w:r w:rsidRPr="00B745B4">
        <w:rPr>
          <w:lang w:val="fr-FR"/>
        </w:rPr>
        <w:t>L</w:t>
      </w:r>
      <w:r w:rsidR="00CC5362" w:rsidRPr="00B745B4">
        <w:rPr>
          <w:lang w:val="fr-FR"/>
        </w:rPr>
        <w:t>es principaux partenaires de financement du BDT étaient les États Membres de l'UIT et d'autres entités gouvernementales</w:t>
      </w:r>
      <w:r w:rsidR="00E02C81" w:rsidRPr="00B745B4">
        <w:rPr>
          <w:lang w:val="fr-FR"/>
        </w:rPr>
        <w:t xml:space="preserve"> (35,3%)</w:t>
      </w:r>
      <w:r w:rsidR="00CC5362" w:rsidRPr="00B745B4">
        <w:rPr>
          <w:lang w:val="fr-FR"/>
        </w:rPr>
        <w:t xml:space="preserve">, les organisations </w:t>
      </w:r>
      <w:r w:rsidR="00E02C81" w:rsidRPr="00B745B4">
        <w:rPr>
          <w:lang w:val="fr-FR"/>
        </w:rPr>
        <w:t>internationales et régionales (34%)</w:t>
      </w:r>
      <w:r w:rsidR="00CC5362" w:rsidRPr="00B745B4">
        <w:rPr>
          <w:lang w:val="fr-FR"/>
        </w:rPr>
        <w:t xml:space="preserve"> et les entités du secteur privé</w:t>
      </w:r>
      <w:r w:rsidR="00E02C81" w:rsidRPr="00B745B4">
        <w:rPr>
          <w:lang w:val="fr-FR"/>
        </w:rPr>
        <w:t xml:space="preserve"> (28%).</w:t>
      </w:r>
    </w:p>
    <w:p w14:paraId="0ACDE52D" w14:textId="17661BE8" w:rsidR="00CC5362" w:rsidRPr="00B745B4" w:rsidRDefault="00CC5362" w:rsidP="003E0D2A">
      <w:pPr>
        <w:rPr>
          <w:lang w:val="fr-FR"/>
        </w:rPr>
      </w:pPr>
      <w:r w:rsidRPr="00B745B4">
        <w:rPr>
          <w:lang w:val="fr-FR"/>
        </w:rPr>
        <w:t xml:space="preserve">Durant </w:t>
      </w:r>
      <w:r w:rsidR="00E02C81" w:rsidRPr="00B745B4">
        <w:rPr>
          <w:lang w:val="fr-FR"/>
        </w:rPr>
        <w:t>la période considérée</w:t>
      </w:r>
      <w:r w:rsidRPr="00B745B4">
        <w:rPr>
          <w:lang w:val="fr-FR"/>
        </w:rPr>
        <w:t>, les contributions financières les plus élevées provenaient des trois</w:t>
      </w:r>
      <w:r w:rsidR="003E0D2A" w:rsidRPr="00B745B4">
        <w:rPr>
          <w:lang w:val="fr-FR"/>
        </w:rPr>
        <w:t> </w:t>
      </w:r>
      <w:r w:rsidRPr="00B745B4">
        <w:rPr>
          <w:lang w:val="fr-FR"/>
        </w:rPr>
        <w:t>partenaires de financement suivants:</w:t>
      </w:r>
    </w:p>
    <w:p w14:paraId="654CA596" w14:textId="267A7309" w:rsidR="00982F21" w:rsidRPr="00B745B4" w:rsidRDefault="00982F21" w:rsidP="003E0D2A">
      <w:pPr>
        <w:pStyle w:val="enumlev1"/>
        <w:rPr>
          <w:lang w:val="fr-FR"/>
        </w:rPr>
      </w:pPr>
      <w:r w:rsidRPr="00B745B4">
        <w:rPr>
          <w:lang w:val="fr-FR"/>
        </w:rPr>
        <w:t>–</w:t>
      </w:r>
      <w:r w:rsidRPr="00B745B4">
        <w:rPr>
          <w:lang w:val="fr-FR"/>
        </w:rPr>
        <w:tab/>
        <w:t xml:space="preserve">Cellule </w:t>
      </w:r>
      <w:r w:rsidR="00E02C81" w:rsidRPr="00B745B4">
        <w:rPr>
          <w:lang w:val="fr-FR"/>
        </w:rPr>
        <w:t>d</w:t>
      </w:r>
      <w:r w:rsidR="003E0D2A" w:rsidRPr="00B745B4">
        <w:rPr>
          <w:lang w:val="fr-FR"/>
        </w:rPr>
        <w:t>'</w:t>
      </w:r>
      <w:r w:rsidRPr="00B745B4">
        <w:rPr>
          <w:lang w:val="fr-FR"/>
        </w:rPr>
        <w:t>appui à l</w:t>
      </w:r>
      <w:r w:rsidR="003E0D2A" w:rsidRPr="00B745B4">
        <w:rPr>
          <w:lang w:val="fr-FR"/>
        </w:rPr>
        <w:t>'</w:t>
      </w:r>
      <w:r w:rsidRPr="00B745B4">
        <w:rPr>
          <w:lang w:val="fr-FR"/>
        </w:rPr>
        <w:t xml:space="preserve">Ordonnateur </w:t>
      </w:r>
      <w:r w:rsidR="00E02C81" w:rsidRPr="00B745B4">
        <w:rPr>
          <w:lang w:val="fr-FR"/>
        </w:rPr>
        <w:t>n</w:t>
      </w:r>
      <w:r w:rsidRPr="00B745B4">
        <w:rPr>
          <w:lang w:val="fr-FR"/>
        </w:rPr>
        <w:t xml:space="preserve">ational du Fonds </w:t>
      </w:r>
      <w:r w:rsidR="00E02C81" w:rsidRPr="00B745B4">
        <w:rPr>
          <w:lang w:val="fr-FR"/>
        </w:rPr>
        <w:t>e</w:t>
      </w:r>
      <w:r w:rsidRPr="00B745B4">
        <w:rPr>
          <w:lang w:val="fr-FR"/>
        </w:rPr>
        <w:t xml:space="preserve">uropéen de </w:t>
      </w:r>
      <w:r w:rsidR="00E02C81" w:rsidRPr="00B745B4">
        <w:rPr>
          <w:lang w:val="fr-FR"/>
        </w:rPr>
        <w:t>d</w:t>
      </w:r>
      <w:r w:rsidRPr="00B745B4">
        <w:rPr>
          <w:lang w:val="fr-FR"/>
        </w:rPr>
        <w:t>éveloppement (COFED), R</w:t>
      </w:r>
      <w:r w:rsidR="00E02C81" w:rsidRPr="00B745B4">
        <w:rPr>
          <w:lang w:val="fr-FR"/>
        </w:rPr>
        <w:t>é</w:t>
      </w:r>
      <w:r w:rsidRPr="00B745B4">
        <w:rPr>
          <w:lang w:val="fr-FR"/>
        </w:rPr>
        <w:t xml:space="preserve">p. </w:t>
      </w:r>
      <w:r w:rsidR="00E02C81" w:rsidRPr="00B745B4">
        <w:rPr>
          <w:lang w:val="fr-FR"/>
        </w:rPr>
        <w:t>dém. du</w:t>
      </w:r>
      <w:r w:rsidRPr="00B745B4">
        <w:rPr>
          <w:lang w:val="fr-FR"/>
        </w:rPr>
        <w:t xml:space="preserve"> Congo/Délégation de l</w:t>
      </w:r>
      <w:r w:rsidR="003E0D2A" w:rsidRPr="00B745B4">
        <w:rPr>
          <w:lang w:val="fr-FR"/>
        </w:rPr>
        <w:t>'</w:t>
      </w:r>
      <w:r w:rsidRPr="00B745B4">
        <w:rPr>
          <w:lang w:val="fr-FR"/>
        </w:rPr>
        <w:t xml:space="preserve">Union Européenne, </w:t>
      </w:r>
      <w:r w:rsidR="00E02C81" w:rsidRPr="00B745B4">
        <w:rPr>
          <w:lang w:val="fr-FR"/>
        </w:rPr>
        <w:t>Rép. dém. du Congo</w:t>
      </w:r>
      <w:r w:rsidRPr="00B745B4">
        <w:rPr>
          <w:lang w:val="fr-FR"/>
        </w:rPr>
        <w:t>, qui s'est engagé à verser une contribution financière de 1,2 million</w:t>
      </w:r>
      <w:r w:rsidR="00E02C81" w:rsidRPr="00B745B4">
        <w:rPr>
          <w:lang w:val="fr-FR"/>
        </w:rPr>
        <w:t xml:space="preserve"> USD</w:t>
      </w:r>
      <w:r w:rsidRPr="00B745B4">
        <w:rPr>
          <w:lang w:val="fr-FR"/>
        </w:rPr>
        <w:t>.</w:t>
      </w:r>
    </w:p>
    <w:p w14:paraId="487965A0" w14:textId="02C46D65" w:rsidR="00982F21" w:rsidRPr="00B745B4" w:rsidRDefault="00982F21" w:rsidP="003E0D2A">
      <w:pPr>
        <w:pStyle w:val="enumlev1"/>
        <w:rPr>
          <w:lang w:val="fr-FR"/>
        </w:rPr>
      </w:pPr>
      <w:r w:rsidRPr="00B745B4">
        <w:rPr>
          <w:lang w:val="fr-FR"/>
        </w:rPr>
        <w:t>–</w:t>
      </w:r>
      <w:r w:rsidRPr="00B745B4">
        <w:rPr>
          <w:lang w:val="fr-FR"/>
        </w:rPr>
        <w:tab/>
        <w:t>Huawei Technologies Co., Ltd.</w:t>
      </w:r>
      <w:r w:rsidR="00416396" w:rsidRPr="00B745B4">
        <w:rPr>
          <w:lang w:val="fr-FR"/>
        </w:rPr>
        <w:t>,</w:t>
      </w:r>
      <w:r w:rsidRPr="00B745B4">
        <w:rPr>
          <w:lang w:val="fr-FR"/>
        </w:rPr>
        <w:t xml:space="preserve"> </w:t>
      </w:r>
      <w:r w:rsidR="00E02C81" w:rsidRPr="00B745B4">
        <w:rPr>
          <w:lang w:val="fr-FR"/>
        </w:rPr>
        <w:t xml:space="preserve">qui s'est engagé à verser une contribution financière de </w:t>
      </w:r>
      <w:r w:rsidRPr="00B745B4">
        <w:rPr>
          <w:lang w:val="fr-FR"/>
        </w:rPr>
        <w:t>670</w:t>
      </w:r>
      <w:r w:rsidR="00E02C81" w:rsidRPr="00B745B4">
        <w:rPr>
          <w:lang w:val="fr-FR"/>
        </w:rPr>
        <w:t> </w:t>
      </w:r>
      <w:r w:rsidRPr="00B745B4">
        <w:rPr>
          <w:lang w:val="fr-FR"/>
        </w:rPr>
        <w:t>000</w:t>
      </w:r>
      <w:r w:rsidR="00E02C81" w:rsidRPr="00B745B4">
        <w:rPr>
          <w:lang w:val="fr-FR"/>
        </w:rPr>
        <w:t xml:space="preserve"> USD.</w:t>
      </w:r>
    </w:p>
    <w:p w14:paraId="27573DA3" w14:textId="72593923" w:rsidR="00982F21" w:rsidRPr="00B745B4" w:rsidRDefault="00982F21" w:rsidP="003E0D2A">
      <w:pPr>
        <w:pStyle w:val="enumlev1"/>
        <w:rPr>
          <w:lang w:val="fr-FR"/>
        </w:rPr>
      </w:pPr>
      <w:r w:rsidRPr="00B745B4">
        <w:rPr>
          <w:lang w:val="fr-FR"/>
        </w:rPr>
        <w:t>–</w:t>
      </w:r>
      <w:r w:rsidRPr="00B745B4">
        <w:rPr>
          <w:lang w:val="fr-FR"/>
        </w:rPr>
        <w:tab/>
      </w:r>
      <w:r w:rsidR="00E02C81" w:rsidRPr="00B745B4">
        <w:rPr>
          <w:lang w:val="fr-FR"/>
        </w:rPr>
        <w:t xml:space="preserve">Département de l'infrastructure, des transports, du développement régional et des communications (DITRDC), </w:t>
      </w:r>
      <w:r w:rsidR="00416396" w:rsidRPr="00B745B4">
        <w:rPr>
          <w:lang w:val="fr-FR"/>
        </w:rPr>
        <w:t>Australie,</w:t>
      </w:r>
      <w:r w:rsidRPr="00B745B4">
        <w:rPr>
          <w:lang w:val="fr-FR"/>
        </w:rPr>
        <w:t xml:space="preserve"> qui s'est engagé à verser une contribution financière de 650 000 USD.</w:t>
      </w:r>
    </w:p>
    <w:p w14:paraId="63F1F8EF" w14:textId="721226D3" w:rsidR="00416396" w:rsidRPr="00B745B4" w:rsidRDefault="00416396" w:rsidP="001B081A">
      <w:pPr>
        <w:rPr>
          <w:lang w:val="fr-FR"/>
        </w:rPr>
      </w:pPr>
      <w:r w:rsidRPr="00B745B4">
        <w:rPr>
          <w:lang w:val="fr-FR"/>
        </w:rPr>
        <w:t>Les accords concernaient principalement l'Afrique (44%), devant des accords portant sur plusieurs régions (23%) et l'Asie-Pacifique (20%). En termes de domaines thématiques, la répartition est la suivante: plusieurs domaines thématiques (47%) et Politiques et règlementation (32%).</w:t>
      </w:r>
    </w:p>
    <w:p w14:paraId="49496105" w14:textId="77777777" w:rsidR="00CC5362" w:rsidRPr="00B745B4" w:rsidRDefault="00CC5362" w:rsidP="003E0D2A">
      <w:pPr>
        <w:pStyle w:val="Heading1"/>
        <w:rPr>
          <w:color w:val="000000"/>
          <w:sz w:val="24"/>
          <w:szCs w:val="24"/>
          <w:lang w:val="fr-FR"/>
        </w:rPr>
      </w:pPr>
      <w:r w:rsidRPr="00B745B4">
        <w:rPr>
          <w:rFonts w:cs="Calibri"/>
          <w:sz w:val="24"/>
          <w:szCs w:val="24"/>
          <w:lang w:val="fr-FR"/>
        </w:rPr>
        <w:lastRenderedPageBreak/>
        <w:t>4</w:t>
      </w:r>
      <w:r w:rsidRPr="00B745B4">
        <w:rPr>
          <w:rFonts w:cs="Calibri"/>
          <w:sz w:val="24"/>
          <w:szCs w:val="24"/>
          <w:lang w:val="fr-FR"/>
        </w:rPr>
        <w:tab/>
      </w:r>
      <w:r w:rsidRPr="00B745B4">
        <w:rPr>
          <w:color w:val="000000"/>
          <w:sz w:val="24"/>
          <w:szCs w:val="24"/>
          <w:lang w:val="fr-FR"/>
        </w:rPr>
        <w:t>Principales mesures et principaux résultats</w:t>
      </w:r>
    </w:p>
    <w:p w14:paraId="1F1BE50B" w14:textId="711AD3C5" w:rsidR="00CC5362" w:rsidRPr="00B745B4" w:rsidRDefault="00CC5362" w:rsidP="003E0D2A">
      <w:pPr>
        <w:rPr>
          <w:szCs w:val="24"/>
          <w:lang w:val="fr-FR"/>
        </w:rPr>
      </w:pPr>
      <w:r w:rsidRPr="00B745B4">
        <w:rPr>
          <w:szCs w:val="24"/>
          <w:lang w:val="fr-FR"/>
        </w:rPr>
        <w:t>Le BDT a pris une série de mesures stratégiques, notamment l'élaboration et l'amélioration de ses produits internes et de ses services externes en vue de renforcer les partenariats et la mobilisation des ressources, telles que les suivantes:</w:t>
      </w:r>
    </w:p>
    <w:p w14:paraId="4BE4A89A" w14:textId="429BF9F5" w:rsidR="00982F21" w:rsidRPr="00B745B4" w:rsidRDefault="00982F21" w:rsidP="003E0D2A">
      <w:pPr>
        <w:pStyle w:val="enumlev1"/>
        <w:rPr>
          <w:lang w:val="fr-FR"/>
        </w:rPr>
      </w:pPr>
      <w:r w:rsidRPr="00B745B4">
        <w:rPr>
          <w:lang w:val="fr-FR"/>
        </w:rPr>
        <w:t>–</w:t>
      </w:r>
      <w:r w:rsidRPr="00B745B4">
        <w:rPr>
          <w:lang w:val="fr-FR"/>
        </w:rPr>
        <w:tab/>
      </w:r>
      <w:r w:rsidR="00F744EE" w:rsidRPr="00B745B4">
        <w:rPr>
          <w:b/>
          <w:bCs/>
          <w:lang w:val="fr-FR"/>
        </w:rPr>
        <w:t>Améliorer les supports de communication</w:t>
      </w:r>
      <w:r w:rsidR="00F744EE" w:rsidRPr="00B745B4">
        <w:rPr>
          <w:lang w:val="fr-FR"/>
        </w:rPr>
        <w:t xml:space="preserve">: le BDT a élaboré une présentation de l'organisation, qui comprend une </w:t>
      </w:r>
      <w:r w:rsidR="004A75D5" w:rsidRPr="00B745B4">
        <w:rPr>
          <w:lang w:val="fr-FR"/>
        </w:rPr>
        <w:t>présentation de l'UIT, de la CMDT, des priorités thématiques et des initiatives phares pour appuyer ses activités de communication à l'intention des partenaires potentiels.</w:t>
      </w:r>
    </w:p>
    <w:p w14:paraId="1E2505AC" w14:textId="28DD6409" w:rsidR="00982F21" w:rsidRPr="00B745B4" w:rsidRDefault="00982F21" w:rsidP="003E0D2A">
      <w:pPr>
        <w:pStyle w:val="enumlev1"/>
        <w:rPr>
          <w:lang w:val="fr-FR"/>
        </w:rPr>
      </w:pPr>
      <w:r w:rsidRPr="00B745B4">
        <w:rPr>
          <w:lang w:val="fr-FR"/>
        </w:rPr>
        <w:t>–</w:t>
      </w:r>
      <w:r w:rsidRPr="00B745B4">
        <w:rPr>
          <w:lang w:val="fr-FR"/>
        </w:rPr>
        <w:tab/>
      </w:r>
      <w:r w:rsidR="004A75D5" w:rsidRPr="00B745B4">
        <w:rPr>
          <w:b/>
          <w:lang w:val="fr-FR"/>
        </w:rPr>
        <w:t>Coalition "</w:t>
      </w:r>
      <w:r w:rsidRPr="00B745B4">
        <w:rPr>
          <w:b/>
          <w:lang w:val="fr-FR"/>
        </w:rPr>
        <w:t>Partner2Connect</w:t>
      </w:r>
      <w:r w:rsidR="004A75D5" w:rsidRPr="00B745B4">
        <w:rPr>
          <w:b/>
          <w:lang w:val="fr-FR"/>
        </w:rPr>
        <w:t>"</w:t>
      </w:r>
      <w:r w:rsidRPr="00B745B4">
        <w:rPr>
          <w:bCs/>
          <w:lang w:val="fr-FR"/>
        </w:rPr>
        <w:t xml:space="preserve">: </w:t>
      </w:r>
      <w:r w:rsidR="004A75D5" w:rsidRPr="00B745B4">
        <w:rPr>
          <w:bCs/>
          <w:lang w:val="fr-FR"/>
        </w:rPr>
        <w:t>L'UIT</w:t>
      </w:r>
      <w:r w:rsidRPr="00B745B4">
        <w:rPr>
          <w:bCs/>
          <w:lang w:val="fr-FR"/>
        </w:rPr>
        <w:t xml:space="preserve"> </w:t>
      </w:r>
      <w:r w:rsidR="004A75D5" w:rsidRPr="00B745B4">
        <w:rPr>
          <w:b/>
          <w:lang w:val="fr-FR"/>
        </w:rPr>
        <w:t xml:space="preserve">a </w:t>
      </w:r>
      <w:r w:rsidRPr="00B745B4">
        <w:rPr>
          <w:b/>
          <w:lang w:val="fr-FR"/>
        </w:rPr>
        <w:t>la</w:t>
      </w:r>
      <w:r w:rsidR="004A75D5" w:rsidRPr="00B745B4">
        <w:rPr>
          <w:b/>
          <w:lang w:val="fr-FR"/>
        </w:rPr>
        <w:t>ncé</w:t>
      </w:r>
      <w:r w:rsidRPr="00B745B4">
        <w:rPr>
          <w:bCs/>
          <w:lang w:val="fr-FR"/>
        </w:rPr>
        <w:t xml:space="preserve"> </w:t>
      </w:r>
      <w:r w:rsidR="004A75D5" w:rsidRPr="00B745B4">
        <w:rPr>
          <w:bCs/>
          <w:lang w:val="fr-FR"/>
        </w:rPr>
        <w:t xml:space="preserve">la Coalition pour le numérique "Partner2Connect" pour promouvoir une connectivité efficace et la transformation numérique dans les communautés et les pays difficiles à connecter, notamment les pays les moins avancés, les pays en développement sans littoral et les petits États insulaires en développement. Pour en savoir plus sur la Coalition Partner2Connect, veuillez consulter le Document </w:t>
      </w:r>
      <w:r w:rsidRPr="00B745B4">
        <w:rPr>
          <w:bCs/>
          <w:lang w:val="fr-FR"/>
        </w:rPr>
        <w:t>TDAG-21/2/15.</w:t>
      </w:r>
    </w:p>
    <w:p w14:paraId="0D575647" w14:textId="278DF4B1" w:rsidR="00982F21" w:rsidRPr="00B745B4" w:rsidRDefault="00982F21" w:rsidP="003E0D2A">
      <w:pPr>
        <w:pStyle w:val="enumlev1"/>
        <w:rPr>
          <w:lang w:val="fr-FR"/>
        </w:rPr>
      </w:pPr>
      <w:r w:rsidRPr="00B745B4">
        <w:rPr>
          <w:lang w:val="fr-FR"/>
        </w:rPr>
        <w:t>–</w:t>
      </w:r>
      <w:r w:rsidRPr="00B745B4">
        <w:rPr>
          <w:lang w:val="fr-FR"/>
        </w:rPr>
        <w:tab/>
      </w:r>
      <w:r w:rsidRPr="00B745B4">
        <w:rPr>
          <w:b/>
          <w:bCs/>
          <w:lang w:val="fr-FR"/>
        </w:rPr>
        <w:t xml:space="preserve">Collaboration </w:t>
      </w:r>
      <w:r w:rsidR="004A75D5" w:rsidRPr="00B745B4">
        <w:rPr>
          <w:b/>
          <w:bCs/>
          <w:lang w:val="fr-FR"/>
        </w:rPr>
        <w:t>avec les organisations des Nations Unies</w:t>
      </w:r>
      <w:r w:rsidRPr="00B745B4">
        <w:rPr>
          <w:lang w:val="fr-FR"/>
        </w:rPr>
        <w:t xml:space="preserve">: </w:t>
      </w:r>
      <w:r w:rsidR="00D16636" w:rsidRPr="00B745B4">
        <w:rPr>
          <w:lang w:val="fr-FR"/>
        </w:rPr>
        <w:t xml:space="preserve">Le </w:t>
      </w:r>
      <w:r w:rsidRPr="00B745B4">
        <w:rPr>
          <w:lang w:val="fr-FR"/>
        </w:rPr>
        <w:t xml:space="preserve">BDT </w:t>
      </w:r>
      <w:r w:rsidR="00D16636" w:rsidRPr="00B745B4">
        <w:rPr>
          <w:lang w:val="fr-FR"/>
        </w:rPr>
        <w:t>a renforcé sa coopération avec les autres organisations des Nations Unies, comme le Haut-Commissariat des Nations</w:t>
      </w:r>
      <w:r w:rsidR="003E0D2A" w:rsidRPr="00B745B4">
        <w:rPr>
          <w:lang w:val="fr-FR"/>
        </w:rPr>
        <w:t> </w:t>
      </w:r>
      <w:r w:rsidR="00D16636" w:rsidRPr="00B745B4">
        <w:rPr>
          <w:lang w:val="fr-FR"/>
        </w:rPr>
        <w:t xml:space="preserve">Unies pour les réfugiés (HCR) et le Fonds des Nations Unies pour l'enfance (UNICEF). Le partenariat avec le HCR concerne la coopération numérique pour aider les personnes déployées de force, les réfugiés, les apatrides et les communautés qui les accueillent aux niveaux mondial, régional et national. Le BDT et le HCR travailleront ensemble de manière plus systématique pour accélérer l'inclusion numérique de ces groupes de personnes conformément au Plan d'action du Secrétaire général de l'ONU pour la coopération numérique. Les travaux menés avec l'UNICEF concernent toujours l'initiative Giga </w:t>
      </w:r>
      <w:r w:rsidR="00782F75" w:rsidRPr="00B745B4">
        <w:rPr>
          <w:lang w:val="fr-FR"/>
        </w:rPr>
        <w:t>avec pour objectif de consolider les résultats obtenus lors de la première</w:t>
      </w:r>
      <w:r w:rsidR="003E0D2A" w:rsidRPr="00B745B4">
        <w:rPr>
          <w:lang w:val="fr-FR"/>
        </w:rPr>
        <w:t> </w:t>
      </w:r>
      <w:r w:rsidR="00782F75" w:rsidRPr="00B745B4">
        <w:rPr>
          <w:lang w:val="fr-FR"/>
        </w:rPr>
        <w:t xml:space="preserve">phase dans les régions prioritaires </w:t>
      </w:r>
      <w:r w:rsidR="0072462D" w:rsidRPr="00B745B4">
        <w:rPr>
          <w:lang w:val="fr-FR"/>
        </w:rPr>
        <w:t xml:space="preserve">en </w:t>
      </w:r>
      <w:r w:rsidR="00782F75" w:rsidRPr="00B745B4">
        <w:rPr>
          <w:lang w:val="fr-FR"/>
        </w:rPr>
        <w:t xml:space="preserve">Afrique, </w:t>
      </w:r>
      <w:r w:rsidR="0072462D" w:rsidRPr="00B745B4">
        <w:rPr>
          <w:lang w:val="fr-FR"/>
        </w:rPr>
        <w:t xml:space="preserve">en </w:t>
      </w:r>
      <w:r w:rsidR="00782F75" w:rsidRPr="00B745B4">
        <w:rPr>
          <w:lang w:val="fr-FR"/>
        </w:rPr>
        <w:t>Asie central</w:t>
      </w:r>
      <w:r w:rsidR="0072462D" w:rsidRPr="00B745B4">
        <w:rPr>
          <w:lang w:val="fr-FR"/>
        </w:rPr>
        <w:t>e</w:t>
      </w:r>
      <w:r w:rsidR="00782F75" w:rsidRPr="00B745B4">
        <w:rPr>
          <w:lang w:val="fr-FR"/>
        </w:rPr>
        <w:t xml:space="preserve"> et d</w:t>
      </w:r>
      <w:r w:rsidR="0072462D" w:rsidRPr="00B745B4">
        <w:rPr>
          <w:lang w:val="fr-FR"/>
        </w:rPr>
        <w:t>ans l</w:t>
      </w:r>
      <w:r w:rsidR="00782F75" w:rsidRPr="00B745B4">
        <w:rPr>
          <w:lang w:val="fr-FR"/>
        </w:rPr>
        <w:t>es Caraïbes orientales et centrales tout en élargissant les activités à de nouvelles régions, ainsi qu'à l'Asie-Pacifique et à la région Amériques.</w:t>
      </w:r>
    </w:p>
    <w:p w14:paraId="1CDF26FB" w14:textId="10103E42" w:rsidR="00982F21" w:rsidRPr="00B745B4" w:rsidRDefault="00982F21" w:rsidP="003E0D2A">
      <w:pPr>
        <w:pStyle w:val="Heading1"/>
        <w:rPr>
          <w:sz w:val="24"/>
          <w:szCs w:val="24"/>
          <w:lang w:val="fr-FR"/>
        </w:rPr>
      </w:pPr>
      <w:r w:rsidRPr="00B745B4">
        <w:rPr>
          <w:sz w:val="24"/>
          <w:szCs w:val="24"/>
          <w:lang w:val="fr-FR"/>
        </w:rPr>
        <w:t>5</w:t>
      </w:r>
      <w:r w:rsidRPr="00B745B4">
        <w:rPr>
          <w:sz w:val="24"/>
          <w:szCs w:val="24"/>
          <w:lang w:val="fr-FR"/>
        </w:rPr>
        <w:tab/>
      </w:r>
      <w:r w:rsidR="000C5CD8" w:rsidRPr="00B745B4">
        <w:rPr>
          <w:sz w:val="24"/>
          <w:szCs w:val="24"/>
          <w:lang w:val="fr-FR"/>
        </w:rPr>
        <w:t>Résumé</w:t>
      </w:r>
    </w:p>
    <w:p w14:paraId="37E71D63" w14:textId="0BF0F528" w:rsidR="00982F21" w:rsidRPr="00B745B4" w:rsidRDefault="000C5CD8" w:rsidP="003E0D2A">
      <w:pPr>
        <w:rPr>
          <w:szCs w:val="24"/>
          <w:lang w:val="fr-FR"/>
        </w:rPr>
      </w:pPr>
      <w:r w:rsidRPr="00B745B4">
        <w:rPr>
          <w:szCs w:val="24"/>
          <w:lang w:val="fr-FR"/>
        </w:rPr>
        <w:t>E</w:t>
      </w:r>
      <w:r w:rsidR="00982F21" w:rsidRPr="00B745B4">
        <w:rPr>
          <w:szCs w:val="24"/>
          <w:lang w:val="fr-FR"/>
        </w:rPr>
        <w:t>n 2021 (</w:t>
      </w:r>
      <w:r w:rsidRPr="00B745B4">
        <w:rPr>
          <w:szCs w:val="24"/>
          <w:lang w:val="fr-FR"/>
        </w:rPr>
        <w:t>au 31 août</w:t>
      </w:r>
      <w:r w:rsidR="00982F21" w:rsidRPr="00B745B4">
        <w:rPr>
          <w:szCs w:val="24"/>
          <w:lang w:val="fr-FR"/>
        </w:rPr>
        <w:t xml:space="preserve"> 2021), </w:t>
      </w:r>
      <w:r w:rsidRPr="00B745B4">
        <w:rPr>
          <w:szCs w:val="24"/>
          <w:lang w:val="fr-FR"/>
        </w:rPr>
        <w:t xml:space="preserve">le </w:t>
      </w:r>
      <w:r w:rsidR="00982F21" w:rsidRPr="00B745B4">
        <w:rPr>
          <w:szCs w:val="24"/>
          <w:lang w:val="fr-FR"/>
        </w:rPr>
        <w:t xml:space="preserve">BDT </w:t>
      </w:r>
      <w:r w:rsidRPr="00B745B4">
        <w:rPr>
          <w:szCs w:val="24"/>
          <w:lang w:val="fr-FR"/>
        </w:rPr>
        <w:t xml:space="preserve">a signé 45 accords de partenariat, dont 32 prévoient des contributions financières pour un montant de 11,6 millions USD, financées conjointement par les partenaires </w:t>
      </w:r>
      <w:r w:rsidR="00982F21" w:rsidRPr="00B745B4">
        <w:rPr>
          <w:szCs w:val="24"/>
          <w:lang w:val="fr-FR"/>
        </w:rPr>
        <w:t xml:space="preserve">(78%) </w:t>
      </w:r>
      <w:r w:rsidRPr="00B745B4">
        <w:rPr>
          <w:szCs w:val="24"/>
          <w:lang w:val="fr-FR"/>
        </w:rPr>
        <w:t>et l'UIT</w:t>
      </w:r>
      <w:r w:rsidR="00982F21" w:rsidRPr="00B745B4">
        <w:rPr>
          <w:szCs w:val="24"/>
          <w:lang w:val="fr-FR"/>
        </w:rPr>
        <w:t xml:space="preserve"> (22%).</w:t>
      </w:r>
    </w:p>
    <w:p w14:paraId="385F2D44" w14:textId="4C318558" w:rsidR="00982F21" w:rsidRPr="00B745B4" w:rsidRDefault="000C5CD8" w:rsidP="003E0D2A">
      <w:pPr>
        <w:rPr>
          <w:szCs w:val="24"/>
          <w:lang w:val="fr-FR"/>
        </w:rPr>
      </w:pPr>
      <w:r w:rsidRPr="00B745B4">
        <w:rPr>
          <w:lang w:val="fr-FR"/>
        </w:rPr>
        <w:t>Les principaux partenaires de financement du BDT étaient les États Membres de l'UIT et d'autres entités gouvernementales, devant les organisations internationales et régionales et les entités du secteur privé</w:t>
      </w:r>
      <w:r w:rsidR="00982F21" w:rsidRPr="00B745B4">
        <w:rPr>
          <w:szCs w:val="24"/>
          <w:lang w:val="fr-FR"/>
        </w:rPr>
        <w:t>:</w:t>
      </w:r>
    </w:p>
    <w:p w14:paraId="21715F32" w14:textId="27E330D6" w:rsidR="00982F21" w:rsidRPr="00B745B4" w:rsidRDefault="002136CC" w:rsidP="002136CC">
      <w:pPr>
        <w:pStyle w:val="Figure"/>
        <w:rPr>
          <w:noProof w:val="0"/>
          <w:lang w:val="fr-FR"/>
        </w:rPr>
      </w:pPr>
      <w:r w:rsidRPr="00B745B4">
        <w:rPr>
          <w:noProof w:val="0"/>
          <w:lang w:val="fr-FR"/>
        </w:rPr>
        <w:lastRenderedPageBreak/>
        <w:drawing>
          <wp:inline distT="0" distB="0" distL="0" distR="0" wp14:anchorId="29962F53" wp14:editId="5E2B25C7">
            <wp:extent cx="5502275" cy="2938463"/>
            <wp:effectExtent l="0" t="0" r="3175" b="14605"/>
            <wp:docPr id="2" name="Chart 2">
              <a:extLst xmlns:a="http://schemas.openxmlformats.org/drawingml/2006/main">
                <a:ext uri="{FF2B5EF4-FFF2-40B4-BE49-F238E27FC236}">
                  <a16:creationId xmlns:a16="http://schemas.microsoft.com/office/drawing/2014/main" id="{552EB306-1009-4B5C-BB96-A73F8B93A4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A60CD5" w14:textId="45CA3B39" w:rsidR="00847C5A" w:rsidRPr="00B745B4" w:rsidRDefault="00847C5A" w:rsidP="002136CC">
      <w:pPr>
        <w:spacing w:before="240" w:after="240"/>
        <w:rPr>
          <w:lang w:val="fr-FR"/>
        </w:rPr>
      </w:pPr>
      <w:r w:rsidRPr="00B745B4">
        <w:rPr>
          <w:lang w:val="fr-FR"/>
        </w:rPr>
        <w:t>Les graphiques suivants présentent la répartition par région et par priorité thématique des contributions financières convenues dans le cadre des accords signés.</w:t>
      </w:r>
    </w:p>
    <w:p w14:paraId="47B3EB92" w14:textId="0A98F34C" w:rsidR="00982F21" w:rsidRPr="00B745B4" w:rsidRDefault="00847C5A" w:rsidP="003E0D2A">
      <w:pPr>
        <w:jc w:val="center"/>
        <w:rPr>
          <w:szCs w:val="24"/>
          <w:lang w:val="fr-FR"/>
        </w:rPr>
      </w:pPr>
      <w:r w:rsidRPr="00B745B4">
        <w:rPr>
          <w:lang w:val="fr-FR"/>
        </w:rPr>
        <w:drawing>
          <wp:inline distT="0" distB="0" distL="0" distR="0" wp14:anchorId="28BA686D" wp14:editId="67C1BF2E">
            <wp:extent cx="5745480" cy="2381250"/>
            <wp:effectExtent l="0" t="0" r="7620" b="0"/>
            <wp:docPr id="15" name="Chart 15">
              <a:extLst xmlns:a="http://schemas.openxmlformats.org/drawingml/2006/main">
                <a:ext uri="{FF2B5EF4-FFF2-40B4-BE49-F238E27FC236}">
                  <a16:creationId xmlns:a16="http://schemas.microsoft.com/office/drawing/2014/main" id="{D5CDC7CE-D4B7-43B6-8163-ED4B6E1E9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B09F62" w14:textId="07A9031E" w:rsidR="00982F21" w:rsidRPr="00B745B4" w:rsidRDefault="00982F21" w:rsidP="003E0D2A">
      <w:pPr>
        <w:rPr>
          <w:szCs w:val="24"/>
          <w:lang w:val="fr-FR"/>
        </w:rPr>
      </w:pPr>
    </w:p>
    <w:p w14:paraId="79E944E0" w14:textId="05B6EA92" w:rsidR="00847C5A" w:rsidRPr="00B745B4" w:rsidRDefault="00557FD3" w:rsidP="00557FD3">
      <w:pPr>
        <w:spacing w:before="0"/>
        <w:rPr>
          <w:szCs w:val="24"/>
          <w:lang w:val="fr-FR"/>
        </w:rPr>
      </w:pPr>
      <w:r w:rsidRPr="00B745B4">
        <w:rPr>
          <w:szCs w:val="24"/>
          <w:lang w:val="fr-FR"/>
        </w:rPr>
        <w:lastRenderedPageBreak/>
        <mc:AlternateContent>
          <mc:Choice Requires="wps">
            <w:drawing>
              <wp:anchor distT="45720" distB="45720" distL="114300" distR="114300" simplePos="0" relativeHeight="251659264" behindDoc="0" locked="0" layoutInCell="1" allowOverlap="1" wp14:anchorId="25F38DFD" wp14:editId="40E3E27B">
                <wp:simplePos x="0" y="0"/>
                <wp:positionH relativeFrom="column">
                  <wp:posOffset>2469515</wp:posOffset>
                </wp:positionH>
                <wp:positionV relativeFrom="paragraph">
                  <wp:posOffset>607695</wp:posOffset>
                </wp:positionV>
                <wp:extent cx="834390" cy="140462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404620"/>
                        </a:xfrm>
                        <a:prstGeom prst="rect">
                          <a:avLst/>
                        </a:prstGeom>
                        <a:solidFill>
                          <a:srgbClr val="FFFFFF"/>
                        </a:solidFill>
                        <a:ln w="9525">
                          <a:noFill/>
                          <a:miter lim="800000"/>
                          <a:headEnd/>
                          <a:tailEnd/>
                        </a:ln>
                      </wps:spPr>
                      <wps:txbx>
                        <w:txbxContent>
                          <w:p w14:paraId="674DC7C4" w14:textId="4E450AB7" w:rsidR="00044FD0" w:rsidRPr="002136CC" w:rsidRDefault="00044FD0" w:rsidP="00044FD0">
                            <w:pPr>
                              <w:spacing w:before="0"/>
                              <w:rPr>
                                <w:sz w:val="16"/>
                                <w:szCs w:val="16"/>
                              </w:rPr>
                            </w:pPr>
                            <w:r w:rsidRPr="002136CC">
                              <w:rPr>
                                <w:sz w:val="16"/>
                                <w:szCs w:val="16"/>
                              </w:rPr>
                              <w:t>Cybersécurité</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38DFD" id="_x0000_t202" coordsize="21600,21600" o:spt="202" path="m,l,21600r21600,l21600,xe">
                <v:stroke joinstyle="miter"/>
                <v:path gradientshapeok="t" o:connecttype="rect"/>
              </v:shapetype>
              <v:shape id="Text Box 2" o:spid="_x0000_s1026" type="#_x0000_t202" style="position:absolute;margin-left:194.45pt;margin-top:47.85pt;width:6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" stroked="f">
                <v:textbox style="mso-fit-shape-to-text:t" inset="0,0,0,0">
                  <w:txbxContent>
                    <w:p w14:paraId="674DC7C4" w14:textId="4E450AB7" w:rsidR="00044FD0" w:rsidRPr="002136CC" w:rsidRDefault="00044FD0" w:rsidP="00044FD0">
                      <w:pPr>
                        <w:spacing w:before="0"/>
                        <w:rPr>
                          <w:sz w:val="16"/>
                          <w:szCs w:val="16"/>
                        </w:rPr>
                      </w:pPr>
                      <w:r w:rsidRPr="002136CC">
                        <w:rPr>
                          <w:sz w:val="16"/>
                          <w:szCs w:val="16"/>
                        </w:rPr>
                        <w:t>Cybersécurité</w:t>
                      </w:r>
                    </w:p>
                  </w:txbxContent>
                </v:textbox>
              </v:shape>
            </w:pict>
          </mc:Fallback>
        </mc:AlternateContent>
      </w:r>
      <w:r w:rsidRPr="00B745B4">
        <w:rPr>
          <w:szCs w:val="24"/>
          <w:lang w:val="fr-FR"/>
        </w:rPr>
        <mc:AlternateContent>
          <mc:Choice Requires="wps">
            <w:drawing>
              <wp:anchor distT="45720" distB="45720" distL="114300" distR="114300" simplePos="0" relativeHeight="251667456" behindDoc="0" locked="0" layoutInCell="1" allowOverlap="1" wp14:anchorId="57FCC653" wp14:editId="3E794DDA">
                <wp:simplePos x="0" y="0"/>
                <wp:positionH relativeFrom="column">
                  <wp:posOffset>2468245</wp:posOffset>
                </wp:positionH>
                <wp:positionV relativeFrom="paragraph">
                  <wp:posOffset>838310</wp:posOffset>
                </wp:positionV>
                <wp:extent cx="834390" cy="132715"/>
                <wp:effectExtent l="0" t="0" r="381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32715"/>
                        </a:xfrm>
                        <a:prstGeom prst="rect">
                          <a:avLst/>
                        </a:prstGeom>
                        <a:solidFill>
                          <a:srgbClr val="FFFFFF"/>
                        </a:solidFill>
                        <a:ln w="9525">
                          <a:noFill/>
                          <a:miter lim="800000"/>
                          <a:headEnd/>
                          <a:tailEnd/>
                        </a:ln>
                      </wps:spPr>
                      <wps:txbx>
                        <w:txbxContent>
                          <w:p w14:paraId="095A8884" w14:textId="13B8541D" w:rsidR="002136CC" w:rsidRPr="002136CC" w:rsidRDefault="002136CC" w:rsidP="002136CC">
                            <w:pPr>
                              <w:spacing w:before="0"/>
                              <w:rPr>
                                <w:sz w:val="16"/>
                                <w:szCs w:val="16"/>
                              </w:rPr>
                            </w:pPr>
                            <w:r w:rsidRPr="002136CC">
                              <w:rPr>
                                <w:bCs/>
                                <w:sz w:val="16"/>
                                <w:szCs w:val="16"/>
                                <w:lang w:val="fr-FR"/>
                              </w:rPr>
                              <w:t>Environnement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CC653" id="_x0000_s1027" type="#_x0000_t202" style="position:absolute;margin-left:194.35pt;margin-top:66pt;width:65.7pt;height:10.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" stroked="f">
                <v:textbox inset="0,0,0,0">
                  <w:txbxContent>
                    <w:p w14:paraId="095A8884" w14:textId="13B8541D" w:rsidR="002136CC" w:rsidRPr="002136CC" w:rsidRDefault="002136CC" w:rsidP="002136CC">
                      <w:pPr>
                        <w:spacing w:before="0"/>
                        <w:rPr>
                          <w:sz w:val="16"/>
                          <w:szCs w:val="16"/>
                        </w:rPr>
                      </w:pPr>
                      <w:r w:rsidRPr="002136CC">
                        <w:rPr>
                          <w:bCs/>
                          <w:sz w:val="16"/>
                          <w:szCs w:val="16"/>
                          <w:lang w:val="fr-FR"/>
                        </w:rPr>
                        <w:t>Environnement</w:t>
                      </w:r>
                    </w:p>
                  </w:txbxContent>
                </v:textbox>
              </v:shape>
            </w:pict>
          </mc:Fallback>
        </mc:AlternateContent>
      </w:r>
      <w:r w:rsidRPr="00B745B4">
        <w:rPr>
          <w:szCs w:val="24"/>
          <w:lang w:val="fr-FR"/>
        </w:rPr>
        <mc:AlternateContent>
          <mc:Choice Requires="wps">
            <w:drawing>
              <wp:anchor distT="45720" distB="45720" distL="114300" distR="114300" simplePos="0" relativeHeight="251677696" behindDoc="0" locked="0" layoutInCell="1" allowOverlap="1" wp14:anchorId="283DEFBC" wp14:editId="5C77595F">
                <wp:simplePos x="0" y="0"/>
                <wp:positionH relativeFrom="column">
                  <wp:posOffset>3899535</wp:posOffset>
                </wp:positionH>
                <wp:positionV relativeFrom="paragraph">
                  <wp:posOffset>821110</wp:posOffset>
                </wp:positionV>
                <wp:extent cx="1562100" cy="1404620"/>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14:paraId="37126751" w14:textId="60E3A099" w:rsidR="002136CC" w:rsidRPr="002136CC" w:rsidRDefault="002136CC" w:rsidP="002136CC">
                            <w:pPr>
                              <w:spacing w:before="0"/>
                              <w:rPr>
                                <w:sz w:val="16"/>
                                <w:szCs w:val="16"/>
                              </w:rPr>
                            </w:pPr>
                            <w:r w:rsidRPr="002136CC">
                              <w:rPr>
                                <w:bCs/>
                                <w:sz w:val="16"/>
                                <w:szCs w:val="16"/>
                                <w:lang w:val="fr-FR"/>
                              </w:rPr>
                              <w:t>Réseau et infrastructure numérique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DEFBC" id="_x0000_s1028" type="#_x0000_t202" style="position:absolute;margin-left:307.05pt;margin-top:64.65pt;width:123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" stroked="f">
                <v:textbox style="mso-fit-shape-to-text:t" inset="0,0,0,0">
                  <w:txbxContent>
                    <w:p w14:paraId="37126751" w14:textId="60E3A099" w:rsidR="002136CC" w:rsidRPr="002136CC" w:rsidRDefault="002136CC" w:rsidP="002136CC">
                      <w:pPr>
                        <w:spacing w:before="0"/>
                        <w:rPr>
                          <w:sz w:val="16"/>
                          <w:szCs w:val="16"/>
                        </w:rPr>
                      </w:pPr>
                      <w:r w:rsidRPr="002136CC">
                        <w:rPr>
                          <w:bCs/>
                          <w:sz w:val="16"/>
                          <w:szCs w:val="16"/>
                          <w:lang w:val="fr-FR"/>
                        </w:rPr>
                        <w:t>Réseau et infrastructure numérique</w:t>
                      </w:r>
                    </w:p>
                  </w:txbxContent>
                </v:textbox>
              </v:shape>
            </w:pict>
          </mc:Fallback>
        </mc:AlternateContent>
      </w:r>
      <w:r w:rsidRPr="00B745B4">
        <w:rPr>
          <w:szCs w:val="24"/>
          <w:lang w:val="fr-FR"/>
        </w:rPr>
        <mc:AlternateContent>
          <mc:Choice Requires="wps">
            <w:drawing>
              <wp:anchor distT="45720" distB="45720" distL="114300" distR="114300" simplePos="0" relativeHeight="251663360" behindDoc="0" locked="0" layoutInCell="1" allowOverlap="1" wp14:anchorId="4AB63659" wp14:editId="52E69FF3">
                <wp:simplePos x="0" y="0"/>
                <wp:positionH relativeFrom="column">
                  <wp:posOffset>3895725</wp:posOffset>
                </wp:positionH>
                <wp:positionV relativeFrom="paragraph">
                  <wp:posOffset>609048</wp:posOffset>
                </wp:positionV>
                <wp:extent cx="1066800" cy="140462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3B3431CC" w14:textId="1CB7AD05" w:rsidR="002136CC" w:rsidRPr="002136CC" w:rsidRDefault="002136CC" w:rsidP="002136CC">
                            <w:pPr>
                              <w:spacing w:before="0"/>
                              <w:rPr>
                                <w:sz w:val="16"/>
                                <w:szCs w:val="16"/>
                              </w:rPr>
                            </w:pPr>
                            <w:r w:rsidRPr="002136CC">
                              <w:rPr>
                                <w:bCs/>
                                <w:sz w:val="16"/>
                                <w:szCs w:val="16"/>
                                <w:lang w:val="fr-FR"/>
                              </w:rPr>
                              <w:t>Inclusion numérique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63659" id="_x0000_s1029" type="#_x0000_t202" style="position:absolute;margin-left:306.75pt;margin-top:47.95pt;width:8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" stroked="f">
                <v:textbox style="mso-fit-shape-to-text:t" inset="0,0,0,0">
                  <w:txbxContent>
                    <w:p w14:paraId="3B3431CC" w14:textId="1CB7AD05" w:rsidR="002136CC" w:rsidRPr="002136CC" w:rsidRDefault="002136CC" w:rsidP="002136CC">
                      <w:pPr>
                        <w:spacing w:before="0"/>
                        <w:rPr>
                          <w:sz w:val="16"/>
                          <w:szCs w:val="16"/>
                        </w:rPr>
                      </w:pPr>
                      <w:r w:rsidRPr="002136CC">
                        <w:rPr>
                          <w:bCs/>
                          <w:sz w:val="16"/>
                          <w:szCs w:val="16"/>
                          <w:lang w:val="fr-FR"/>
                        </w:rPr>
                        <w:t>Inclusion numérique</w:t>
                      </w:r>
                    </w:p>
                  </w:txbxContent>
                </v:textbox>
              </v:shape>
            </w:pict>
          </mc:Fallback>
        </mc:AlternateContent>
      </w:r>
      <w:r w:rsidRPr="00B745B4">
        <w:rPr>
          <w:szCs w:val="24"/>
          <w:lang w:val="fr-FR"/>
        </w:rPr>
        <mc:AlternateContent>
          <mc:Choice Requires="wps">
            <w:drawing>
              <wp:anchor distT="45720" distB="45720" distL="114300" distR="114300" simplePos="0" relativeHeight="251661312" behindDoc="0" locked="0" layoutInCell="1" allowOverlap="1" wp14:anchorId="0852C098" wp14:editId="48A9D5AF">
                <wp:simplePos x="0" y="0"/>
                <wp:positionH relativeFrom="column">
                  <wp:posOffset>1099185</wp:posOffset>
                </wp:positionH>
                <wp:positionV relativeFrom="paragraph">
                  <wp:posOffset>612002</wp:posOffset>
                </wp:positionV>
                <wp:extent cx="1066800" cy="1404620"/>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1C738E2D" w14:textId="43F23D2A" w:rsidR="002136CC" w:rsidRPr="002136CC" w:rsidRDefault="002136CC" w:rsidP="002136CC">
                            <w:pPr>
                              <w:spacing w:before="0"/>
                              <w:rPr>
                                <w:sz w:val="16"/>
                                <w:szCs w:val="16"/>
                              </w:rPr>
                            </w:pPr>
                            <w:r w:rsidRPr="002136CC">
                              <w:rPr>
                                <w:bCs/>
                                <w:sz w:val="16"/>
                                <w:szCs w:val="16"/>
                                <w:lang w:val="fr-FR"/>
                              </w:rPr>
                              <w:t>Applications et services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2C098" id="_x0000_s1030" type="#_x0000_t202" style="position:absolute;margin-left:86.55pt;margin-top:48.2pt;width:8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" stroked="f">
                <v:textbox style="mso-fit-shape-to-text:t" inset="0,0,0,0">
                  <w:txbxContent>
                    <w:p w14:paraId="1C738E2D" w14:textId="43F23D2A" w:rsidR="002136CC" w:rsidRPr="002136CC" w:rsidRDefault="002136CC" w:rsidP="002136CC">
                      <w:pPr>
                        <w:spacing w:before="0"/>
                        <w:rPr>
                          <w:sz w:val="16"/>
                          <w:szCs w:val="16"/>
                        </w:rPr>
                      </w:pPr>
                      <w:r w:rsidRPr="002136CC">
                        <w:rPr>
                          <w:bCs/>
                          <w:sz w:val="16"/>
                          <w:szCs w:val="16"/>
                          <w:lang w:val="fr-FR"/>
                        </w:rPr>
                        <w:t>Applications et services</w:t>
                      </w:r>
                    </w:p>
                  </w:txbxContent>
                </v:textbox>
              </v:shape>
            </w:pict>
          </mc:Fallback>
        </mc:AlternateContent>
      </w:r>
      <w:r w:rsidRPr="00B745B4">
        <w:rPr>
          <w:szCs w:val="24"/>
          <w:lang w:val="fr-FR"/>
        </w:rPr>
        <mc:AlternateContent>
          <mc:Choice Requires="wps">
            <w:drawing>
              <wp:anchor distT="45720" distB="45720" distL="114300" distR="114300" simplePos="0" relativeHeight="251665408" behindDoc="0" locked="0" layoutInCell="1" allowOverlap="1" wp14:anchorId="1C0E0F85" wp14:editId="4B79C49E">
                <wp:simplePos x="0" y="0"/>
                <wp:positionH relativeFrom="column">
                  <wp:posOffset>1080135</wp:posOffset>
                </wp:positionH>
                <wp:positionV relativeFrom="paragraph">
                  <wp:posOffset>782348</wp:posOffset>
                </wp:positionV>
                <wp:extent cx="952500" cy="1404620"/>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40CA20A0" w14:textId="444778CE" w:rsidR="002136CC" w:rsidRPr="002136CC" w:rsidRDefault="002136CC" w:rsidP="002136CC">
                            <w:pPr>
                              <w:spacing w:before="0"/>
                              <w:rPr>
                                <w:sz w:val="16"/>
                                <w:szCs w:val="16"/>
                              </w:rPr>
                            </w:pPr>
                            <w:r w:rsidRPr="002136CC">
                              <w:rPr>
                                <w:bCs/>
                                <w:sz w:val="16"/>
                                <w:szCs w:val="16"/>
                                <w:lang w:val="fr-FR"/>
                              </w:rPr>
                              <w:t>Télécommunications d'urgence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E0F85" id="_x0000_s1031" type="#_x0000_t202" style="position:absolute;margin-left:85.05pt;margin-top:61.6pt;width: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" stroked="f">
                <v:textbox style="mso-fit-shape-to-text:t" inset="0,0,0,0">
                  <w:txbxContent>
                    <w:p w14:paraId="40CA20A0" w14:textId="444778CE" w:rsidR="002136CC" w:rsidRPr="002136CC" w:rsidRDefault="002136CC" w:rsidP="002136CC">
                      <w:pPr>
                        <w:spacing w:before="0"/>
                        <w:rPr>
                          <w:sz w:val="16"/>
                          <w:szCs w:val="16"/>
                        </w:rPr>
                      </w:pPr>
                      <w:r w:rsidRPr="002136CC">
                        <w:rPr>
                          <w:bCs/>
                          <w:sz w:val="16"/>
                          <w:szCs w:val="16"/>
                          <w:lang w:val="fr-FR"/>
                        </w:rPr>
                        <w:t>Télécommunications d'urgence</w:t>
                      </w:r>
                    </w:p>
                  </w:txbxContent>
                </v:textbox>
              </v:shape>
            </w:pict>
          </mc:Fallback>
        </mc:AlternateContent>
      </w:r>
      <w:r w:rsidRPr="00B745B4">
        <w:rPr>
          <w:szCs w:val="24"/>
          <w:lang w:val="fr-FR"/>
        </w:rPr>
        <mc:AlternateContent>
          <mc:Choice Requires="wps">
            <w:drawing>
              <wp:anchor distT="45720" distB="45720" distL="114300" distR="114300" simplePos="0" relativeHeight="251675648" behindDoc="0" locked="0" layoutInCell="1" allowOverlap="1" wp14:anchorId="334A927E" wp14:editId="34136274">
                <wp:simplePos x="0" y="0"/>
                <wp:positionH relativeFrom="column">
                  <wp:posOffset>1080135</wp:posOffset>
                </wp:positionH>
                <wp:positionV relativeFrom="paragraph">
                  <wp:posOffset>1031571</wp:posOffset>
                </wp:positionV>
                <wp:extent cx="914400" cy="1404620"/>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1DADBADA" w14:textId="268A77D6" w:rsidR="002136CC" w:rsidRPr="002136CC" w:rsidRDefault="002136CC" w:rsidP="002136CC">
                            <w:pPr>
                              <w:spacing w:before="0"/>
                              <w:rPr>
                                <w:sz w:val="16"/>
                                <w:szCs w:val="16"/>
                              </w:rPr>
                            </w:pPr>
                            <w:r w:rsidRPr="002136CC">
                              <w:rPr>
                                <w:bCs/>
                                <w:sz w:val="16"/>
                                <w:szCs w:val="16"/>
                                <w:lang w:val="fr-FR"/>
                              </w:rPr>
                              <w:t>Plusieurs domaines thématiques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A927E" id="_x0000_s1032" type="#_x0000_t202" style="position:absolute;margin-left:85.05pt;margin-top:81.25pt;width:1in;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" stroked="f">
                <v:textbox style="mso-fit-shape-to-text:t" inset="0,0,0,0">
                  <w:txbxContent>
                    <w:p w14:paraId="1DADBADA" w14:textId="268A77D6" w:rsidR="002136CC" w:rsidRPr="002136CC" w:rsidRDefault="002136CC" w:rsidP="002136CC">
                      <w:pPr>
                        <w:spacing w:before="0"/>
                        <w:rPr>
                          <w:sz w:val="16"/>
                          <w:szCs w:val="16"/>
                        </w:rPr>
                      </w:pPr>
                      <w:r w:rsidRPr="002136CC">
                        <w:rPr>
                          <w:bCs/>
                          <w:sz w:val="16"/>
                          <w:szCs w:val="16"/>
                          <w:lang w:val="fr-FR"/>
                        </w:rPr>
                        <w:t>Plusieurs domaines thématiques</w:t>
                      </w:r>
                    </w:p>
                  </w:txbxContent>
                </v:textbox>
              </v:shape>
            </w:pict>
          </mc:Fallback>
        </mc:AlternateContent>
      </w:r>
      <w:r w:rsidR="002136CC" w:rsidRPr="00B745B4">
        <w:rPr>
          <w:szCs w:val="24"/>
          <w:lang w:val="fr-FR"/>
        </w:rPr>
        <mc:AlternateContent>
          <mc:Choice Requires="wps">
            <w:drawing>
              <wp:anchor distT="45720" distB="45720" distL="114300" distR="114300" simplePos="0" relativeHeight="251679744" behindDoc="0" locked="0" layoutInCell="1" allowOverlap="1" wp14:anchorId="335EF4BB" wp14:editId="2CE32D83">
                <wp:simplePos x="0" y="0"/>
                <wp:positionH relativeFrom="column">
                  <wp:posOffset>2470785</wp:posOffset>
                </wp:positionH>
                <wp:positionV relativeFrom="paragraph">
                  <wp:posOffset>1075331</wp:posOffset>
                </wp:positionV>
                <wp:extent cx="1295400" cy="1404620"/>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1A48DF01" w14:textId="0444A615" w:rsidR="002136CC" w:rsidRPr="002136CC" w:rsidRDefault="002136CC" w:rsidP="002136CC">
                            <w:pPr>
                              <w:spacing w:before="0"/>
                              <w:rPr>
                                <w:sz w:val="16"/>
                                <w:szCs w:val="16"/>
                              </w:rPr>
                            </w:pPr>
                            <w:r w:rsidRPr="002136CC">
                              <w:rPr>
                                <w:bCs/>
                                <w:sz w:val="16"/>
                                <w:szCs w:val="16"/>
                                <w:lang w:val="fr-FR"/>
                              </w:rPr>
                              <w:t>Politiques et r</w:t>
                            </w:r>
                            <w:r w:rsidR="00D00BA8">
                              <w:rPr>
                                <w:bCs/>
                                <w:sz w:val="16"/>
                                <w:szCs w:val="16"/>
                                <w:lang w:val="fr-FR"/>
                              </w:rPr>
                              <w:t>é</w:t>
                            </w:r>
                            <w:r w:rsidRPr="002136CC">
                              <w:rPr>
                                <w:bCs/>
                                <w:sz w:val="16"/>
                                <w:szCs w:val="16"/>
                                <w:lang w:val="fr-FR"/>
                              </w:rPr>
                              <w:t>glementation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EF4BB" id="_x0000_s1033" type="#_x0000_t202" style="position:absolute;margin-left:194.55pt;margin-top:84.65pt;width:1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" stroked="f">
                <v:textbox style="mso-fit-shape-to-text:t" inset="0,0,0,0">
                  <w:txbxContent>
                    <w:p w14:paraId="1A48DF01" w14:textId="0444A615" w:rsidR="002136CC" w:rsidRPr="002136CC" w:rsidRDefault="002136CC" w:rsidP="002136CC">
                      <w:pPr>
                        <w:spacing w:before="0"/>
                        <w:rPr>
                          <w:sz w:val="16"/>
                          <w:szCs w:val="16"/>
                        </w:rPr>
                      </w:pPr>
                      <w:r w:rsidRPr="002136CC">
                        <w:rPr>
                          <w:bCs/>
                          <w:sz w:val="16"/>
                          <w:szCs w:val="16"/>
                          <w:lang w:val="fr-FR"/>
                        </w:rPr>
                        <w:t>Politiques et r</w:t>
                      </w:r>
                      <w:r w:rsidR="00D00BA8">
                        <w:rPr>
                          <w:bCs/>
                          <w:sz w:val="16"/>
                          <w:szCs w:val="16"/>
                          <w:lang w:val="fr-FR"/>
                        </w:rPr>
                        <w:t>é</w:t>
                      </w:r>
                      <w:r w:rsidRPr="002136CC">
                        <w:rPr>
                          <w:bCs/>
                          <w:sz w:val="16"/>
                          <w:szCs w:val="16"/>
                          <w:lang w:val="fr-FR"/>
                        </w:rPr>
                        <w:t>glementation</w:t>
                      </w:r>
                    </w:p>
                  </w:txbxContent>
                </v:textbox>
              </v:shape>
            </w:pict>
          </mc:Fallback>
        </mc:AlternateContent>
      </w:r>
      <w:r w:rsidR="00847C5A" w:rsidRPr="00B745B4">
        <w:rPr>
          <w:lang w:val="fr-FR"/>
        </w:rPr>
        <mc:AlternateContent>
          <mc:Choice Requires="cx1">
            <w:drawing>
              <wp:inline distT="0" distB="0" distL="0" distR="0" wp14:anchorId="727DD817" wp14:editId="41D348A7">
                <wp:extent cx="5962650" cy="3028950"/>
                <wp:effectExtent l="0" t="0" r="0" b="0"/>
                <wp:docPr id="12" name="Chart 12">
                  <a:extLst xmlns:a="http://schemas.openxmlformats.org/drawingml/2006/main">
                    <a:ext uri="{FF2B5EF4-FFF2-40B4-BE49-F238E27FC236}">
                      <a16:creationId xmlns:a16="http://schemas.microsoft.com/office/drawing/2014/main" id="{BFB36DB6-7F94-4EC2-A54E-A67310BBFE7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727DD817" wp14:editId="41D348A7">
                <wp:extent cx="5962650" cy="3028950"/>
                <wp:effectExtent l="0" t="0" r="0" b="0"/>
                <wp:docPr id="12" name="Chart 12">
                  <a:extLst xmlns:a="http://schemas.openxmlformats.org/drawingml/2006/main">
                    <a:ext uri="{FF2B5EF4-FFF2-40B4-BE49-F238E27FC236}">
                      <a16:creationId xmlns:a16="http://schemas.microsoft.com/office/drawing/2014/main" id="{BFB36DB6-7F94-4EC2-A54E-A67310BBFE7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Chart 12">
                          <a:extLst>
                            <a:ext uri="{FF2B5EF4-FFF2-40B4-BE49-F238E27FC236}">
                              <a16:creationId xmlns:a16="http://schemas.microsoft.com/office/drawing/2014/main" id="{BFB36DB6-7F94-4EC2-A54E-A67310BBFE75}"/>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962650" cy="3028950"/>
                        </a:xfrm>
                        <a:prstGeom prst="rect">
                          <a:avLst/>
                        </a:prstGeom>
                      </pic:spPr>
                    </pic:pic>
                  </a:graphicData>
                </a:graphic>
              </wp:inline>
            </w:drawing>
          </mc:Fallback>
        </mc:AlternateContent>
      </w:r>
    </w:p>
    <w:p w14:paraId="4B2DB674" w14:textId="5B4E0513" w:rsidR="00044FD0" w:rsidRPr="00B745B4" w:rsidRDefault="00A9087F" w:rsidP="002136CC">
      <w:pPr>
        <w:pStyle w:val="Headingb"/>
        <w:spacing w:before="240" w:after="240"/>
        <w:rPr>
          <w:lang w:val="fr-FR"/>
        </w:rPr>
      </w:pPr>
      <w:r w:rsidRPr="00B745B4">
        <w:rPr>
          <w:lang w:val="fr-FR"/>
        </w:rPr>
        <w:t>Analyse comparative pour la même période en 2020 et 2021 (janvier-fin août)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073"/>
        <w:gridCol w:w="6566"/>
      </w:tblGrid>
      <w:tr w:rsidR="00044FD0" w:rsidRPr="00B745B4" w14:paraId="72C12267" w14:textId="77777777" w:rsidTr="000052FF">
        <w:tc>
          <w:tcPr>
            <w:tcW w:w="3073" w:type="dxa"/>
            <w:shd w:val="clear" w:color="auto" w:fill="auto"/>
          </w:tcPr>
          <w:p w14:paraId="7C0A878F" w14:textId="2B86248F" w:rsidR="00044FD0" w:rsidRPr="00B745B4" w:rsidRDefault="000052FF" w:rsidP="003E0D2A">
            <w:pPr>
              <w:spacing w:before="160" w:after="240"/>
              <w:rPr>
                <w:szCs w:val="24"/>
                <w:lang w:val="fr-FR"/>
              </w:rPr>
            </w:pPr>
            <w:r w:rsidRPr="00B745B4">
              <w:rPr>
                <w:szCs w:val="24"/>
                <w:lang w:val="fr-FR"/>
              </w:rPr>
              <w:drawing>
                <wp:inline distT="0" distB="0" distL="0" distR="0" wp14:anchorId="5435477B" wp14:editId="1B04291B">
                  <wp:extent cx="1990725" cy="1968500"/>
                  <wp:effectExtent l="0" t="0" r="9525" b="12700"/>
                  <wp:docPr id="19" name="Chart 19">
                    <a:extLst xmlns:a="http://schemas.openxmlformats.org/drawingml/2006/main">
                      <a:ext uri="{FF2B5EF4-FFF2-40B4-BE49-F238E27FC236}">
                        <a16:creationId xmlns:a16="http://schemas.microsoft.com/office/drawing/2014/main" id="{19AAE137-0988-4BAE-B6BE-5B60A3E5D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566" w:type="dxa"/>
            <w:shd w:val="clear" w:color="auto" w:fill="auto"/>
          </w:tcPr>
          <w:p w14:paraId="3AFF648C" w14:textId="18AAB01F" w:rsidR="00044FD0" w:rsidRPr="00B745B4" w:rsidRDefault="000052FF" w:rsidP="003E0D2A">
            <w:pPr>
              <w:rPr>
                <w:szCs w:val="24"/>
                <w:lang w:val="fr-FR"/>
              </w:rPr>
            </w:pPr>
            <w:r w:rsidRPr="00B745B4">
              <w:rPr>
                <w:szCs w:val="24"/>
                <w:lang w:val="fr-FR"/>
              </w:rPr>
              <w:drawing>
                <wp:inline distT="0" distB="0" distL="0" distR="0" wp14:anchorId="673353E6" wp14:editId="37269910">
                  <wp:extent cx="4371975" cy="2062163"/>
                  <wp:effectExtent l="0" t="0" r="9525" b="14605"/>
                  <wp:docPr id="20" name="Chart 20">
                    <a:extLst xmlns:a="http://schemas.openxmlformats.org/drawingml/2006/main">
                      <a:ext uri="{FF2B5EF4-FFF2-40B4-BE49-F238E27FC236}">
                        <a16:creationId xmlns:a16="http://schemas.microsoft.com/office/drawing/2014/main" id="{AE27C577-025E-40D9-AA8A-9E4AEDD15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76A73CA5" w14:textId="42355F01" w:rsidR="00CC5362" w:rsidRPr="00B745B4" w:rsidRDefault="001B081A" w:rsidP="003E0D2A">
      <w:pPr>
        <w:pStyle w:val="Heading1"/>
        <w:rPr>
          <w:sz w:val="24"/>
          <w:szCs w:val="24"/>
          <w:lang w:val="fr-FR"/>
        </w:rPr>
      </w:pPr>
      <w:r w:rsidRPr="00B745B4">
        <w:rPr>
          <w:sz w:val="24"/>
          <w:szCs w:val="24"/>
          <w:lang w:val="fr-FR"/>
        </w:rPr>
        <w:t>6</w:t>
      </w:r>
      <w:r w:rsidR="00CC5362" w:rsidRPr="00B745B4">
        <w:rPr>
          <w:sz w:val="24"/>
          <w:szCs w:val="24"/>
          <w:lang w:val="fr-FR"/>
        </w:rPr>
        <w:tab/>
        <w:t>Perspectives d'avenir</w:t>
      </w:r>
    </w:p>
    <w:p w14:paraId="08CE7C2F" w14:textId="1C1CB9ED" w:rsidR="00CC5362" w:rsidRPr="00B745B4" w:rsidRDefault="00044FD0" w:rsidP="003E0D2A">
      <w:pPr>
        <w:rPr>
          <w:lang w:val="fr-FR"/>
        </w:rPr>
      </w:pPr>
      <w:r w:rsidRPr="00B745B4">
        <w:rPr>
          <w:lang w:val="fr-FR"/>
        </w:rPr>
        <w:t>L</w:t>
      </w:r>
      <w:r w:rsidR="00CC5362" w:rsidRPr="00B745B4">
        <w:rPr>
          <w:lang w:val="fr-FR"/>
        </w:rPr>
        <w:t>e BDT a effectué des progrès remarquables dans les négociations et la conclusion de nouveaux partenariats avec des partenaires très divers</w:t>
      </w:r>
      <w:r w:rsidR="00202511" w:rsidRPr="00B745B4">
        <w:rPr>
          <w:lang w:val="fr-FR"/>
        </w:rPr>
        <w:t>, qui ont permis de mobiliser de nouvelles ressources</w:t>
      </w:r>
      <w:r w:rsidR="00CC5362" w:rsidRPr="00B745B4">
        <w:rPr>
          <w:lang w:val="fr-FR"/>
        </w:rPr>
        <w:t xml:space="preserve">. Les efforts déployés actuellement visent à consolider les relations avec les partenaires existants et à </w:t>
      </w:r>
      <w:r w:rsidR="00202511" w:rsidRPr="00B745B4">
        <w:rPr>
          <w:lang w:val="fr-FR"/>
        </w:rPr>
        <w:t xml:space="preserve">en </w:t>
      </w:r>
      <w:r w:rsidR="00CC5362" w:rsidRPr="00B745B4">
        <w:rPr>
          <w:lang w:val="fr-FR"/>
        </w:rPr>
        <w:t xml:space="preserve">attirer </w:t>
      </w:r>
      <w:r w:rsidR="00202511" w:rsidRPr="00B745B4">
        <w:rPr>
          <w:lang w:val="fr-FR"/>
        </w:rPr>
        <w:t xml:space="preserve">de </w:t>
      </w:r>
      <w:r w:rsidR="00CC5362" w:rsidRPr="00B745B4">
        <w:rPr>
          <w:lang w:val="fr-FR"/>
        </w:rPr>
        <w:t xml:space="preserve">nouveaux </w:t>
      </w:r>
      <w:r w:rsidR="00202511" w:rsidRPr="00B745B4">
        <w:rPr>
          <w:lang w:val="fr-FR"/>
        </w:rPr>
        <w:t>afin de trouver</w:t>
      </w:r>
      <w:r w:rsidR="00CC5362" w:rsidRPr="00B745B4">
        <w:rPr>
          <w:lang w:val="fr-FR"/>
        </w:rPr>
        <w:t xml:space="preserve"> davantage de ressources pour financer </w:t>
      </w:r>
      <w:r w:rsidR="00202511" w:rsidRPr="00B745B4">
        <w:rPr>
          <w:lang w:val="fr-FR"/>
        </w:rPr>
        <w:t>l</w:t>
      </w:r>
      <w:r w:rsidR="00CC5362" w:rsidRPr="00B745B4">
        <w:rPr>
          <w:lang w:val="fr-FR"/>
        </w:rPr>
        <w:t>es projets efficaces et à grande échelle</w:t>
      </w:r>
      <w:r w:rsidR="00202511" w:rsidRPr="00B745B4">
        <w:rPr>
          <w:lang w:val="fr-FR"/>
        </w:rPr>
        <w:t xml:space="preserve"> nécessaires pour</w:t>
      </w:r>
      <w:r w:rsidR="00CC5362" w:rsidRPr="00B745B4">
        <w:rPr>
          <w:lang w:val="fr-FR"/>
        </w:rPr>
        <w:t xml:space="preserve"> mettre en œuvre avec succès les</w:t>
      </w:r>
      <w:r w:rsidR="00202511" w:rsidRPr="00B745B4">
        <w:rPr>
          <w:lang w:val="fr-FR"/>
        </w:rPr>
        <w:t xml:space="preserve"> résultats de</w:t>
      </w:r>
      <w:r w:rsidR="00CC5362" w:rsidRPr="00B745B4">
        <w:rPr>
          <w:lang w:val="fr-FR"/>
        </w:rPr>
        <w:t xml:space="preserve"> la CMDT-17 et </w:t>
      </w:r>
      <w:r w:rsidR="00202511" w:rsidRPr="00B745B4">
        <w:rPr>
          <w:lang w:val="fr-FR"/>
        </w:rPr>
        <w:t>de</w:t>
      </w:r>
      <w:r w:rsidR="00CC5362" w:rsidRPr="00B745B4">
        <w:rPr>
          <w:lang w:val="fr-FR"/>
        </w:rPr>
        <w:t xml:space="preserve"> la CMDT-21</w:t>
      </w:r>
      <w:r w:rsidR="00202511" w:rsidRPr="00B745B4">
        <w:rPr>
          <w:lang w:val="fr-FR"/>
        </w:rPr>
        <w:t xml:space="preserve"> qui comprennent les initiatives régionales</w:t>
      </w:r>
      <w:r w:rsidR="00CC5362" w:rsidRPr="00B745B4">
        <w:rPr>
          <w:lang w:val="fr-FR"/>
        </w:rPr>
        <w:t>.</w:t>
      </w:r>
    </w:p>
    <w:p w14:paraId="39F53C3A" w14:textId="77777777" w:rsidR="00821996" w:rsidRPr="00B745B4" w:rsidRDefault="003C58BF" w:rsidP="003E0D2A">
      <w:pPr>
        <w:tabs>
          <w:tab w:val="clear" w:pos="794"/>
          <w:tab w:val="clear" w:pos="1191"/>
          <w:tab w:val="clear" w:pos="1588"/>
          <w:tab w:val="clear" w:pos="1985"/>
        </w:tabs>
        <w:spacing w:before="360" w:after="120"/>
        <w:jc w:val="center"/>
        <w:rPr>
          <w:lang w:val="fr-FR"/>
        </w:rPr>
      </w:pPr>
      <w:bookmarkStart w:id="6" w:name="Proposal"/>
      <w:bookmarkEnd w:id="6"/>
      <w:r w:rsidRPr="00B745B4">
        <w:rPr>
          <w:lang w:val="fr-FR"/>
        </w:rPr>
        <w:t>_____________</w:t>
      </w:r>
      <w:r w:rsidR="004122C5" w:rsidRPr="00B745B4">
        <w:rPr>
          <w:lang w:val="fr-FR"/>
        </w:rPr>
        <w:t>_</w:t>
      </w:r>
      <w:r w:rsidR="00922EC1" w:rsidRPr="00B745B4">
        <w:rPr>
          <w:lang w:val="fr-FR"/>
        </w:rPr>
        <w:t>_</w:t>
      </w:r>
    </w:p>
    <w:sectPr w:rsidR="00821996" w:rsidRPr="00B745B4"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FD6E" w14:textId="77777777" w:rsidR="001E5592" w:rsidRDefault="001E5592">
      <w:r>
        <w:separator/>
      </w:r>
    </w:p>
  </w:endnote>
  <w:endnote w:type="continuationSeparator" w:id="0">
    <w:p w14:paraId="72AA7CD5" w14:textId="77777777" w:rsidR="001E5592" w:rsidRDefault="001E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557C" w14:textId="15B6B57B" w:rsidR="00D24347" w:rsidRDefault="001B081A" w:rsidP="00D24347">
    <w:pPr>
      <w:pStyle w:val="Footer"/>
    </w:pPr>
    <w:fldSimple w:instr=" FILENAME \p  \* MERGEFORMAT ">
      <w:r>
        <w:t>P:\FRA\ITU-D\CONF-D\TDAG21\TDAG21-29\000\004F.docx</w:t>
      </w:r>
    </w:fldSimple>
    <w:r w:rsidR="00D24347">
      <w:t xml:space="preserve"> (49</w:t>
    </w:r>
    <w:r w:rsidR="00044FD0">
      <w:t>4506</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C5362" w:rsidRPr="00637EA3" w14:paraId="60D8084E" w14:textId="77777777" w:rsidTr="004E3CF5">
      <w:tc>
        <w:tcPr>
          <w:tcW w:w="1526" w:type="dxa"/>
          <w:tcBorders>
            <w:top w:val="single" w:sz="4" w:space="0" w:color="000000"/>
          </w:tcBorders>
          <w:shd w:val="clear" w:color="auto" w:fill="auto"/>
        </w:tcPr>
        <w:p w14:paraId="754884C4" w14:textId="77777777" w:rsidR="00CC5362" w:rsidRPr="004D495C" w:rsidRDefault="00CC5362" w:rsidP="00CC536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CC5362" w:rsidRPr="004D495C" w:rsidRDefault="00CC5362" w:rsidP="00CC536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619C09B9" w:rsidR="00CC5362" w:rsidRPr="00637EA3" w:rsidRDefault="00CC5362" w:rsidP="00CC5362">
          <w:pPr>
            <w:pStyle w:val="FirstFooter"/>
            <w:tabs>
              <w:tab w:val="left" w:pos="2302"/>
            </w:tabs>
            <w:rPr>
              <w:sz w:val="18"/>
              <w:szCs w:val="18"/>
            </w:rPr>
          </w:pPr>
          <w:r w:rsidRPr="00AB674D">
            <w:rPr>
              <w:sz w:val="18"/>
              <w:szCs w:val="18"/>
              <w:lang w:val="fr-CH"/>
            </w:rPr>
            <w:t>M. Cosmas Zavazava, Chef du Département des partenariats pour le développement numérique</w:t>
          </w:r>
          <w:r w:rsidRPr="00AB674D">
            <w:rPr>
              <w:sz w:val="18"/>
              <w:szCs w:val="18"/>
              <w:lang w:val="fr-CH"/>
            </w:rPr>
            <w:br/>
            <w:t>Bureau de développement des télécommunications</w:t>
          </w:r>
        </w:p>
      </w:tc>
      <w:bookmarkStart w:id="7" w:name="OrgName"/>
      <w:bookmarkEnd w:id="7"/>
    </w:tr>
    <w:tr w:rsidR="00CC5362" w:rsidRPr="004D495C" w14:paraId="0B563E22" w14:textId="77777777" w:rsidTr="004E3CF5">
      <w:tc>
        <w:tcPr>
          <w:tcW w:w="1526" w:type="dxa"/>
          <w:shd w:val="clear" w:color="auto" w:fill="auto"/>
        </w:tcPr>
        <w:p w14:paraId="5AC383C8" w14:textId="77777777" w:rsidR="00CC5362" w:rsidRPr="00637EA3" w:rsidRDefault="00CC5362" w:rsidP="00CC5362">
          <w:pPr>
            <w:pStyle w:val="FirstFooter"/>
            <w:tabs>
              <w:tab w:val="left" w:pos="1559"/>
              <w:tab w:val="left" w:pos="3828"/>
            </w:tabs>
            <w:rPr>
              <w:sz w:val="20"/>
            </w:rPr>
          </w:pPr>
        </w:p>
      </w:tc>
      <w:tc>
        <w:tcPr>
          <w:tcW w:w="2410" w:type="dxa"/>
          <w:shd w:val="clear" w:color="auto" w:fill="auto"/>
        </w:tcPr>
        <w:p w14:paraId="19A37BA1" w14:textId="1907678E" w:rsidR="00CC5362" w:rsidRPr="004D495C" w:rsidRDefault="00CC5362" w:rsidP="00CC5362">
          <w:pPr>
            <w:pStyle w:val="FirstFooter"/>
            <w:tabs>
              <w:tab w:val="left" w:pos="2302"/>
            </w:tabs>
            <w:rPr>
              <w:sz w:val="18"/>
              <w:szCs w:val="18"/>
              <w:lang w:val="en-US"/>
            </w:rPr>
          </w:pPr>
          <w:r w:rsidRPr="009D3681">
            <w:rPr>
              <w:sz w:val="18"/>
              <w:szCs w:val="18"/>
            </w:rPr>
            <w:t>Numéro de téléphone:</w:t>
          </w:r>
        </w:p>
      </w:tc>
      <w:tc>
        <w:tcPr>
          <w:tcW w:w="5987" w:type="dxa"/>
        </w:tcPr>
        <w:p w14:paraId="2FCA9F83" w14:textId="3A2DE77B" w:rsidR="00CC5362" w:rsidRPr="00AF7A97" w:rsidRDefault="00CC5362" w:rsidP="00CC5362">
          <w:pPr>
            <w:pStyle w:val="FirstFooter"/>
            <w:tabs>
              <w:tab w:val="left" w:pos="2302"/>
            </w:tabs>
            <w:rPr>
              <w:sz w:val="18"/>
              <w:szCs w:val="18"/>
              <w:lang w:val="en-US"/>
            </w:rPr>
          </w:pPr>
          <w:r w:rsidRPr="00AB674D">
            <w:rPr>
              <w:sz w:val="18"/>
              <w:szCs w:val="18"/>
              <w:lang w:val="en-US"/>
            </w:rPr>
            <w:t>+41 22 730 5447</w:t>
          </w:r>
        </w:p>
      </w:tc>
      <w:bookmarkStart w:id="8" w:name="PhoneNo"/>
      <w:bookmarkEnd w:id="8"/>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05F13FC7" w:rsidR="0059420B" w:rsidRPr="00AF7A97" w:rsidRDefault="00B745B4" w:rsidP="0059420B">
          <w:pPr>
            <w:pStyle w:val="FirstFooter"/>
            <w:tabs>
              <w:tab w:val="left" w:pos="2302"/>
            </w:tabs>
            <w:rPr>
              <w:sz w:val="18"/>
              <w:szCs w:val="18"/>
              <w:lang w:val="en-US"/>
            </w:rPr>
          </w:pPr>
          <w:hyperlink r:id="rId1" w:history="1">
            <w:r w:rsidR="00CC5362" w:rsidRPr="00AB674D">
              <w:rPr>
                <w:rStyle w:val="Hyperlink"/>
                <w:sz w:val="18"/>
                <w:szCs w:val="18"/>
                <w:lang w:val="en-US"/>
              </w:rPr>
              <w:t>cosmas.zavazava@itu.int</w:t>
            </w:r>
          </w:hyperlink>
        </w:p>
      </w:tc>
      <w:bookmarkStart w:id="9" w:name="Email"/>
      <w:bookmarkEnd w:id="9"/>
    </w:tr>
  </w:tbl>
  <w:p w14:paraId="04CE603F" w14:textId="0C39F2D0" w:rsidR="00721657" w:rsidRPr="0059420B" w:rsidRDefault="00B745B4"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F818" w14:textId="77777777" w:rsidR="001E5592" w:rsidRDefault="001E5592">
      <w:r>
        <w:t>____________________</w:t>
      </w:r>
    </w:p>
  </w:footnote>
  <w:footnote w:type="continuationSeparator" w:id="0">
    <w:p w14:paraId="398E12D2" w14:textId="77777777" w:rsidR="001E5592" w:rsidRDefault="001E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AC3" w14:textId="405F4BA8"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CC5362">
      <w:rPr>
        <w:sz w:val="22"/>
        <w:szCs w:val="22"/>
        <w:lang w:val="de-CH"/>
      </w:rPr>
      <w:t>4</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2434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F9F851-BB2D-417E-9C78-C956B69C7DEF}"/>
    <w:docVar w:name="dgnword-eventsink" w:val="2202046607920"/>
  </w:docVars>
  <w:rsids>
    <w:rsidRoot w:val="00C63CFE"/>
    <w:rsid w:val="00002716"/>
    <w:rsid w:val="000052FF"/>
    <w:rsid w:val="00005791"/>
    <w:rsid w:val="00010827"/>
    <w:rsid w:val="00015089"/>
    <w:rsid w:val="0002520B"/>
    <w:rsid w:val="00037A9E"/>
    <w:rsid w:val="00037F91"/>
    <w:rsid w:val="000422FA"/>
    <w:rsid w:val="00044FD0"/>
    <w:rsid w:val="000534C9"/>
    <w:rsid w:val="000539F1"/>
    <w:rsid w:val="00054747"/>
    <w:rsid w:val="00055A2A"/>
    <w:rsid w:val="000615C1"/>
    <w:rsid w:val="00061675"/>
    <w:rsid w:val="000743AA"/>
    <w:rsid w:val="0009076F"/>
    <w:rsid w:val="0009225C"/>
    <w:rsid w:val="000A17C4"/>
    <w:rsid w:val="000A36A4"/>
    <w:rsid w:val="000B2352"/>
    <w:rsid w:val="000C5CD8"/>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081A"/>
    <w:rsid w:val="001B357F"/>
    <w:rsid w:val="001C3444"/>
    <w:rsid w:val="001C3702"/>
    <w:rsid w:val="001C4656"/>
    <w:rsid w:val="001C46BC"/>
    <w:rsid w:val="001E5592"/>
    <w:rsid w:val="001F23E6"/>
    <w:rsid w:val="001F4238"/>
    <w:rsid w:val="00200A38"/>
    <w:rsid w:val="00200A46"/>
    <w:rsid w:val="00202511"/>
    <w:rsid w:val="00205FFB"/>
    <w:rsid w:val="00211B6F"/>
    <w:rsid w:val="002136CC"/>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E0D2A"/>
    <w:rsid w:val="003F2DD8"/>
    <w:rsid w:val="003F3F2D"/>
    <w:rsid w:val="003F50B2"/>
    <w:rsid w:val="003F6EB2"/>
    <w:rsid w:val="00400CCF"/>
    <w:rsid w:val="00401BFF"/>
    <w:rsid w:val="00404424"/>
    <w:rsid w:val="0041156B"/>
    <w:rsid w:val="004122C5"/>
    <w:rsid w:val="00413B78"/>
    <w:rsid w:val="00416396"/>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A75D5"/>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57FD3"/>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11EAF"/>
    <w:rsid w:val="00623F30"/>
    <w:rsid w:val="00625FB8"/>
    <w:rsid w:val="006261BD"/>
    <w:rsid w:val="00635EDB"/>
    <w:rsid w:val="00637EA3"/>
    <w:rsid w:val="0064734E"/>
    <w:rsid w:val="00650137"/>
    <w:rsid w:val="006509D7"/>
    <w:rsid w:val="00651CE8"/>
    <w:rsid w:val="0065521B"/>
    <w:rsid w:val="00665C80"/>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462D"/>
    <w:rsid w:val="007279A8"/>
    <w:rsid w:val="00727B1A"/>
    <w:rsid w:val="00741337"/>
    <w:rsid w:val="00752258"/>
    <w:rsid w:val="007529E1"/>
    <w:rsid w:val="00762880"/>
    <w:rsid w:val="00762AD6"/>
    <w:rsid w:val="00762E02"/>
    <w:rsid w:val="00772290"/>
    <w:rsid w:val="00777265"/>
    <w:rsid w:val="007805E7"/>
    <w:rsid w:val="0078222A"/>
    <w:rsid w:val="00782F75"/>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3B6"/>
    <w:rsid w:val="00847C5A"/>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0746"/>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2F21"/>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087F"/>
    <w:rsid w:val="00A91599"/>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745B4"/>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2D1"/>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362"/>
    <w:rsid w:val="00CC732E"/>
    <w:rsid w:val="00CD2FCD"/>
    <w:rsid w:val="00CD7207"/>
    <w:rsid w:val="00CE0422"/>
    <w:rsid w:val="00CE0DBE"/>
    <w:rsid w:val="00CE5E4D"/>
    <w:rsid w:val="00CF02C4"/>
    <w:rsid w:val="00CF167F"/>
    <w:rsid w:val="00CF5259"/>
    <w:rsid w:val="00CF72E5"/>
    <w:rsid w:val="00D00BA8"/>
    <w:rsid w:val="00D013EE"/>
    <w:rsid w:val="00D01F54"/>
    <w:rsid w:val="00D040F7"/>
    <w:rsid w:val="00D04A76"/>
    <w:rsid w:val="00D10FC7"/>
    <w:rsid w:val="00D1519F"/>
    <w:rsid w:val="00D16636"/>
    <w:rsid w:val="00D20E99"/>
    <w:rsid w:val="00D21C83"/>
    <w:rsid w:val="00D24347"/>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2C81"/>
    <w:rsid w:val="00E03EBF"/>
    <w:rsid w:val="00E05209"/>
    <w:rsid w:val="00E11BCF"/>
    <w:rsid w:val="00E2258E"/>
    <w:rsid w:val="00E260C2"/>
    <w:rsid w:val="00E32596"/>
    <w:rsid w:val="00E368F7"/>
    <w:rsid w:val="00E36EB8"/>
    <w:rsid w:val="00E37FB8"/>
    <w:rsid w:val="00E40730"/>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3EE0"/>
    <w:rsid w:val="00F626F7"/>
    <w:rsid w:val="00F736F9"/>
    <w:rsid w:val="00F73833"/>
    <w:rsid w:val="00F744EE"/>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paragraph" w:customStyle="1" w:styleId="Figure">
    <w:name w:val="Figure"/>
    <w:basedOn w:val="Normal"/>
    <w:rsid w:val="00CC5362"/>
    <w:pPr>
      <w:tabs>
        <w:tab w:val="clear" w:pos="794"/>
        <w:tab w:val="clear" w:pos="1191"/>
        <w:tab w:val="clear" w:pos="1588"/>
        <w:tab w:val="clear" w:pos="1985"/>
      </w:tabs>
      <w:overflowPunct/>
      <w:autoSpaceDE/>
      <w:autoSpaceDN/>
      <w:adjustRightInd/>
      <w:snapToGrid w:val="0"/>
      <w:spacing w:before="40" w:after="40"/>
      <w:jc w:val="center"/>
      <w:textAlignment w:val="auto"/>
    </w:pPr>
    <w:rPr>
      <w:rFonts w:ascii="Times New Roman" w:hAnsi="Times New Roman"/>
      <w:noProof/>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94506\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TDAG%202021/Oct%202021/Chiffres2021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494506\Charts.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appxchg\APP\CONF\RefDocs\494506\Charts.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ituint-my.sharepoint.com/personal/sandrine_guyot_itu_int/Documents/TDAG/TDAG%202021/Oct%202021/Chiffres2021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GB" sz="1050" b="1" i="0" kern="1200" spc="0" baseline="0">
                <a:solidFill>
                  <a:srgbClr val="595959"/>
                </a:solidFill>
                <a:effectLst/>
              </a:rPr>
              <a:t>Contributions financières convenues par type de partenaire </a:t>
            </a:r>
            <a:br>
              <a:rPr lang="en-GB" sz="1050" b="1" i="0" kern="1200" spc="0" baseline="0">
                <a:solidFill>
                  <a:srgbClr val="595959"/>
                </a:solidFill>
                <a:effectLst/>
              </a:rPr>
            </a:br>
            <a:r>
              <a:rPr lang="en-GB" sz="1050" b="1" i="0" kern="1200" spc="0" baseline="0">
                <a:solidFill>
                  <a:srgbClr val="595959"/>
                </a:solidFill>
                <a:effectLst/>
              </a:rPr>
              <a:t>(1er Janvier − 31 août 2021)</a:t>
            </a:r>
          </a:p>
        </c:rich>
      </c:tx>
      <c:layout>
        <c:manualLayout>
          <c:xMode val="edge"/>
          <c:yMode val="edge"/>
          <c:x val="0.16901670827731899"/>
          <c:y val="1.5799858506254007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4549196388832415"/>
          <c:y val="0.25215469613259667"/>
          <c:w val="0.51158419921864273"/>
          <c:h val="0.6870718232044198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Type!$A$1:$A$7</c:f>
              <c:strCache>
                <c:ptCount val="7"/>
                <c:pt idx="0">
                  <c:v>Établissements universitaires</c:v>
                </c:pt>
                <c:pt idx="1">
                  <c:v>Entités du secteur privé</c:v>
                </c:pt>
                <c:pt idx="2">
                  <c:v>Organisations internationales et régionales</c:v>
                </c:pt>
                <c:pt idx="3">
                  <c:v>États membres de l'UIT et autres entités gouvernementales</c:v>
                </c:pt>
                <c:pt idx="4">
                  <c:v>Institutions financières</c:v>
                </c:pt>
                <c:pt idx="5">
                  <c:v>Autres entités</c:v>
                </c:pt>
                <c:pt idx="6">
                  <c:v>Organisations du système des Nations Unies</c:v>
                </c:pt>
              </c:strCache>
            </c:strRef>
          </c:cat>
          <c:val>
            <c:numRef>
              <c:f>Type!$B$1:$B$7</c:f>
              <c:numCache>
                <c:formatCode>0.0%</c:formatCode>
                <c:ptCount val="7"/>
                <c:pt idx="0">
                  <c:v>2.7812343450873051E-3</c:v>
                </c:pt>
                <c:pt idx="1">
                  <c:v>0.15208023240336779</c:v>
                </c:pt>
                <c:pt idx="2">
                  <c:v>0.15757645586391322</c:v>
                </c:pt>
                <c:pt idx="3">
                  <c:v>0.51377988481283454</c:v>
                </c:pt>
                <c:pt idx="4">
                  <c:v>1.3875933613445966E-2</c:v>
                </c:pt>
                <c:pt idx="5">
                  <c:v>7.9092821596642007E-2</c:v>
                </c:pt>
                <c:pt idx="6">
                  <c:v>8.0813437364709306E-2</c:v>
                </c:pt>
              </c:numCache>
            </c:numRef>
          </c:val>
          <c:extLst>
            <c:ext xmlns:c16="http://schemas.microsoft.com/office/drawing/2014/chart" uri="{C3380CC4-5D6E-409C-BE32-E72D297353CC}">
              <c16:uniqueId val="{00000000-5C2F-4964-B720-D41476C8DF54}"/>
            </c:ext>
          </c:extLst>
        </c:ser>
        <c:dLbls>
          <c:dLblPos val="outEnd"/>
          <c:showLegendKey val="0"/>
          <c:showVal val="1"/>
          <c:showCatName val="0"/>
          <c:showSerName val="0"/>
          <c:showPercent val="0"/>
          <c:showBubbleSize val="0"/>
        </c:dLbls>
        <c:gapWidth val="182"/>
        <c:axId val="1452505632"/>
        <c:axId val="1452502720"/>
      </c:barChart>
      <c:catAx>
        <c:axId val="145250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2502720"/>
        <c:crosses val="autoZero"/>
        <c:auto val="1"/>
        <c:lblAlgn val="ctr"/>
        <c:lblOffset val="100"/>
        <c:noMultiLvlLbl val="0"/>
      </c:catAx>
      <c:valAx>
        <c:axId val="145250272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45250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100" b="1">
                <a:solidFill>
                  <a:schemeClr val="tx1">
                    <a:lumMod val="65000"/>
                    <a:lumOff val="35000"/>
                  </a:schemeClr>
                </a:solidFill>
              </a:rPr>
              <a:t>Accords signés par région</a:t>
            </a:r>
            <a:endParaRPr lang="en-GB" sz="1100" b="1" baseline="0">
              <a:solidFill>
                <a:schemeClr val="tx1">
                  <a:lumMod val="65000"/>
                  <a:lumOff val="35000"/>
                </a:schemeClr>
              </a:solidFill>
            </a:endParaRPr>
          </a:p>
          <a:p>
            <a:pPr>
              <a:defRPr sz="1100" b="1"/>
            </a:pPr>
            <a:r>
              <a:rPr lang="en-GB" sz="1100" b="1" baseline="0">
                <a:solidFill>
                  <a:schemeClr val="tx1">
                    <a:lumMod val="65000"/>
                    <a:lumOff val="35000"/>
                  </a:schemeClr>
                </a:solidFill>
              </a:rPr>
              <a:t>(1er Janvier − 31 Août 2021)</a:t>
            </a:r>
            <a:endParaRPr lang="en-GB" sz="1100"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33237465295696389"/>
          <c:y val="0.21264373023567681"/>
          <c:w val="0.32115644635329677"/>
          <c:h val="0.629304023993548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FB-414A-8061-43653E666A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FB-414A-8061-43653E666A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FB-414A-8061-43653E666A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FB-414A-8061-43653E666A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FB-414A-8061-43653E666A0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FB-414A-8061-43653E666A07}"/>
              </c:ext>
            </c:extLst>
          </c:dPt>
          <c:dLbls>
            <c:dLbl>
              <c:idx val="0"/>
              <c:tx>
                <c:rich>
                  <a:bodyPr/>
                  <a:lstStyle/>
                  <a:p>
                    <a:r>
                      <a:rPr lang="en-US"/>
                      <a:t>Afrique</a:t>
                    </a:r>
                    <a:endParaRPr lang="en-US" baseline="0"/>
                  </a:p>
                  <a:p>
                    <a:fld id="{3190F70B-1E42-45A4-BC5C-56A47AE73C4D}" type="VALUE">
                      <a:rPr lang="en-US" baseline="0"/>
                      <a:pPr/>
                      <a:t>[VALUE]</a:t>
                    </a:fld>
                    <a:endParaRPr lang="fr-F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DFB-414A-8061-43653E666A07}"/>
                </c:ext>
              </c:extLst>
            </c:dLbl>
            <c:dLbl>
              <c:idx val="1"/>
              <c:layout>
                <c:manualLayout>
                  <c:x val="3.6255065045851992E-2"/>
                  <c:y val="-1.284796573875803E-2"/>
                </c:manualLayout>
              </c:layout>
              <c:tx>
                <c:rich>
                  <a:bodyPr/>
                  <a:lstStyle/>
                  <a:p>
                    <a:r>
                      <a:rPr lang="en-US"/>
                      <a:t>Amériques</a:t>
                    </a:r>
                    <a:endParaRPr lang="en-US" baseline="0"/>
                  </a:p>
                  <a:p>
                    <a:fld id="{D96CC4CA-6F61-450B-9DAA-3A9BE9129F58}" type="VALUE">
                      <a:rPr lang="en-US" baseline="0"/>
                      <a:pPr/>
                      <a:t>[VALUE]</a:t>
                    </a:fld>
                    <a:endParaRPr lang="fr-F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DFB-414A-8061-43653E666A07}"/>
                </c:ext>
              </c:extLst>
            </c:dLbl>
            <c:dLbl>
              <c:idx val="2"/>
              <c:layout>
                <c:manualLayout>
                  <c:x val="2.7724461505651526E-2"/>
                  <c:y val="1.284796573875803E-2"/>
                </c:manualLayout>
              </c:layout>
              <c:tx>
                <c:rich>
                  <a:bodyPr/>
                  <a:lstStyle/>
                  <a:p>
                    <a:r>
                      <a:rPr lang="en-US"/>
                      <a:t>États arabes</a:t>
                    </a:r>
                    <a:endParaRPr lang="en-US" baseline="0"/>
                  </a:p>
                  <a:p>
                    <a:fld id="{D90C4D48-4B95-490B-A7DF-20B42422D193}" type="VALUE">
                      <a:rPr lang="en-US" baseline="0"/>
                      <a:pPr/>
                      <a:t>[VALUE]</a:t>
                    </a:fld>
                    <a:endParaRPr lang="fr-F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DFB-414A-8061-43653E666A07}"/>
                </c:ext>
              </c:extLst>
            </c:dLbl>
            <c:dLbl>
              <c:idx val="3"/>
              <c:tx>
                <c:rich>
                  <a:bodyPr/>
                  <a:lstStyle/>
                  <a:p>
                    <a:r>
                      <a:rPr lang="en-US"/>
                      <a:t>Asie-Pacifique</a:t>
                    </a:r>
                  </a:p>
                  <a:p>
                    <a:fld id="{7DDE17A1-36F9-4AAB-BE7E-164C8E24B339}" type="VALUE">
                      <a:rPr lang="en-US" baseline="0"/>
                      <a:pPr/>
                      <a:t>[VALUE]</a:t>
                    </a:fld>
                    <a:endParaRPr lang="fr-F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DFB-414A-8061-43653E666A07}"/>
                </c:ext>
              </c:extLst>
            </c:dLbl>
            <c:dLbl>
              <c:idx val="4"/>
              <c:layout>
                <c:manualLayout>
                  <c:x val="-6.1846875666453444E-2"/>
                  <c:y val="-6.8522483940042747E-2"/>
                </c:manualLayout>
              </c:layout>
              <c:tx>
                <c:rich>
                  <a:bodyPr/>
                  <a:lstStyle/>
                  <a:p>
                    <a:fld id="{5AFEB057-8BA8-459E-AA01-49BBD643CECD}" type="CATEGORYNAME">
                      <a:rPr lang="en-US"/>
                      <a:pPr/>
                      <a:t>[CATEGORY NAME]</a:t>
                    </a:fld>
                    <a:endParaRPr lang="en-US" baseline="0"/>
                  </a:p>
                  <a:p>
                    <a:fld id="{50FC3429-8A74-4B1A-B66C-80EDBE2A0DE5}" type="VALUE">
                      <a:rPr lang="en-US" baseline="0"/>
                      <a:pPr/>
                      <a:t>[VALUE]</a:t>
                    </a:fld>
                    <a:endParaRPr lang="fr-F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DFB-414A-8061-43653E666A07}"/>
                </c:ext>
              </c:extLst>
            </c:dLbl>
            <c:dLbl>
              <c:idx val="5"/>
              <c:tx>
                <c:rich>
                  <a:bodyPr/>
                  <a:lstStyle/>
                  <a:p>
                    <a:r>
                      <a:rPr lang="en-US"/>
                      <a:t>Plusieurs régions</a:t>
                    </a:r>
                  </a:p>
                  <a:p>
                    <a:fld id="{B26870C0-9D74-4E3E-B85D-8B2606616392}" type="VALUE">
                      <a:rPr lang="en-US" baseline="0"/>
                      <a:pPr/>
                      <a:t>[VALUE]</a:t>
                    </a:fld>
                    <a:endParaRPr lang="fr-F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DFB-414A-8061-43653E666A0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fr-F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regions!$F$42:$F$47</c:f>
              <c:strCache>
                <c:ptCount val="6"/>
                <c:pt idx="0">
                  <c:v>Africa</c:v>
                </c:pt>
                <c:pt idx="1">
                  <c:v>Americas</c:v>
                </c:pt>
                <c:pt idx="2">
                  <c:v>Arab States</c:v>
                </c:pt>
                <c:pt idx="3">
                  <c:v>Asia-Pacific</c:v>
                </c:pt>
                <c:pt idx="4">
                  <c:v>Europe</c:v>
                </c:pt>
                <c:pt idx="5">
                  <c:v>Multi-regions</c:v>
                </c:pt>
              </c:strCache>
            </c:strRef>
          </c:cat>
          <c:val>
            <c:numRef>
              <c:f>regions!$G$42:$G$47</c:f>
              <c:numCache>
                <c:formatCode>0.0%</c:formatCode>
                <c:ptCount val="6"/>
                <c:pt idx="0">
                  <c:v>0.40099751041800163</c:v>
                </c:pt>
                <c:pt idx="1">
                  <c:v>9.3549814113706498E-2</c:v>
                </c:pt>
                <c:pt idx="2">
                  <c:v>3.5248774157499212E-2</c:v>
                </c:pt>
                <c:pt idx="3">
                  <c:v>9.1316852671367604E-2</c:v>
                </c:pt>
                <c:pt idx="4">
                  <c:v>1.8949721094363525E-3</c:v>
                </c:pt>
                <c:pt idx="5">
                  <c:v>0.37699207652998873</c:v>
                </c:pt>
              </c:numCache>
            </c:numRef>
          </c:val>
          <c:extLst>
            <c:ext xmlns:c16="http://schemas.microsoft.com/office/drawing/2014/chart" uri="{C3380CC4-5D6E-409C-BE32-E72D297353CC}">
              <c16:uniqueId val="{0000000C-1DFB-414A-8061-43653E666A0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1" i="0" kern="1200" spc="0" baseline="0">
                <a:solidFill>
                  <a:srgbClr val="595959"/>
                </a:solidFill>
                <a:effectLst/>
              </a:rPr>
              <a:t>Accords signés</a:t>
            </a:r>
          </a:p>
        </c:rich>
      </c:tx>
      <c:layout>
        <c:manualLayout>
          <c:xMode val="edge"/>
          <c:yMode val="edge"/>
          <c:x val="0.14475384502170877"/>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'20&amp;21'!$B$5</c:f>
              <c:strCache>
                <c:ptCount val="1"/>
                <c:pt idx="0">
                  <c:v>Agreements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B53B-40C5-895A-D3C1D40733D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'20&amp;21'!$A$6:$A$7</c:f>
              <c:strCache>
                <c:ptCount val="2"/>
                <c:pt idx="0">
                  <c:v>Janv-août 2020</c:v>
                </c:pt>
                <c:pt idx="1">
                  <c:v>Janv-août 2021</c:v>
                </c:pt>
              </c:strCache>
            </c:strRef>
          </c:cat>
          <c:val>
            <c:numRef>
              <c:f>'20&amp;21'!$B$6:$B$7</c:f>
              <c:numCache>
                <c:formatCode>General</c:formatCode>
                <c:ptCount val="2"/>
                <c:pt idx="0">
                  <c:v>19</c:v>
                </c:pt>
                <c:pt idx="1">
                  <c:v>45</c:v>
                </c:pt>
              </c:numCache>
            </c:numRef>
          </c:val>
          <c:extLst>
            <c:ext xmlns:c16="http://schemas.microsoft.com/office/drawing/2014/chart" uri="{C3380CC4-5D6E-409C-BE32-E72D297353CC}">
              <c16:uniqueId val="{00000002-B53B-40C5-895A-D3C1D40733D2}"/>
            </c:ext>
          </c:extLst>
        </c:ser>
        <c:dLbls>
          <c:dLblPos val="outEnd"/>
          <c:showLegendKey val="0"/>
          <c:showVal val="1"/>
          <c:showCatName val="0"/>
          <c:showSerName val="0"/>
          <c:showPercent val="0"/>
          <c:showBubbleSize val="0"/>
        </c:dLbls>
        <c:gapWidth val="219"/>
        <c:overlap val="-27"/>
        <c:axId val="2047484655"/>
        <c:axId val="2047485487"/>
      </c:barChart>
      <c:catAx>
        <c:axId val="204748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47485487"/>
        <c:crosses val="autoZero"/>
        <c:auto val="1"/>
        <c:lblAlgn val="ctr"/>
        <c:lblOffset val="100"/>
        <c:noMultiLvlLbl val="0"/>
      </c:catAx>
      <c:valAx>
        <c:axId val="20474854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47484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1" i="0" kern="1200" spc="0" baseline="0">
                <a:solidFill>
                  <a:srgbClr val="595959"/>
                </a:solidFill>
                <a:effectLst/>
                <a:latin typeface="Calibri" panose="020F0502020204030204" pitchFamily="34" charset="0"/>
              </a:rPr>
              <a:t>Contributions financières convenues</a:t>
            </a:r>
          </a:p>
          <a:p>
            <a:pPr>
              <a:defRPr sz="1100"/>
            </a:pPr>
            <a:r>
              <a:rPr lang="en-GB" sz="1100" b="1" i="0" kern="1200" spc="0" baseline="0">
                <a:solidFill>
                  <a:srgbClr val="595959"/>
                </a:solidFill>
                <a:effectLst/>
                <a:latin typeface="Calibri" panose="020F0502020204030204" pitchFamily="34" charset="0"/>
              </a:rPr>
              <a:t>millions USD</a:t>
            </a:r>
          </a:p>
        </c:rich>
      </c:tx>
      <c:layout>
        <c:manualLayout>
          <c:xMode val="edge"/>
          <c:yMode val="edge"/>
          <c:x val="0.2622707786526684"/>
          <c:y val="4.095563139931740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'20&amp;21'!$A$2</c:f>
              <c:strCache>
                <c:ptCount val="1"/>
                <c:pt idx="0">
                  <c:v>Janv-août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'20&amp;21'!$B$1:$D$1</c:f>
              <c:strCache>
                <c:ptCount val="3"/>
                <c:pt idx="0">
                  <c:v>Partenaires</c:v>
                </c:pt>
                <c:pt idx="1">
                  <c:v>UIT</c:v>
                </c:pt>
                <c:pt idx="2">
                  <c:v>Total</c:v>
                </c:pt>
              </c:strCache>
            </c:strRef>
          </c:cat>
          <c:val>
            <c:numRef>
              <c:f>'20&amp;21'!$B$2:$D$2</c:f>
              <c:numCache>
                <c:formatCode>_(* #,##0.00_);_(* \(#,##0.00\);_(* "-"??_);_(@_)</c:formatCode>
                <c:ptCount val="3"/>
                <c:pt idx="0">
                  <c:v>3.51</c:v>
                </c:pt>
                <c:pt idx="1">
                  <c:v>1.42</c:v>
                </c:pt>
                <c:pt idx="2">
                  <c:v>4.93</c:v>
                </c:pt>
              </c:numCache>
            </c:numRef>
          </c:val>
          <c:extLst>
            <c:ext xmlns:c16="http://schemas.microsoft.com/office/drawing/2014/chart" uri="{C3380CC4-5D6E-409C-BE32-E72D297353CC}">
              <c16:uniqueId val="{00000000-3642-43F4-AD04-2E43E7256FB4}"/>
            </c:ext>
          </c:extLst>
        </c:ser>
        <c:ser>
          <c:idx val="1"/>
          <c:order val="1"/>
          <c:tx>
            <c:strRef>
              <c:f>'20&amp;21'!$A$3</c:f>
              <c:strCache>
                <c:ptCount val="1"/>
                <c:pt idx="0">
                  <c:v>Janv-août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'20&amp;21'!$B$1:$D$1</c:f>
              <c:strCache>
                <c:ptCount val="3"/>
                <c:pt idx="0">
                  <c:v>Partenaires</c:v>
                </c:pt>
                <c:pt idx="1">
                  <c:v>UIT</c:v>
                </c:pt>
                <c:pt idx="2">
                  <c:v>Total</c:v>
                </c:pt>
              </c:strCache>
            </c:strRef>
          </c:cat>
          <c:val>
            <c:numRef>
              <c:f>'20&amp;21'!$B$3:$D$3</c:f>
              <c:numCache>
                <c:formatCode>_(* #,##0.00_);_(* \(#,##0.00\);_(* "-"??_);_(@_)</c:formatCode>
                <c:ptCount val="3"/>
                <c:pt idx="0">
                  <c:v>9.01</c:v>
                </c:pt>
                <c:pt idx="1">
                  <c:v>2.5499999999999998</c:v>
                </c:pt>
                <c:pt idx="2">
                  <c:v>11.559999999999999</c:v>
                </c:pt>
              </c:numCache>
            </c:numRef>
          </c:val>
          <c:extLst>
            <c:ext xmlns:c16="http://schemas.microsoft.com/office/drawing/2014/chart" uri="{C3380CC4-5D6E-409C-BE32-E72D297353CC}">
              <c16:uniqueId val="{00000001-3642-43F4-AD04-2E43E7256FB4}"/>
            </c:ext>
          </c:extLst>
        </c:ser>
        <c:dLbls>
          <c:showLegendKey val="0"/>
          <c:showVal val="0"/>
          <c:showCatName val="0"/>
          <c:showSerName val="0"/>
          <c:showPercent val="0"/>
          <c:showBubbleSize val="0"/>
        </c:dLbls>
        <c:gapWidth val="219"/>
        <c:overlap val="-27"/>
        <c:axId val="411484767"/>
        <c:axId val="411471455"/>
      </c:barChart>
      <c:catAx>
        <c:axId val="41148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1471455"/>
        <c:crosses val="autoZero"/>
        <c:auto val="1"/>
        <c:lblAlgn val="ctr"/>
        <c:lblOffset val="100"/>
        <c:noMultiLvlLbl val="0"/>
      </c:catAx>
      <c:valAx>
        <c:axId val="411471455"/>
        <c:scaling>
          <c:orientation val="minMax"/>
        </c:scaling>
        <c:delete val="1"/>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crossAx val="41148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thematic!$F$43:$F$50</cx:f>
        <cx:lvl ptCount="8">
          <cx:pt idx="0">Applications &amp; Services</cx:pt>
          <cx:pt idx="1">Cybersecurity</cx:pt>
          <cx:pt idx="2">Digital inclusion</cx:pt>
          <cx:pt idx="3">Emergency telecom.</cx:pt>
          <cx:pt idx="4">Environment</cx:pt>
          <cx:pt idx="5">Network &amp; digital infrast.</cx:pt>
          <cx:pt idx="6">Mutli-thematic</cx:pt>
          <cx:pt idx="7">Policy &amp; Regulation</cx:pt>
        </cx:lvl>
      </cx:strDim>
      <cx:numDim type="size">
        <cx:f>thematic!$G$43:$G$50</cx:f>
        <cx:lvl ptCount="8" formatCode="0%">
          <cx:pt idx="0">0.014352885942844023</cx:pt>
          <cx:pt idx="1">0.046544570013648666</cx:pt>
          <cx:pt idx="2">0.21011885801020128</cx:pt>
          <cx:pt idx="3">0.03633002489852679</cx:pt>
          <cx:pt idx="4">0.040395527684790503</cx:pt>
          <cx:pt idx="5">0.071924799293154817</cx:pt>
          <cx:pt idx="6">0.4345490879031636</cx:pt>
          <cx:pt idx="7">0.14578424625367026</cx:pt>
        </cx:lvl>
      </cx:numDim>
    </cx:data>
  </cx:chartData>
  <cx:chart>
    <cx:title pos="t" align="ctr" overlay="0">
      <cx:tx>
        <cx:rich>
          <a:bodyPr spcFirstLastPara="1" vertOverflow="ellipsis" horzOverflow="overflow" wrap="square" lIns="0" tIns="0" rIns="0" bIns="0" anchor="ctr" anchorCtr="1"/>
          <a:lstStyle/>
          <a:p>
            <a:pPr algn="ctr" rtl="0">
              <a:defRPr/>
            </a:pPr>
            <a:r>
              <a:rPr lang="en-US" sz="1100" b="1" i="0" u="none" strike="noStrike" baseline="0">
                <a:solidFill>
                  <a:sysClr val="windowText" lastClr="000000">
                    <a:lumMod val="65000"/>
                    <a:lumOff val="35000"/>
                  </a:sysClr>
                </a:solidFill>
                <a:latin typeface="Calibri"/>
              </a:rPr>
              <a:t>Accords signés par domaine thématique</a:t>
            </a:r>
            <a:br>
              <a:rPr lang="en-US" sz="1100" b="1" i="0" u="none" strike="noStrike" baseline="0">
                <a:solidFill>
                  <a:sysClr val="windowText" lastClr="000000">
                    <a:lumMod val="65000"/>
                    <a:lumOff val="35000"/>
                  </a:sysClr>
                </a:solidFill>
                <a:latin typeface="Calibri"/>
              </a:rPr>
            </a:br>
            <a:r>
              <a:rPr lang="en-US" sz="1100" b="1" i="0" u="none" strike="noStrike" baseline="0">
                <a:solidFill>
                  <a:sysClr val="windowText" lastClr="000000">
                    <a:lumMod val="65000"/>
                    <a:lumOff val="35000"/>
                  </a:sysClr>
                </a:solidFill>
                <a:latin typeface="Calibri"/>
              </a:rPr>
              <a:t>(1er janvier </a:t>
            </a:r>
            <a:r>
              <a:rPr lang="en-GB" sz="1400" b="1" i="0" u="none" strike="noStrike" baseline="0">
                <a:solidFill>
                  <a:sysClr val="windowText" lastClr="000000">
                    <a:lumMod val="65000"/>
                    <a:lumOff val="35000"/>
                  </a:sysClr>
                </a:solidFill>
                <a:effectLst/>
                <a:latin typeface="Calibri"/>
                <a:ea typeface="Calibri" panose="020F0502020204030204" pitchFamily="34" charset="0"/>
                <a:cs typeface="Calibri" panose="020F0502020204030204" pitchFamily="34" charset="0"/>
              </a:rPr>
              <a:t>− </a:t>
            </a:r>
            <a:r>
              <a:rPr lang="en-US" sz="1100" b="1" i="0" u="none" strike="noStrike" baseline="0">
                <a:solidFill>
                  <a:sysClr val="windowText" lastClr="000000">
                    <a:lumMod val="65000"/>
                    <a:lumOff val="35000"/>
                  </a:sysClr>
                </a:solidFill>
                <a:latin typeface="Calibri"/>
              </a:rPr>
              <a:t>31 août 2021</a:t>
            </a:r>
          </a:p>
        </cx:rich>
      </cx:tx>
    </cx:title>
    <cx:plotArea>
      <cx:plotAreaRegion>
        <cx:series layoutId="treemap" uniqueId="{EDBB3D77-2D36-419A-812B-90D72CC3E1B9}">
          <cx:dataLabels pos="inEnd">
            <cx:txPr>
              <a:bodyPr spcFirstLastPara="1" vertOverflow="ellipsis" horzOverflow="overflow" wrap="square" lIns="0" tIns="0" rIns="0" bIns="0" anchor="ctr" anchorCtr="1"/>
              <a:lstStyle/>
              <a:p>
                <a:pPr algn="ctr" rtl="0">
                  <a:defRPr b="1"/>
                </a:pPr>
                <a:endParaRPr lang="en-US" sz="900" b="1" i="0" u="none" strike="noStrike" baseline="0">
                  <a:solidFill>
                    <a:sysClr val="window" lastClr="FFFFFF"/>
                  </a:solidFill>
                  <a:latin typeface="Calibri"/>
                </a:endParaRPr>
              </a:p>
            </cx:txPr>
            <cx:visibility seriesName="0" categoryName="0" value="1"/>
            <cx:separator>, </cx:separator>
            <cx:dataLabel idx="6">
              <cx:txPr>
                <a:bodyPr spcFirstLastPara="1" vertOverflow="ellipsis" horzOverflow="overflow" wrap="square" lIns="0" tIns="0" rIns="0" bIns="0" anchor="ctr" anchorCtr="1"/>
                <a:lstStyle/>
                <a:p>
                  <a:pPr algn="ctr" rtl="0">
                    <a:defRPr b="1"/>
                  </a:pPr>
                  <a:r>
                    <a:rPr lang="en-US" sz="900" b="1" i="0" u="none" strike="noStrike" baseline="0">
                      <a:solidFill>
                        <a:sysClr val="window" lastClr="FFFFFF"/>
                      </a:solidFill>
                      <a:latin typeface="Calibri"/>
                    </a:rPr>
                    <a:t>43%</a:t>
                  </a:r>
                </a:p>
              </cx:txPr>
              <cx:visibility seriesName="0" categoryName="0" value="1"/>
              <cx:separator>, </cx:separator>
            </cx:dataLabel>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0"/>
          </a:pPr>
          <a:endParaRPr lang="en-US" sz="900" b="0" i="0" u="none" strike="noStrike" baseline="0">
            <a:solidFill>
              <a:sysClr val="windowText" lastClr="000000">
                <a:lumMod val="65000"/>
                <a:lumOff val="35000"/>
              </a:sysClr>
            </a:solidFill>
            <a:latin typeface="Calibri"/>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9DAC-3E16-4B28-92AB-5395453C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1107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8</cp:revision>
  <cp:lastPrinted>2014-11-04T09:22:00Z</cp:lastPrinted>
  <dcterms:created xsi:type="dcterms:W3CDTF">2021-09-28T09:35:00Z</dcterms:created>
  <dcterms:modified xsi:type="dcterms:W3CDTF">2021-09-28T12:29:00Z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