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483A60EB" w:rsidR="00345104" w:rsidRPr="00345104" w:rsidRDefault="006A7A00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2D17E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61F3925B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1/DT/1-E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31D2AF8C" w:rsidR="00345104" w:rsidRPr="00345104" w:rsidRDefault="006A7A00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1</w:t>
            </w:r>
            <w:r w:rsidR="00387BFD">
              <w:rPr>
                <w:b/>
                <w:bCs/>
                <w:sz w:val="24"/>
                <w:szCs w:val="24"/>
              </w:rPr>
              <w:t>3</w:t>
            </w:r>
            <w:r w:rsidR="00345104" w:rsidRPr="00345104">
              <w:rPr>
                <w:b/>
                <w:bCs/>
                <w:sz w:val="24"/>
                <w:szCs w:val="24"/>
              </w:rPr>
              <w:t xml:space="preserve"> 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676D7B15" w:rsidR="00345104" w:rsidRPr="0030353C" w:rsidRDefault="00345104" w:rsidP="00345104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0B68768B" w14:textId="4578E75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  <w:sectPr w:rsidR="00AF4884" w:rsidSect="00AB6B91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5012B471" w14:textId="1FD625A7" w:rsidR="00AF6EDC" w:rsidRPr="003A2E94" w:rsidRDefault="00AF6EDC" w:rsidP="00345104">
      <w:pPr>
        <w:spacing w:before="0" w:after="0"/>
        <w:jc w:val="center"/>
        <w:rPr>
          <w:szCs w:val="22"/>
          <w:lang w:val="en-GB"/>
        </w:rPr>
      </w:pPr>
      <w:r w:rsidRPr="003A2E94">
        <w:rPr>
          <w:szCs w:val="22"/>
          <w:lang w:val="en-GB"/>
        </w:rPr>
        <w:lastRenderedPageBreak/>
        <w:t xml:space="preserve">ANNEX </w:t>
      </w:r>
      <w:r w:rsidR="00AF4884">
        <w:rPr>
          <w:szCs w:val="22"/>
          <w:lang w:val="en-GB"/>
        </w:rPr>
        <w:t>1</w:t>
      </w:r>
    </w:p>
    <w:p w14:paraId="3C941FCE" w14:textId="6C23D7C0" w:rsidR="006F220F" w:rsidRPr="00D8416E" w:rsidRDefault="00272586" w:rsidP="00345104">
      <w:pPr>
        <w:spacing w:before="0" w:after="0"/>
        <w:jc w:val="center"/>
        <w:rPr>
          <w:szCs w:val="22"/>
        </w:rPr>
      </w:pPr>
      <w:r w:rsidRPr="00272586">
        <w:rPr>
          <w:rFonts w:asciiTheme="minorHAnsi" w:hAnsiTheme="minorHAnsi" w:cs="Calibri"/>
          <w:b/>
          <w:bCs/>
          <w:sz w:val="24"/>
          <w:szCs w:val="24"/>
          <w:lang w:eastAsia="zh-CN"/>
        </w:rPr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878B4" w14:paraId="1FA1A2A8" w14:textId="77777777" w:rsidTr="00567F70">
        <w:tc>
          <w:tcPr>
            <w:tcW w:w="3119" w:type="dxa"/>
            <w:tcBorders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7E8F8B0D" w14:textId="3944A580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24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63D66B7B" w14:textId="58B63DB6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25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33E62DF8" w14:textId="3DA9358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26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207E463B" w14:textId="609D299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27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</w:tcBorders>
            <w:shd w:val="clear" w:color="auto" w:fill="365F91" w:themeFill="accent1" w:themeFillShade="BF"/>
          </w:tcPr>
          <w:p w14:paraId="275915AF" w14:textId="6C63C10E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28 May</w:t>
            </w:r>
          </w:p>
        </w:tc>
      </w:tr>
      <w:tr w:rsidR="00C104A3" w:rsidRPr="00364DE3" w14:paraId="660FE1FD" w14:textId="77777777" w:rsidTr="00C104A3">
        <w:tc>
          <w:tcPr>
            <w:tcW w:w="3119" w:type="dxa"/>
            <w:shd w:val="clear" w:color="auto" w:fill="C6D9F1" w:themeFill="text2" w:themeFillTint="33"/>
          </w:tcPr>
          <w:p w14:paraId="660F4E32" w14:textId="1FBBC60E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6E9D6D5" w14:textId="55512B22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RPM Coordination Meeting</w:t>
            </w:r>
          </w:p>
        </w:tc>
        <w:tc>
          <w:tcPr>
            <w:tcW w:w="3119" w:type="dxa"/>
            <w:vMerge w:val="restart"/>
          </w:tcPr>
          <w:p w14:paraId="6AC03A60" w14:textId="5180388E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2D17228D" w14:textId="381953D3" w:rsidR="00C104A3" w:rsidRPr="00556ADF" w:rsidRDefault="00C104A3" w:rsidP="00BD3D52">
            <w:pPr>
              <w:spacing w:before="60" w:after="0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TDAG</w:t>
            </w: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 xml:space="preserve"> plenary</w:t>
            </w:r>
          </w:p>
          <w:p w14:paraId="6E9DF031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497060">
              <w:rPr>
                <w:rFonts w:cstheme="minorHAnsi"/>
                <w:lang w:val="en-GB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  <w:p w14:paraId="447202EC" w14:textId="76024CAA" w:rsidR="00C104A3" w:rsidRDefault="00C104A3" w:rsidP="0096108A">
            <w:pPr>
              <w:tabs>
                <w:tab w:val="left" w:pos="271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5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23</w:t>
              </w:r>
            </w:hyperlink>
          </w:p>
          <w:p w14:paraId="66857D80" w14:textId="0BA77FB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ITU-D projects</w:t>
            </w:r>
          </w:p>
          <w:p w14:paraId="2A2C88A5" w14:textId="5DE9E067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11</w:t>
              </w:r>
            </w:hyperlink>
          </w:p>
          <w:p w14:paraId="733EFAF7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Collaboration with the other Sectors</w:t>
            </w:r>
          </w:p>
          <w:p w14:paraId="522ED9FA" w14:textId="28777605" w:rsidR="00C104A3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13</w:t>
              </w:r>
            </w:hyperlink>
          </w:p>
          <w:p w14:paraId="6A6D3C96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Report by the Chairman of the Group on Capacity Building Initiatives</w:t>
            </w:r>
          </w:p>
          <w:p w14:paraId="173DDE06" w14:textId="1C9AC3B3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14</w:t>
              </w:r>
            </w:hyperlink>
          </w:p>
          <w:p w14:paraId="6860F51B" w14:textId="22D5AF5F" w:rsidR="00C104A3" w:rsidRPr="00D65BAD" w:rsidRDefault="00C104A3" w:rsidP="0096108A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Contribution to th</w:t>
            </w:r>
            <w:r>
              <w:rPr>
                <w:rFonts w:cstheme="minorHAnsi"/>
                <w:lang w:val="en-GB"/>
              </w:rPr>
              <w:t>e work of the Expert Group on the International Telecommunication Regulations (EG-ITR)</w:t>
            </w:r>
          </w:p>
          <w:p w14:paraId="23E36E04" w14:textId="45261DF5" w:rsidR="00C104A3" w:rsidRPr="00D65BAD" w:rsidRDefault="00C104A3" w:rsidP="008D6CC3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fr-FR" w:eastAsia="zh-CN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9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</w:tc>
        <w:tc>
          <w:tcPr>
            <w:tcW w:w="3119" w:type="dxa"/>
            <w:vMerge w:val="restart"/>
          </w:tcPr>
          <w:p w14:paraId="4FF94769" w14:textId="77777777" w:rsidR="00C104A3" w:rsidRPr="00364DE3" w:rsidRDefault="00C104A3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4735980A" w14:textId="77777777" w:rsidR="00C104A3" w:rsidRPr="00497060" w:rsidRDefault="00C104A3" w:rsidP="00BD3D52">
            <w:pPr>
              <w:tabs>
                <w:tab w:val="left" w:pos="319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272AE41" w14:textId="77777777" w:rsidR="00C104A3" w:rsidRPr="00295DC6" w:rsidRDefault="00C104A3" w:rsidP="006A7A00">
            <w:pPr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Preparations for WTDC-21</w:t>
            </w:r>
          </w:p>
          <w:p w14:paraId="7493CDD3" w14:textId="436CC8C5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19</w:t>
              </w:r>
            </w:hyperlink>
          </w:p>
          <w:p w14:paraId="654C0C2A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</w:p>
          <w:p w14:paraId="317B927B" w14:textId="71C5F8BD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10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4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28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5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30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6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31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>,</w:t>
            </w:r>
            <w:r w:rsidR="00243BAA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7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8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33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9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34</w:t>
              </w:r>
            </w:hyperlink>
          </w:p>
          <w:p w14:paraId="6CAF4FBF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Structure of WTDC-21</w:t>
            </w:r>
          </w:p>
          <w:p w14:paraId="1617C472" w14:textId="2B643FEE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17</w:t>
              </w:r>
            </w:hyperlink>
          </w:p>
          <w:p w14:paraId="3BB0F745" w14:textId="322E1516" w:rsidR="00C104A3" w:rsidRPr="00295DC6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Report on p</w:t>
            </w:r>
            <w:r>
              <w:rPr>
                <w:rFonts w:cstheme="minorHAnsi"/>
                <w:lang w:val="en-GB"/>
              </w:rPr>
              <w:t>reparatory process for WTDC-21</w:t>
            </w:r>
          </w:p>
          <w:p w14:paraId="5E89CB76" w14:textId="24FE4ACF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TDAG-WG-RDTP</w:t>
            </w:r>
          </w:p>
          <w:p w14:paraId="1996D93A" w14:textId="63D92AD1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21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24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3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29</w:t>
              </w:r>
            </w:hyperlink>
          </w:p>
          <w:p w14:paraId="4B184888" w14:textId="6DBA8D40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TDAG-WG-SOP</w:t>
            </w:r>
          </w:p>
          <w:p w14:paraId="68A2B173" w14:textId="0E1ABB9F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6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22</w:t>
              </w:r>
            </w:hyperlink>
          </w:p>
          <w:p w14:paraId="447E72A7" w14:textId="0764FD57" w:rsidR="00C104A3" w:rsidRPr="005E3482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of th</w:t>
            </w:r>
            <w:r>
              <w:rPr>
                <w:rFonts w:cstheme="minorHAnsi"/>
                <w:lang w:val="en-GB"/>
              </w:rPr>
              <w:t>e Regional Preparatory Meetings Coordination Meeting (RPM-CM)</w:t>
            </w:r>
          </w:p>
          <w:p w14:paraId="6EC1426B" w14:textId="0283CF16" w:rsidR="00C104A3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7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5</w:t>
              </w:r>
            </w:hyperlink>
          </w:p>
          <w:p w14:paraId="071DFCEF" w14:textId="75E69E68" w:rsidR="00C104A3" w:rsidRPr="00D65BAD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Report of I</w:t>
            </w:r>
            <w:r>
              <w:rPr>
                <w:rFonts w:cstheme="minorHAnsi"/>
                <w:lang w:val="en-GB"/>
              </w:rPr>
              <w:t>RM-1</w:t>
            </w:r>
          </w:p>
          <w:p w14:paraId="6700519D" w14:textId="078A7AAE" w:rsidR="00C104A3" w:rsidRPr="005E3482" w:rsidRDefault="00C104A3" w:rsidP="0096108A">
            <w:pPr>
              <w:tabs>
                <w:tab w:val="left" w:pos="319"/>
              </w:tabs>
              <w:spacing w:before="40"/>
              <w:ind w:left="-57" w:right="-57"/>
              <w:rPr>
                <w:rFonts w:asciiTheme="minorHAnsi" w:hAnsiTheme="minorHAnsi" w:cs="Calibri"/>
                <w:szCs w:val="20"/>
                <w:lang w:val="es-ES" w:eastAsia="zh-CN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</w:hyperlink>
          </w:p>
        </w:tc>
        <w:tc>
          <w:tcPr>
            <w:tcW w:w="3119" w:type="dxa"/>
            <w:vMerge w:val="restart"/>
          </w:tcPr>
          <w:p w14:paraId="014F0448" w14:textId="77777777" w:rsidR="00C104A3" w:rsidRPr="00364DE3" w:rsidRDefault="00C104A3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3955817" w14:textId="77777777" w:rsidR="00C104A3" w:rsidRPr="00497060" w:rsidRDefault="00C104A3" w:rsidP="00BD3D52">
            <w:pPr>
              <w:tabs>
                <w:tab w:val="left" w:pos="317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6F3FE501" w14:textId="72928C79" w:rsidR="00C104A3" w:rsidRPr="00BD3D52" w:rsidRDefault="00C104A3" w:rsidP="00BD3D52">
            <w:pPr>
              <w:tabs>
                <w:tab w:val="left" w:pos="319"/>
              </w:tabs>
              <w:spacing w:before="6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Preparatory process for WTDC-21 </w:t>
            </w:r>
            <w:r>
              <w:rPr>
                <w:rFonts w:cstheme="minorHAnsi"/>
                <w:i/>
                <w:iCs/>
                <w:lang w:val="en-GB"/>
              </w:rPr>
              <w:t>(continued)</w:t>
            </w:r>
          </w:p>
          <w:p w14:paraId="3BC6FA3F" w14:textId="070CC6FD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Study Group activities</w:t>
            </w:r>
          </w:p>
          <w:p w14:paraId="01164CD5" w14:textId="2B1B9A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9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4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9</w:t>
              </w:r>
            </w:hyperlink>
          </w:p>
          <w:p w14:paraId="76B47A35" w14:textId="7877268A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Update on the ITU Regional Presence Review</w:t>
            </w:r>
          </w:p>
          <w:p w14:paraId="04C1385F" w14:textId="3FE14B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  <w:p w14:paraId="039C4465" w14:textId="6DCA87AD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Measures and Principles for interpretation and translation in ITU</w:t>
            </w:r>
          </w:p>
          <w:p w14:paraId="1247DCCA" w14:textId="2B1DC140" w:rsidR="00C104A3" w:rsidRPr="0096108A" w:rsidRDefault="00C104A3" w:rsidP="00BD3D52">
            <w:pPr>
              <w:tabs>
                <w:tab w:val="left" w:pos="317"/>
              </w:tabs>
              <w:spacing w:before="40"/>
              <w:rPr>
                <w:rFonts w:asciiTheme="minorHAnsi" w:hAnsiTheme="minorHAnsi" w:cs="Calibri"/>
                <w:szCs w:val="20"/>
                <w:lang w:val="pt-BR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</w:t>
            </w:r>
            <w:bookmarkStart w:id="8" w:name="_GoBack"/>
            <w:bookmarkEnd w:id="8"/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>(tbd)</w:t>
            </w:r>
          </w:p>
        </w:tc>
        <w:tc>
          <w:tcPr>
            <w:tcW w:w="3119" w:type="dxa"/>
            <w:vMerge w:val="restart"/>
          </w:tcPr>
          <w:p w14:paraId="47BE0B16" w14:textId="79EDF3EB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0AAC486D" w14:textId="77777777" w:rsidR="00C104A3" w:rsidRPr="00497060" w:rsidRDefault="00C104A3" w:rsidP="00BD3D52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5ABDB24D" w14:textId="77777777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Harmonization of ITU websites</w:t>
            </w:r>
          </w:p>
          <w:p w14:paraId="3A6E250A" w14:textId="3BAE266B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25</w:t>
              </w:r>
            </w:hyperlink>
          </w:p>
          <w:p w14:paraId="2E8FCE25" w14:textId="28AD07F7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Calendar of ITU-D events</w:t>
            </w:r>
          </w:p>
          <w:p w14:paraId="5DE42F4A" w14:textId="5289B80D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15</w:t>
              </w:r>
            </w:hyperlink>
          </w:p>
          <w:p w14:paraId="2AC61512" w14:textId="3E937B29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20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Any other business</w:t>
            </w:r>
          </w:p>
          <w:p w14:paraId="7E50E3C4" w14:textId="760D098C" w:rsidR="00C104A3" w:rsidRPr="00295DC6" w:rsidRDefault="00C104A3" w:rsidP="0096108A">
            <w:pPr>
              <w:tabs>
                <w:tab w:val="left" w:pos="317"/>
              </w:tabs>
              <w:spacing w:after="0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 xml:space="preserve">Approval of draft Chairman’s </w:t>
            </w:r>
            <w:r w:rsidRPr="00A11604">
              <w:rPr>
                <w:rFonts w:cstheme="minorHAnsi"/>
                <w:b/>
                <w:bCs/>
                <w:lang w:val="pt-BR"/>
              </w:rPr>
              <w:t>report</w:t>
            </w:r>
          </w:p>
          <w:p w14:paraId="003ED85C" w14:textId="487096F9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>DT/(tbd)</w:t>
            </w:r>
          </w:p>
          <w:p w14:paraId="69EDE24F" w14:textId="3D0A89ED" w:rsidR="00C104A3" w:rsidRPr="0096108A" w:rsidRDefault="00C104A3" w:rsidP="0096108A">
            <w:pPr>
              <w:ind w:left="-57" w:right="-57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</w:pPr>
            <w:r w:rsidRPr="0096108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  <w:t>Closing</w:t>
            </w:r>
          </w:p>
        </w:tc>
      </w:tr>
      <w:tr w:rsidR="00C104A3" w:rsidRPr="00364DE3" w14:paraId="75AA14FC" w14:textId="77777777" w:rsidTr="00C104A3">
        <w:trPr>
          <w:trHeight w:val="2415"/>
        </w:trPr>
        <w:tc>
          <w:tcPr>
            <w:tcW w:w="3119" w:type="dxa"/>
            <w:vMerge w:val="restart"/>
            <w:shd w:val="clear" w:color="auto" w:fill="auto"/>
          </w:tcPr>
          <w:p w14:paraId="6BACEA77" w14:textId="77777777" w:rsidR="00C104A3" w:rsidRPr="00364DE3" w:rsidRDefault="00C104A3" w:rsidP="00C104A3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1400h-1600h</w:t>
            </w:r>
          </w:p>
          <w:p w14:paraId="63ABBB1C" w14:textId="77777777" w:rsidR="00C104A3" w:rsidRDefault="00C104A3" w:rsidP="00C104A3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0651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E35FFF5" w14:textId="77777777" w:rsidR="00C104A3" w:rsidRPr="00556ADF" w:rsidRDefault="00C104A3" w:rsidP="00C104A3">
            <w:pPr>
              <w:spacing w:before="60" w:after="0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08A92B3B" w14:textId="77777777" w:rsidR="00C104A3" w:rsidRPr="00556ADF" w:rsidRDefault="00C104A3" w:rsidP="00C104A3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5CEC2603" w14:textId="77777777" w:rsidR="00C104A3" w:rsidRPr="00556ADF" w:rsidRDefault="00C104A3" w:rsidP="00C104A3">
            <w:pPr>
              <w:spacing w:before="8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6A7B280A" w14:textId="77777777" w:rsidR="00C104A3" w:rsidRPr="00295DC6" w:rsidRDefault="00C104A3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11BBF781" w14:textId="77777777" w:rsidR="00C104A3" w:rsidRPr="00295DC6" w:rsidRDefault="00C104A3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7312CA9B" w14:textId="77777777" w:rsidR="00C104A3" w:rsidRPr="00295DC6" w:rsidRDefault="00C104A3" w:rsidP="00C104A3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4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r>
              <w:rPr>
                <w:lang w:val="en-US"/>
              </w:rPr>
              <w:fldChar w:fldCharType="begin"/>
            </w:r>
            <w:r w:rsidRPr="003A39B0">
              <w:rPr>
                <w:lang w:val="en-GB"/>
              </w:rPr>
              <w:instrText xml:space="preserve"> HYPERLINK "https://www.itu.int/md/D18-TDAG28-210524-TD-0001/en" </w:instrText>
            </w:r>
            <w:r>
              <w:rPr>
                <w:lang w:val="en-US"/>
              </w:rPr>
              <w:fldChar w:fldCharType="separate"/>
            </w:r>
            <w:r w:rsidRPr="00387BFD">
              <w:rPr>
                <w:rStyle w:val="Hyperlink"/>
                <w:rFonts w:cstheme="minorHAnsi"/>
                <w:i/>
                <w:iCs/>
                <w:lang w:val="pt-BR"/>
              </w:rPr>
              <w:t>DT/1</w:t>
            </w:r>
            <w:r>
              <w:rPr>
                <w:rStyle w:val="Hyperlink"/>
                <w:rFonts w:cstheme="minorHAnsi"/>
                <w:i/>
                <w:iCs/>
                <w:lang w:val="pt-BR"/>
              </w:rPr>
              <w:fldChar w:fldCharType="end"/>
            </w:r>
          </w:p>
          <w:p w14:paraId="32F385BC" w14:textId="77777777" w:rsidR="00C104A3" w:rsidRPr="00295DC6" w:rsidRDefault="00C104A3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four-year rolling Operational Plan 2022-2025</w:t>
            </w:r>
          </w:p>
          <w:p w14:paraId="435E46A7" w14:textId="77777777" w:rsidR="00C104A3" w:rsidRDefault="00C104A3" w:rsidP="00C104A3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40651A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2C947D7" w14:textId="77777777" w:rsidR="00C104A3" w:rsidRPr="00295DC6" w:rsidRDefault="00C104A3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Membership, Partnership, Private Sector-related matters</w:t>
            </w:r>
          </w:p>
          <w:p w14:paraId="322C5DBA" w14:textId="4ED5CE68" w:rsidR="00C104A3" w:rsidRPr="00364DE3" w:rsidRDefault="00C104A3" w:rsidP="009E0216">
            <w:pPr>
              <w:tabs>
                <w:tab w:val="left" w:pos="316"/>
              </w:tabs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12</w:t>
              </w:r>
            </w:hyperlink>
          </w:p>
        </w:tc>
        <w:tc>
          <w:tcPr>
            <w:tcW w:w="3119" w:type="dxa"/>
            <w:vMerge/>
          </w:tcPr>
          <w:p w14:paraId="6B146DCD" w14:textId="77777777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09C54B62" w14:textId="77777777" w:rsidR="00C104A3" w:rsidRPr="00364DE3" w:rsidRDefault="00C104A3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70E9B675" w14:textId="77777777" w:rsidR="00C104A3" w:rsidRPr="00364DE3" w:rsidRDefault="00C104A3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510987C3" w14:textId="77777777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</w:tr>
      <w:tr w:rsidR="00C104A3" w:rsidRPr="00C122B0" w14:paraId="25FEE025" w14:textId="77777777" w:rsidTr="009E0216">
        <w:tc>
          <w:tcPr>
            <w:tcW w:w="3119" w:type="dxa"/>
            <w:vMerge/>
          </w:tcPr>
          <w:p w14:paraId="0A5D9954" w14:textId="34F9BBF8" w:rsidR="00C104A3" w:rsidRPr="00C122B0" w:rsidRDefault="00C104A3" w:rsidP="0096108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es-ES" w:eastAsia="zh-CN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95DA498" w14:textId="56D90675" w:rsidR="00C104A3" w:rsidRPr="003A39B0" w:rsidRDefault="00C104A3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 w:rsidR="009E0216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 w:rsidR="009E0216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43CFED01" w14:textId="588031D6" w:rsidR="00C104A3" w:rsidRPr="003A39B0" w:rsidRDefault="00C104A3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i/>
                <w:iCs/>
                <w:szCs w:val="20"/>
                <w:lang w:val="es-ES" w:eastAsia="zh-CN"/>
              </w:rPr>
            </w:pPr>
            <w:r w:rsidRPr="003A39B0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Youth</w:t>
            </w:r>
          </w:p>
        </w:tc>
        <w:tc>
          <w:tcPr>
            <w:tcW w:w="3119" w:type="dxa"/>
            <w:vMerge/>
          </w:tcPr>
          <w:p w14:paraId="1AC40FC4" w14:textId="77777777" w:rsidR="00C104A3" w:rsidRPr="00C122B0" w:rsidRDefault="00C104A3" w:rsidP="0096108A">
            <w:pPr>
              <w:spacing w:after="0"/>
              <w:rPr>
                <w:rFonts w:asciiTheme="minorHAnsi" w:hAnsiTheme="minorHAnsi" w:cs="Calibri"/>
                <w:szCs w:val="20"/>
                <w:lang w:val="es-ES" w:eastAsia="zh-CN"/>
              </w:rPr>
            </w:pPr>
          </w:p>
        </w:tc>
        <w:tc>
          <w:tcPr>
            <w:tcW w:w="3119" w:type="dxa"/>
            <w:vMerge/>
          </w:tcPr>
          <w:p w14:paraId="6E9D81DB" w14:textId="77777777" w:rsidR="00C104A3" w:rsidRPr="00C122B0" w:rsidRDefault="00C104A3" w:rsidP="0096108A">
            <w:pPr>
              <w:spacing w:after="0"/>
              <w:rPr>
                <w:rFonts w:asciiTheme="minorHAnsi" w:hAnsiTheme="minorHAnsi" w:cs="Calibri"/>
                <w:szCs w:val="20"/>
                <w:lang w:val="es-ES" w:eastAsia="zh-CN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1D46A48D" w14:textId="41635BFE" w:rsidR="00C104A3" w:rsidRPr="00C104A3" w:rsidRDefault="00C104A3" w:rsidP="00C104A3">
            <w:pPr>
              <w:spacing w:before="30" w:after="3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 w:rsidR="009E0216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 w:rsidR="009E0216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2B8B9C7B" w14:textId="3A236840" w:rsidR="00C104A3" w:rsidRPr="00C104A3" w:rsidRDefault="00C104A3" w:rsidP="00C104A3">
            <w:pPr>
              <w:spacing w:before="30" w:after="3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Side event on </w:t>
            </w:r>
            <w:proofErr w:type="spellStart"/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NoW</w:t>
            </w:r>
            <w:proofErr w:type="spellEnd"/>
          </w:p>
        </w:tc>
      </w:tr>
    </w:tbl>
    <w:p w14:paraId="18EC0C0C" w14:textId="5CFFA5AB" w:rsidR="00C07246" w:rsidRPr="00497060" w:rsidRDefault="00C07246" w:rsidP="00345104">
      <w:pPr>
        <w:spacing w:before="0" w:after="0"/>
        <w:rPr>
          <w:rFonts w:asciiTheme="minorHAnsi" w:hAnsiTheme="minorHAnsi" w:cs="Calibri"/>
          <w:sz w:val="8"/>
          <w:szCs w:val="8"/>
          <w:lang w:eastAsia="zh-CN"/>
        </w:rPr>
      </w:pPr>
    </w:p>
    <w:sectPr w:rsidR="00C07246" w:rsidRPr="00497060" w:rsidSect="00345104">
      <w:headerReference w:type="default" r:id="rId48"/>
      <w:headerReference w:type="first" r:id="rId49"/>
      <w:footerReference w:type="first" r:id="rId50"/>
      <w:pgSz w:w="16834" w:h="11907" w:orient="landscape" w:code="9"/>
      <w:pgMar w:top="567" w:right="567" w:bottom="567" w:left="567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5345" w14:textId="77777777" w:rsidR="00625C3D" w:rsidRDefault="00625C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233C52AA" w14:textId="77777777" w:rsidR="00625C3D" w:rsidRDefault="00625C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C3BFA01" w14:textId="77777777" w:rsidR="00625C3D" w:rsidRDefault="00625C3D"/>
  </w:endnote>
  <w:endnote w:type="continuationSeparator" w:id="0">
    <w:p w14:paraId="186244F1" w14:textId="77777777" w:rsidR="00625C3D" w:rsidRDefault="00625C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0CFB8747" w14:textId="77777777" w:rsidR="00625C3D" w:rsidRDefault="00625C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8816B56" w14:textId="77777777" w:rsidR="00625C3D" w:rsidRDefault="00625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45104" w:rsidRPr="004D495C" w14:paraId="5B8BD627" w14:textId="77777777" w:rsidTr="000C50D3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2D200B8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D728B7A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E5DB23F" w14:textId="77777777" w:rsidR="00345104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345104" w:rsidRPr="004D495C" w14:paraId="00F6B201" w14:textId="77777777" w:rsidTr="000C50D3">
      <w:tc>
        <w:tcPr>
          <w:tcW w:w="1432" w:type="dxa"/>
          <w:shd w:val="clear" w:color="auto" w:fill="auto"/>
        </w:tcPr>
        <w:p w14:paraId="1EA38A02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2F24187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22C88082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345104" w:rsidRPr="004D495C" w14:paraId="5465CA49" w14:textId="77777777" w:rsidTr="000C50D3">
      <w:tc>
        <w:tcPr>
          <w:tcW w:w="1432" w:type="dxa"/>
          <w:shd w:val="clear" w:color="auto" w:fill="auto"/>
        </w:tcPr>
        <w:p w14:paraId="13179261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A5747B1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516615F9" w14:textId="77777777" w:rsidR="00345104" w:rsidRPr="004D495C" w:rsidRDefault="00243BAA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34510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345104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00E25FD" w14:textId="77777777" w:rsidR="00345104" w:rsidRDefault="00345104" w:rsidP="00345104">
    <w:pPr>
      <w:pStyle w:val="Footer"/>
      <w:spacing w:before="0" w:after="0" w:line="240" w:lineRule="auto"/>
      <w:jc w:val="center"/>
      <w:rPr>
        <w:lang w:val="en-GB"/>
      </w:rPr>
    </w:pPr>
  </w:p>
  <w:p w14:paraId="3E30D7C2" w14:textId="067858F8" w:rsidR="00345104" w:rsidRPr="00345104" w:rsidRDefault="00243BAA" w:rsidP="00345104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345104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4D1A4" w14:textId="1B8F372C" w:rsidR="00345104" w:rsidRPr="00345104" w:rsidRDefault="00345104" w:rsidP="006A7A00">
    <w:pPr>
      <w:pStyle w:val="Footer"/>
      <w:spacing w:before="12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1A482" w14:textId="77777777" w:rsidR="00625C3D" w:rsidRDefault="00625C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5210E3F8" w14:textId="77777777" w:rsidR="00625C3D" w:rsidRDefault="00625C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6D068BA4" w14:textId="77777777" w:rsidR="00625C3D" w:rsidRDefault="00625C3D"/>
  </w:footnote>
  <w:footnote w:type="continuationSeparator" w:id="0">
    <w:p w14:paraId="2B54C338" w14:textId="77777777" w:rsidR="00625C3D" w:rsidRDefault="00625C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DD2175A" w14:textId="77777777" w:rsidR="00625C3D" w:rsidRDefault="00625C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FD6D9FF" w14:textId="77777777" w:rsidR="00625C3D" w:rsidRDefault="00625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E2736C" w:rsidRDefault="00E2736C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20C44C2A" w:rsidR="00E2736C" w:rsidRDefault="00243BAA" w:rsidP="008F2F42">
        <w:pPr>
          <w:pStyle w:val="Header"/>
        </w:pPr>
      </w:p>
    </w:sdtContent>
  </w:sdt>
  <w:p w14:paraId="2F9C70AE" w14:textId="77777777" w:rsidR="00E2736C" w:rsidRDefault="00E2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BC1F5" w14:textId="4B24CD0E" w:rsidR="00E2736C" w:rsidRDefault="00E2736C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944B" w14:textId="46B4D0A6" w:rsidR="00E2736C" w:rsidRPr="00A93822" w:rsidRDefault="00E2736C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2C46" w14:textId="1642DEC0" w:rsidR="00345104" w:rsidRPr="00345104" w:rsidRDefault="00345104" w:rsidP="003451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71907" w14:textId="60EB7AB5" w:rsidR="00345104" w:rsidRPr="00345104" w:rsidRDefault="00345104" w:rsidP="00345104">
    <w:pPr>
      <w:tabs>
        <w:tab w:val="center" w:pos="7797"/>
        <w:tab w:val="right" w:pos="15699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6A7A00">
      <w:rPr>
        <w:szCs w:val="22"/>
        <w:lang w:val="de-CH"/>
      </w:rPr>
      <w:t>(Rev.</w:t>
    </w:r>
    <w:r w:rsidR="002D17E3">
      <w:rPr>
        <w:szCs w:val="22"/>
        <w:lang w:val="de-CH"/>
      </w:rPr>
      <w:t>3</w:t>
    </w:r>
    <w:r w:rsidR="006A7A00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243BAA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6F68"/>
    <w:rsid w:val="000F7429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950AE"/>
    <w:rsid w:val="0019683E"/>
    <w:rsid w:val="001A27B7"/>
    <w:rsid w:val="001A50DB"/>
    <w:rsid w:val="001A6352"/>
    <w:rsid w:val="001B5AA3"/>
    <w:rsid w:val="001C23C4"/>
    <w:rsid w:val="001E1B22"/>
    <w:rsid w:val="001E59BC"/>
    <w:rsid w:val="001F376B"/>
    <w:rsid w:val="002151C0"/>
    <w:rsid w:val="0021597B"/>
    <w:rsid w:val="0022331B"/>
    <w:rsid w:val="00237EC0"/>
    <w:rsid w:val="00240B25"/>
    <w:rsid w:val="00243BAA"/>
    <w:rsid w:val="00245F64"/>
    <w:rsid w:val="0024716B"/>
    <w:rsid w:val="0025556D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324A"/>
    <w:rsid w:val="002B768C"/>
    <w:rsid w:val="002C1F04"/>
    <w:rsid w:val="002C36D4"/>
    <w:rsid w:val="002C7449"/>
    <w:rsid w:val="002D13F0"/>
    <w:rsid w:val="002D17E3"/>
    <w:rsid w:val="002D330A"/>
    <w:rsid w:val="002D5728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538E"/>
    <w:rsid w:val="00364DE3"/>
    <w:rsid w:val="00366FFB"/>
    <w:rsid w:val="003754FF"/>
    <w:rsid w:val="00375C41"/>
    <w:rsid w:val="0037750C"/>
    <w:rsid w:val="00387BFD"/>
    <w:rsid w:val="003925B6"/>
    <w:rsid w:val="00397410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40651A"/>
    <w:rsid w:val="00411566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7BEB"/>
    <w:rsid w:val="00543984"/>
    <w:rsid w:val="00556ADF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6045CB"/>
    <w:rsid w:val="0061063A"/>
    <w:rsid w:val="00611098"/>
    <w:rsid w:val="00611BAE"/>
    <w:rsid w:val="0061402C"/>
    <w:rsid w:val="00615F9B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A61CA"/>
    <w:rsid w:val="006A6A02"/>
    <w:rsid w:val="006A7944"/>
    <w:rsid w:val="006A7A00"/>
    <w:rsid w:val="006B105A"/>
    <w:rsid w:val="006B3588"/>
    <w:rsid w:val="006B4212"/>
    <w:rsid w:val="006B4DFE"/>
    <w:rsid w:val="006B7C59"/>
    <w:rsid w:val="006C424B"/>
    <w:rsid w:val="006D03D3"/>
    <w:rsid w:val="006D7F0E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3093C"/>
    <w:rsid w:val="00741A33"/>
    <w:rsid w:val="00742E48"/>
    <w:rsid w:val="007441B2"/>
    <w:rsid w:val="00744F01"/>
    <w:rsid w:val="00752389"/>
    <w:rsid w:val="007528C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5763"/>
    <w:rsid w:val="008574D5"/>
    <w:rsid w:val="00865260"/>
    <w:rsid w:val="0086722F"/>
    <w:rsid w:val="00867A3D"/>
    <w:rsid w:val="00873ED7"/>
    <w:rsid w:val="00886B19"/>
    <w:rsid w:val="00887941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8E1"/>
    <w:rsid w:val="008F2F42"/>
    <w:rsid w:val="008F34C5"/>
    <w:rsid w:val="008F5217"/>
    <w:rsid w:val="008F574F"/>
    <w:rsid w:val="008F5BC8"/>
    <w:rsid w:val="00907C95"/>
    <w:rsid w:val="00916C12"/>
    <w:rsid w:val="00923A65"/>
    <w:rsid w:val="00924850"/>
    <w:rsid w:val="0092486D"/>
    <w:rsid w:val="00951330"/>
    <w:rsid w:val="00953BBA"/>
    <w:rsid w:val="0096108A"/>
    <w:rsid w:val="009714B2"/>
    <w:rsid w:val="0097562D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3220"/>
    <w:rsid w:val="00A337A0"/>
    <w:rsid w:val="00A510BF"/>
    <w:rsid w:val="00A5182F"/>
    <w:rsid w:val="00A63256"/>
    <w:rsid w:val="00A6785D"/>
    <w:rsid w:val="00A7482D"/>
    <w:rsid w:val="00A74C07"/>
    <w:rsid w:val="00A9056F"/>
    <w:rsid w:val="00A93822"/>
    <w:rsid w:val="00A9564F"/>
    <w:rsid w:val="00AA6BBD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7292"/>
    <w:rsid w:val="00C510EB"/>
    <w:rsid w:val="00C5152D"/>
    <w:rsid w:val="00C51EA1"/>
    <w:rsid w:val="00C53D94"/>
    <w:rsid w:val="00C571E2"/>
    <w:rsid w:val="00C62CD1"/>
    <w:rsid w:val="00C67B99"/>
    <w:rsid w:val="00C73D7B"/>
    <w:rsid w:val="00C7716A"/>
    <w:rsid w:val="00C84465"/>
    <w:rsid w:val="00CB37B7"/>
    <w:rsid w:val="00CC5B1C"/>
    <w:rsid w:val="00CE10C2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31C0"/>
    <w:rsid w:val="00D65BAD"/>
    <w:rsid w:val="00D729AA"/>
    <w:rsid w:val="00D749E0"/>
    <w:rsid w:val="00D83BA8"/>
    <w:rsid w:val="00D8416E"/>
    <w:rsid w:val="00D878B4"/>
    <w:rsid w:val="00D9106D"/>
    <w:rsid w:val="00D92A7E"/>
    <w:rsid w:val="00D96991"/>
    <w:rsid w:val="00DA0348"/>
    <w:rsid w:val="00DA6470"/>
    <w:rsid w:val="00DA6FD5"/>
    <w:rsid w:val="00DB3E6F"/>
    <w:rsid w:val="00DB5A6C"/>
    <w:rsid w:val="00DB600F"/>
    <w:rsid w:val="00DC108F"/>
    <w:rsid w:val="00DD084D"/>
    <w:rsid w:val="00DE6D78"/>
    <w:rsid w:val="00DF7973"/>
    <w:rsid w:val="00E17E30"/>
    <w:rsid w:val="00E2085A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27B3"/>
    <w:rsid w:val="00ED0DC4"/>
    <w:rsid w:val="00EF376E"/>
    <w:rsid w:val="00EF4783"/>
    <w:rsid w:val="00F00FB5"/>
    <w:rsid w:val="00F11155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C5C"/>
    <w:rsid w:val="00F707BE"/>
    <w:rsid w:val="00F711D8"/>
    <w:rsid w:val="00F71ED7"/>
    <w:rsid w:val="00F73252"/>
    <w:rsid w:val="00F74E54"/>
    <w:rsid w:val="00F81A75"/>
    <w:rsid w:val="00F853A0"/>
    <w:rsid w:val="00F86EE7"/>
    <w:rsid w:val="00F94618"/>
    <w:rsid w:val="00FA1AC1"/>
    <w:rsid w:val="00FA63C0"/>
    <w:rsid w:val="00FA7CBF"/>
    <w:rsid w:val="00FC2238"/>
    <w:rsid w:val="00FC258E"/>
    <w:rsid w:val="00FC60C8"/>
    <w:rsid w:val="00FD2E91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D18-TDAG28-C-0014/en" TargetMode="External"/><Relationship Id="rId26" Type="http://schemas.openxmlformats.org/officeDocument/2006/relationships/hyperlink" Target="https://www.itu.int/md/D18-TDAG28-C-0031/en" TargetMode="External"/><Relationship Id="rId39" Type="http://schemas.openxmlformats.org/officeDocument/2006/relationships/hyperlink" Target="https://www.itu.int/md/D18-TDAG28-C-0008/en" TargetMode="External"/><Relationship Id="rId21" Type="http://schemas.openxmlformats.org/officeDocument/2006/relationships/hyperlink" Target="https://www.itu.int/md/D18-TDAG28-C-0018/en" TargetMode="External"/><Relationship Id="rId34" Type="http://schemas.openxmlformats.org/officeDocument/2006/relationships/hyperlink" Target="https://www.itu.int/md/D18-TDAG28-C-0027/en" TargetMode="External"/><Relationship Id="rId42" Type="http://schemas.openxmlformats.org/officeDocument/2006/relationships/hyperlink" Target="https://www.itu.int/md/D18-TDAG28-C-0025/en" TargetMode="External"/><Relationship Id="rId47" Type="http://schemas.openxmlformats.org/officeDocument/2006/relationships/hyperlink" Target="https://www.itu.int/md/D18-TDAG28-C-0012/en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34/en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D18-TDAG28-C-0028/en" TargetMode="External"/><Relationship Id="rId32" Type="http://schemas.openxmlformats.org/officeDocument/2006/relationships/hyperlink" Target="https://www.itu.int/md/D18-TDAG28-C-0024/en" TargetMode="External"/><Relationship Id="rId37" Type="http://schemas.openxmlformats.org/officeDocument/2006/relationships/hyperlink" Target="https://www.itu.int/md/D18-TDAG28-C-0005/en" TargetMode="External"/><Relationship Id="rId40" Type="http://schemas.openxmlformats.org/officeDocument/2006/relationships/hyperlink" Target="https://www.itu.int/md/D18-TDAG28-C-0009/en" TargetMode="External"/><Relationship Id="rId45" Type="http://schemas.openxmlformats.org/officeDocument/2006/relationships/hyperlink" Target="https://www.itu.int/md/D18-TDAG28-C-0004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10/en" TargetMode="External"/><Relationship Id="rId28" Type="http://schemas.openxmlformats.org/officeDocument/2006/relationships/hyperlink" Target="https://www.itu.int/md/D18-TDAG28-C-0033/en" TargetMode="External"/><Relationship Id="rId36" Type="http://schemas.openxmlformats.org/officeDocument/2006/relationships/hyperlink" Target="https://www.itu.int/md/D18-TDAG28-C-0022/en" TargetMode="External"/><Relationship Id="rId49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s://www.itu.int/md/D18-TDAG28-C-0020/en" TargetMode="External"/><Relationship Id="rId31" Type="http://schemas.openxmlformats.org/officeDocument/2006/relationships/hyperlink" Target="https://www.itu.int/md/D18-TDAG28-C-0021/en" TargetMode="External"/><Relationship Id="rId44" Type="http://schemas.openxmlformats.org/officeDocument/2006/relationships/hyperlink" Target="https://www.itu.int/md/D18-TDAG28-C-0001/e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19/en" TargetMode="External"/><Relationship Id="rId27" Type="http://schemas.openxmlformats.org/officeDocument/2006/relationships/hyperlink" Target="https://www.itu.int/md/D18-TDAG28-C-0032/en" TargetMode="External"/><Relationship Id="rId30" Type="http://schemas.openxmlformats.org/officeDocument/2006/relationships/hyperlink" Target="https://www.itu.int/md/D18-TDAG28-C-0017/en" TargetMode="External"/><Relationship Id="rId35" Type="http://schemas.openxmlformats.org/officeDocument/2006/relationships/hyperlink" Target="https://www.itu.int/md/D18-TDAG28-C-0029/en" TargetMode="External"/><Relationship Id="rId43" Type="http://schemas.openxmlformats.org/officeDocument/2006/relationships/hyperlink" Target="https://www.itu.int/md/D18-TDAG28-C-0015/en" TargetMode="External"/><Relationship Id="rId48" Type="http://schemas.openxmlformats.org/officeDocument/2006/relationships/header" Target="header4.xm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D18-TDAG28-C-0013/en" TargetMode="External"/><Relationship Id="rId25" Type="http://schemas.openxmlformats.org/officeDocument/2006/relationships/hyperlink" Target="https://www.itu.int/md/D18-TDAG28-C-0030/en" TargetMode="External"/><Relationship Id="rId33" Type="http://schemas.openxmlformats.org/officeDocument/2006/relationships/hyperlink" Target="https://www.itu.int/md/D18-TDAG28-C-0026/en" TargetMode="External"/><Relationship Id="rId38" Type="http://schemas.openxmlformats.org/officeDocument/2006/relationships/hyperlink" Target="https://www.itu.int/md/D18-TDAG28-C-0003/en" TargetMode="External"/><Relationship Id="rId46" Type="http://schemas.openxmlformats.org/officeDocument/2006/relationships/hyperlink" Target="https://www.itu.int/md/D18-TDAG28-C-0007/en" TargetMode="External"/><Relationship Id="rId20" Type="http://schemas.openxmlformats.org/officeDocument/2006/relationships/hyperlink" Target="https://www.itu.int/md/D18-TDAG28-C-0016/en" TargetMode="External"/><Relationship Id="rId41" Type="http://schemas.openxmlformats.org/officeDocument/2006/relationships/hyperlink" Target="https://www.itu.int/md/D18-TDAG28-C-002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F7BD-0620-452B-8820-49F3F29F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432</Words>
  <Characters>4529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4</cp:revision>
  <cp:lastPrinted>2021-01-20T15:26:00Z</cp:lastPrinted>
  <dcterms:created xsi:type="dcterms:W3CDTF">2021-05-13T15:39:00Z</dcterms:created>
  <dcterms:modified xsi:type="dcterms:W3CDTF">2021-05-13T16:05:00Z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