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77F1869D">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AD4677">
            <w:pPr>
              <w:spacing w:before="240"/>
              <w:ind w:right="142"/>
              <w:jc w:val="right"/>
            </w:pPr>
            <w:r>
              <w:rPr>
                <w:noProof/>
              </w:rPr>
              <w:drawing>
                <wp:inline distT="0" distB="0" distL="0" distR="0" wp14:anchorId="7A20172F" wp14:editId="4A0433E5">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77F1869D">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77F1869D">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16F34F65" w:rsidR="00683C32" w:rsidRPr="005375A9" w:rsidRDefault="0096201B" w:rsidP="00B648C7">
            <w:pPr>
              <w:spacing w:before="0"/>
              <w:jc w:val="both"/>
              <w:rPr>
                <w:bCs/>
                <w:szCs w:val="24"/>
                <w:lang w:val="en-US"/>
              </w:rPr>
            </w:pPr>
            <w:r w:rsidRPr="005375A9">
              <w:rPr>
                <w:b/>
                <w:bCs/>
                <w:lang w:val="en-US"/>
              </w:rPr>
              <w:t xml:space="preserve">Document </w:t>
            </w:r>
            <w:bookmarkStart w:id="0" w:name="DocRef1"/>
            <w:bookmarkEnd w:id="0"/>
            <w:r w:rsidRPr="005375A9">
              <w:rPr>
                <w:b/>
                <w:bCs/>
                <w:lang w:val="en-US"/>
              </w:rPr>
              <w:t>TDAG</w:t>
            </w:r>
            <w:r w:rsidR="003242AB" w:rsidRPr="005375A9">
              <w:rPr>
                <w:b/>
                <w:bCs/>
                <w:lang w:val="en-US"/>
              </w:rPr>
              <w:t>-</w:t>
            </w:r>
            <w:r w:rsidR="00B648C7" w:rsidRPr="005375A9">
              <w:rPr>
                <w:b/>
                <w:bCs/>
                <w:lang w:val="en-US"/>
              </w:rPr>
              <w:t>2</w:t>
            </w:r>
            <w:bookmarkStart w:id="1" w:name="DocNo1"/>
            <w:bookmarkEnd w:id="1"/>
            <w:r w:rsidR="00AD4677" w:rsidRPr="005375A9">
              <w:rPr>
                <w:b/>
                <w:bCs/>
                <w:lang w:val="en-US"/>
              </w:rPr>
              <w:t>1</w:t>
            </w:r>
            <w:r w:rsidR="0009076F" w:rsidRPr="005375A9">
              <w:rPr>
                <w:b/>
                <w:bCs/>
                <w:lang w:val="en-US"/>
              </w:rPr>
              <w:t>/</w:t>
            </w:r>
            <w:r w:rsidR="009110D7" w:rsidRPr="005375A9">
              <w:rPr>
                <w:b/>
                <w:bCs/>
                <w:lang w:val="en-US"/>
              </w:rPr>
              <w:t>2</w:t>
            </w:r>
            <w:r w:rsidR="00215C99">
              <w:rPr>
                <w:b/>
                <w:bCs/>
                <w:lang w:val="en-US"/>
              </w:rPr>
              <w:t>1</w:t>
            </w:r>
            <w:r w:rsidRPr="005375A9">
              <w:rPr>
                <w:b/>
                <w:bCs/>
                <w:lang w:val="en-US"/>
              </w:rPr>
              <w:t>-E</w:t>
            </w:r>
          </w:p>
        </w:tc>
      </w:tr>
      <w:tr w:rsidR="00683C32" w14:paraId="24D04936" w14:textId="77777777" w:rsidTr="77F1869D">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4AFF03C0" w:rsidR="00683C32" w:rsidRPr="005375A9" w:rsidRDefault="00215C99" w:rsidP="00B648C7">
            <w:pPr>
              <w:spacing w:before="0"/>
              <w:rPr>
                <w:b/>
                <w:szCs w:val="24"/>
              </w:rPr>
            </w:pPr>
            <w:bookmarkStart w:id="2" w:name="CreationDate"/>
            <w:bookmarkEnd w:id="2"/>
            <w:r>
              <w:rPr>
                <w:b/>
                <w:bCs/>
                <w:szCs w:val="28"/>
              </w:rPr>
              <w:t>29 April</w:t>
            </w:r>
            <w:r w:rsidR="00CE0422" w:rsidRPr="005375A9">
              <w:rPr>
                <w:b/>
                <w:bCs/>
                <w:szCs w:val="28"/>
              </w:rPr>
              <w:t xml:space="preserve"> 20</w:t>
            </w:r>
            <w:r w:rsidR="00B648C7" w:rsidRPr="005375A9">
              <w:rPr>
                <w:b/>
                <w:bCs/>
                <w:szCs w:val="28"/>
              </w:rPr>
              <w:t>2</w:t>
            </w:r>
            <w:r w:rsidR="00AD4677" w:rsidRPr="005375A9">
              <w:rPr>
                <w:b/>
                <w:bCs/>
                <w:szCs w:val="28"/>
              </w:rPr>
              <w:t>1</w:t>
            </w:r>
          </w:p>
        </w:tc>
      </w:tr>
      <w:tr w:rsidR="00683C32" w14:paraId="7B96545F" w14:textId="77777777" w:rsidTr="77F1869D">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5375A9" w:rsidRDefault="0096201B" w:rsidP="00400CCF">
            <w:pPr>
              <w:spacing w:before="0"/>
              <w:rPr>
                <w:szCs w:val="24"/>
              </w:rPr>
            </w:pPr>
            <w:r w:rsidRPr="005375A9">
              <w:rPr>
                <w:b/>
              </w:rPr>
              <w:t>Original:</w:t>
            </w:r>
            <w:bookmarkStart w:id="3" w:name="Original"/>
            <w:bookmarkEnd w:id="3"/>
            <w:r w:rsidR="00CE0422" w:rsidRPr="005375A9">
              <w:rPr>
                <w:b/>
              </w:rPr>
              <w:t xml:space="preserve"> </w:t>
            </w:r>
            <w:r w:rsidR="00AD4677" w:rsidRPr="005375A9">
              <w:rPr>
                <w:b/>
              </w:rPr>
              <w:t>English</w:t>
            </w:r>
          </w:p>
        </w:tc>
      </w:tr>
      <w:tr w:rsidR="002927FD" w14:paraId="31656E31" w14:textId="77777777" w:rsidTr="77F1869D">
        <w:trPr>
          <w:cantSplit/>
          <w:trHeight w:val="852"/>
        </w:trPr>
        <w:tc>
          <w:tcPr>
            <w:tcW w:w="9888" w:type="dxa"/>
            <w:gridSpan w:val="4"/>
          </w:tcPr>
          <w:p w14:paraId="512FCA01" w14:textId="7372567C" w:rsidR="002927FD" w:rsidRPr="0030353C" w:rsidRDefault="002927FD" w:rsidP="002927FD">
            <w:pPr>
              <w:pStyle w:val="Source"/>
            </w:pPr>
            <w:bookmarkStart w:id="4" w:name="Source"/>
            <w:bookmarkEnd w:id="4"/>
            <w:r>
              <w:t>Chair</w:t>
            </w:r>
            <w:r w:rsidR="00F34F4C">
              <w:t>man</w:t>
            </w:r>
            <w:r>
              <w:t xml:space="preserve">, </w:t>
            </w:r>
            <w:r w:rsidRPr="007E0BF1">
              <w:t xml:space="preserve">TDAG </w:t>
            </w:r>
            <w:r w:rsidR="004F540F" w:rsidRPr="004F540F">
              <w:t xml:space="preserve">Working Group on WTDC Resolutions, </w:t>
            </w:r>
            <w:r w:rsidR="004F540F">
              <w:br/>
            </w:r>
            <w:r w:rsidR="004F540F" w:rsidRPr="004F540F">
              <w:t>Declaration and Thematic Priorities</w:t>
            </w:r>
          </w:p>
        </w:tc>
      </w:tr>
      <w:tr w:rsidR="002927FD" w:rsidRPr="002E6963" w14:paraId="2CBD3A36" w14:textId="77777777" w:rsidTr="77F1869D">
        <w:trPr>
          <w:cantSplit/>
        </w:trPr>
        <w:tc>
          <w:tcPr>
            <w:tcW w:w="9888" w:type="dxa"/>
            <w:gridSpan w:val="4"/>
          </w:tcPr>
          <w:p w14:paraId="1B4121DF" w14:textId="43EE2007" w:rsidR="002927FD" w:rsidRPr="0030353C" w:rsidRDefault="004F540F" w:rsidP="002927FD">
            <w:pPr>
              <w:pStyle w:val="Title1"/>
            </w:pPr>
            <w:bookmarkStart w:id="5" w:name="Title"/>
            <w:bookmarkEnd w:id="5"/>
            <w:r>
              <w:t>Chairman’s report on the work of the TDAG Working Group on WTDC Resolutions,</w:t>
            </w:r>
            <w:r>
              <w:br/>
              <w:t>Declaration and Thematic Priorities</w:t>
            </w:r>
          </w:p>
        </w:tc>
      </w:tr>
      <w:tr w:rsidR="00A721F4" w:rsidRPr="002E6963" w14:paraId="23A30231" w14:textId="77777777" w:rsidTr="77F1869D">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77F1869D">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09BF564B" w14:textId="793E0715" w:rsidR="00557D3E" w:rsidRPr="00977829" w:rsidRDefault="00557D3E" w:rsidP="003735B0">
            <w:pPr>
              <w:spacing w:after="120"/>
              <w:jc w:val="both"/>
              <w:rPr>
                <w:szCs w:val="28"/>
              </w:rPr>
            </w:pPr>
            <w:r>
              <w:rPr>
                <w:szCs w:val="28"/>
              </w:rPr>
              <w:t xml:space="preserve">This document contains a report on the activities of the </w:t>
            </w:r>
            <w:r w:rsidRPr="00E83570">
              <w:rPr>
                <w:szCs w:val="28"/>
              </w:rPr>
              <w:t xml:space="preserve">TDAG Working Group on </w:t>
            </w:r>
            <w:r w:rsidR="004F540F">
              <w:rPr>
                <w:szCs w:val="28"/>
              </w:rPr>
              <w:t xml:space="preserve">WTDC Resolutions, Declaration and Thematic Priorities, </w:t>
            </w:r>
            <w:r w:rsidR="004F540F" w:rsidRPr="005930B9">
              <w:rPr>
                <w:szCs w:val="24"/>
              </w:rPr>
              <w:t>including proposals based on its terms of reference.</w:t>
            </w:r>
          </w:p>
          <w:p w14:paraId="76A1C541" w14:textId="77777777" w:rsidR="00A721F4" w:rsidRPr="00D9621A" w:rsidRDefault="00A721F4" w:rsidP="003735B0">
            <w:pPr>
              <w:spacing w:after="120"/>
              <w:jc w:val="both"/>
              <w:rPr>
                <w:b/>
                <w:bCs/>
                <w:szCs w:val="24"/>
              </w:rPr>
            </w:pPr>
            <w:r w:rsidRPr="005E090D">
              <w:rPr>
                <w:b/>
                <w:bCs/>
              </w:rPr>
              <w:t>Action required:</w:t>
            </w:r>
          </w:p>
          <w:p w14:paraId="4FBFA365" w14:textId="55173940" w:rsidR="005D49FE" w:rsidRPr="00977829" w:rsidRDefault="005D49FE" w:rsidP="003735B0">
            <w:pPr>
              <w:spacing w:after="120"/>
              <w:jc w:val="both"/>
              <w:rPr>
                <w:szCs w:val="28"/>
              </w:rPr>
            </w:pPr>
            <w:r w:rsidRPr="000F6DC1">
              <w:rPr>
                <w:szCs w:val="28"/>
              </w:rPr>
              <w:t xml:space="preserve">TDAG is invited to </w:t>
            </w:r>
            <w:r w:rsidR="001C0BEC" w:rsidRPr="000F6DC1">
              <w:rPr>
                <w:szCs w:val="28"/>
              </w:rPr>
              <w:t>note this report</w:t>
            </w:r>
            <w:r w:rsidR="004F540F">
              <w:rPr>
                <w:szCs w:val="28"/>
              </w:rPr>
              <w:t xml:space="preserve"> and provide guidance as deemed necessary</w:t>
            </w:r>
            <w:r w:rsidRPr="000F6DC1">
              <w:rPr>
                <w:szCs w:val="28"/>
              </w:rPr>
              <w:t>.</w:t>
            </w:r>
          </w:p>
          <w:p w14:paraId="622ACB80" w14:textId="77777777" w:rsidR="00A721F4" w:rsidRPr="00D9621A" w:rsidRDefault="00A721F4" w:rsidP="003735B0">
            <w:pPr>
              <w:spacing w:after="120"/>
              <w:jc w:val="both"/>
              <w:rPr>
                <w:b/>
                <w:bCs/>
                <w:szCs w:val="24"/>
              </w:rPr>
            </w:pPr>
            <w:r w:rsidRPr="00D9621A">
              <w:rPr>
                <w:b/>
                <w:bCs/>
                <w:szCs w:val="24"/>
              </w:rPr>
              <w:t>References:</w:t>
            </w:r>
          </w:p>
          <w:p w14:paraId="1ECDD20E" w14:textId="374509EC" w:rsidR="00A721F4" w:rsidRPr="00D9621A" w:rsidRDefault="004F540F" w:rsidP="00EA0C51">
            <w:pPr>
              <w:spacing w:after="120"/>
            </w:pPr>
            <w:r>
              <w:t>N/A</w:t>
            </w:r>
          </w:p>
        </w:tc>
      </w:tr>
    </w:tbl>
    <w:p w14:paraId="05E72B44" w14:textId="1CA847B4" w:rsidR="004F540F" w:rsidRDefault="004F540F" w:rsidP="004F540F">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szCs w:val="24"/>
        </w:rPr>
      </w:pPr>
    </w:p>
    <w:p w14:paraId="5295A2B1" w14:textId="77777777" w:rsidR="004F540F" w:rsidRPr="005930B9" w:rsidRDefault="004F540F" w:rsidP="002A34ED">
      <w:pPr>
        <w:spacing w:before="60" w:after="60"/>
        <w:rPr>
          <w:rFonts w:cs="Calibri"/>
          <w:bCs/>
          <w:szCs w:val="24"/>
        </w:rPr>
      </w:pPr>
      <w:r w:rsidRPr="005930B9">
        <w:rPr>
          <w:rFonts w:cs="Calibri"/>
          <w:b/>
          <w:szCs w:val="24"/>
        </w:rPr>
        <w:t>Summary</w:t>
      </w:r>
    </w:p>
    <w:p w14:paraId="518F39FD" w14:textId="77777777" w:rsidR="004F540F" w:rsidRPr="005930B9" w:rsidRDefault="004F540F" w:rsidP="002A34ED">
      <w:pPr>
        <w:spacing w:before="60" w:after="60"/>
        <w:rPr>
          <w:rFonts w:ascii="Courier New" w:hAnsi="Courier New"/>
          <w:szCs w:val="24"/>
        </w:rPr>
      </w:pPr>
      <w:r w:rsidRPr="005930B9">
        <w:rPr>
          <w:szCs w:val="24"/>
        </w:rPr>
        <w:t>This document contains the final report of</w:t>
      </w:r>
      <w:r w:rsidRPr="005930B9">
        <w:rPr>
          <w:rFonts w:ascii="Calibri" w:hAnsi="Calibri"/>
          <w:szCs w:val="24"/>
        </w:rPr>
        <w:t xml:space="preserve"> t</w:t>
      </w:r>
      <w:r w:rsidRPr="005930B9">
        <w:rPr>
          <w:szCs w:val="24"/>
        </w:rPr>
        <w:t xml:space="preserve">he </w:t>
      </w:r>
      <w:r w:rsidRPr="005930B9">
        <w:rPr>
          <w:szCs w:val="24"/>
          <w:bdr w:val="none" w:sz="0" w:space="0" w:color="auto" w:frame="1"/>
          <w:shd w:val="clear" w:color="auto" w:fill="FFFFFF"/>
        </w:rPr>
        <w:t>TDAG Working Group on WTDC Resolutions, Declaration and Thematic Priorities (TDAG-WG-RDTP),</w:t>
      </w:r>
      <w:r w:rsidRPr="005930B9">
        <w:rPr>
          <w:szCs w:val="24"/>
        </w:rPr>
        <w:t xml:space="preserve"> including proposals based on its terms of reference. The report is submitted to the </w:t>
      </w:r>
      <w:r w:rsidRPr="005930B9">
        <w:t>Telecommunication Development Advisory Group</w:t>
      </w:r>
      <w:r w:rsidRPr="005930B9">
        <w:rPr>
          <w:rFonts w:cs="Arial"/>
          <w:szCs w:val="24"/>
          <w:shd w:val="clear" w:color="auto" w:fill="FFFFFF"/>
        </w:rPr>
        <w:t xml:space="preserve"> (</w:t>
      </w:r>
      <w:r w:rsidRPr="005930B9">
        <w:rPr>
          <w:szCs w:val="24"/>
        </w:rPr>
        <w:t>TDAG) meeting on24-28 May 2021 for consideration and any further action.</w:t>
      </w:r>
      <w:r w:rsidRPr="005930B9">
        <w:rPr>
          <w:rFonts w:ascii="Calibri" w:hAnsi="Calibri"/>
          <w:szCs w:val="24"/>
        </w:rPr>
        <w:t xml:space="preserve"> </w:t>
      </w:r>
    </w:p>
    <w:p w14:paraId="7EB08901" w14:textId="77777777" w:rsidR="004F540F" w:rsidRPr="005930B9" w:rsidRDefault="004F540F" w:rsidP="002A34ED">
      <w:pPr>
        <w:shd w:val="clear" w:color="auto" w:fill="FFFFFF"/>
        <w:spacing w:before="60" w:after="60"/>
        <w:rPr>
          <w:rFonts w:cs="Calibri"/>
          <w:bCs/>
          <w:szCs w:val="24"/>
        </w:rPr>
      </w:pPr>
      <w:r w:rsidRPr="005930B9">
        <w:rPr>
          <w:rFonts w:cs="Calibri"/>
          <w:bdr w:val="none" w:sz="0" w:space="0" w:color="auto" w:frame="1"/>
          <w:shd w:val="clear" w:color="auto" w:fill="FFFFFF"/>
        </w:rPr>
        <w:t>TDAG-WG-RDTP</w:t>
      </w:r>
      <w:r w:rsidRPr="005930B9">
        <w:rPr>
          <w:rFonts w:cs="Calibri"/>
          <w:szCs w:val="24"/>
          <w:bdr w:val="none" w:sz="0" w:space="0" w:color="auto" w:frame="1"/>
          <w:shd w:val="clear" w:color="auto" w:fill="FFFFFF"/>
        </w:rPr>
        <w:t xml:space="preserve"> </w:t>
      </w:r>
      <w:r w:rsidRPr="005930B9">
        <w:rPr>
          <w:rFonts w:cs="Calibri"/>
          <w:bCs/>
          <w:szCs w:val="24"/>
        </w:rPr>
        <w:t xml:space="preserve">was set up by TDAG at a meeting on 2-5 June 2020. Its </w:t>
      </w:r>
      <w:hyperlink r:id="rId13" w:history="1">
        <w:r w:rsidRPr="005930B9">
          <w:rPr>
            <w:rStyle w:val="Hyperlink"/>
            <w:rFonts w:cs="Calibri"/>
            <w:bCs/>
            <w:szCs w:val="24"/>
          </w:rPr>
          <w:t>terms of reference</w:t>
        </w:r>
      </w:hyperlink>
      <w:r w:rsidRPr="005930B9">
        <w:rPr>
          <w:rFonts w:cs="Calibri"/>
          <w:bCs/>
          <w:szCs w:val="24"/>
        </w:rPr>
        <w:t xml:space="preserve"> were approved at a subsequent extraordinary TDAG meeting on 16 June 2020, which also appointed </w:t>
      </w:r>
      <w:r w:rsidRPr="005930B9">
        <w:rPr>
          <w:rFonts w:cs="Calibri"/>
          <w:szCs w:val="24"/>
        </w:rPr>
        <w:t>Dr Ahmad Reza Sharafat (Islamic Republic of Iran) as Chairman.</w:t>
      </w:r>
      <w:r w:rsidRPr="005930B9">
        <w:rPr>
          <w:rFonts w:cs="Calibri"/>
          <w:bCs/>
          <w:szCs w:val="24"/>
        </w:rPr>
        <w:t xml:space="preserve"> </w:t>
      </w:r>
      <w:r w:rsidRPr="005930B9">
        <w:rPr>
          <w:rFonts w:cs="Calibri"/>
          <w:bdr w:val="none" w:sz="0" w:space="0" w:color="auto" w:frame="1"/>
          <w:shd w:val="clear" w:color="auto" w:fill="FFFFFF"/>
        </w:rPr>
        <w:t>TDAG-WG-RDTP was</w:t>
      </w:r>
      <w:r w:rsidRPr="005930B9">
        <w:rPr>
          <w:rFonts w:cs="Calibri"/>
          <w:szCs w:val="24"/>
        </w:rPr>
        <w:t xml:space="preserve"> open to all ITU Member States and Sector Members of the ITU Telecommunication Development Sector (ITU-D). </w:t>
      </w:r>
    </w:p>
    <w:p w14:paraId="5584F35B" w14:textId="77777777" w:rsidR="004F540F" w:rsidRPr="005930B9" w:rsidRDefault="004F540F" w:rsidP="006115FA">
      <w:pPr>
        <w:spacing w:before="60" w:after="120"/>
        <w:rPr>
          <w:rFonts w:cs="Calibri"/>
          <w:bCs/>
          <w:szCs w:val="24"/>
        </w:rPr>
      </w:pPr>
      <w:r w:rsidRPr="005930B9">
        <w:rPr>
          <w:rFonts w:cs="Calibri"/>
          <w:bdr w:val="none" w:sz="0" w:space="0" w:color="auto" w:frame="1"/>
          <w:shd w:val="clear" w:color="auto" w:fill="FFFFFF"/>
        </w:rPr>
        <w:t>TDAG-WG-RDTP</w:t>
      </w:r>
      <w:r w:rsidRPr="005930B9">
        <w:rPr>
          <w:rFonts w:cs="Calibri"/>
          <w:bCs/>
          <w:szCs w:val="24"/>
        </w:rPr>
        <w:t xml:space="preserve"> has held five meetings over July and October 2020 and January, March and April 2021 and received </w:t>
      </w:r>
      <w:r>
        <w:rPr>
          <w:rFonts w:cs="Calibri"/>
          <w:bCs/>
          <w:szCs w:val="24"/>
        </w:rPr>
        <w:t>24</w:t>
      </w:r>
      <w:r w:rsidRPr="005930B9">
        <w:rPr>
          <w:rFonts w:cs="Calibri"/>
          <w:bCs/>
          <w:szCs w:val="24"/>
        </w:rPr>
        <w:t xml:space="preserve"> c</w:t>
      </w:r>
      <w:r>
        <w:rPr>
          <w:rFonts w:cs="Calibri"/>
          <w:bCs/>
          <w:szCs w:val="24"/>
        </w:rPr>
        <w:t xml:space="preserve">ontributions from Member States, one regional telecommunication organization and the secretariat, </w:t>
      </w:r>
      <w:r w:rsidRPr="005930B9">
        <w:rPr>
          <w:rFonts w:cs="Calibri"/>
          <w:bCs/>
          <w:szCs w:val="24"/>
        </w:rPr>
        <w:t>that were presented and discussed at those meetings. The</w:t>
      </w:r>
      <w:r>
        <w:rPr>
          <w:rFonts w:cs="Calibri"/>
          <w:bCs/>
          <w:szCs w:val="24"/>
        </w:rPr>
        <w:t> </w:t>
      </w:r>
      <w:r w:rsidRPr="005930B9">
        <w:rPr>
          <w:rFonts w:cs="Calibri"/>
          <w:bCs/>
          <w:szCs w:val="24"/>
        </w:rPr>
        <w:t>reports of the individual meetings are available as follows:</w:t>
      </w:r>
    </w:p>
    <w:tbl>
      <w:tblPr>
        <w:tblStyle w:val="TableGrid"/>
        <w:tblW w:w="0" w:type="auto"/>
        <w:tblLook w:val="04A0" w:firstRow="1" w:lastRow="0" w:firstColumn="1" w:lastColumn="0" w:noHBand="0" w:noVBand="1"/>
      </w:tblPr>
      <w:tblGrid>
        <w:gridCol w:w="4697"/>
        <w:gridCol w:w="4697"/>
      </w:tblGrid>
      <w:tr w:rsidR="004F540F" w:rsidRPr="005A4558" w14:paraId="13991C6A" w14:textId="77777777" w:rsidTr="0052065C">
        <w:tc>
          <w:tcPr>
            <w:tcW w:w="4697" w:type="dxa"/>
          </w:tcPr>
          <w:p w14:paraId="6878DDF8" w14:textId="77777777" w:rsidR="004F540F" w:rsidRPr="005930B9" w:rsidRDefault="004F540F" w:rsidP="00215C99">
            <w:pPr>
              <w:keepNext/>
              <w:spacing w:before="60" w:after="60"/>
              <w:jc w:val="center"/>
              <w:rPr>
                <w:rFonts w:cs="Calibri"/>
                <w:bCs/>
                <w:szCs w:val="24"/>
              </w:rPr>
            </w:pPr>
            <w:r w:rsidRPr="005930B9">
              <w:rPr>
                <w:rFonts w:cs="Calibri"/>
                <w:bCs/>
                <w:szCs w:val="24"/>
              </w:rPr>
              <w:lastRenderedPageBreak/>
              <w:t>16 July 2020 –</w:t>
            </w:r>
            <w:hyperlink r:id="rId14" w:history="1">
              <w:r w:rsidRPr="005930B9">
                <w:rPr>
                  <w:rStyle w:val="Hyperlink"/>
                  <w:rFonts w:cs="Calibri"/>
                  <w:bCs/>
                  <w:szCs w:val="24"/>
                </w:rPr>
                <w:t>TDAG-WG-RDTP/5</w:t>
              </w:r>
            </w:hyperlink>
          </w:p>
        </w:tc>
        <w:tc>
          <w:tcPr>
            <w:tcW w:w="4697" w:type="dxa"/>
          </w:tcPr>
          <w:p w14:paraId="7FE87338" w14:textId="77777777" w:rsidR="004F540F" w:rsidRPr="005930B9" w:rsidRDefault="004F540F" w:rsidP="00215C99">
            <w:pPr>
              <w:keepNext/>
              <w:spacing w:before="60" w:after="60"/>
              <w:jc w:val="center"/>
              <w:rPr>
                <w:rFonts w:cs="Calibri"/>
                <w:bCs/>
                <w:szCs w:val="24"/>
              </w:rPr>
            </w:pPr>
            <w:r w:rsidRPr="005930B9">
              <w:rPr>
                <w:rFonts w:cs="Calibri"/>
                <w:bCs/>
                <w:szCs w:val="24"/>
              </w:rPr>
              <w:t xml:space="preserve">21 October 2020 – </w:t>
            </w:r>
            <w:hyperlink r:id="rId15" w:history="1">
              <w:r w:rsidRPr="005930B9">
                <w:rPr>
                  <w:rStyle w:val="Hyperlink"/>
                  <w:rFonts w:cs="Calibri"/>
                  <w:bCs/>
                  <w:szCs w:val="24"/>
                </w:rPr>
                <w:t>TDAG-WG-RDTP/10</w:t>
              </w:r>
            </w:hyperlink>
          </w:p>
        </w:tc>
      </w:tr>
      <w:tr w:rsidR="004F540F" w:rsidRPr="005A4558" w14:paraId="2AA39645" w14:textId="77777777" w:rsidTr="0052065C">
        <w:tc>
          <w:tcPr>
            <w:tcW w:w="4697" w:type="dxa"/>
          </w:tcPr>
          <w:p w14:paraId="73E3C5BA" w14:textId="77777777" w:rsidR="004F540F" w:rsidRPr="005930B9" w:rsidRDefault="004F540F" w:rsidP="0052065C">
            <w:pPr>
              <w:spacing w:before="60" w:after="60"/>
              <w:jc w:val="center"/>
              <w:rPr>
                <w:rFonts w:cs="Calibri"/>
                <w:bCs/>
                <w:szCs w:val="24"/>
              </w:rPr>
            </w:pPr>
            <w:r w:rsidRPr="005930B9">
              <w:rPr>
                <w:rFonts w:cs="Calibri"/>
                <w:bCs/>
                <w:szCs w:val="24"/>
              </w:rPr>
              <w:t>21 January 2021 –</w:t>
            </w:r>
            <w:hyperlink r:id="rId16" w:history="1">
              <w:r w:rsidRPr="005930B9">
                <w:rPr>
                  <w:rStyle w:val="Hyperlink"/>
                  <w:rFonts w:cs="Calibri"/>
                  <w:bCs/>
                  <w:szCs w:val="24"/>
                </w:rPr>
                <w:t>TDAG-WG-RDTP/21</w:t>
              </w:r>
            </w:hyperlink>
          </w:p>
        </w:tc>
        <w:tc>
          <w:tcPr>
            <w:tcW w:w="4697" w:type="dxa"/>
          </w:tcPr>
          <w:p w14:paraId="04256BC2" w14:textId="77777777" w:rsidR="004F540F" w:rsidRPr="005930B9" w:rsidRDefault="004F540F" w:rsidP="002A34ED">
            <w:pPr>
              <w:pStyle w:val="ListParagraph"/>
              <w:keepNext/>
              <w:spacing w:before="60" w:after="60"/>
              <w:ind w:left="0"/>
              <w:contextualSpacing w:val="0"/>
              <w:jc w:val="center"/>
              <w:rPr>
                <w:rFonts w:cs="Calibri"/>
                <w:color w:val="0000FF"/>
                <w:szCs w:val="24"/>
                <w:u w:val="single"/>
                <w:lang w:val="en-US"/>
              </w:rPr>
            </w:pPr>
            <w:r w:rsidRPr="005930B9">
              <w:rPr>
                <w:rFonts w:cs="Calibri"/>
                <w:bCs/>
                <w:szCs w:val="24"/>
              </w:rPr>
              <w:t xml:space="preserve">3 March 2021 – </w:t>
            </w:r>
            <w:hyperlink r:id="rId17" w:history="1">
              <w:r w:rsidRPr="005930B9">
                <w:rPr>
                  <w:rStyle w:val="Hyperlink"/>
                  <w:rFonts w:cs="Calibri"/>
                  <w:szCs w:val="24"/>
                  <w:lang w:val="en-US"/>
                </w:rPr>
                <w:t>TDAG-WG-RDTP/33</w:t>
              </w:r>
            </w:hyperlink>
          </w:p>
        </w:tc>
      </w:tr>
    </w:tbl>
    <w:p w14:paraId="60C88FA9" w14:textId="77777777" w:rsidR="004F540F" w:rsidRPr="002A34ED" w:rsidRDefault="004F540F" w:rsidP="006115FA">
      <w:pPr>
        <w:keepNext/>
        <w:tabs>
          <w:tab w:val="left" w:pos="567"/>
          <w:tab w:val="left" w:pos="1134"/>
          <w:tab w:val="left" w:pos="1701"/>
          <w:tab w:val="left" w:pos="2268"/>
        </w:tabs>
        <w:spacing w:before="240"/>
        <w:rPr>
          <w:rFonts w:cs="Calibri"/>
          <w:b/>
          <w:szCs w:val="24"/>
        </w:rPr>
      </w:pPr>
      <w:r w:rsidRPr="002A34ED">
        <w:rPr>
          <w:rFonts w:cs="Calibri"/>
          <w:b/>
          <w:szCs w:val="24"/>
        </w:rPr>
        <w:t>Introduction</w:t>
      </w:r>
    </w:p>
    <w:p w14:paraId="093C21E3" w14:textId="77777777" w:rsidR="004F540F" w:rsidRPr="00C730DA" w:rsidRDefault="004F540F" w:rsidP="006115FA">
      <w:pPr>
        <w:tabs>
          <w:tab w:val="left" w:pos="567"/>
          <w:tab w:val="left" w:pos="1134"/>
          <w:tab w:val="left" w:pos="1701"/>
          <w:tab w:val="left" w:pos="2268"/>
        </w:tabs>
        <w:rPr>
          <w:rFonts w:cs="Calibri"/>
          <w:szCs w:val="24"/>
          <w:shd w:val="clear" w:color="auto" w:fill="FFFFFF"/>
        </w:rPr>
      </w:pPr>
      <w:r w:rsidRPr="002A34ED">
        <w:rPr>
          <w:rFonts w:cs="Calibri"/>
          <w:szCs w:val="24"/>
        </w:rPr>
        <w:t xml:space="preserve">Throughout its meetings, </w:t>
      </w:r>
      <w:r w:rsidRPr="002A34ED">
        <w:rPr>
          <w:rFonts w:cs="Calibri"/>
          <w:szCs w:val="24"/>
          <w:bdr w:val="none" w:sz="0" w:space="0" w:color="auto" w:frame="1"/>
          <w:shd w:val="clear" w:color="auto" w:fill="FFFFFF"/>
        </w:rPr>
        <w:t xml:space="preserve">TDAG-WG-RDTP </w:t>
      </w:r>
      <w:r w:rsidRPr="002A34ED">
        <w:rPr>
          <w:rFonts w:cs="Calibri"/>
          <w:szCs w:val="24"/>
        </w:rPr>
        <w:t xml:space="preserve">was reminded that </w:t>
      </w:r>
      <w:r w:rsidRPr="002A34ED">
        <w:rPr>
          <w:rFonts w:cs="Calibri"/>
          <w:szCs w:val="24"/>
          <w:shd w:val="clear" w:color="auto" w:fill="FFFFFF"/>
        </w:rPr>
        <w:t xml:space="preserve">3.7 billion people are not </w:t>
      </w:r>
      <w:proofErr w:type="gramStart"/>
      <w:r w:rsidRPr="002A34ED">
        <w:rPr>
          <w:rFonts w:cs="Calibri"/>
          <w:szCs w:val="24"/>
          <w:shd w:val="clear" w:color="auto" w:fill="FFFFFF"/>
        </w:rPr>
        <w:t>connected, and</w:t>
      </w:r>
      <w:proofErr w:type="gramEnd"/>
      <w:r w:rsidRPr="002A34ED">
        <w:rPr>
          <w:rFonts w:cs="Calibri"/>
          <w:szCs w:val="24"/>
          <w:shd w:val="clear" w:color="auto" w:fill="FFFFFF"/>
        </w:rPr>
        <w:t xml:space="preserve"> was encouraged by the </w:t>
      </w:r>
      <w:r w:rsidRPr="002A34ED">
        <w:rPr>
          <w:rFonts w:cs="Calibri"/>
          <w:szCs w:val="24"/>
        </w:rPr>
        <w:t xml:space="preserve">Director of the </w:t>
      </w:r>
      <w:r w:rsidRPr="002A34ED">
        <w:rPr>
          <w:rFonts w:cs="Calibri"/>
          <w:bCs/>
          <w:szCs w:val="24"/>
        </w:rPr>
        <w:t>ITU Telecommunication Development Bureau</w:t>
      </w:r>
      <w:r w:rsidRPr="002A34ED">
        <w:rPr>
          <w:rFonts w:cs="Calibri"/>
          <w:szCs w:val="24"/>
        </w:rPr>
        <w:t xml:space="preserve"> (BDT), Ms Doreen Bogdan-Martin, </w:t>
      </w:r>
      <w:r w:rsidRPr="002A34ED">
        <w:rPr>
          <w:rFonts w:cs="Calibri"/>
          <w:szCs w:val="24"/>
          <w:shd w:val="clear" w:color="auto" w:fill="FFFFFF"/>
        </w:rPr>
        <w:t xml:space="preserve">to be bold in making proposals </w:t>
      </w:r>
      <w:r w:rsidRPr="002A34ED">
        <w:rPr>
          <w:rFonts w:cs="Calibri"/>
          <w:szCs w:val="24"/>
        </w:rPr>
        <w:t>that would dramatically change the connectivity landscape in the parts of the world that need it most.</w:t>
      </w:r>
      <w:r w:rsidRPr="002A34ED">
        <w:rPr>
          <w:rFonts w:cs="Calibri"/>
          <w:szCs w:val="24"/>
          <w:shd w:val="clear" w:color="auto" w:fill="FFFFFF"/>
        </w:rPr>
        <w:t xml:space="preserve"> T</w:t>
      </w:r>
      <w:r w:rsidRPr="00C730DA">
        <w:rPr>
          <w:rFonts w:cs="Calibri"/>
          <w:szCs w:val="24"/>
          <w:shd w:val="clear" w:color="auto" w:fill="FFFFFF"/>
        </w:rPr>
        <w:t>heir mission was made ever more urgent with the COVID-19 pandemic having thrown into sharp relief the digital divides.</w:t>
      </w:r>
    </w:p>
    <w:p w14:paraId="62ECAC9F" w14:textId="77777777" w:rsidR="004F540F" w:rsidRPr="00C730DA" w:rsidRDefault="004F540F" w:rsidP="006115FA">
      <w:pPr>
        <w:keepNext/>
        <w:tabs>
          <w:tab w:val="left" w:pos="567"/>
          <w:tab w:val="left" w:pos="1134"/>
          <w:tab w:val="left" w:pos="1701"/>
          <w:tab w:val="left" w:pos="2268"/>
        </w:tabs>
        <w:rPr>
          <w:rFonts w:cs="Calibri"/>
          <w:b/>
          <w:szCs w:val="24"/>
          <w:shd w:val="clear" w:color="auto" w:fill="FFFFFF"/>
        </w:rPr>
      </w:pPr>
      <w:r w:rsidRPr="00C730DA">
        <w:rPr>
          <w:rFonts w:cs="Calibri"/>
          <w:b/>
          <w:szCs w:val="24"/>
          <w:shd w:val="clear" w:color="auto" w:fill="FFFFFF"/>
        </w:rPr>
        <w:t>Results and action required</w:t>
      </w:r>
      <w:r>
        <w:rPr>
          <w:rFonts w:cs="Calibri"/>
          <w:b/>
          <w:szCs w:val="24"/>
          <w:shd w:val="clear" w:color="auto" w:fill="FFFFFF"/>
        </w:rPr>
        <w:t>:</w:t>
      </w:r>
    </w:p>
    <w:p w14:paraId="2CA74194" w14:textId="77777777" w:rsidR="004F540F" w:rsidRPr="00C730DA" w:rsidRDefault="004F540F" w:rsidP="006115FA">
      <w:pPr>
        <w:shd w:val="clear" w:color="auto" w:fill="FFFFFF"/>
        <w:tabs>
          <w:tab w:val="left" w:pos="567"/>
          <w:tab w:val="left" w:pos="1134"/>
          <w:tab w:val="left" w:pos="1701"/>
          <w:tab w:val="left" w:pos="2268"/>
        </w:tabs>
        <w:rPr>
          <w:rFonts w:cs="Calibri"/>
          <w:szCs w:val="24"/>
        </w:rPr>
      </w:pPr>
      <w:r w:rsidRPr="00C730DA">
        <w:rPr>
          <w:rFonts w:cs="Calibri"/>
          <w:szCs w:val="24"/>
        </w:rPr>
        <w:t xml:space="preserve">Over the course of its five meetings, </w:t>
      </w:r>
      <w:r w:rsidRPr="00C730DA">
        <w:rPr>
          <w:rFonts w:cs="Calibri"/>
          <w:szCs w:val="24"/>
          <w:bdr w:val="none" w:sz="0" w:space="0" w:color="auto" w:frame="1"/>
          <w:shd w:val="clear" w:color="auto" w:fill="FFFFFF"/>
        </w:rPr>
        <w:t>TDAG-WG-RDTP</w:t>
      </w:r>
      <w:r w:rsidRPr="00C730DA">
        <w:rPr>
          <w:rFonts w:cs="Calibri"/>
          <w:szCs w:val="24"/>
        </w:rPr>
        <w:t xml:space="preserve"> has worked </w:t>
      </w:r>
      <w:r>
        <w:rPr>
          <w:rFonts w:cs="Calibri"/>
          <w:szCs w:val="24"/>
        </w:rPr>
        <w:t>h</w:t>
      </w:r>
      <w:r w:rsidRPr="00C730DA">
        <w:rPr>
          <w:rFonts w:cs="Calibri"/>
          <w:szCs w:val="24"/>
        </w:rPr>
        <w:t>ard to facilitate decision-making at the next World Telecommunication Development Conference (WTDC). The group has:</w:t>
      </w:r>
    </w:p>
    <w:p w14:paraId="278BA13C" w14:textId="77777777" w:rsidR="004F540F" w:rsidRPr="000045BB" w:rsidRDefault="004F540F" w:rsidP="004F540F">
      <w:pPr>
        <w:numPr>
          <w:ilvl w:val="0"/>
          <w:numId w:val="36"/>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ind w:left="567" w:hanging="567"/>
        <w:textAlignment w:val="auto"/>
        <w:rPr>
          <w:rFonts w:cs="Calibri"/>
          <w:szCs w:val="24"/>
          <w:lang w:val="fr-CH"/>
        </w:rPr>
      </w:pPr>
      <w:proofErr w:type="spellStart"/>
      <w:r w:rsidRPr="000045BB">
        <w:rPr>
          <w:rFonts w:cs="Calibri"/>
          <w:szCs w:val="24"/>
          <w:lang w:val="fr-CH"/>
        </w:rPr>
        <w:t>developed</w:t>
      </w:r>
      <w:proofErr w:type="spellEnd"/>
      <w:r w:rsidRPr="000045BB">
        <w:rPr>
          <w:rFonts w:cs="Calibri"/>
          <w:szCs w:val="24"/>
          <w:lang w:val="fr-CH"/>
        </w:rPr>
        <w:t xml:space="preserve"> </w:t>
      </w:r>
      <w:proofErr w:type="spellStart"/>
      <w:r w:rsidRPr="000045BB">
        <w:rPr>
          <w:rFonts w:cs="Calibri"/>
          <w:szCs w:val="24"/>
          <w:shd w:val="clear" w:color="auto" w:fill="FFFFFF"/>
          <w:lang w:val="fr-CH"/>
        </w:rPr>
        <w:t>concrete</w:t>
      </w:r>
      <w:proofErr w:type="spellEnd"/>
      <w:r w:rsidRPr="000045BB">
        <w:rPr>
          <w:rFonts w:cs="Calibri"/>
          <w:szCs w:val="24"/>
          <w:shd w:val="clear" w:color="auto" w:fill="FFFFFF"/>
          <w:lang w:val="fr-CH"/>
        </w:rPr>
        <w:t xml:space="preserve"> </w:t>
      </w:r>
      <w:proofErr w:type="spellStart"/>
      <w:r w:rsidRPr="000045BB">
        <w:rPr>
          <w:rFonts w:cs="Calibri"/>
          <w:szCs w:val="24"/>
          <w:shd w:val="clear" w:color="auto" w:fill="FFFFFF"/>
          <w:lang w:val="fr-CH"/>
        </w:rPr>
        <w:t>proposals</w:t>
      </w:r>
      <w:proofErr w:type="spellEnd"/>
      <w:r w:rsidRPr="000045BB">
        <w:rPr>
          <w:rFonts w:cs="Calibri"/>
          <w:szCs w:val="24"/>
          <w:shd w:val="clear" w:color="auto" w:fill="FFFFFF"/>
          <w:lang w:val="fr-CH"/>
        </w:rPr>
        <w:t xml:space="preserve"> on </w:t>
      </w:r>
      <w:proofErr w:type="spellStart"/>
      <w:r w:rsidRPr="000045BB">
        <w:rPr>
          <w:rFonts w:cs="Calibri"/>
          <w:szCs w:val="24"/>
          <w:shd w:val="clear" w:color="auto" w:fill="FFFFFF"/>
          <w:lang w:val="fr-CH"/>
        </w:rPr>
        <w:t>streamlining</w:t>
      </w:r>
      <w:proofErr w:type="spellEnd"/>
      <w:r w:rsidRPr="000045BB">
        <w:rPr>
          <w:rFonts w:cs="Calibri"/>
          <w:szCs w:val="24"/>
          <w:shd w:val="clear" w:color="auto" w:fill="FFFFFF"/>
          <w:lang w:val="fr-CH"/>
        </w:rPr>
        <w:t xml:space="preserve"> </w:t>
      </w:r>
      <w:proofErr w:type="spellStart"/>
      <w:r w:rsidRPr="000045BB">
        <w:rPr>
          <w:rFonts w:cs="Calibri"/>
          <w:szCs w:val="24"/>
          <w:shd w:val="clear" w:color="auto" w:fill="FFFFFF"/>
          <w:lang w:val="fr-CH"/>
        </w:rPr>
        <w:t>resolutions</w:t>
      </w:r>
      <w:proofErr w:type="spellEnd"/>
      <w:r w:rsidRPr="000045BB">
        <w:rPr>
          <w:rFonts w:cs="Calibri"/>
          <w:szCs w:val="24"/>
          <w:shd w:val="clear" w:color="auto" w:fill="FFFFFF"/>
          <w:lang w:val="fr-CH"/>
        </w:rPr>
        <w:t xml:space="preserve"> (document</w:t>
      </w:r>
      <w:r>
        <w:rPr>
          <w:rFonts w:cs="Calibri"/>
          <w:szCs w:val="24"/>
          <w:shd w:val="clear" w:color="auto" w:fill="FFFFFF"/>
          <w:lang w:val="fr-CH"/>
        </w:rPr>
        <w:t>s</w:t>
      </w:r>
      <w:r w:rsidRPr="000045BB">
        <w:rPr>
          <w:rFonts w:cs="Calibri"/>
          <w:szCs w:val="24"/>
          <w:shd w:val="clear" w:color="auto" w:fill="FFFFFF"/>
          <w:lang w:val="fr-CH"/>
        </w:rPr>
        <w:t xml:space="preserve"> </w:t>
      </w:r>
      <w:hyperlink r:id="rId18" w:history="1">
        <w:r w:rsidRPr="000045BB">
          <w:rPr>
            <w:rStyle w:val="Hyperlink"/>
            <w:rFonts w:cs="Calibri"/>
            <w:szCs w:val="24"/>
            <w:shd w:val="clear" w:color="auto" w:fill="FFFFFF"/>
            <w:lang w:val="fr-CH"/>
          </w:rPr>
          <w:t>DT/8</w:t>
        </w:r>
      </w:hyperlink>
      <w:r w:rsidRPr="000045BB">
        <w:rPr>
          <w:rFonts w:cs="Calibri"/>
          <w:szCs w:val="24"/>
          <w:shd w:val="clear" w:color="auto" w:fill="FFFFFF"/>
          <w:lang w:val="fr-CH"/>
        </w:rPr>
        <w:t xml:space="preserve">, </w:t>
      </w:r>
      <w:hyperlink r:id="rId19" w:history="1">
        <w:r w:rsidRPr="000045BB">
          <w:rPr>
            <w:rStyle w:val="Hyperlink"/>
            <w:rFonts w:cs="Calibri"/>
            <w:szCs w:val="24"/>
            <w:shd w:val="clear" w:color="auto" w:fill="FFFFFF"/>
            <w:lang w:val="fr-CH"/>
          </w:rPr>
          <w:t>DT/9</w:t>
        </w:r>
      </w:hyperlink>
      <w:r w:rsidRPr="000045BB">
        <w:rPr>
          <w:rFonts w:cs="Calibri"/>
          <w:szCs w:val="24"/>
          <w:shd w:val="clear" w:color="auto" w:fill="FFFFFF"/>
          <w:lang w:val="fr-CH"/>
        </w:rPr>
        <w:t xml:space="preserve"> and </w:t>
      </w:r>
      <w:hyperlink r:id="rId20" w:history="1">
        <w:r w:rsidRPr="000045BB">
          <w:rPr>
            <w:rStyle w:val="Hyperlink"/>
            <w:rFonts w:cs="Calibri"/>
            <w:szCs w:val="24"/>
            <w:shd w:val="clear" w:color="auto" w:fill="FFFFFF"/>
            <w:lang w:val="fr-CH"/>
          </w:rPr>
          <w:t>DT/10</w:t>
        </w:r>
      </w:hyperlink>
      <w:r w:rsidRPr="000045BB">
        <w:rPr>
          <w:rFonts w:cs="Calibri"/>
          <w:szCs w:val="24"/>
          <w:shd w:val="clear" w:color="auto" w:fill="FFFFFF"/>
          <w:lang w:val="fr-CH"/>
        </w:rPr>
        <w:t xml:space="preserve">, </w:t>
      </w:r>
      <w:hyperlink r:id="rId21" w:history="1">
        <w:r w:rsidRPr="000045BB">
          <w:rPr>
            <w:rStyle w:val="Hyperlink"/>
            <w:rFonts w:cs="Calibri"/>
            <w:szCs w:val="24"/>
            <w:shd w:val="clear" w:color="auto" w:fill="FFFFFF"/>
            <w:lang w:val="fr-CH"/>
          </w:rPr>
          <w:t>document 8</w:t>
        </w:r>
      </w:hyperlink>
      <w:r w:rsidRPr="000045BB">
        <w:rPr>
          <w:rFonts w:cs="Calibri"/>
          <w:szCs w:val="24"/>
          <w:shd w:val="clear" w:color="auto" w:fill="FFFFFF"/>
          <w:lang w:val="fr-CH"/>
        </w:rPr>
        <w:t xml:space="preserve">, </w:t>
      </w:r>
      <w:hyperlink r:id="rId22" w:history="1">
        <w:r w:rsidRPr="000045BB">
          <w:rPr>
            <w:rStyle w:val="Hyperlink"/>
            <w:rFonts w:cs="Calibri"/>
            <w:szCs w:val="24"/>
            <w:shd w:val="clear" w:color="auto" w:fill="FFFFFF"/>
            <w:lang w:val="fr-CH"/>
          </w:rPr>
          <w:t>document 14</w:t>
        </w:r>
      </w:hyperlink>
      <w:r w:rsidRPr="000045BB">
        <w:rPr>
          <w:rFonts w:cs="Calibri"/>
          <w:szCs w:val="24"/>
          <w:shd w:val="clear" w:color="auto" w:fill="FFFFFF"/>
          <w:lang w:val="fr-CH"/>
        </w:rPr>
        <w:t xml:space="preserve">, </w:t>
      </w:r>
      <w:hyperlink r:id="rId23" w:history="1">
        <w:r w:rsidRPr="000045BB">
          <w:rPr>
            <w:rStyle w:val="Hyperlink"/>
            <w:rFonts w:cs="Calibri"/>
            <w:szCs w:val="24"/>
            <w:shd w:val="clear" w:color="auto" w:fill="FFFFFF"/>
            <w:lang w:val="fr-CH"/>
          </w:rPr>
          <w:t>document 15</w:t>
        </w:r>
      </w:hyperlink>
      <w:r w:rsidRPr="000045BB">
        <w:rPr>
          <w:rFonts w:cs="Calibri"/>
          <w:szCs w:val="24"/>
          <w:shd w:val="clear" w:color="auto" w:fill="FFFFFF"/>
          <w:lang w:val="fr-CH"/>
        </w:rPr>
        <w:t xml:space="preserve">, </w:t>
      </w:r>
      <w:hyperlink r:id="rId24" w:history="1">
        <w:r w:rsidRPr="000045BB">
          <w:rPr>
            <w:rStyle w:val="Hyperlink"/>
            <w:rFonts w:cs="Calibri"/>
            <w:szCs w:val="24"/>
            <w:shd w:val="clear" w:color="auto" w:fill="FFFFFF"/>
            <w:lang w:val="fr-CH"/>
          </w:rPr>
          <w:t>document 16</w:t>
        </w:r>
      </w:hyperlink>
      <w:r w:rsidRPr="000045BB">
        <w:rPr>
          <w:rFonts w:cs="Calibri"/>
          <w:szCs w:val="24"/>
          <w:shd w:val="clear" w:color="auto" w:fill="FFFFFF"/>
          <w:lang w:val="fr-CH"/>
        </w:rPr>
        <w:t xml:space="preserve">, </w:t>
      </w:r>
      <w:hyperlink r:id="rId25" w:history="1">
        <w:r w:rsidRPr="000045BB">
          <w:rPr>
            <w:rStyle w:val="Hyperlink"/>
            <w:rFonts w:cs="Calibri"/>
            <w:szCs w:val="24"/>
            <w:shd w:val="clear" w:color="auto" w:fill="FFFFFF"/>
            <w:lang w:val="fr-CH"/>
          </w:rPr>
          <w:t>document 17</w:t>
        </w:r>
      </w:hyperlink>
      <w:r w:rsidRPr="000045BB">
        <w:rPr>
          <w:rFonts w:cs="Calibri"/>
          <w:szCs w:val="24"/>
          <w:shd w:val="clear" w:color="auto" w:fill="FFFFFF"/>
          <w:lang w:val="fr-CH"/>
        </w:rPr>
        <w:t xml:space="preserve">, </w:t>
      </w:r>
      <w:hyperlink r:id="rId26" w:history="1">
        <w:r w:rsidRPr="000045BB">
          <w:rPr>
            <w:rStyle w:val="Hyperlink"/>
            <w:rFonts w:cs="Calibri"/>
            <w:szCs w:val="24"/>
            <w:shd w:val="clear" w:color="auto" w:fill="FFFFFF"/>
            <w:lang w:val="fr-CH"/>
          </w:rPr>
          <w:t>document 18</w:t>
        </w:r>
      </w:hyperlink>
      <w:r w:rsidRPr="000045BB">
        <w:rPr>
          <w:rFonts w:cs="Calibri"/>
          <w:szCs w:val="24"/>
          <w:shd w:val="clear" w:color="auto" w:fill="FFFFFF"/>
          <w:lang w:val="fr-CH"/>
        </w:rPr>
        <w:t xml:space="preserve">, </w:t>
      </w:r>
      <w:hyperlink r:id="rId27" w:history="1">
        <w:r w:rsidRPr="000045BB">
          <w:rPr>
            <w:rStyle w:val="Hyperlink"/>
            <w:rFonts w:cs="Calibri"/>
            <w:szCs w:val="24"/>
            <w:shd w:val="clear" w:color="auto" w:fill="FFFFFF"/>
            <w:lang w:val="fr-CH"/>
          </w:rPr>
          <w:t>document 19</w:t>
        </w:r>
      </w:hyperlink>
      <w:r w:rsidRPr="000045BB">
        <w:rPr>
          <w:rFonts w:cs="Calibri"/>
          <w:szCs w:val="24"/>
          <w:shd w:val="clear" w:color="auto" w:fill="FFFFFF"/>
          <w:lang w:val="fr-CH"/>
        </w:rPr>
        <w:t xml:space="preserve">, </w:t>
      </w:r>
      <w:hyperlink r:id="rId28" w:history="1">
        <w:r w:rsidRPr="000045BB">
          <w:rPr>
            <w:rStyle w:val="Hyperlink"/>
            <w:rFonts w:cs="Calibri"/>
            <w:szCs w:val="24"/>
            <w:shd w:val="clear" w:color="auto" w:fill="FFFFFF"/>
            <w:lang w:val="fr-CH"/>
          </w:rPr>
          <w:t>document 29</w:t>
        </w:r>
      </w:hyperlink>
      <w:r w:rsidRPr="000045BB">
        <w:rPr>
          <w:rFonts w:cs="Calibri"/>
          <w:szCs w:val="24"/>
          <w:shd w:val="clear" w:color="auto" w:fill="FFFFFF"/>
          <w:lang w:val="fr-CH"/>
        </w:rPr>
        <w:t xml:space="preserve">, </w:t>
      </w:r>
      <w:hyperlink r:id="rId29" w:history="1">
        <w:r w:rsidRPr="000045BB">
          <w:rPr>
            <w:rStyle w:val="Hyperlink"/>
            <w:rFonts w:cs="Calibri"/>
            <w:szCs w:val="24"/>
            <w:shd w:val="clear" w:color="auto" w:fill="FFFFFF"/>
            <w:lang w:val="fr-CH"/>
          </w:rPr>
          <w:t>document 30</w:t>
        </w:r>
      </w:hyperlink>
      <w:r w:rsidRPr="000045BB">
        <w:rPr>
          <w:rFonts w:cs="Calibri"/>
          <w:szCs w:val="24"/>
          <w:shd w:val="clear" w:color="auto" w:fill="FFFFFF"/>
          <w:lang w:val="fr-CH"/>
        </w:rPr>
        <w:t xml:space="preserve">); </w:t>
      </w:r>
    </w:p>
    <w:p w14:paraId="32B545CD" w14:textId="77777777" w:rsidR="004F540F" w:rsidRPr="00C730DA" w:rsidRDefault="004F540F" w:rsidP="004F540F">
      <w:pPr>
        <w:numPr>
          <w:ilvl w:val="0"/>
          <w:numId w:val="36"/>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ind w:left="567" w:hanging="567"/>
        <w:textAlignment w:val="auto"/>
        <w:rPr>
          <w:rFonts w:cs="Calibri"/>
          <w:szCs w:val="24"/>
          <w:shd w:val="clear" w:color="auto" w:fill="FFFFFF"/>
        </w:rPr>
      </w:pPr>
      <w:r w:rsidRPr="00C730DA">
        <w:rPr>
          <w:rFonts w:cs="Calibri"/>
          <w:szCs w:val="24"/>
          <w:shd w:val="clear" w:color="auto" w:fill="FFFFFF"/>
        </w:rPr>
        <w:t>prepared a draft WTDC Declaration</w:t>
      </w:r>
      <w:r>
        <w:rPr>
          <w:rFonts w:cs="Calibri"/>
          <w:szCs w:val="24"/>
          <w:shd w:val="clear" w:color="auto" w:fill="FFFFFF"/>
        </w:rPr>
        <w:t xml:space="preserve"> (</w:t>
      </w:r>
      <w:hyperlink r:id="rId30" w:history="1">
        <w:r>
          <w:rPr>
            <w:rStyle w:val="Hyperlink"/>
            <w:rFonts w:cs="Calibri"/>
            <w:szCs w:val="24"/>
            <w:shd w:val="clear" w:color="auto" w:fill="FFFFFF"/>
          </w:rPr>
          <w:t>D</w:t>
        </w:r>
        <w:r w:rsidRPr="006115FA">
          <w:rPr>
            <w:rStyle w:val="Hyperlink"/>
            <w:rFonts w:cs="Calibri"/>
            <w:szCs w:val="24"/>
            <w:shd w:val="clear" w:color="auto" w:fill="FFFFFF"/>
          </w:rPr>
          <w:t>ocument 36</w:t>
        </w:r>
        <w:r w:rsidRPr="006115FA">
          <w:rPr>
            <w:rStyle w:val="Hyperlink"/>
            <w:rFonts w:cs="Calibri"/>
            <w:szCs w:val="24"/>
          </w:rPr>
          <w:t>(Rev.1)</w:t>
        </w:r>
      </w:hyperlink>
      <w:proofErr w:type="gramStart"/>
      <w:r>
        <w:rPr>
          <w:rFonts w:cs="Calibri"/>
          <w:szCs w:val="24"/>
          <w:shd w:val="clear" w:color="auto" w:fill="FFFFFF"/>
        </w:rPr>
        <w:t>)</w:t>
      </w:r>
      <w:r w:rsidRPr="00C730DA">
        <w:rPr>
          <w:rFonts w:cs="Calibri"/>
          <w:szCs w:val="24"/>
          <w:shd w:val="clear" w:color="auto" w:fill="FFFFFF"/>
        </w:rPr>
        <w:t>;</w:t>
      </w:r>
      <w:proofErr w:type="gramEnd"/>
      <w:r w:rsidRPr="00C730DA">
        <w:rPr>
          <w:rFonts w:cs="Calibri"/>
          <w:szCs w:val="24"/>
          <w:shd w:val="clear" w:color="auto" w:fill="FFFFFF"/>
        </w:rPr>
        <w:t xml:space="preserve"> </w:t>
      </w:r>
    </w:p>
    <w:p w14:paraId="6F439C7E" w14:textId="77777777" w:rsidR="004F540F" w:rsidRPr="00C730DA" w:rsidRDefault="004F540F" w:rsidP="004F540F">
      <w:pPr>
        <w:numPr>
          <w:ilvl w:val="0"/>
          <w:numId w:val="36"/>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ind w:left="567" w:hanging="567"/>
        <w:textAlignment w:val="auto"/>
        <w:rPr>
          <w:rFonts w:cs="Calibri"/>
          <w:szCs w:val="24"/>
          <w:shd w:val="clear" w:color="auto" w:fill="FFFFFF"/>
        </w:rPr>
      </w:pPr>
      <w:r w:rsidRPr="00C730DA">
        <w:rPr>
          <w:rFonts w:cs="Calibri"/>
          <w:szCs w:val="24"/>
          <w:shd w:val="clear" w:color="auto" w:fill="FFFFFF"/>
        </w:rPr>
        <w:t>proposed Study Questions</w:t>
      </w:r>
      <w:r>
        <w:rPr>
          <w:rFonts w:cs="Calibri"/>
          <w:szCs w:val="24"/>
          <w:shd w:val="clear" w:color="auto" w:fill="FFFFFF"/>
        </w:rPr>
        <w:t xml:space="preserve"> (Annex 2 of </w:t>
      </w:r>
      <w:hyperlink r:id="rId31" w:history="1">
        <w:r>
          <w:rPr>
            <w:rStyle w:val="Hyperlink"/>
            <w:rFonts w:cs="Calibri"/>
            <w:szCs w:val="24"/>
            <w:shd w:val="clear" w:color="auto" w:fill="FFFFFF"/>
          </w:rPr>
          <w:t>D</w:t>
        </w:r>
        <w:r w:rsidRPr="00A41672">
          <w:rPr>
            <w:rStyle w:val="Hyperlink"/>
            <w:rFonts w:cs="Calibri"/>
            <w:szCs w:val="24"/>
            <w:shd w:val="clear" w:color="auto" w:fill="FFFFFF"/>
          </w:rPr>
          <w:t>ocument 38</w:t>
        </w:r>
      </w:hyperlink>
      <w:proofErr w:type="gramStart"/>
      <w:r>
        <w:rPr>
          <w:rFonts w:cs="Calibri"/>
          <w:szCs w:val="24"/>
          <w:shd w:val="clear" w:color="auto" w:fill="FFFFFF"/>
        </w:rPr>
        <w:t>)</w:t>
      </w:r>
      <w:r w:rsidRPr="00C730DA">
        <w:rPr>
          <w:rFonts w:cs="Calibri"/>
          <w:szCs w:val="24"/>
          <w:shd w:val="clear" w:color="auto" w:fill="FFFFFF"/>
        </w:rPr>
        <w:t>;</w:t>
      </w:r>
      <w:proofErr w:type="gramEnd"/>
    </w:p>
    <w:p w14:paraId="0FD77182" w14:textId="77777777" w:rsidR="004F540F" w:rsidRPr="003E1EC9" w:rsidRDefault="004F540F" w:rsidP="004F540F">
      <w:pPr>
        <w:numPr>
          <w:ilvl w:val="0"/>
          <w:numId w:val="36"/>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ind w:left="567" w:hanging="567"/>
        <w:textAlignment w:val="auto"/>
        <w:rPr>
          <w:rFonts w:cs="Calibri"/>
          <w:szCs w:val="24"/>
          <w:shd w:val="clear" w:color="auto" w:fill="FFFFFF"/>
        </w:rPr>
      </w:pPr>
      <w:r w:rsidRPr="00C730DA">
        <w:rPr>
          <w:rFonts w:cs="Calibri"/>
          <w:szCs w:val="24"/>
          <w:shd w:val="clear" w:color="auto" w:fill="FFFFFF"/>
        </w:rPr>
        <w:t xml:space="preserve">streamlined the Sector’s </w:t>
      </w:r>
      <w:r w:rsidRPr="00C730DA">
        <w:rPr>
          <w:rFonts w:cs="Calibri"/>
          <w:szCs w:val="24"/>
        </w:rPr>
        <w:t xml:space="preserve">thematic priorities from 10 to the following </w:t>
      </w:r>
      <w:r w:rsidRPr="006115FA">
        <w:rPr>
          <w:rFonts w:cs="Calibri"/>
          <w:szCs w:val="24"/>
        </w:rPr>
        <w:t xml:space="preserve">four: </w:t>
      </w:r>
      <w:r w:rsidRPr="006115FA">
        <w:rPr>
          <w:rFonts w:cs="Calibri"/>
          <w:b/>
          <w:bCs/>
          <w:szCs w:val="24"/>
        </w:rPr>
        <w:t xml:space="preserve">Connectivity; Digital Transformation; Enabling Environment; Resource Mobilization and International Cooperation </w:t>
      </w:r>
      <w:r>
        <w:rPr>
          <w:rFonts w:cs="Calibri"/>
          <w:szCs w:val="24"/>
        </w:rPr>
        <w:t>(</w:t>
      </w:r>
      <w:hyperlink r:id="rId32" w:history="1">
        <w:r>
          <w:rPr>
            <w:rStyle w:val="Hyperlink"/>
            <w:rFonts w:cs="Calibri"/>
            <w:szCs w:val="24"/>
          </w:rPr>
          <w:t>D</w:t>
        </w:r>
        <w:r w:rsidRPr="00A41672">
          <w:rPr>
            <w:rStyle w:val="Hyperlink"/>
            <w:rFonts w:cs="Calibri"/>
            <w:szCs w:val="24"/>
          </w:rPr>
          <w:t>ocument 35</w:t>
        </w:r>
      </w:hyperlink>
      <w:r>
        <w:rPr>
          <w:rFonts w:cs="Calibri"/>
          <w:szCs w:val="24"/>
        </w:rPr>
        <w:t>)</w:t>
      </w:r>
      <w:r w:rsidRPr="003E1EC9">
        <w:rPr>
          <w:rFonts w:cs="Calibri"/>
          <w:bCs/>
          <w:color w:val="0070C0"/>
          <w:szCs w:val="24"/>
        </w:rPr>
        <w:t>.</w:t>
      </w:r>
      <w:r w:rsidRPr="00C730DA">
        <w:rPr>
          <w:rFonts w:cs="Calibri"/>
          <w:szCs w:val="24"/>
          <w:shd w:val="clear" w:color="auto" w:fill="FFFFFF"/>
        </w:rPr>
        <w:t xml:space="preserve"> </w:t>
      </w:r>
      <w:r w:rsidRPr="003E1EC9">
        <w:rPr>
          <w:rFonts w:cs="Calibri"/>
          <w:szCs w:val="24"/>
        </w:rPr>
        <w:t>There is broad support for these four proposed thematic priorities. Some administrations have proposed to include cybersecurity as a fifth thematic priority. Further discussion is needed before any decision can be taken on this proposal.</w:t>
      </w:r>
    </w:p>
    <w:p w14:paraId="572A32B6" w14:textId="77777777" w:rsidR="004F540F" w:rsidRPr="002A34ED" w:rsidRDefault="004F540F" w:rsidP="006115FA">
      <w:pPr>
        <w:shd w:val="clear" w:color="auto" w:fill="FFFFFF"/>
        <w:tabs>
          <w:tab w:val="left" w:pos="567"/>
          <w:tab w:val="left" w:pos="1134"/>
          <w:tab w:val="left" w:pos="1701"/>
          <w:tab w:val="left" w:pos="2268"/>
        </w:tabs>
        <w:rPr>
          <w:rFonts w:cs="Calibri"/>
          <w:szCs w:val="24"/>
        </w:rPr>
      </w:pPr>
      <w:r w:rsidRPr="002A34ED">
        <w:rPr>
          <w:rFonts w:cs="Calibri"/>
          <w:szCs w:val="24"/>
        </w:rPr>
        <w:t xml:space="preserve">These results </w:t>
      </w:r>
      <w:r w:rsidRPr="002A34ED">
        <w:rPr>
          <w:rFonts w:cs="Calibri"/>
          <w:color w:val="444444"/>
          <w:szCs w:val="24"/>
          <w:shd w:val="clear" w:color="auto" w:fill="FFFFFF"/>
        </w:rPr>
        <w:t xml:space="preserve">constitute one of the foundations on which the success of </w:t>
      </w:r>
      <w:r w:rsidRPr="002A34ED">
        <w:rPr>
          <w:rFonts w:cs="Calibri"/>
          <w:szCs w:val="24"/>
        </w:rPr>
        <w:t xml:space="preserve">WTDC </w:t>
      </w:r>
      <w:r w:rsidRPr="002A34ED">
        <w:rPr>
          <w:rFonts w:cs="Calibri"/>
          <w:color w:val="444444"/>
          <w:szCs w:val="24"/>
          <w:shd w:val="clear" w:color="auto" w:fill="FFFFFF"/>
        </w:rPr>
        <w:t xml:space="preserve">will be built and are submitted to TDAG, along with the </w:t>
      </w:r>
      <w:r w:rsidRPr="002A34ED">
        <w:rPr>
          <w:rFonts w:cs="Calibri"/>
          <w:szCs w:val="24"/>
          <w:bdr w:val="none" w:sz="0" w:space="0" w:color="auto" w:frame="1"/>
          <w:shd w:val="clear" w:color="auto" w:fill="FFFFFF"/>
        </w:rPr>
        <w:t xml:space="preserve">following summary from the final meeting of </w:t>
      </w:r>
      <w:r w:rsidRPr="002A34ED">
        <w:rPr>
          <w:rFonts w:cs="Calibri"/>
          <w:szCs w:val="24"/>
        </w:rPr>
        <w:t>TDAG-WG-RDTP, held on 9 April 2021</w:t>
      </w:r>
      <w:r>
        <w:rPr>
          <w:rFonts w:cs="Calibri"/>
          <w:szCs w:val="24"/>
        </w:rPr>
        <w:t>,</w:t>
      </w:r>
      <w:r>
        <w:rPr>
          <w:rFonts w:cs="Calibri"/>
          <w:szCs w:val="24"/>
          <w:bdr w:val="none" w:sz="0" w:space="0" w:color="auto" w:frame="1"/>
          <w:shd w:val="clear" w:color="auto" w:fill="FFFFFF"/>
        </w:rPr>
        <w:t xml:space="preserve"> for consideration and further action.</w:t>
      </w:r>
    </w:p>
    <w:p w14:paraId="08E84996" w14:textId="77777777" w:rsidR="004F540F" w:rsidRPr="002A34ED" w:rsidRDefault="004F540F" w:rsidP="004F540F">
      <w:pPr>
        <w:pStyle w:val="ListParagraph"/>
        <w:keepNext/>
        <w:numPr>
          <w:ilvl w:val="0"/>
          <w:numId w:val="30"/>
        </w:numPr>
        <w:tabs>
          <w:tab w:val="clear" w:pos="1871"/>
          <w:tab w:val="left" w:pos="567"/>
          <w:tab w:val="left" w:pos="1701"/>
        </w:tabs>
        <w:contextualSpacing w:val="0"/>
        <w:rPr>
          <w:rFonts w:cs="Calibri"/>
          <w:b/>
          <w:szCs w:val="24"/>
          <w:u w:val="single"/>
          <w:lang w:val="en-US"/>
        </w:rPr>
      </w:pPr>
      <w:r w:rsidRPr="002A34ED">
        <w:rPr>
          <w:rFonts w:cs="Calibri"/>
          <w:b/>
          <w:szCs w:val="24"/>
        </w:rPr>
        <w:t>Opening of the meeting and welcome remarks</w:t>
      </w:r>
    </w:p>
    <w:p w14:paraId="525BAE52" w14:textId="77777777" w:rsidR="004F540F" w:rsidRPr="002A34ED" w:rsidRDefault="004F540F" w:rsidP="006115FA">
      <w:pPr>
        <w:tabs>
          <w:tab w:val="left" w:pos="567"/>
          <w:tab w:val="left" w:pos="1134"/>
          <w:tab w:val="left" w:pos="1701"/>
          <w:tab w:val="left" w:pos="2268"/>
        </w:tabs>
        <w:rPr>
          <w:rFonts w:cs="Calibri"/>
          <w:szCs w:val="24"/>
        </w:rPr>
      </w:pPr>
      <w:r w:rsidRPr="002A34ED">
        <w:rPr>
          <w:rFonts w:cs="Calibri"/>
          <w:szCs w:val="24"/>
        </w:rPr>
        <w:t>1.1 Welcoming participants to fifth and last meeting of the TDAG Working Group on Resolutions, Declaration and Thematic Priorities,</w:t>
      </w:r>
      <w:r>
        <w:rPr>
          <w:rFonts w:cs="Calibri"/>
          <w:szCs w:val="24"/>
        </w:rPr>
        <w:t xml:space="preserve"> the</w:t>
      </w:r>
      <w:r w:rsidRPr="002A34ED">
        <w:rPr>
          <w:rFonts w:cs="Calibri"/>
          <w:szCs w:val="24"/>
        </w:rPr>
        <w:t xml:space="preserve"> Director </w:t>
      </w:r>
      <w:r>
        <w:rPr>
          <w:rFonts w:cs="Calibri"/>
          <w:szCs w:val="24"/>
        </w:rPr>
        <w:t xml:space="preserve">of BDT </w:t>
      </w:r>
      <w:r w:rsidRPr="000045BB">
        <w:rPr>
          <w:rFonts w:cs="Calibri"/>
          <w:szCs w:val="24"/>
        </w:rPr>
        <w:t xml:space="preserve">remarked: “You heard me say often, we are the fortunate ones to be connected and there are 3.7 billion that are not connected”. </w:t>
      </w:r>
      <w:r w:rsidRPr="000045BB">
        <w:rPr>
          <w:rFonts w:cs="Calibri"/>
          <w:szCs w:val="24"/>
          <w:shd w:val="clear" w:color="auto" w:fill="FFFFFF"/>
        </w:rPr>
        <w:t>She shared with participants the story of a Syrian refugee at the April WSIS Forum sessions on ICT and sports, who spoke of her passion for football and what she was able to achieve in her camp and more importantly her message on the importance of connectivity. She had described connectivity, or technology, as her window. Her window of opportunity, freedom, empowerment, her window to learn, and connect with distant family members. Recounting this story, the Director said: “Her message underscores the importance of both</w:t>
      </w:r>
      <w:r w:rsidRPr="002A34ED">
        <w:rPr>
          <w:rFonts w:cs="Calibri"/>
          <w:szCs w:val="24"/>
          <w:shd w:val="clear" w:color="auto" w:fill="FFFFFF"/>
        </w:rPr>
        <w:t xml:space="preserve"> our preparatory process and WTDC itself— unleashing the potential of ICTs for all the world’s people</w:t>
      </w:r>
      <w:r>
        <w:rPr>
          <w:rFonts w:cs="Calibri"/>
          <w:szCs w:val="24"/>
          <w:shd w:val="clear" w:color="auto" w:fill="FFFFFF"/>
        </w:rPr>
        <w:t>.</w:t>
      </w:r>
      <w:r w:rsidRPr="002A34ED">
        <w:rPr>
          <w:rFonts w:cs="Calibri"/>
          <w:szCs w:val="24"/>
          <w:shd w:val="clear" w:color="auto" w:fill="FFFFFF"/>
        </w:rPr>
        <w:t>”</w:t>
      </w:r>
      <w:r w:rsidRPr="002A34ED">
        <w:rPr>
          <w:rFonts w:cs="Calibri"/>
          <w:szCs w:val="24"/>
        </w:rPr>
        <w:t xml:space="preserve"> </w:t>
      </w:r>
    </w:p>
    <w:p w14:paraId="223B6DC9"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color w:val="000000"/>
        </w:rPr>
        <w:t>1.2 Ms</w:t>
      </w:r>
      <w:r>
        <w:rPr>
          <w:rFonts w:asciiTheme="minorHAnsi" w:hAnsiTheme="minorHAnsi" w:cs="Calibri"/>
          <w:color w:val="000000"/>
        </w:rPr>
        <w:t xml:space="preserve"> </w:t>
      </w:r>
      <w:r w:rsidRPr="002A34ED">
        <w:rPr>
          <w:rFonts w:asciiTheme="minorHAnsi" w:hAnsiTheme="minorHAnsi" w:cs="Calibri"/>
          <w:color w:val="000000"/>
        </w:rPr>
        <w:t>Roxanne McElvane Webber (</w:t>
      </w:r>
      <w:r w:rsidRPr="002A34ED">
        <w:rPr>
          <w:rFonts w:asciiTheme="minorHAnsi" w:hAnsiTheme="minorHAnsi" w:cs="Calibri"/>
          <w:b/>
          <w:color w:val="000000"/>
        </w:rPr>
        <w:t>United States</w:t>
      </w:r>
      <w:r w:rsidRPr="002A34ED">
        <w:rPr>
          <w:rFonts w:asciiTheme="minorHAnsi" w:hAnsiTheme="minorHAnsi" w:cs="Calibri"/>
          <w:color w:val="000000"/>
        </w:rPr>
        <w:t xml:space="preserve">), Chairman of the Telecommunication Development Advisory Group noted that </w:t>
      </w:r>
      <w:r w:rsidRPr="002A34ED">
        <w:rPr>
          <w:rFonts w:asciiTheme="minorHAnsi" w:hAnsiTheme="minorHAnsi" w:cs="Calibri"/>
          <w:bdr w:val="none" w:sz="0" w:space="0" w:color="auto" w:frame="1"/>
          <w:shd w:val="clear" w:color="auto" w:fill="FFFFFF"/>
        </w:rPr>
        <w:t xml:space="preserve">TDAG-WG-RDTP </w:t>
      </w:r>
      <w:r w:rsidRPr="002A34ED">
        <w:rPr>
          <w:rFonts w:asciiTheme="minorHAnsi" w:hAnsiTheme="minorHAnsi" w:cs="Calibri"/>
          <w:color w:val="000000"/>
        </w:rPr>
        <w:t xml:space="preserve">had </w:t>
      </w:r>
      <w:r w:rsidRPr="002A34ED">
        <w:rPr>
          <w:rFonts w:asciiTheme="minorHAnsi" w:hAnsiTheme="minorHAnsi" w:cs="Calibri"/>
        </w:rPr>
        <w:t xml:space="preserve">the lion's share of the preparatory work of WTDC. </w:t>
      </w:r>
      <w:r>
        <w:rPr>
          <w:rFonts w:asciiTheme="minorHAnsi" w:hAnsiTheme="minorHAnsi" w:cs="Calibri"/>
        </w:rPr>
        <w:t xml:space="preserve">Her takeaway for participants was that </w:t>
      </w:r>
      <w:r w:rsidRPr="002A34ED">
        <w:rPr>
          <w:rFonts w:asciiTheme="minorHAnsi" w:hAnsiTheme="minorHAnsi" w:cs="Calibri"/>
        </w:rPr>
        <w:t xml:space="preserve">there are two-tracks, but one conference, and one single goal: Connecting the unconnected, particularly in developing countries, and most </w:t>
      </w:r>
      <w:r>
        <w:rPr>
          <w:rFonts w:asciiTheme="minorHAnsi" w:hAnsiTheme="minorHAnsi" w:cs="Calibri"/>
        </w:rPr>
        <w:t>e</w:t>
      </w:r>
      <w:r w:rsidRPr="002A34ED">
        <w:rPr>
          <w:rFonts w:asciiTheme="minorHAnsi" w:hAnsiTheme="minorHAnsi" w:cs="Calibri"/>
        </w:rPr>
        <w:t xml:space="preserve">specially in least developed countries (LDCs), small island developing states (SIDS) and landlocked developing countries (LLDCs); not forgetting youth, women, and persons with specific needs. </w:t>
      </w:r>
      <w:r>
        <w:rPr>
          <w:rFonts w:asciiTheme="minorHAnsi" w:hAnsiTheme="minorHAnsi" w:cs="Calibri"/>
        </w:rPr>
        <w:t xml:space="preserve">She </w:t>
      </w:r>
      <w:r>
        <w:rPr>
          <w:rFonts w:asciiTheme="minorHAnsi" w:hAnsiTheme="minorHAnsi" w:cs="Calibri"/>
        </w:rPr>
        <w:lastRenderedPageBreak/>
        <w:t>noted that the</w:t>
      </w:r>
      <w:r w:rsidRPr="002A34ED">
        <w:rPr>
          <w:rFonts w:asciiTheme="minorHAnsi" w:hAnsiTheme="minorHAnsi" w:cs="Calibri"/>
        </w:rPr>
        <w:t xml:space="preserve"> group, understanding its weighty mission from the outset, put together very important base documents for its first meeting in July 2020: </w:t>
      </w:r>
      <w:hyperlink r:id="rId33" w:history="1">
        <w:r w:rsidRPr="002A34ED">
          <w:rPr>
            <w:rStyle w:val="Hyperlink"/>
            <w:rFonts w:asciiTheme="minorHAnsi" w:hAnsiTheme="minorHAnsi" w:cs="Calibri"/>
          </w:rPr>
          <w:t>Document 3</w:t>
        </w:r>
      </w:hyperlink>
      <w:r w:rsidRPr="002A34ED">
        <w:rPr>
          <w:rFonts w:asciiTheme="minorHAnsi" w:hAnsiTheme="minorHAnsi" w:cs="Calibri"/>
        </w:rPr>
        <w:t xml:space="preserve"> on </w:t>
      </w:r>
      <w:r>
        <w:rPr>
          <w:rFonts w:asciiTheme="minorHAnsi" w:hAnsiTheme="minorHAnsi" w:cs="Calibri"/>
        </w:rPr>
        <w:t>“</w:t>
      </w:r>
      <w:r w:rsidRPr="002A34ED">
        <w:rPr>
          <w:rFonts w:asciiTheme="minorHAnsi" w:hAnsiTheme="minorHAnsi" w:cs="Calibri"/>
        </w:rPr>
        <w:t xml:space="preserve">Mapping of WTDC and Plenipotentiary Conference resolutions” and </w:t>
      </w:r>
      <w:hyperlink r:id="rId34" w:history="1">
        <w:r w:rsidRPr="002A34ED">
          <w:rPr>
            <w:rStyle w:val="Hyperlink"/>
            <w:rFonts w:asciiTheme="minorHAnsi" w:hAnsiTheme="minorHAnsi" w:cs="Calibri"/>
          </w:rPr>
          <w:t>Document</w:t>
        </w:r>
        <w:r>
          <w:rPr>
            <w:rStyle w:val="Hyperlink"/>
            <w:rFonts w:asciiTheme="minorHAnsi" w:hAnsiTheme="minorHAnsi" w:cs="Calibri"/>
          </w:rPr>
          <w:t> </w:t>
        </w:r>
        <w:r w:rsidRPr="002A34ED">
          <w:rPr>
            <w:rStyle w:val="Hyperlink"/>
            <w:rFonts w:asciiTheme="minorHAnsi" w:hAnsiTheme="minorHAnsi" w:cs="Calibri"/>
          </w:rPr>
          <w:t>4</w:t>
        </w:r>
      </w:hyperlink>
      <w:r w:rsidRPr="002A34ED">
        <w:rPr>
          <w:rFonts w:asciiTheme="minorHAnsi" w:hAnsiTheme="minorHAnsi" w:cs="Calibri"/>
        </w:rPr>
        <w:t xml:space="preserve"> on “Mapping of projects and ITU-D thematic priorities”. </w:t>
      </w:r>
    </w:p>
    <w:p w14:paraId="5CEF845F" w14:textId="77777777" w:rsidR="004F540F" w:rsidRPr="002A34ED" w:rsidRDefault="004F540F" w:rsidP="004F540F">
      <w:pPr>
        <w:pStyle w:val="ListParagraph"/>
        <w:keepNext/>
        <w:numPr>
          <w:ilvl w:val="0"/>
          <w:numId w:val="30"/>
        </w:numPr>
        <w:tabs>
          <w:tab w:val="clear" w:pos="1871"/>
          <w:tab w:val="left" w:pos="567"/>
          <w:tab w:val="left" w:pos="1701"/>
        </w:tabs>
        <w:contextualSpacing w:val="0"/>
        <w:rPr>
          <w:rFonts w:cs="Calibri"/>
          <w:b/>
          <w:szCs w:val="24"/>
        </w:rPr>
      </w:pPr>
      <w:r w:rsidRPr="002A34ED">
        <w:rPr>
          <w:rFonts w:cs="Calibri"/>
          <w:b/>
          <w:szCs w:val="24"/>
        </w:rPr>
        <w:t>Approval of the agenda</w:t>
      </w:r>
    </w:p>
    <w:p w14:paraId="6BB60DDF" w14:textId="77777777" w:rsidR="004F540F" w:rsidRPr="002A34ED" w:rsidRDefault="004F540F" w:rsidP="006115FA">
      <w:pPr>
        <w:pStyle w:val="ListParagraph"/>
        <w:tabs>
          <w:tab w:val="clear" w:pos="1871"/>
          <w:tab w:val="left" w:pos="567"/>
          <w:tab w:val="left" w:pos="1701"/>
        </w:tabs>
        <w:ind w:left="0"/>
        <w:contextualSpacing w:val="0"/>
        <w:rPr>
          <w:rFonts w:cs="Calibri"/>
          <w:bCs/>
          <w:szCs w:val="24"/>
        </w:rPr>
      </w:pPr>
      <w:r w:rsidRPr="002A34ED">
        <w:rPr>
          <w:rFonts w:cs="Calibri"/>
          <w:bCs/>
          <w:szCs w:val="24"/>
        </w:rPr>
        <w:t xml:space="preserve">2.1 The meeting approved the agenda in </w:t>
      </w:r>
      <w:hyperlink r:id="rId35" w:history="1">
        <w:r w:rsidRPr="00FA25A5">
          <w:rPr>
            <w:rStyle w:val="Hyperlink"/>
            <w:rFonts w:cs="Calibri"/>
            <w:bCs/>
            <w:szCs w:val="24"/>
          </w:rPr>
          <w:t>Document 34.</w:t>
        </w:r>
      </w:hyperlink>
    </w:p>
    <w:p w14:paraId="423F0A4A" w14:textId="77777777" w:rsidR="004F540F" w:rsidRPr="002A34ED" w:rsidRDefault="004F540F" w:rsidP="004F540F">
      <w:pPr>
        <w:pStyle w:val="ListParagraph"/>
        <w:keepNext/>
        <w:numPr>
          <w:ilvl w:val="0"/>
          <w:numId w:val="30"/>
        </w:numPr>
        <w:tabs>
          <w:tab w:val="clear" w:pos="1871"/>
          <w:tab w:val="left" w:pos="567"/>
          <w:tab w:val="left" w:pos="1701"/>
        </w:tabs>
        <w:contextualSpacing w:val="0"/>
        <w:rPr>
          <w:rFonts w:cs="Calibri"/>
          <w:b/>
          <w:szCs w:val="24"/>
        </w:rPr>
      </w:pPr>
      <w:r w:rsidRPr="002A34ED">
        <w:rPr>
          <w:rFonts w:cs="Calibri"/>
          <w:b/>
          <w:szCs w:val="24"/>
        </w:rPr>
        <w:t>Report of the previous meeting of TDAG-WG-RDTP</w:t>
      </w:r>
    </w:p>
    <w:p w14:paraId="077A907A" w14:textId="77777777" w:rsidR="004F540F" w:rsidRPr="006115FA" w:rsidRDefault="004F540F" w:rsidP="006115FA">
      <w:pPr>
        <w:pStyle w:val="ListParagraph"/>
        <w:tabs>
          <w:tab w:val="clear" w:pos="1871"/>
          <w:tab w:val="left" w:pos="567"/>
          <w:tab w:val="left" w:pos="1701"/>
        </w:tabs>
        <w:ind w:left="0"/>
        <w:contextualSpacing w:val="0"/>
        <w:rPr>
          <w:rStyle w:val="Hyperlink"/>
          <w:rFonts w:cs="Calibri"/>
          <w:bCs/>
          <w:szCs w:val="24"/>
          <w:lang w:val="en-US"/>
        </w:rPr>
      </w:pPr>
      <w:r w:rsidRPr="002A34ED">
        <w:rPr>
          <w:rFonts w:cs="Calibri"/>
          <w:bCs/>
          <w:szCs w:val="24"/>
        </w:rPr>
        <w:t>3.1</w:t>
      </w:r>
      <w:r>
        <w:rPr>
          <w:rFonts w:cs="Calibri"/>
          <w:bCs/>
          <w:szCs w:val="24"/>
        </w:rPr>
        <w:t xml:space="preserve"> The report of the fourth meeting, contained in </w:t>
      </w:r>
      <w:hyperlink r:id="rId36" w:history="1">
        <w:r w:rsidRPr="006115FA">
          <w:rPr>
            <w:rStyle w:val="Hyperlink"/>
            <w:rFonts w:cs="Calibri"/>
            <w:bCs/>
            <w:szCs w:val="24"/>
          </w:rPr>
          <w:t>Document 33</w:t>
        </w:r>
      </w:hyperlink>
      <w:r>
        <w:rPr>
          <w:rFonts w:cs="Calibri"/>
          <w:bCs/>
          <w:szCs w:val="24"/>
        </w:rPr>
        <w:t>, was approved</w:t>
      </w:r>
      <w:r w:rsidRPr="006115FA">
        <w:rPr>
          <w:rFonts w:cs="Calibri"/>
          <w:bCs/>
          <w:szCs w:val="24"/>
        </w:rPr>
        <w:t>.</w:t>
      </w:r>
    </w:p>
    <w:p w14:paraId="040558C3" w14:textId="77777777" w:rsidR="004F540F" w:rsidRPr="002A34ED" w:rsidRDefault="004F540F" w:rsidP="004F540F">
      <w:pPr>
        <w:pStyle w:val="ListParagraph"/>
        <w:keepNext/>
        <w:numPr>
          <w:ilvl w:val="0"/>
          <w:numId w:val="30"/>
        </w:numPr>
        <w:tabs>
          <w:tab w:val="clear" w:pos="1871"/>
          <w:tab w:val="left" w:pos="567"/>
          <w:tab w:val="left" w:pos="1701"/>
        </w:tabs>
        <w:contextualSpacing w:val="0"/>
        <w:rPr>
          <w:rFonts w:cs="Calibri"/>
          <w:b/>
          <w:szCs w:val="24"/>
        </w:rPr>
      </w:pPr>
      <w:r w:rsidRPr="002A34ED">
        <w:rPr>
          <w:rFonts w:cs="Calibri"/>
          <w:b/>
          <w:szCs w:val="24"/>
        </w:rPr>
        <w:t xml:space="preserve">ITU-D Thematic priorities </w:t>
      </w:r>
    </w:p>
    <w:p w14:paraId="5C2AEC68" w14:textId="77777777" w:rsidR="004F540F" w:rsidRPr="006115FA" w:rsidRDefault="004F540F" w:rsidP="006115FA">
      <w:pPr>
        <w:shd w:val="clear" w:color="auto" w:fill="FFFFFF"/>
        <w:tabs>
          <w:tab w:val="left" w:pos="567"/>
          <w:tab w:val="left" w:pos="1134"/>
          <w:tab w:val="left" w:pos="1701"/>
          <w:tab w:val="left" w:pos="2268"/>
        </w:tabs>
        <w:rPr>
          <w:rFonts w:cs="Calibri"/>
          <w:szCs w:val="24"/>
        </w:rPr>
      </w:pPr>
      <w:r w:rsidRPr="002A34ED">
        <w:rPr>
          <w:rFonts w:cs="Calibri"/>
          <w:szCs w:val="24"/>
        </w:rPr>
        <w:t xml:space="preserve">4.1 A common thread that has run through the discussions on thematic priorities is the need </w:t>
      </w:r>
      <w:r w:rsidRPr="002A34ED">
        <w:rPr>
          <w:rFonts w:cs="Calibri"/>
          <w:szCs w:val="24"/>
          <w:shd w:val="clear" w:color="auto" w:fill="FFFFFF"/>
        </w:rPr>
        <w:t xml:space="preserve">—indeed the desire — </w:t>
      </w:r>
      <w:r w:rsidRPr="002A34ED">
        <w:rPr>
          <w:rFonts w:cs="Calibri"/>
          <w:szCs w:val="24"/>
        </w:rPr>
        <w:t xml:space="preserve">to have </w:t>
      </w:r>
      <w:r w:rsidRPr="002A34ED">
        <w:rPr>
          <w:rFonts w:cs="Calibri"/>
          <w:b/>
          <w:bCs/>
          <w:szCs w:val="24"/>
        </w:rPr>
        <w:t>fewer</w:t>
      </w:r>
      <w:r w:rsidRPr="002A34ED">
        <w:rPr>
          <w:rFonts w:cs="Calibri"/>
          <w:szCs w:val="24"/>
        </w:rPr>
        <w:t xml:space="preserve">, </w:t>
      </w:r>
      <w:r w:rsidRPr="002A34ED">
        <w:rPr>
          <w:rFonts w:cs="Calibri"/>
          <w:b/>
          <w:bCs/>
          <w:szCs w:val="24"/>
        </w:rPr>
        <w:t xml:space="preserve">more </w:t>
      </w:r>
      <w:proofErr w:type="gramStart"/>
      <w:r w:rsidRPr="002A34ED">
        <w:rPr>
          <w:rFonts w:cs="Calibri"/>
          <w:b/>
          <w:bCs/>
          <w:szCs w:val="24"/>
        </w:rPr>
        <w:t>focused</w:t>
      </w:r>
      <w:proofErr w:type="gramEnd"/>
      <w:r w:rsidRPr="002A34ED">
        <w:rPr>
          <w:rFonts w:cs="Calibri"/>
          <w:szCs w:val="24"/>
        </w:rPr>
        <w:t xml:space="preserve"> and </w:t>
      </w:r>
      <w:r w:rsidRPr="002A34ED">
        <w:rPr>
          <w:rFonts w:cs="Calibri"/>
          <w:b/>
          <w:bCs/>
          <w:szCs w:val="24"/>
        </w:rPr>
        <w:t xml:space="preserve">consolidated </w:t>
      </w:r>
      <w:r w:rsidRPr="000045BB">
        <w:rPr>
          <w:rFonts w:cs="Calibri"/>
          <w:b/>
          <w:bCs/>
          <w:szCs w:val="24"/>
        </w:rPr>
        <w:t>t</w:t>
      </w:r>
      <w:r w:rsidRPr="000045BB">
        <w:rPr>
          <w:rFonts w:cs="Calibri"/>
          <w:b/>
          <w:szCs w:val="24"/>
        </w:rPr>
        <w:t>hematic priorities</w:t>
      </w:r>
      <w:r w:rsidRPr="002A34ED">
        <w:rPr>
          <w:rFonts w:cs="Calibri"/>
          <w:szCs w:val="24"/>
        </w:rPr>
        <w:t xml:space="preserve"> for better management. The Chairman of TDAG-WG-RDTP first proposed </w:t>
      </w:r>
      <w:r>
        <w:rPr>
          <w:rFonts w:cs="Calibri"/>
          <w:szCs w:val="24"/>
        </w:rPr>
        <w:t xml:space="preserve">streamlined </w:t>
      </w:r>
      <w:r w:rsidRPr="002A34ED">
        <w:rPr>
          <w:rFonts w:cs="Calibri"/>
          <w:szCs w:val="24"/>
        </w:rPr>
        <w:t xml:space="preserve">thematic priorities to the January </w:t>
      </w:r>
      <w:r w:rsidRPr="006115FA">
        <w:rPr>
          <w:rFonts w:cs="Calibri"/>
          <w:szCs w:val="24"/>
        </w:rPr>
        <w:t>2021 meeting:</w:t>
      </w:r>
      <w:r w:rsidRPr="006115FA">
        <w:rPr>
          <w:rFonts w:cs="Calibri"/>
          <w:bCs/>
          <w:szCs w:val="24"/>
        </w:rPr>
        <w:t xml:space="preserve"> Connectivity; Digital Transformation; Enabling Environment; Resource Mobilization and International Cooperation</w:t>
      </w:r>
      <w:r w:rsidRPr="006115FA">
        <w:rPr>
          <w:rFonts w:cs="Calibri"/>
          <w:szCs w:val="24"/>
        </w:rPr>
        <w:t xml:space="preserve">. </w:t>
      </w:r>
    </w:p>
    <w:p w14:paraId="75BC3B21" w14:textId="77777777" w:rsidR="004F540F" w:rsidRPr="002A34ED" w:rsidRDefault="004F540F" w:rsidP="006115FA">
      <w:pPr>
        <w:shd w:val="clear" w:color="auto" w:fill="FFFFFF"/>
        <w:tabs>
          <w:tab w:val="left" w:pos="567"/>
          <w:tab w:val="left" w:pos="1134"/>
          <w:tab w:val="left" w:pos="1701"/>
          <w:tab w:val="left" w:pos="2268"/>
        </w:tabs>
        <w:rPr>
          <w:rFonts w:cs="Calibri"/>
          <w:szCs w:val="24"/>
        </w:rPr>
      </w:pPr>
      <w:r w:rsidRPr="002A34ED">
        <w:rPr>
          <w:rFonts w:cs="Calibri"/>
          <w:szCs w:val="24"/>
        </w:rPr>
        <w:t>4.2 Presenting a</w:t>
      </w:r>
      <w:r>
        <w:rPr>
          <w:rFonts w:cs="Calibri"/>
          <w:szCs w:val="24"/>
        </w:rPr>
        <w:t xml:space="preserve">n updated </w:t>
      </w:r>
      <w:r w:rsidRPr="002A34ED">
        <w:rPr>
          <w:rFonts w:cs="Calibri"/>
          <w:szCs w:val="24"/>
        </w:rPr>
        <w:t>version</w:t>
      </w:r>
      <w:r>
        <w:rPr>
          <w:rFonts w:cs="Calibri"/>
          <w:szCs w:val="24"/>
        </w:rPr>
        <w:t xml:space="preserve"> (</w:t>
      </w:r>
      <w:hyperlink r:id="rId37" w:history="1">
        <w:r>
          <w:rPr>
            <w:rStyle w:val="Hyperlink"/>
            <w:rFonts w:cs="Calibri"/>
            <w:szCs w:val="24"/>
          </w:rPr>
          <w:t>D</w:t>
        </w:r>
        <w:r w:rsidRPr="00A41672">
          <w:rPr>
            <w:rStyle w:val="Hyperlink"/>
            <w:rFonts w:cs="Calibri"/>
            <w:szCs w:val="24"/>
          </w:rPr>
          <w:t>ocument 35</w:t>
        </w:r>
      </w:hyperlink>
      <w:r>
        <w:rPr>
          <w:rFonts w:cs="Calibri"/>
          <w:szCs w:val="24"/>
        </w:rPr>
        <w:t>)</w:t>
      </w:r>
      <w:r w:rsidRPr="002A34ED">
        <w:rPr>
          <w:rFonts w:cs="Calibri"/>
          <w:szCs w:val="24"/>
        </w:rPr>
        <w:t xml:space="preserve"> the Chairman explained that each thematic priority has </w:t>
      </w:r>
      <w:proofErr w:type="gramStart"/>
      <w:r w:rsidRPr="002A34ED">
        <w:rPr>
          <w:rFonts w:cs="Calibri"/>
          <w:szCs w:val="24"/>
        </w:rPr>
        <w:t>a number of</w:t>
      </w:r>
      <w:proofErr w:type="gramEnd"/>
      <w:r w:rsidRPr="002A34ED">
        <w:rPr>
          <w:rFonts w:cs="Calibri"/>
          <w:szCs w:val="24"/>
        </w:rPr>
        <w:t xml:space="preserve"> </w:t>
      </w:r>
      <w:r w:rsidRPr="002A34ED">
        <w:rPr>
          <w:rFonts w:cs="Calibri"/>
          <w:b/>
          <w:bCs/>
          <w:szCs w:val="24"/>
        </w:rPr>
        <w:t xml:space="preserve">supporting components </w:t>
      </w:r>
      <w:r w:rsidRPr="003E1EC9">
        <w:rPr>
          <w:rFonts w:cs="Calibri"/>
          <w:b/>
          <w:bCs/>
          <w:szCs w:val="24"/>
        </w:rPr>
        <w:t>c</w:t>
      </w:r>
      <w:r w:rsidRPr="003E1EC9">
        <w:rPr>
          <w:rFonts w:cs="Calibri"/>
          <w:b/>
          <w:szCs w:val="24"/>
        </w:rPr>
        <w:t>urrently known as</w:t>
      </w:r>
      <w:r w:rsidRPr="002A34ED">
        <w:rPr>
          <w:rFonts w:cs="Calibri"/>
          <w:szCs w:val="24"/>
        </w:rPr>
        <w:t xml:space="preserve"> </w:t>
      </w:r>
      <w:r w:rsidRPr="003E1EC9">
        <w:rPr>
          <w:rFonts w:cs="Calibri"/>
          <w:b/>
          <w:szCs w:val="24"/>
        </w:rPr>
        <w:t>p</w:t>
      </w:r>
      <w:r w:rsidRPr="003E1EC9">
        <w:rPr>
          <w:rFonts w:cs="Calibri"/>
          <w:b/>
          <w:bCs/>
          <w:szCs w:val="24"/>
        </w:rPr>
        <w:t>r</w:t>
      </w:r>
      <w:r w:rsidRPr="002A34ED">
        <w:rPr>
          <w:rFonts w:cs="Calibri"/>
          <w:b/>
          <w:bCs/>
          <w:szCs w:val="24"/>
        </w:rPr>
        <w:t xml:space="preserve">ogrammes </w:t>
      </w:r>
      <w:r w:rsidRPr="002A34ED">
        <w:rPr>
          <w:rFonts w:cs="Calibri"/>
          <w:szCs w:val="24"/>
        </w:rPr>
        <w:t xml:space="preserve">in ITU-D. The supporting components within each thematic priority will be treated in much the same way as programmes. </w:t>
      </w:r>
    </w:p>
    <w:p w14:paraId="513549AA" w14:textId="77777777" w:rsidR="004F540F" w:rsidRPr="002A34ED" w:rsidRDefault="004F540F" w:rsidP="006115FA">
      <w:pPr>
        <w:shd w:val="clear" w:color="auto" w:fill="FFFFFF"/>
        <w:tabs>
          <w:tab w:val="left" w:pos="567"/>
          <w:tab w:val="left" w:pos="1134"/>
          <w:tab w:val="left" w:pos="1701"/>
          <w:tab w:val="left" w:pos="2268"/>
        </w:tabs>
        <w:rPr>
          <w:rFonts w:cs="Calibri"/>
          <w:szCs w:val="24"/>
        </w:rPr>
      </w:pPr>
      <w:r w:rsidRPr="002A34ED">
        <w:rPr>
          <w:rFonts w:cs="Calibri"/>
          <w:szCs w:val="24"/>
        </w:rPr>
        <w:t xml:space="preserve">4.3 Fundamentally, the proposed thematic priorities are in line with the theme of WTDC: </w:t>
      </w:r>
      <w:r w:rsidRPr="002A34ED">
        <w:rPr>
          <w:rFonts w:cs="Calibri"/>
          <w:b/>
          <w:bCs/>
          <w:szCs w:val="24"/>
        </w:rPr>
        <w:t>Connecting the unconnected to achieve sustainable development</w:t>
      </w:r>
      <w:r w:rsidRPr="002A34ED">
        <w:rPr>
          <w:rFonts w:cs="Calibri"/>
          <w:szCs w:val="24"/>
        </w:rPr>
        <w:t xml:space="preserve">. The thematic priorities and their supporting components will be contained in the </w:t>
      </w:r>
      <w:r w:rsidRPr="002A34ED">
        <w:rPr>
          <w:rFonts w:cs="Calibri"/>
          <w:b/>
          <w:bCs/>
          <w:szCs w:val="24"/>
        </w:rPr>
        <w:t xml:space="preserve">Addis Ababa Action Plan </w:t>
      </w:r>
      <w:r w:rsidRPr="002A34ED">
        <w:rPr>
          <w:rFonts w:cs="Calibri"/>
          <w:szCs w:val="24"/>
        </w:rPr>
        <w:t xml:space="preserve">under the section that had programmes in all previous WTDCs. </w:t>
      </w:r>
    </w:p>
    <w:p w14:paraId="0457CF29" w14:textId="77777777" w:rsidR="004F540F" w:rsidRDefault="004F540F" w:rsidP="006115FA">
      <w:pPr>
        <w:keepNext/>
        <w:shd w:val="clear" w:color="auto" w:fill="FFFFFF"/>
        <w:tabs>
          <w:tab w:val="left" w:pos="567"/>
          <w:tab w:val="left" w:pos="1134"/>
          <w:tab w:val="left" w:pos="1701"/>
          <w:tab w:val="left" w:pos="2268"/>
        </w:tabs>
        <w:rPr>
          <w:rFonts w:cs="Calibri"/>
          <w:b/>
          <w:szCs w:val="24"/>
        </w:rPr>
      </w:pPr>
      <w:r w:rsidRPr="002A34ED">
        <w:rPr>
          <w:rFonts w:cs="Calibri"/>
          <w:b/>
          <w:szCs w:val="24"/>
        </w:rPr>
        <w:t xml:space="preserve">Comments from the floor </w:t>
      </w:r>
    </w:p>
    <w:p w14:paraId="37B3078D" w14:textId="77777777" w:rsidR="004F540F" w:rsidRPr="003E1EC9" w:rsidRDefault="004F540F" w:rsidP="006115FA">
      <w:pPr>
        <w:shd w:val="clear" w:color="auto" w:fill="FFFFFF"/>
        <w:tabs>
          <w:tab w:val="left" w:pos="567"/>
          <w:tab w:val="left" w:pos="1134"/>
          <w:tab w:val="left" w:pos="1701"/>
          <w:tab w:val="left" w:pos="2268"/>
        </w:tabs>
        <w:rPr>
          <w:rFonts w:cs="Calibri"/>
          <w:szCs w:val="24"/>
        </w:rPr>
      </w:pPr>
      <w:r w:rsidRPr="003E1EC9">
        <w:rPr>
          <w:rFonts w:cs="Calibri"/>
          <w:szCs w:val="24"/>
        </w:rPr>
        <w:t>4.4</w:t>
      </w:r>
      <w:r>
        <w:rPr>
          <w:rFonts w:cs="Calibri"/>
          <w:b/>
          <w:szCs w:val="24"/>
        </w:rPr>
        <w:t xml:space="preserve"> </w:t>
      </w:r>
      <w:r w:rsidRPr="003E1EC9">
        <w:rPr>
          <w:rFonts w:cs="Calibri"/>
          <w:szCs w:val="24"/>
        </w:rPr>
        <w:t xml:space="preserve">There was general support for the </w:t>
      </w:r>
      <w:r>
        <w:rPr>
          <w:rFonts w:cs="Calibri"/>
          <w:szCs w:val="24"/>
        </w:rPr>
        <w:t>proposed</w:t>
      </w:r>
      <w:r w:rsidRPr="003E1EC9">
        <w:rPr>
          <w:rFonts w:cs="Calibri"/>
          <w:szCs w:val="24"/>
        </w:rPr>
        <w:t xml:space="preserve"> thematic priorities. Some regions and adm</w:t>
      </w:r>
      <w:r>
        <w:rPr>
          <w:rFonts w:cs="Calibri"/>
          <w:szCs w:val="24"/>
        </w:rPr>
        <w:t xml:space="preserve">inistrations would like to add </w:t>
      </w:r>
      <w:r w:rsidRPr="003E1EC9">
        <w:rPr>
          <w:rFonts w:cs="Calibri"/>
          <w:szCs w:val="24"/>
        </w:rPr>
        <w:t xml:space="preserve">cybersecurity </w:t>
      </w:r>
      <w:r>
        <w:rPr>
          <w:rFonts w:cs="Calibri"/>
          <w:szCs w:val="24"/>
        </w:rPr>
        <w:t xml:space="preserve">as a </w:t>
      </w:r>
      <w:r w:rsidRPr="003E1EC9">
        <w:rPr>
          <w:rFonts w:cs="Calibri"/>
          <w:szCs w:val="24"/>
        </w:rPr>
        <w:t>fifth thematic priority</w:t>
      </w:r>
      <w:r>
        <w:rPr>
          <w:rFonts w:cs="Calibri"/>
          <w:szCs w:val="24"/>
        </w:rPr>
        <w:t>.</w:t>
      </w:r>
      <w:r w:rsidRPr="003E1EC9">
        <w:rPr>
          <w:rFonts w:cs="Calibri"/>
          <w:szCs w:val="24"/>
        </w:rPr>
        <w:t xml:space="preserve"> However, other administrations have other views.</w:t>
      </w:r>
    </w:p>
    <w:p w14:paraId="6A3573C7"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t>4.</w:t>
      </w:r>
      <w:r>
        <w:rPr>
          <w:rFonts w:asciiTheme="minorHAnsi" w:hAnsiTheme="minorHAnsi" w:cs="Calibri"/>
        </w:rPr>
        <w:t>5</w:t>
      </w:r>
      <w:r w:rsidRPr="002A34ED">
        <w:rPr>
          <w:rFonts w:asciiTheme="minorHAnsi" w:hAnsiTheme="minorHAnsi" w:cs="Calibri"/>
        </w:rPr>
        <w:t xml:space="preserve"> Speaking on behalf of the </w:t>
      </w:r>
      <w:r w:rsidRPr="002A34ED">
        <w:rPr>
          <w:rFonts w:asciiTheme="minorHAnsi" w:hAnsiTheme="minorHAnsi" w:cs="Calibri"/>
          <w:b/>
        </w:rPr>
        <w:t>Inter-American Telecommunications Commission (CITEL)</w:t>
      </w:r>
      <w:r w:rsidRPr="002A34ED">
        <w:rPr>
          <w:rFonts w:asciiTheme="minorHAnsi" w:hAnsiTheme="minorHAnsi" w:cs="Calibri"/>
        </w:rPr>
        <w:t>,</w:t>
      </w:r>
      <w:r w:rsidRPr="002A34ED">
        <w:rPr>
          <w:rFonts w:asciiTheme="minorHAnsi" w:hAnsiTheme="minorHAnsi" w:cs="Calibri"/>
          <w:b/>
        </w:rPr>
        <w:t xml:space="preserve"> </w:t>
      </w:r>
      <w:r w:rsidRPr="002A34ED">
        <w:rPr>
          <w:rFonts w:asciiTheme="minorHAnsi" w:hAnsiTheme="minorHAnsi" w:cs="Calibri"/>
        </w:rPr>
        <w:t>the delegate of the United States highlighted that CITEL had welcomed the discussion on thematic priorities and the grouping together of similar components in a high</w:t>
      </w:r>
      <w:r w:rsidRPr="002A34ED">
        <w:rPr>
          <w:rFonts w:asciiTheme="minorHAnsi" w:hAnsiTheme="minorHAnsi" w:cs="Calibri"/>
        </w:rPr>
        <w:noBreakHyphen/>
        <w:t>level grouping of four. This most recent version reflects the direction CITEL has been hoping for in terms of focusing on the results</w:t>
      </w:r>
      <w:r w:rsidRPr="002A34ED">
        <w:rPr>
          <w:rFonts w:asciiTheme="minorHAnsi" w:hAnsiTheme="minorHAnsi" w:cs="Calibri"/>
        </w:rPr>
        <w:noBreakHyphen/>
        <w:t xml:space="preserve">based management approach. As a delegation, the United States believes that linking cybersecurity with infrastructure, as is done in the current document, seemed more sensible than </w:t>
      </w:r>
      <w:r>
        <w:rPr>
          <w:rFonts w:asciiTheme="minorHAnsi" w:hAnsiTheme="minorHAnsi" w:cs="Calibri"/>
        </w:rPr>
        <w:t xml:space="preserve">making </w:t>
      </w:r>
      <w:r w:rsidRPr="002A34ED">
        <w:rPr>
          <w:rFonts w:asciiTheme="minorHAnsi" w:hAnsiTheme="minorHAnsi" w:cs="Calibri"/>
        </w:rPr>
        <w:t xml:space="preserve">cybersecurity a stand-alone priority. </w:t>
      </w:r>
    </w:p>
    <w:p w14:paraId="1FA7850B" w14:textId="77777777" w:rsidR="004F540F" w:rsidRPr="002A34ED" w:rsidRDefault="004F540F" w:rsidP="006115FA">
      <w:pPr>
        <w:shd w:val="clear" w:color="auto" w:fill="FFFFFF"/>
        <w:tabs>
          <w:tab w:val="left" w:pos="567"/>
          <w:tab w:val="left" w:pos="1134"/>
          <w:tab w:val="left" w:pos="1701"/>
          <w:tab w:val="left" w:pos="2268"/>
        </w:tabs>
        <w:rPr>
          <w:rFonts w:cs="Calibri"/>
          <w:b/>
          <w:i/>
          <w:szCs w:val="24"/>
        </w:rPr>
      </w:pPr>
      <w:r w:rsidRPr="002A34ED">
        <w:rPr>
          <w:rFonts w:cs="Calibri"/>
          <w:szCs w:val="24"/>
        </w:rPr>
        <w:t>4.</w:t>
      </w:r>
      <w:r>
        <w:rPr>
          <w:rFonts w:cs="Calibri"/>
          <w:szCs w:val="24"/>
        </w:rPr>
        <w:t>6</w:t>
      </w:r>
      <w:r w:rsidRPr="002A34ED">
        <w:rPr>
          <w:rFonts w:cs="Calibri"/>
          <w:szCs w:val="24"/>
        </w:rPr>
        <w:t xml:space="preserve"> Backing the view from CITEL the delegate of Canada, speaking on behalf of his administration, stressed that while cybersecurity is critically important, it should be borne in mind that myriad activities in ITU in this domain are built on several Plenipotentiary Conference resolutions, and related resolutions, for example, from WTDC and </w:t>
      </w:r>
      <w:r>
        <w:rPr>
          <w:rFonts w:cs="Calibri"/>
          <w:szCs w:val="24"/>
        </w:rPr>
        <w:t xml:space="preserve">the </w:t>
      </w:r>
      <w:r w:rsidRPr="00613267">
        <w:rPr>
          <w:rFonts w:cs="Calibri"/>
          <w:szCs w:val="24"/>
        </w:rPr>
        <w:t xml:space="preserve">World </w:t>
      </w:r>
      <w:r w:rsidRPr="00613267">
        <w:rPr>
          <w:rFonts w:cs="Calibri"/>
        </w:rPr>
        <w:t>Telecommunication Standardization Assembly (WTSA)</w:t>
      </w:r>
      <w:r w:rsidRPr="00613267">
        <w:rPr>
          <w:rFonts w:cs="Calibri"/>
          <w:szCs w:val="24"/>
        </w:rPr>
        <w:t xml:space="preserve">. In the </w:t>
      </w:r>
      <w:r w:rsidRPr="00613267">
        <w:rPr>
          <w:rFonts w:cs="Calibri"/>
        </w:rPr>
        <w:t xml:space="preserve">Telecommunication Standardization Sector (ITU-T), </w:t>
      </w:r>
      <w:r w:rsidRPr="00613267">
        <w:rPr>
          <w:rFonts w:cs="Calibri"/>
          <w:szCs w:val="24"/>
        </w:rPr>
        <w:t>Study Group 17 is the lead study group on building confidence</w:t>
      </w:r>
      <w:r w:rsidRPr="002A34ED">
        <w:rPr>
          <w:rFonts w:cs="Calibri"/>
          <w:szCs w:val="24"/>
        </w:rPr>
        <w:t xml:space="preserve"> and security in the use of ICTs; ITU-D Study Groups 1 and 2 also have study Questions; work undertaken by BDT on cybersecurity and ICT applications</w:t>
      </w:r>
      <w:r>
        <w:rPr>
          <w:rFonts w:cs="Calibri"/>
          <w:szCs w:val="24"/>
        </w:rPr>
        <w:t xml:space="preserve"> is done</w:t>
      </w:r>
      <w:r w:rsidRPr="002A34ED">
        <w:rPr>
          <w:rFonts w:cs="Calibri"/>
          <w:szCs w:val="24"/>
        </w:rPr>
        <w:t xml:space="preserve"> through the Guide to develop a National Cybersecurity Strategy </w:t>
      </w:r>
      <w:proofErr w:type="gramStart"/>
      <w:r w:rsidRPr="002A34ED">
        <w:rPr>
          <w:rFonts w:cs="Calibri"/>
          <w:szCs w:val="24"/>
        </w:rPr>
        <w:t>and also</w:t>
      </w:r>
      <w:proofErr w:type="gramEnd"/>
      <w:r w:rsidRPr="002A34ED">
        <w:rPr>
          <w:rFonts w:cs="Calibri"/>
          <w:szCs w:val="24"/>
        </w:rPr>
        <w:t xml:space="preserve"> through the Global </w:t>
      </w:r>
      <w:r w:rsidRPr="002A34ED">
        <w:rPr>
          <w:rFonts w:cs="Calibri"/>
          <w:szCs w:val="24"/>
        </w:rPr>
        <w:lastRenderedPageBreak/>
        <w:t>Cybersecurity Agenda (GCA). In view of this, the issue of cybersecurity should</w:t>
      </w:r>
      <w:r>
        <w:rPr>
          <w:rFonts w:cs="Calibri"/>
          <w:szCs w:val="24"/>
        </w:rPr>
        <w:t xml:space="preserve"> </w:t>
      </w:r>
      <w:r w:rsidRPr="002A34ED">
        <w:rPr>
          <w:rFonts w:cs="Calibri"/>
          <w:szCs w:val="24"/>
        </w:rPr>
        <w:t>be considered very carefully before any decision is taken.</w:t>
      </w:r>
      <w:r>
        <w:rPr>
          <w:rFonts w:cs="Calibri"/>
          <w:szCs w:val="24"/>
        </w:rPr>
        <w:t xml:space="preserve"> </w:t>
      </w:r>
    </w:p>
    <w:p w14:paraId="78A7B21D"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t>4.</w:t>
      </w:r>
      <w:r>
        <w:rPr>
          <w:rFonts w:asciiTheme="minorHAnsi" w:hAnsiTheme="minorHAnsi" w:cs="Calibri"/>
        </w:rPr>
        <w:t>7</w:t>
      </w:r>
      <w:r w:rsidRPr="002A34ED">
        <w:rPr>
          <w:rFonts w:asciiTheme="minorHAnsi" w:hAnsiTheme="minorHAnsi" w:cs="Calibri"/>
        </w:rPr>
        <w:t xml:space="preserve"> The delegate of the United Kingdom expressed support for the four thematic priorities, describing them as robust and comprehensive, adding that they provide sufficient scope to address issues as they evolve over the four</w:t>
      </w:r>
      <w:r w:rsidRPr="002A34ED">
        <w:rPr>
          <w:rFonts w:asciiTheme="minorHAnsi" w:hAnsiTheme="minorHAnsi" w:cs="Calibri"/>
        </w:rPr>
        <w:noBreakHyphen/>
        <w:t>year period. Agreeing with the view from CITEL, the United States and Canada, the delegation of the United Kingdom does not see the need to add a further priority. “We think that the existing priorities have scope to discuss issues like cybersecurity.” Moreover, the delegation is not convinced that the list of topics (</w:t>
      </w:r>
      <w:proofErr w:type="gramStart"/>
      <w:r w:rsidRPr="002A34ED">
        <w:rPr>
          <w:rFonts w:asciiTheme="minorHAnsi" w:hAnsiTheme="minorHAnsi" w:cs="Calibri"/>
        </w:rPr>
        <w:t>i.e.</w:t>
      </w:r>
      <w:proofErr w:type="gramEnd"/>
      <w:r w:rsidRPr="002A34ED">
        <w:rPr>
          <w:rFonts w:asciiTheme="minorHAnsi" w:hAnsiTheme="minorHAnsi" w:cs="Calibri"/>
        </w:rPr>
        <w:t xml:space="preserve"> </w:t>
      </w:r>
      <w:r w:rsidRPr="002A34ED">
        <w:rPr>
          <w:rFonts w:asciiTheme="minorHAnsi" w:hAnsiTheme="minorHAnsi" w:cs="Calibri"/>
          <w:bCs/>
        </w:rPr>
        <w:t>supporting components</w:t>
      </w:r>
      <w:r w:rsidRPr="002A34ED">
        <w:rPr>
          <w:rFonts w:asciiTheme="minorHAnsi" w:hAnsiTheme="minorHAnsi" w:cs="Calibri"/>
        </w:rPr>
        <w:t xml:space="preserve">) is necessary. </w:t>
      </w:r>
    </w:p>
    <w:p w14:paraId="5468E870"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b/>
        </w:rPr>
      </w:pPr>
      <w:r w:rsidRPr="00613267">
        <w:rPr>
          <w:rFonts w:asciiTheme="minorHAnsi" w:hAnsiTheme="minorHAnsi" w:cs="Calibri"/>
        </w:rPr>
        <w:t>4.8 The delegate of Indonesia also expressed support, describing the thematic priorities as “comprehensive and precise.”</w:t>
      </w:r>
    </w:p>
    <w:p w14:paraId="57A9EBB9" w14:textId="77777777" w:rsidR="004F540F" w:rsidRPr="00C57359" w:rsidRDefault="004F540F" w:rsidP="006115FA">
      <w:pPr>
        <w:pStyle w:val="ColContin1"/>
        <w:tabs>
          <w:tab w:val="clear" w:pos="215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t>4.</w:t>
      </w:r>
      <w:r>
        <w:rPr>
          <w:rFonts w:asciiTheme="minorHAnsi" w:hAnsiTheme="minorHAnsi" w:cs="Calibri"/>
        </w:rPr>
        <w:t>9</w:t>
      </w:r>
      <w:r w:rsidRPr="002A34ED">
        <w:rPr>
          <w:rFonts w:asciiTheme="minorHAnsi" w:hAnsiTheme="minorHAnsi" w:cs="Calibri"/>
        </w:rPr>
        <w:t xml:space="preserve"> The delegate of the Russian Federation asked a range of questions. Are thematic priorities for BDT or are they for ITU</w:t>
      </w:r>
      <w:r w:rsidRPr="002A34ED">
        <w:rPr>
          <w:rFonts w:asciiTheme="minorHAnsi" w:hAnsiTheme="minorHAnsi" w:cs="Calibri"/>
        </w:rPr>
        <w:noBreakHyphen/>
        <w:t xml:space="preserve">D? He pointed out that documents from BDT tend to suggest that the term “thematic priorities” only applies to BDT activities. The usage of this term should be clarified to avoid any confusion and misunderstanding. The delegation further noted that the revised document covers alignment of thematic priorities and study group Questions. What about alignment with resolutions, especially Resolution 9 (Rev. Buenos Aires, 2017) on the participation of countries, particularly developing countries, in spectrum management; and Resolution 59 (Rev. Buenos Aires, 2017) on </w:t>
      </w:r>
      <w:bookmarkStart w:id="6" w:name="_Toc503337288"/>
      <w:bookmarkStart w:id="7" w:name="_Toc503773965"/>
      <w:r w:rsidRPr="002A34ED">
        <w:rPr>
          <w:rFonts w:asciiTheme="minorHAnsi" w:hAnsiTheme="minorHAnsi" w:cs="Calibri"/>
        </w:rPr>
        <w:t>strengthening coordination and cooperation among the three ITU Sectors on matters of mutual interes</w:t>
      </w:r>
      <w:bookmarkEnd w:id="6"/>
      <w:bookmarkEnd w:id="7"/>
      <w:r w:rsidRPr="002A34ED">
        <w:rPr>
          <w:rFonts w:asciiTheme="minorHAnsi" w:hAnsiTheme="minorHAnsi" w:cs="Calibri"/>
        </w:rPr>
        <w:t xml:space="preserve">t: the </w:t>
      </w:r>
      <w:r w:rsidRPr="00C57359">
        <w:rPr>
          <w:rFonts w:asciiTheme="minorHAnsi" w:hAnsiTheme="minorHAnsi" w:cs="Calibri"/>
        </w:rPr>
        <w:t>ITU Radiocommunication Sector (ITU-R), ITU-T and ITU-D? The Chairman responded that his intention in developing the thematic priorities document was to provide a framework for membership to fill</w:t>
      </w:r>
      <w:r>
        <w:rPr>
          <w:rFonts w:asciiTheme="minorHAnsi" w:hAnsiTheme="minorHAnsi" w:cs="Calibri"/>
        </w:rPr>
        <w:t>,</w:t>
      </w:r>
      <w:r w:rsidRPr="00C57359">
        <w:rPr>
          <w:rFonts w:asciiTheme="minorHAnsi" w:hAnsiTheme="minorHAnsi" w:cs="Calibri"/>
        </w:rPr>
        <w:t xml:space="preserve"> and that Resolution 9 was certainly a very important topic and would be included.</w:t>
      </w:r>
    </w:p>
    <w:p w14:paraId="2CC50CA6" w14:textId="77777777" w:rsidR="004F540F"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t>4.1</w:t>
      </w:r>
      <w:r>
        <w:rPr>
          <w:rFonts w:asciiTheme="minorHAnsi" w:hAnsiTheme="minorHAnsi" w:cs="Calibri"/>
        </w:rPr>
        <w:t>0</w:t>
      </w:r>
      <w:r w:rsidRPr="002A34ED">
        <w:rPr>
          <w:rFonts w:asciiTheme="minorHAnsi" w:hAnsiTheme="minorHAnsi" w:cs="Calibri"/>
        </w:rPr>
        <w:t xml:space="preserve"> The delegate of the Russian Federation further expressed concern over the concept of thematic priorities, saying that certain groupings, for example, putting cybersecurity under connectivity was questionable. </w:t>
      </w:r>
    </w:p>
    <w:p w14:paraId="1E82FA1F" w14:textId="77777777" w:rsidR="004F540F"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Pr>
          <w:rFonts w:asciiTheme="minorHAnsi" w:hAnsiTheme="minorHAnsi" w:cs="Calibri"/>
        </w:rPr>
        <w:t xml:space="preserve">4.11 </w:t>
      </w:r>
      <w:r w:rsidRPr="002A34ED">
        <w:rPr>
          <w:rFonts w:asciiTheme="minorHAnsi" w:hAnsiTheme="minorHAnsi" w:cs="Calibri"/>
        </w:rPr>
        <w:t xml:space="preserve">The delegate of Brazil emphasized that the effort to reduce thematic priorities to four was not to hide any specific component. Rather, it was to combine priorities for greater impact. The delegate of Lithuania backing Brazil reiterated the support the </w:t>
      </w:r>
      <w:r w:rsidRPr="00C57359">
        <w:rPr>
          <w:rFonts w:asciiTheme="minorHAnsi" w:hAnsiTheme="minorHAnsi" w:cs="Calibri"/>
        </w:rPr>
        <w:t>European Conference of Postal and Telecommunications Administrations (CEPT) had already expressed for the four</w:t>
      </w:r>
      <w:r w:rsidRPr="002A34ED">
        <w:rPr>
          <w:rFonts w:asciiTheme="minorHAnsi" w:hAnsiTheme="minorHAnsi" w:cs="Calibri"/>
        </w:rPr>
        <w:t xml:space="preserve"> proposed thematic priorities </w:t>
      </w:r>
      <w:r>
        <w:rPr>
          <w:rFonts w:asciiTheme="minorHAnsi" w:hAnsiTheme="minorHAnsi" w:cs="Calibri"/>
        </w:rPr>
        <w:t xml:space="preserve">at an </w:t>
      </w:r>
      <w:r w:rsidRPr="00C57359">
        <w:rPr>
          <w:rFonts w:asciiTheme="minorHAnsi" w:hAnsiTheme="minorHAnsi" w:cs="Calibri"/>
        </w:rPr>
        <w:t>earlier meeting of TDAG-WG</w:t>
      </w:r>
      <w:r w:rsidRPr="002A34ED">
        <w:rPr>
          <w:rFonts w:asciiTheme="minorHAnsi" w:hAnsiTheme="minorHAnsi" w:cs="Calibri"/>
        </w:rPr>
        <w:t>-RDTP</w:t>
      </w:r>
      <w:r>
        <w:rPr>
          <w:rFonts w:asciiTheme="minorHAnsi" w:hAnsiTheme="minorHAnsi" w:cs="Calibri"/>
        </w:rPr>
        <w:t xml:space="preserve"> and welcomed the idea of a framework. </w:t>
      </w:r>
    </w:p>
    <w:p w14:paraId="21C24B7C"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t>4.1</w:t>
      </w:r>
      <w:r>
        <w:rPr>
          <w:rFonts w:asciiTheme="minorHAnsi" w:hAnsiTheme="minorHAnsi" w:cs="Calibri"/>
        </w:rPr>
        <w:t>2</w:t>
      </w:r>
      <w:r w:rsidRPr="002A34ED">
        <w:rPr>
          <w:rFonts w:asciiTheme="minorHAnsi" w:hAnsiTheme="minorHAnsi" w:cs="Calibri"/>
        </w:rPr>
        <w:t xml:space="preserve"> The delegate of Algeria, speaking on behalf of the Africa group, stated that the group had discussed thematic priorities over several meetings and had reached the agreement that cybersecurity should be made a stand-alone thematic priority. While agreeing that many activities already exist in ITU in the cybersecurity domain, especially in ITU-T and within the framework of GCA, cybersecurity is a dynamic subject and is becoming ever more important in the ongoing digital transformation. The delegate of Saudi Arabia mentioned that while the Arab group agrees with the rationale of grouping priorities, it still believes that topics such as privacy and user protection </w:t>
      </w:r>
      <w:r>
        <w:rPr>
          <w:rFonts w:asciiTheme="minorHAnsi" w:hAnsiTheme="minorHAnsi" w:cs="Calibri"/>
        </w:rPr>
        <w:t xml:space="preserve">should </w:t>
      </w:r>
      <w:r w:rsidRPr="002A34ED">
        <w:rPr>
          <w:rFonts w:asciiTheme="minorHAnsi" w:hAnsiTheme="minorHAnsi" w:cs="Calibri"/>
        </w:rPr>
        <w:t>be brought under one umbrella to be called cybersecurity or any other name that would convey the sense of belonging together.</w:t>
      </w:r>
    </w:p>
    <w:p w14:paraId="35D68DD1"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t>4.1</w:t>
      </w:r>
      <w:r>
        <w:rPr>
          <w:rFonts w:asciiTheme="minorHAnsi" w:hAnsiTheme="minorHAnsi" w:cs="Calibri"/>
        </w:rPr>
        <w:t>3</w:t>
      </w:r>
      <w:r w:rsidRPr="002A34ED">
        <w:rPr>
          <w:rFonts w:asciiTheme="minorHAnsi" w:hAnsiTheme="minorHAnsi" w:cs="Calibri"/>
        </w:rPr>
        <w:t xml:space="preserve"> The delegate of Nigeria underlined that while the Africa region agrees with the principle of thematic priorities, its major concern is that such an exercise may lead to oversimplification, and risk leaving out issues of crucial </w:t>
      </w:r>
      <w:r>
        <w:rPr>
          <w:rFonts w:asciiTheme="minorHAnsi" w:hAnsiTheme="minorHAnsi" w:cs="Calibri"/>
        </w:rPr>
        <w:t>importance</w:t>
      </w:r>
      <w:r w:rsidRPr="002A34ED">
        <w:rPr>
          <w:rFonts w:asciiTheme="minorHAnsi" w:hAnsiTheme="minorHAnsi" w:cs="Calibri"/>
        </w:rPr>
        <w:t xml:space="preserve"> to developing countries. He said the view from the </w:t>
      </w:r>
      <w:r w:rsidRPr="002A34ED">
        <w:rPr>
          <w:rFonts w:asciiTheme="minorHAnsi" w:hAnsiTheme="minorHAnsi" w:cs="Calibri"/>
        </w:rPr>
        <w:lastRenderedPageBreak/>
        <w:t>Africa region is that cybersecurity should be added to the list of thematic priorities and placed in square brackets, rather than just being</w:t>
      </w:r>
      <w:r>
        <w:rPr>
          <w:rFonts w:asciiTheme="minorHAnsi" w:hAnsiTheme="minorHAnsi" w:cs="Calibri"/>
        </w:rPr>
        <w:t xml:space="preserve"> noted </w:t>
      </w:r>
      <w:r w:rsidRPr="002A34ED">
        <w:rPr>
          <w:rFonts w:asciiTheme="minorHAnsi" w:hAnsiTheme="minorHAnsi" w:cs="Calibri"/>
        </w:rPr>
        <w:t xml:space="preserve">in the report of the meeting. </w:t>
      </w:r>
    </w:p>
    <w:p w14:paraId="030B667E"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t>4.1</w:t>
      </w:r>
      <w:r>
        <w:rPr>
          <w:rFonts w:asciiTheme="minorHAnsi" w:hAnsiTheme="minorHAnsi" w:cs="Calibri"/>
        </w:rPr>
        <w:t>4</w:t>
      </w:r>
      <w:r w:rsidRPr="002A34ED">
        <w:rPr>
          <w:rFonts w:asciiTheme="minorHAnsi" w:hAnsiTheme="minorHAnsi" w:cs="Calibri"/>
        </w:rPr>
        <w:t xml:space="preserve"> The United States pointed out that because there was no drafting session</w:t>
      </w:r>
      <w:r>
        <w:rPr>
          <w:rFonts w:asciiTheme="minorHAnsi" w:hAnsiTheme="minorHAnsi" w:cs="Calibri"/>
        </w:rPr>
        <w:t>,</w:t>
      </w:r>
      <w:r w:rsidRPr="002A34ED">
        <w:rPr>
          <w:rFonts w:asciiTheme="minorHAnsi" w:hAnsiTheme="minorHAnsi" w:cs="Calibri"/>
        </w:rPr>
        <w:t xml:space="preserve"> the document should be left in its current form and just note the different views in the meeting report. In addition, the meeting did not receive input that would have allowed it to edit the document. </w:t>
      </w:r>
      <w:r>
        <w:rPr>
          <w:rFonts w:asciiTheme="minorHAnsi" w:hAnsiTheme="minorHAnsi" w:cs="Calibri"/>
        </w:rPr>
        <w:t xml:space="preserve">Meanwhile, </w:t>
      </w:r>
      <w:r w:rsidRPr="002A34ED">
        <w:rPr>
          <w:rFonts w:asciiTheme="minorHAnsi" w:hAnsiTheme="minorHAnsi" w:cs="Calibri"/>
        </w:rPr>
        <w:t>CITEL is considering revisions to the document</w:t>
      </w:r>
      <w:r>
        <w:rPr>
          <w:rFonts w:asciiTheme="minorHAnsi" w:hAnsiTheme="minorHAnsi" w:cs="Calibri"/>
        </w:rPr>
        <w:t>.</w:t>
      </w:r>
    </w:p>
    <w:p w14:paraId="6767A1E6"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Pr>
          <w:rFonts w:asciiTheme="minorHAnsi" w:hAnsiTheme="minorHAnsi" w:cs="Calibri"/>
          <w:b/>
        </w:rPr>
        <w:t xml:space="preserve">4.15 </w:t>
      </w:r>
      <w:r w:rsidRPr="002A34ED">
        <w:rPr>
          <w:rFonts w:asciiTheme="minorHAnsi" w:hAnsiTheme="minorHAnsi" w:cs="Calibri"/>
          <w:b/>
        </w:rPr>
        <w:t>Conclusion and way forward:</w:t>
      </w:r>
      <w:r w:rsidRPr="002A34ED">
        <w:rPr>
          <w:rFonts w:asciiTheme="minorHAnsi" w:hAnsiTheme="minorHAnsi" w:cs="Calibri"/>
        </w:rPr>
        <w:t xml:space="preserve"> The meeting welcomed the positive statements and remarks for the work done so far </w:t>
      </w:r>
      <w:proofErr w:type="gramStart"/>
      <w:r w:rsidRPr="002A34ED">
        <w:rPr>
          <w:rFonts w:asciiTheme="minorHAnsi" w:hAnsiTheme="minorHAnsi" w:cs="Calibri"/>
        </w:rPr>
        <w:t>with regard to</w:t>
      </w:r>
      <w:proofErr w:type="gramEnd"/>
      <w:r w:rsidRPr="002A34ED">
        <w:rPr>
          <w:rFonts w:asciiTheme="minorHAnsi" w:hAnsiTheme="minorHAnsi" w:cs="Calibri"/>
        </w:rPr>
        <w:t xml:space="preserve"> thematic priorities and noted that in some regions work </w:t>
      </w:r>
      <w:r>
        <w:rPr>
          <w:rFonts w:asciiTheme="minorHAnsi" w:hAnsiTheme="minorHAnsi" w:cs="Calibri"/>
        </w:rPr>
        <w:t xml:space="preserve">was </w:t>
      </w:r>
      <w:r w:rsidRPr="002A34ED">
        <w:rPr>
          <w:rFonts w:asciiTheme="minorHAnsi" w:hAnsiTheme="minorHAnsi" w:cs="Calibri"/>
        </w:rPr>
        <w:t xml:space="preserve">under way and future meetings </w:t>
      </w:r>
      <w:r>
        <w:rPr>
          <w:rFonts w:asciiTheme="minorHAnsi" w:hAnsiTheme="minorHAnsi" w:cs="Calibri"/>
        </w:rPr>
        <w:t xml:space="preserve">are planned </w:t>
      </w:r>
      <w:r w:rsidRPr="002A34ED">
        <w:rPr>
          <w:rFonts w:asciiTheme="minorHAnsi" w:hAnsiTheme="minorHAnsi" w:cs="Calibri"/>
        </w:rPr>
        <w:t>to discuss this</w:t>
      </w:r>
      <w:r>
        <w:rPr>
          <w:rFonts w:asciiTheme="minorHAnsi" w:hAnsiTheme="minorHAnsi" w:cs="Calibri"/>
        </w:rPr>
        <w:t xml:space="preserve"> topic</w:t>
      </w:r>
      <w:r w:rsidRPr="002A34ED">
        <w:rPr>
          <w:rFonts w:asciiTheme="minorHAnsi" w:hAnsiTheme="minorHAnsi" w:cs="Calibri"/>
        </w:rPr>
        <w:t xml:space="preserve">. There are different views on how to proceed on cybersecurity. </w:t>
      </w:r>
      <w:r>
        <w:rPr>
          <w:rFonts w:ascii="Calibri" w:hAnsi="Calibri" w:cs="Calibri"/>
        </w:rPr>
        <w:t>F</w:t>
      </w:r>
      <w:r w:rsidRPr="000F450F">
        <w:rPr>
          <w:rFonts w:ascii="Calibri" w:hAnsi="Calibri" w:cs="Calibri"/>
        </w:rPr>
        <w:t xml:space="preserve">urther discussion </w:t>
      </w:r>
      <w:r>
        <w:rPr>
          <w:rFonts w:ascii="Calibri" w:hAnsi="Calibri" w:cs="Calibri"/>
        </w:rPr>
        <w:t xml:space="preserve">is needed </w:t>
      </w:r>
      <w:r w:rsidRPr="000F450F">
        <w:rPr>
          <w:rFonts w:ascii="Calibri" w:hAnsi="Calibri" w:cs="Calibri"/>
        </w:rPr>
        <w:t>within TDAG</w:t>
      </w:r>
      <w:r>
        <w:rPr>
          <w:rFonts w:ascii="Calibri" w:hAnsi="Calibri" w:cs="Calibri"/>
        </w:rPr>
        <w:t xml:space="preserve"> </w:t>
      </w:r>
      <w:proofErr w:type="gramStart"/>
      <w:r>
        <w:rPr>
          <w:rFonts w:ascii="Calibri" w:hAnsi="Calibri" w:cs="Calibri"/>
        </w:rPr>
        <w:t>in order to</w:t>
      </w:r>
      <w:proofErr w:type="gramEnd"/>
      <w:r>
        <w:rPr>
          <w:rFonts w:ascii="Calibri" w:hAnsi="Calibri" w:cs="Calibri"/>
        </w:rPr>
        <w:t xml:space="preserve"> decide</w:t>
      </w:r>
      <w:r w:rsidRPr="002A34ED">
        <w:rPr>
          <w:rFonts w:asciiTheme="minorHAnsi" w:hAnsiTheme="minorHAnsi" w:cs="Calibri"/>
        </w:rPr>
        <w:t xml:space="preserve"> </w:t>
      </w:r>
      <w:r>
        <w:rPr>
          <w:rFonts w:asciiTheme="minorHAnsi" w:hAnsiTheme="minorHAnsi" w:cs="Calibri"/>
        </w:rPr>
        <w:t xml:space="preserve">whether or not to make </w:t>
      </w:r>
      <w:r w:rsidRPr="000F450F">
        <w:rPr>
          <w:rFonts w:ascii="Calibri" w:hAnsi="Calibri" w:cs="Calibri"/>
        </w:rPr>
        <w:t xml:space="preserve">cybersecurity </w:t>
      </w:r>
      <w:r>
        <w:rPr>
          <w:rFonts w:ascii="Calibri" w:hAnsi="Calibri" w:cs="Calibri"/>
        </w:rPr>
        <w:t xml:space="preserve">a </w:t>
      </w:r>
      <w:r w:rsidRPr="002A34ED">
        <w:rPr>
          <w:rFonts w:asciiTheme="minorHAnsi" w:hAnsiTheme="minorHAnsi" w:cs="Calibri"/>
        </w:rPr>
        <w:t>fifth thematic priority</w:t>
      </w:r>
      <w:r>
        <w:rPr>
          <w:rFonts w:asciiTheme="minorHAnsi" w:hAnsiTheme="minorHAnsi" w:cs="Calibri"/>
        </w:rPr>
        <w:t xml:space="preserve">. </w:t>
      </w:r>
    </w:p>
    <w:p w14:paraId="0DBAE241" w14:textId="77777777" w:rsidR="004F540F" w:rsidRPr="002A34ED" w:rsidRDefault="004F540F" w:rsidP="004F540F">
      <w:pPr>
        <w:pStyle w:val="ListParagraph"/>
        <w:keepNext/>
        <w:numPr>
          <w:ilvl w:val="0"/>
          <w:numId w:val="30"/>
        </w:numPr>
        <w:tabs>
          <w:tab w:val="clear" w:pos="1871"/>
          <w:tab w:val="left" w:pos="567"/>
          <w:tab w:val="left" w:pos="1701"/>
        </w:tabs>
        <w:contextualSpacing w:val="0"/>
        <w:rPr>
          <w:rFonts w:cs="Calibri"/>
          <w:b/>
          <w:szCs w:val="24"/>
        </w:rPr>
      </w:pPr>
      <w:r w:rsidRPr="002A34ED">
        <w:rPr>
          <w:rFonts w:cs="Calibri"/>
          <w:b/>
          <w:szCs w:val="24"/>
        </w:rPr>
        <w:t>WTDC Resolutions</w:t>
      </w:r>
    </w:p>
    <w:p w14:paraId="55869F18" w14:textId="77777777" w:rsidR="004F540F" w:rsidRPr="002A34ED" w:rsidRDefault="004F540F" w:rsidP="006115FA">
      <w:pPr>
        <w:pStyle w:val="Colloquy1"/>
        <w:keepNext/>
        <w:widowControl/>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autoSpaceDE/>
        <w:autoSpaceDN/>
        <w:adjustRightInd/>
        <w:spacing w:before="120"/>
        <w:ind w:firstLine="0"/>
        <w:rPr>
          <w:rFonts w:asciiTheme="minorHAnsi" w:hAnsiTheme="minorHAnsi" w:cs="Calibri"/>
          <w:b/>
        </w:rPr>
      </w:pPr>
      <w:r w:rsidRPr="002A34ED">
        <w:rPr>
          <w:rFonts w:asciiTheme="minorHAnsi" w:hAnsiTheme="minorHAnsi" w:cs="Calibri"/>
          <w:b/>
        </w:rPr>
        <w:t>Revision to WTDC Resolution 1</w:t>
      </w:r>
    </w:p>
    <w:p w14:paraId="28924080"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t xml:space="preserve">5.1 TDAG-WG-RDTP considered proposed </w:t>
      </w:r>
      <w:r>
        <w:rPr>
          <w:rFonts w:asciiTheme="minorHAnsi" w:hAnsiTheme="minorHAnsi" w:cs="Calibri"/>
        </w:rPr>
        <w:t xml:space="preserve">partial </w:t>
      </w:r>
      <w:r w:rsidRPr="002A34ED">
        <w:rPr>
          <w:rFonts w:asciiTheme="minorHAnsi" w:hAnsiTheme="minorHAnsi" w:cs="Calibri"/>
        </w:rPr>
        <w:t xml:space="preserve">revisions to Resolution 1 (Rev. Buenos Aires, 2017) on the rules of procedure of the ITU Telecommunication Development Sector and Resolution 2 (Rev. Buenos Aires, 2017) on the establishment of study groups. The proposals are set out </w:t>
      </w:r>
      <w:r w:rsidRPr="002A34ED">
        <w:rPr>
          <w:rFonts w:asciiTheme="minorHAnsi" w:hAnsiTheme="minorHAnsi" w:cs="Calibri"/>
          <w:color w:val="000000"/>
          <w:shd w:val="clear" w:color="auto" w:fill="FFFFFF"/>
        </w:rPr>
        <w:t xml:space="preserve">in Annexes 1 and 2 of </w:t>
      </w:r>
      <w:hyperlink r:id="rId38" w:history="1">
        <w:r w:rsidRPr="006115FA">
          <w:rPr>
            <w:rStyle w:val="Hyperlink"/>
            <w:rFonts w:asciiTheme="minorHAnsi" w:hAnsiTheme="minorHAnsi" w:cs="Calibri"/>
            <w:shd w:val="clear" w:color="auto" w:fill="FFFFFF"/>
          </w:rPr>
          <w:t>Document 38</w:t>
        </w:r>
      </w:hyperlink>
      <w:r w:rsidRPr="002A34ED">
        <w:rPr>
          <w:rFonts w:asciiTheme="minorHAnsi" w:hAnsiTheme="minorHAnsi" w:cs="Calibri"/>
          <w:color w:val="000000"/>
          <w:shd w:val="clear" w:color="auto" w:fill="FFFFFF"/>
        </w:rPr>
        <w:t>, a liaison statement from the Chairmen of</w:t>
      </w:r>
      <w:r w:rsidRPr="002A34ED">
        <w:rPr>
          <w:rFonts w:asciiTheme="minorHAnsi" w:hAnsiTheme="minorHAnsi" w:cs="Calibri"/>
        </w:rPr>
        <w:t xml:space="preserve"> </w:t>
      </w:r>
      <w:r w:rsidRPr="002A34ED">
        <w:rPr>
          <w:rFonts w:asciiTheme="minorHAnsi" w:hAnsiTheme="minorHAnsi" w:cs="Calibri"/>
          <w:bCs/>
        </w:rPr>
        <w:t xml:space="preserve">ITU-D Study Group 1 and ITU-D Study Group 2, and are based on </w:t>
      </w:r>
      <w:r w:rsidRPr="002A34ED">
        <w:rPr>
          <w:rFonts w:asciiTheme="minorHAnsi" w:hAnsiTheme="minorHAnsi" w:cs="Calibri"/>
        </w:rPr>
        <w:t xml:space="preserve">a joint meeting of these two study groups, held virtually on 31 March and 1 April 2021. </w:t>
      </w:r>
    </w:p>
    <w:p w14:paraId="0DC12DBE" w14:textId="77777777" w:rsidR="004F540F" w:rsidRPr="002A34ED" w:rsidRDefault="004F540F" w:rsidP="006115FA">
      <w:pPr>
        <w:tabs>
          <w:tab w:val="left" w:pos="567"/>
          <w:tab w:val="left" w:pos="1134"/>
          <w:tab w:val="left" w:pos="1701"/>
          <w:tab w:val="left" w:pos="2268"/>
        </w:tabs>
        <w:rPr>
          <w:rFonts w:cs="Calibri"/>
          <w:szCs w:val="24"/>
        </w:rPr>
      </w:pPr>
      <w:r w:rsidRPr="002A34ED">
        <w:rPr>
          <w:rFonts w:cs="Calibri"/>
          <w:szCs w:val="24"/>
        </w:rPr>
        <w:t xml:space="preserve">5.2 The Chairman of </w:t>
      </w:r>
      <w:r w:rsidRPr="002A34ED">
        <w:rPr>
          <w:rFonts w:cs="Calibri"/>
          <w:bCs/>
          <w:szCs w:val="24"/>
        </w:rPr>
        <w:t>ITU-D Study Group 1,</w:t>
      </w:r>
      <w:r w:rsidRPr="002A34ED">
        <w:rPr>
          <w:rFonts w:cs="Calibri"/>
          <w:b/>
          <w:bCs/>
          <w:szCs w:val="24"/>
        </w:rPr>
        <w:t xml:space="preserve"> </w:t>
      </w:r>
      <w:r w:rsidRPr="002A34ED">
        <w:rPr>
          <w:rFonts w:cs="Calibri"/>
          <w:szCs w:val="24"/>
        </w:rPr>
        <w:t xml:space="preserve">Ms Regina Fleur </w:t>
      </w:r>
      <w:proofErr w:type="spellStart"/>
      <w:r w:rsidRPr="002A34ED">
        <w:rPr>
          <w:rFonts w:cs="Calibri"/>
          <w:szCs w:val="24"/>
        </w:rPr>
        <w:t>Assoumou</w:t>
      </w:r>
      <w:proofErr w:type="spellEnd"/>
      <w:r w:rsidRPr="002A34ED">
        <w:rPr>
          <w:rFonts w:cs="Calibri"/>
          <w:szCs w:val="24"/>
        </w:rPr>
        <w:t xml:space="preserve"> </w:t>
      </w:r>
      <w:proofErr w:type="spellStart"/>
      <w:r w:rsidRPr="002A34ED">
        <w:rPr>
          <w:rFonts w:cs="Calibri"/>
          <w:szCs w:val="24"/>
        </w:rPr>
        <w:t>Bessou</w:t>
      </w:r>
      <w:proofErr w:type="spellEnd"/>
      <w:r w:rsidRPr="002A34ED">
        <w:rPr>
          <w:rFonts w:cs="Calibri"/>
          <w:szCs w:val="24"/>
        </w:rPr>
        <w:t xml:space="preserve">, presented </w:t>
      </w:r>
      <w:r w:rsidRPr="002A34ED">
        <w:rPr>
          <w:rFonts w:cs="Calibri"/>
          <w:color w:val="000000"/>
          <w:szCs w:val="24"/>
          <w:shd w:val="clear" w:color="auto" w:fill="FFFFFF"/>
        </w:rPr>
        <w:t xml:space="preserve">Document 38 and highlighted </w:t>
      </w:r>
      <w:r w:rsidRPr="002A34ED">
        <w:rPr>
          <w:rFonts w:cs="Calibri"/>
          <w:szCs w:val="24"/>
        </w:rPr>
        <w:t>the following points</w:t>
      </w:r>
      <w:r w:rsidRPr="002A34ED">
        <w:rPr>
          <w:rFonts w:cs="Calibri"/>
          <w:color w:val="000000"/>
          <w:szCs w:val="24"/>
          <w:shd w:val="clear" w:color="auto" w:fill="FFFFFF"/>
        </w:rPr>
        <w:t xml:space="preserve"> for</w:t>
      </w:r>
      <w:r w:rsidRPr="002A34ED">
        <w:rPr>
          <w:rFonts w:cs="Calibri"/>
          <w:szCs w:val="24"/>
        </w:rPr>
        <w:t xml:space="preserve"> TDAG-WG-RDTP to consider:</w:t>
      </w:r>
    </w:p>
    <w:p w14:paraId="47049130" w14:textId="77777777" w:rsidR="004F540F" w:rsidRDefault="004F540F" w:rsidP="004F540F">
      <w:pPr>
        <w:pStyle w:val="ListParagraph"/>
        <w:numPr>
          <w:ilvl w:val="0"/>
          <w:numId w:val="27"/>
        </w:numPr>
        <w:tabs>
          <w:tab w:val="clear" w:pos="1871"/>
          <w:tab w:val="left" w:pos="567"/>
          <w:tab w:val="left" w:pos="1701"/>
        </w:tabs>
        <w:overflowPunct/>
        <w:autoSpaceDE/>
        <w:autoSpaceDN/>
        <w:adjustRightInd/>
        <w:ind w:left="567" w:hanging="567"/>
        <w:contextualSpacing w:val="0"/>
        <w:textAlignment w:val="auto"/>
        <w:rPr>
          <w:rFonts w:cs="Calibri"/>
          <w:szCs w:val="24"/>
        </w:rPr>
      </w:pPr>
      <w:r w:rsidRPr="000F450F">
        <w:rPr>
          <w:rFonts w:cs="Calibri"/>
          <w:szCs w:val="24"/>
        </w:rPr>
        <w:t>Parts of proposals on which consensus was not reached are in square brackets</w:t>
      </w:r>
      <w:r>
        <w:rPr>
          <w:rFonts w:cs="Calibri"/>
          <w:szCs w:val="24"/>
        </w:rPr>
        <w:t>.</w:t>
      </w:r>
    </w:p>
    <w:p w14:paraId="1542BD00" w14:textId="77777777" w:rsidR="004F540F" w:rsidRPr="000F450F" w:rsidRDefault="004F540F" w:rsidP="004F540F">
      <w:pPr>
        <w:pStyle w:val="ListParagraph"/>
        <w:numPr>
          <w:ilvl w:val="0"/>
          <w:numId w:val="27"/>
        </w:numPr>
        <w:tabs>
          <w:tab w:val="clear" w:pos="1871"/>
          <w:tab w:val="left" w:pos="567"/>
          <w:tab w:val="left" w:pos="1701"/>
        </w:tabs>
        <w:overflowPunct/>
        <w:autoSpaceDE/>
        <w:autoSpaceDN/>
        <w:adjustRightInd/>
        <w:ind w:left="567" w:hanging="567"/>
        <w:contextualSpacing w:val="0"/>
        <w:textAlignment w:val="auto"/>
        <w:rPr>
          <w:rFonts w:cs="Calibri"/>
          <w:szCs w:val="24"/>
        </w:rPr>
      </w:pPr>
      <w:r w:rsidRPr="000F450F">
        <w:rPr>
          <w:rFonts w:cs="Calibri"/>
          <w:szCs w:val="24"/>
        </w:rPr>
        <w:t xml:space="preserve">Regarding Resolution 1 (Rev. Buenos Aires, 2017), owing to the lack of time, the joint meeting had focused only on areas that are pertinent to the study groups. Thus, </w:t>
      </w:r>
      <w:r>
        <w:rPr>
          <w:rFonts w:cs="Calibri"/>
          <w:szCs w:val="24"/>
        </w:rPr>
        <w:t xml:space="preserve">proposed </w:t>
      </w:r>
      <w:r w:rsidRPr="000F450F">
        <w:rPr>
          <w:rFonts w:cs="Calibri"/>
          <w:szCs w:val="24"/>
        </w:rPr>
        <w:t>changes had been made to paragraphs 2.7, 2.8, 2.9, 2.10 and 2.11, as well as to sub-sections 3, 4 and 5 (renumbered 3.1 to 3.3.9).</w:t>
      </w:r>
    </w:p>
    <w:p w14:paraId="3C596551" w14:textId="77777777" w:rsidR="004F540F" w:rsidRPr="002A34ED" w:rsidRDefault="004F540F" w:rsidP="004F540F">
      <w:pPr>
        <w:pStyle w:val="ListParagraph"/>
        <w:numPr>
          <w:ilvl w:val="0"/>
          <w:numId w:val="27"/>
        </w:numPr>
        <w:tabs>
          <w:tab w:val="clear" w:pos="1871"/>
          <w:tab w:val="left" w:pos="567"/>
          <w:tab w:val="left" w:pos="1701"/>
        </w:tabs>
        <w:overflowPunct/>
        <w:autoSpaceDE/>
        <w:autoSpaceDN/>
        <w:adjustRightInd/>
        <w:ind w:left="567" w:hanging="567"/>
        <w:contextualSpacing w:val="0"/>
        <w:textAlignment w:val="auto"/>
        <w:rPr>
          <w:rFonts w:cs="Calibri"/>
          <w:szCs w:val="24"/>
        </w:rPr>
      </w:pPr>
      <w:r w:rsidRPr="002A34ED">
        <w:rPr>
          <w:rFonts w:cs="Calibri"/>
          <w:szCs w:val="24"/>
        </w:rPr>
        <w:t>Regarding future study topics, items from “</w:t>
      </w:r>
      <w:r w:rsidRPr="002A34ED">
        <w:rPr>
          <w:rFonts w:cs="Calibri"/>
          <w:i/>
          <w:iCs/>
          <w:szCs w:val="24"/>
        </w:rPr>
        <w:t>Building confidence and security in the use of ICTs</w:t>
      </w:r>
      <w:r w:rsidRPr="002A34ED">
        <w:rPr>
          <w:rFonts w:cs="Calibri"/>
          <w:szCs w:val="24"/>
        </w:rPr>
        <w:t xml:space="preserve">” onwards could not be reviewed owing to the lack of time. TDAG-WG-RDTP was also called upon to consider the </w:t>
      </w:r>
      <w:r>
        <w:rPr>
          <w:rFonts w:cs="Calibri"/>
          <w:szCs w:val="24"/>
        </w:rPr>
        <w:t xml:space="preserve">following </w:t>
      </w:r>
      <w:r w:rsidRPr="002A34ED">
        <w:rPr>
          <w:rFonts w:cs="Calibri"/>
          <w:szCs w:val="24"/>
        </w:rPr>
        <w:t>additional proposals:</w:t>
      </w:r>
    </w:p>
    <w:p w14:paraId="4C90B6BB" w14:textId="77777777" w:rsidR="004F540F" w:rsidRPr="002A34ED" w:rsidRDefault="004F540F" w:rsidP="004F540F">
      <w:pPr>
        <w:pStyle w:val="ListParagraph"/>
        <w:numPr>
          <w:ilvl w:val="0"/>
          <w:numId w:val="26"/>
        </w:numPr>
        <w:tabs>
          <w:tab w:val="clear" w:pos="1871"/>
          <w:tab w:val="left" w:pos="567"/>
          <w:tab w:val="left" w:pos="1701"/>
        </w:tabs>
        <w:overflowPunct/>
        <w:autoSpaceDE/>
        <w:autoSpaceDN/>
        <w:adjustRightInd/>
        <w:ind w:left="1134" w:hanging="567"/>
        <w:contextualSpacing w:val="0"/>
        <w:textAlignment w:val="auto"/>
        <w:rPr>
          <w:rFonts w:cs="Calibri"/>
          <w:szCs w:val="24"/>
        </w:rPr>
      </w:pPr>
      <w:r w:rsidRPr="002A34ED">
        <w:rPr>
          <w:rFonts w:cs="Calibri"/>
          <w:szCs w:val="24"/>
        </w:rPr>
        <w:t>The use of telecommunications/ICTs in monitoring and mitigating the impact of climate change, and for disasters and pandemics preparedness and elimination of their negative consequences, particularly on developing countries.</w:t>
      </w:r>
    </w:p>
    <w:p w14:paraId="66BF09C2" w14:textId="77777777" w:rsidR="004F540F" w:rsidRPr="002A34ED" w:rsidRDefault="004F540F" w:rsidP="004F540F">
      <w:pPr>
        <w:numPr>
          <w:ilvl w:val="0"/>
          <w:numId w:val="26"/>
        </w:numPr>
        <w:tabs>
          <w:tab w:val="clear" w:pos="794"/>
          <w:tab w:val="clear" w:pos="1191"/>
          <w:tab w:val="clear" w:pos="1588"/>
          <w:tab w:val="clear" w:pos="1985"/>
          <w:tab w:val="left" w:pos="567"/>
          <w:tab w:val="left" w:pos="1134"/>
          <w:tab w:val="left" w:pos="1701"/>
          <w:tab w:val="left" w:pos="2268"/>
        </w:tabs>
        <w:overflowPunct/>
        <w:autoSpaceDE/>
        <w:autoSpaceDN/>
        <w:adjustRightInd/>
        <w:ind w:left="1134" w:hanging="567"/>
        <w:textAlignment w:val="auto"/>
        <w:rPr>
          <w:rFonts w:cs="Calibri"/>
          <w:szCs w:val="24"/>
        </w:rPr>
      </w:pPr>
      <w:r w:rsidRPr="002A34ED">
        <w:rPr>
          <w:rFonts w:cs="Calibri"/>
          <w:szCs w:val="24"/>
        </w:rPr>
        <w:t>New telecommunications/ICTs for e-health, including efficient provision of healthcare services to underserved and remote areas to mitigate the impacts of future pandemics and disasters, and using 5G mobile services, robotic remote surgeries, and medical teleconsultation via broadband connections in developing countries.</w:t>
      </w:r>
    </w:p>
    <w:p w14:paraId="49E651E9" w14:textId="77777777" w:rsidR="004F540F" w:rsidRPr="002A34ED" w:rsidRDefault="004F540F" w:rsidP="004F540F">
      <w:pPr>
        <w:numPr>
          <w:ilvl w:val="0"/>
          <w:numId w:val="26"/>
        </w:numPr>
        <w:tabs>
          <w:tab w:val="clear" w:pos="794"/>
          <w:tab w:val="clear" w:pos="1191"/>
          <w:tab w:val="clear" w:pos="1588"/>
          <w:tab w:val="clear" w:pos="1985"/>
          <w:tab w:val="left" w:pos="567"/>
          <w:tab w:val="left" w:pos="1134"/>
          <w:tab w:val="left" w:pos="1701"/>
          <w:tab w:val="left" w:pos="2268"/>
        </w:tabs>
        <w:overflowPunct/>
        <w:autoSpaceDE/>
        <w:autoSpaceDN/>
        <w:adjustRightInd/>
        <w:ind w:left="1134" w:hanging="567"/>
        <w:textAlignment w:val="auto"/>
        <w:rPr>
          <w:rFonts w:cs="Calibri"/>
          <w:szCs w:val="24"/>
        </w:rPr>
      </w:pPr>
      <w:r w:rsidRPr="002A34ED">
        <w:rPr>
          <w:rFonts w:cs="Calibri"/>
          <w:szCs w:val="24"/>
        </w:rPr>
        <w:t>Aspects related to the implementation of Resolution 9 (Rev. Buenos Aires, 2017) of WTDC.</w:t>
      </w:r>
    </w:p>
    <w:p w14:paraId="23E129D8"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t>5.3 TDAG-WG-RDTP considered and approved the changes made to paragraphs 2.7 to</w:t>
      </w:r>
      <w:r>
        <w:rPr>
          <w:rFonts w:asciiTheme="minorHAnsi" w:hAnsiTheme="minorHAnsi" w:cs="Calibri"/>
        </w:rPr>
        <w:t xml:space="preserve"> </w:t>
      </w:r>
      <w:proofErr w:type="gramStart"/>
      <w:r w:rsidRPr="002A34ED">
        <w:rPr>
          <w:rFonts w:asciiTheme="minorHAnsi" w:hAnsiTheme="minorHAnsi" w:cs="Calibri"/>
        </w:rPr>
        <w:t>2.11, and</w:t>
      </w:r>
      <w:proofErr w:type="gramEnd"/>
      <w:r w:rsidRPr="002A34ED">
        <w:rPr>
          <w:rFonts w:asciiTheme="minorHAnsi" w:hAnsiTheme="minorHAnsi" w:cs="Calibri"/>
        </w:rPr>
        <w:t xml:space="preserve"> replaced the word “deletion” with “suppression” in reference to ITU-D handbooks (see 2.10.3) and ITU-D guidelines (see 2.11.3). </w:t>
      </w:r>
    </w:p>
    <w:p w14:paraId="100F00EA" w14:textId="77777777" w:rsidR="004F540F" w:rsidRPr="002A34ED" w:rsidRDefault="004F540F" w:rsidP="006115FA">
      <w:pPr>
        <w:pStyle w:val="Normal0"/>
        <w:tabs>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lastRenderedPageBreak/>
        <w:t xml:space="preserve">5.4 Similarly, in Section 3, the joint study group meeting </w:t>
      </w:r>
      <w:r>
        <w:rPr>
          <w:rFonts w:asciiTheme="minorHAnsi" w:hAnsiTheme="minorHAnsi" w:cs="Calibri"/>
        </w:rPr>
        <w:t xml:space="preserve">had </w:t>
      </w:r>
      <w:r w:rsidRPr="002A34ED">
        <w:rPr>
          <w:rFonts w:asciiTheme="minorHAnsi" w:hAnsiTheme="minorHAnsi" w:cs="Calibri"/>
        </w:rPr>
        <w:t xml:space="preserve">made </w:t>
      </w:r>
      <w:r>
        <w:rPr>
          <w:rFonts w:asciiTheme="minorHAnsi" w:hAnsiTheme="minorHAnsi" w:cs="Calibri"/>
        </w:rPr>
        <w:t xml:space="preserve">proposed </w:t>
      </w:r>
      <w:r w:rsidRPr="002A34ED">
        <w:rPr>
          <w:rFonts w:asciiTheme="minorHAnsi" w:hAnsiTheme="minorHAnsi" w:cs="Calibri"/>
        </w:rPr>
        <w:t xml:space="preserve">changes either to simplify texts or to reflect changes from other meetings. Under 3.1 on classification of study groups and their relevant groups, there was no consensus on the notion of </w:t>
      </w:r>
      <w:r>
        <w:rPr>
          <w:rFonts w:asciiTheme="minorHAnsi" w:hAnsiTheme="minorHAnsi" w:cs="Calibri"/>
        </w:rPr>
        <w:t>“</w:t>
      </w:r>
      <w:r w:rsidRPr="002A34ED">
        <w:rPr>
          <w:rFonts w:asciiTheme="minorHAnsi" w:hAnsiTheme="minorHAnsi" w:cs="Calibri"/>
        </w:rPr>
        <w:t>working parties</w:t>
      </w:r>
      <w:r>
        <w:rPr>
          <w:rFonts w:asciiTheme="minorHAnsi" w:hAnsiTheme="minorHAnsi" w:cs="Calibri"/>
        </w:rPr>
        <w:t>”</w:t>
      </w:r>
      <w:r w:rsidRPr="002A34ED">
        <w:rPr>
          <w:rFonts w:asciiTheme="minorHAnsi" w:hAnsiTheme="minorHAnsi" w:cs="Calibri"/>
        </w:rPr>
        <w:t xml:space="preserve">, and so the texts are in square brackets [see 3.1.3, 3.1.4. 3.1.5 and </w:t>
      </w:r>
      <w:r w:rsidRPr="00367D41">
        <w:rPr>
          <w:rFonts w:asciiTheme="minorHAnsi" w:hAnsiTheme="minorHAnsi" w:cs="Calibri"/>
        </w:rPr>
        <w:t>3.1.10]. Some</w:t>
      </w:r>
      <w:r w:rsidRPr="002A34ED">
        <w:rPr>
          <w:rFonts w:asciiTheme="minorHAnsi" w:hAnsiTheme="minorHAnsi" w:cs="Calibri"/>
        </w:rPr>
        <w:t xml:space="preserve"> delegations expressed concern that in the past, working parties were not successful at the study group level. </w:t>
      </w:r>
    </w:p>
    <w:p w14:paraId="2AA2C263" w14:textId="77777777" w:rsidR="004F540F" w:rsidRPr="002A34ED" w:rsidRDefault="004F540F" w:rsidP="006115FA">
      <w:pPr>
        <w:pStyle w:val="Normal0"/>
        <w:tabs>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t xml:space="preserve">5.5 Under 3.2 on chairmen and vice-chairmen of ITU-D study groups, there are provisions on which consensus was not reached and are therefore in square brackets. Provision 3.2.7 is a new text based on the experience and activities in study groups. </w:t>
      </w:r>
    </w:p>
    <w:p w14:paraId="41081E57" w14:textId="77777777" w:rsidR="004F540F" w:rsidRPr="002A34ED" w:rsidRDefault="004F540F" w:rsidP="006115FA">
      <w:pPr>
        <w:pStyle w:val="Heading1"/>
        <w:tabs>
          <w:tab w:val="clear" w:pos="794"/>
          <w:tab w:val="clear" w:pos="1191"/>
          <w:tab w:val="clear" w:pos="1588"/>
          <w:tab w:val="clear" w:pos="1985"/>
          <w:tab w:val="left" w:pos="567"/>
          <w:tab w:val="left" w:pos="1134"/>
          <w:tab w:val="left" w:pos="1701"/>
          <w:tab w:val="left" w:pos="2268"/>
        </w:tabs>
        <w:spacing w:before="120"/>
        <w:ind w:left="0" w:firstLine="0"/>
        <w:rPr>
          <w:rFonts w:cs="Calibri"/>
          <w:b w:val="0"/>
          <w:sz w:val="24"/>
          <w:szCs w:val="24"/>
        </w:rPr>
      </w:pPr>
      <w:r w:rsidRPr="002A34ED">
        <w:rPr>
          <w:rFonts w:cs="Calibri"/>
          <w:b w:val="0"/>
          <w:sz w:val="24"/>
          <w:szCs w:val="24"/>
          <w:lang w:val="en-US"/>
        </w:rPr>
        <w:t xml:space="preserve">5.6 Under 3.3 on rapporteurs and vice-rapporteurs on ITU-D Questions, </w:t>
      </w:r>
      <w:r w:rsidRPr="002A34ED">
        <w:rPr>
          <w:rFonts w:cs="Calibri"/>
          <w:b w:val="0"/>
          <w:sz w:val="24"/>
          <w:szCs w:val="24"/>
        </w:rPr>
        <w:t xml:space="preserve">there was no time to continue the discussion and so </w:t>
      </w:r>
      <w:proofErr w:type="gramStart"/>
      <w:r w:rsidRPr="002A34ED">
        <w:rPr>
          <w:rFonts w:cs="Calibri"/>
          <w:b w:val="0"/>
          <w:sz w:val="24"/>
          <w:szCs w:val="24"/>
        </w:rPr>
        <w:t>a number of</w:t>
      </w:r>
      <w:proofErr w:type="gramEnd"/>
      <w:r w:rsidRPr="002A34ED">
        <w:rPr>
          <w:rFonts w:cs="Calibri"/>
          <w:b w:val="0"/>
          <w:sz w:val="24"/>
          <w:szCs w:val="24"/>
        </w:rPr>
        <w:t xml:space="preserve"> provisions were placed in square brackets [3.3.3. 3.3.5, 3.3.6 and 3.3.8].</w:t>
      </w:r>
    </w:p>
    <w:p w14:paraId="6F80C94B" w14:textId="77777777" w:rsidR="004F540F" w:rsidRPr="002A34ED" w:rsidRDefault="004F540F" w:rsidP="006115FA">
      <w:pPr>
        <w:tabs>
          <w:tab w:val="left" w:pos="567"/>
          <w:tab w:val="left" w:pos="1134"/>
          <w:tab w:val="left" w:pos="1701"/>
          <w:tab w:val="left" w:pos="2268"/>
        </w:tabs>
        <w:rPr>
          <w:rFonts w:cs="Calibri"/>
          <w:szCs w:val="24"/>
        </w:rPr>
      </w:pPr>
      <w:r w:rsidRPr="002A34ED">
        <w:rPr>
          <w:rFonts w:cs="Calibri"/>
          <w:szCs w:val="24"/>
        </w:rPr>
        <w:t xml:space="preserve">5.7 With regard to 3.3.3, some delegations underlined its importance, having observed that the work of rapporteur groups suffers when rapporteurs </w:t>
      </w:r>
      <w:proofErr w:type="gramStart"/>
      <w:r w:rsidRPr="002A34ED">
        <w:rPr>
          <w:rFonts w:cs="Calibri"/>
          <w:szCs w:val="24"/>
        </w:rPr>
        <w:t>have to</w:t>
      </w:r>
      <w:proofErr w:type="gramEnd"/>
      <w:r w:rsidRPr="002A34ED">
        <w:rPr>
          <w:rFonts w:cs="Calibri"/>
          <w:szCs w:val="24"/>
        </w:rPr>
        <w:t xml:space="preserve"> suddenly leave for other assignments, resulting in discontinuity. The language in 3.3.3 is intended to address this concern. However, there is another view that 3.3.9 is sufficient to cover the concern in 3.3.3 as well. TDAG-WG-RDTP noted that the joint study group meeting had stopped at 3.3.9 because of lack of time. </w:t>
      </w:r>
    </w:p>
    <w:p w14:paraId="3AB72C58"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color w:val="000000"/>
        </w:rPr>
      </w:pPr>
      <w:r w:rsidRPr="002A34ED">
        <w:rPr>
          <w:rFonts w:asciiTheme="minorHAnsi" w:hAnsiTheme="minorHAnsi" w:cs="Calibri"/>
          <w:shd w:val="clear" w:color="auto" w:fill="FFFFFF"/>
        </w:rPr>
        <w:t xml:space="preserve">5.8 </w:t>
      </w:r>
      <w:r w:rsidRPr="002A34ED">
        <w:rPr>
          <w:rFonts w:asciiTheme="minorHAnsi" w:hAnsiTheme="minorHAnsi" w:cs="Calibri"/>
        </w:rPr>
        <w:t xml:space="preserve">TDAG-WG-RDTP then considered </w:t>
      </w:r>
      <w:hyperlink r:id="rId39" w:history="1">
        <w:r w:rsidRPr="006115FA">
          <w:rPr>
            <w:rStyle w:val="Hyperlink"/>
            <w:rFonts w:asciiTheme="minorHAnsi" w:hAnsiTheme="minorHAnsi" w:cs="Calibri"/>
            <w:shd w:val="clear" w:color="auto" w:fill="FFFFFF"/>
          </w:rPr>
          <w:t>Document 9</w:t>
        </w:r>
      </w:hyperlink>
      <w:r w:rsidRPr="002A34ED">
        <w:rPr>
          <w:rFonts w:asciiTheme="minorHAnsi" w:hAnsiTheme="minorHAnsi" w:cs="Calibri"/>
          <w:color w:val="000000"/>
          <w:shd w:val="clear" w:color="auto" w:fill="FFFFFF"/>
        </w:rPr>
        <w:t xml:space="preserve"> </w:t>
      </w:r>
      <w:r w:rsidRPr="002A34ED">
        <w:rPr>
          <w:rFonts w:asciiTheme="minorHAnsi" w:hAnsiTheme="minorHAnsi" w:cs="Calibri"/>
        </w:rPr>
        <w:t xml:space="preserve">from the </w:t>
      </w:r>
      <w:r w:rsidRPr="002A34ED">
        <w:rPr>
          <w:rFonts w:asciiTheme="minorHAnsi" w:hAnsiTheme="minorHAnsi" w:cs="Calibri"/>
          <w:shd w:val="clear" w:color="auto" w:fill="FFFFFF"/>
        </w:rPr>
        <w:t xml:space="preserve">Russian Federation containing proposed revisions to Resolution 1 (Rev. Buenos Aires, 2017). </w:t>
      </w:r>
      <w:r w:rsidRPr="002A34ED">
        <w:rPr>
          <w:rFonts w:asciiTheme="minorHAnsi" w:hAnsiTheme="minorHAnsi" w:cs="Calibri"/>
          <w:color w:val="000000"/>
          <w:shd w:val="clear" w:color="auto" w:fill="FFFFFF"/>
        </w:rPr>
        <w:t xml:space="preserve">The proposed revisions include provisions based on </w:t>
      </w:r>
      <w:r w:rsidRPr="002A34ED">
        <w:rPr>
          <w:rFonts w:asciiTheme="minorHAnsi" w:hAnsiTheme="minorHAnsi" w:cs="Calibri"/>
        </w:rPr>
        <w:t xml:space="preserve">the experience of ITU-D study groups over the period 2018-2021 and the experience of ITU-R and ITU-T. The proposals also reflect suggestions </w:t>
      </w:r>
      <w:r w:rsidRPr="002A34ED">
        <w:rPr>
          <w:rFonts w:asciiTheme="minorHAnsi" w:hAnsiTheme="minorHAnsi" w:cs="Calibri"/>
          <w:color w:val="000000"/>
        </w:rPr>
        <w:t xml:space="preserve">made at meetings of the </w:t>
      </w:r>
      <w:r w:rsidRPr="002A34ED">
        <w:rPr>
          <w:rFonts w:asciiTheme="minorHAnsi" w:hAnsiTheme="minorHAnsi" w:cs="Calibri"/>
        </w:rPr>
        <w:t>Regional Commonwealth in the field of Communications (RCC),</w:t>
      </w:r>
      <w:r w:rsidRPr="002A34ED">
        <w:rPr>
          <w:rFonts w:asciiTheme="minorHAnsi" w:hAnsiTheme="minorHAnsi" w:cs="Calibri"/>
          <w:color w:val="000000"/>
        </w:rPr>
        <w:t xml:space="preserve"> TDAG-WG-RDTP and COM-ITU CEPT. The draft revisions also contain salient provisions incorporated from Resolution 61 </w:t>
      </w:r>
      <w:r w:rsidRPr="002A34ED">
        <w:rPr>
          <w:rFonts w:asciiTheme="minorHAnsi" w:hAnsiTheme="minorHAnsi" w:cs="Calibri"/>
        </w:rPr>
        <w:t xml:space="preserve">(Rev. Dubai, 2014), </w:t>
      </w:r>
      <w:r w:rsidRPr="002A34ED">
        <w:rPr>
          <w:rFonts w:asciiTheme="minorHAnsi" w:hAnsiTheme="minorHAnsi" w:cs="Calibri"/>
          <w:color w:val="000000"/>
        </w:rPr>
        <w:t xml:space="preserve">Resolution 81 </w:t>
      </w:r>
      <w:r w:rsidRPr="002A34ED">
        <w:rPr>
          <w:rFonts w:asciiTheme="minorHAnsi" w:hAnsiTheme="minorHAnsi" w:cs="Calibri"/>
        </w:rPr>
        <w:t xml:space="preserve">(Rev. Buenos Aires, 2017) </w:t>
      </w:r>
      <w:r w:rsidRPr="002A34ED">
        <w:rPr>
          <w:rFonts w:asciiTheme="minorHAnsi" w:hAnsiTheme="minorHAnsi" w:cs="Calibri"/>
          <w:color w:val="000000"/>
        </w:rPr>
        <w:t xml:space="preserve">and Resolution 86 </w:t>
      </w:r>
      <w:r w:rsidRPr="002A34ED">
        <w:rPr>
          <w:rFonts w:asciiTheme="minorHAnsi" w:hAnsiTheme="minorHAnsi" w:cs="Calibri"/>
        </w:rPr>
        <w:t>(Rev. Buenos Aires, 2017)</w:t>
      </w:r>
      <w:r w:rsidRPr="002A34ED">
        <w:rPr>
          <w:rFonts w:asciiTheme="minorHAnsi" w:hAnsiTheme="minorHAnsi" w:cs="Calibri"/>
          <w:color w:val="000000"/>
        </w:rPr>
        <w:t xml:space="preserve">, which are proposed </w:t>
      </w:r>
      <w:r>
        <w:rPr>
          <w:rFonts w:asciiTheme="minorHAnsi" w:hAnsiTheme="minorHAnsi" w:cs="Calibri"/>
          <w:color w:val="000000"/>
        </w:rPr>
        <w:t xml:space="preserve">for </w:t>
      </w:r>
      <w:r w:rsidRPr="002A34ED">
        <w:rPr>
          <w:rFonts w:asciiTheme="minorHAnsi" w:hAnsiTheme="minorHAnsi" w:cs="Calibri"/>
          <w:color w:val="000000"/>
        </w:rPr>
        <w:t>suppress</w:t>
      </w:r>
      <w:r>
        <w:rPr>
          <w:rFonts w:asciiTheme="minorHAnsi" w:hAnsiTheme="minorHAnsi" w:cs="Calibri"/>
          <w:color w:val="000000"/>
        </w:rPr>
        <w:t>ion</w:t>
      </w:r>
      <w:r w:rsidRPr="002A34ED">
        <w:rPr>
          <w:rFonts w:asciiTheme="minorHAnsi" w:hAnsiTheme="minorHAnsi" w:cs="Calibri"/>
          <w:color w:val="000000"/>
        </w:rPr>
        <w:t xml:space="preserve">. </w:t>
      </w:r>
    </w:p>
    <w:p w14:paraId="202D0D9A" w14:textId="77777777" w:rsidR="004F540F" w:rsidRPr="00202626"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t xml:space="preserve">5.9 </w:t>
      </w:r>
      <w:r w:rsidRPr="002A34ED">
        <w:rPr>
          <w:rFonts w:asciiTheme="minorHAnsi" w:hAnsiTheme="minorHAnsi" w:cs="Calibri"/>
          <w:color w:val="000000"/>
        </w:rPr>
        <w:t xml:space="preserve">TDAG-WG-RDTP noted that </w:t>
      </w:r>
      <w:r w:rsidRPr="002A34ED">
        <w:rPr>
          <w:rFonts w:asciiTheme="minorHAnsi" w:hAnsiTheme="minorHAnsi" w:cs="Calibri"/>
        </w:rPr>
        <w:t>some Member States were already developing their own proposals on Resolution 1 (Rev. Buenos Aires, 2017),</w:t>
      </w:r>
      <w:r>
        <w:rPr>
          <w:rFonts w:asciiTheme="minorHAnsi" w:hAnsiTheme="minorHAnsi" w:cs="Calibri"/>
        </w:rPr>
        <w:t xml:space="preserve"> </w:t>
      </w:r>
      <w:r w:rsidRPr="002A34ED">
        <w:rPr>
          <w:rFonts w:asciiTheme="minorHAnsi" w:hAnsiTheme="minorHAnsi" w:cs="Calibri"/>
        </w:rPr>
        <w:t xml:space="preserve">with the aim of minimizing the time spent on administrative tasks at the conference. Participants further acknowledged the need to have more discussions in the regions about some of the proposals put forward in </w:t>
      </w:r>
      <w:r>
        <w:rPr>
          <w:rFonts w:asciiTheme="minorHAnsi" w:hAnsiTheme="minorHAnsi" w:cs="Calibri"/>
        </w:rPr>
        <w:t>D</w:t>
      </w:r>
      <w:r w:rsidRPr="002A34ED">
        <w:rPr>
          <w:rFonts w:asciiTheme="minorHAnsi" w:hAnsiTheme="minorHAnsi" w:cs="Calibri"/>
        </w:rPr>
        <w:t>ocuments</w:t>
      </w:r>
      <w:r>
        <w:rPr>
          <w:rFonts w:asciiTheme="minorHAnsi" w:hAnsiTheme="minorHAnsi" w:cs="Calibri"/>
        </w:rPr>
        <w:t xml:space="preserve"> </w:t>
      </w:r>
      <w:hyperlink r:id="rId40" w:history="1">
        <w:r w:rsidRPr="006115FA">
          <w:rPr>
            <w:rStyle w:val="Hyperlink"/>
            <w:rFonts w:ascii="Calibri" w:hAnsi="Calibri" w:cs="Calibri"/>
            <w:shd w:val="clear" w:color="auto" w:fill="FFFFFF"/>
          </w:rPr>
          <w:t>Document 38</w:t>
        </w:r>
      </w:hyperlink>
      <w:r>
        <w:rPr>
          <w:rFonts w:ascii="Calibri" w:hAnsi="Calibri" w:cs="Calibri"/>
        </w:rPr>
        <w:t xml:space="preserve"> and</w:t>
      </w:r>
      <w:r w:rsidRPr="00367D41">
        <w:rPr>
          <w:rFonts w:ascii="Calibri" w:hAnsi="Calibri" w:cs="Calibri"/>
        </w:rPr>
        <w:t xml:space="preserve"> </w:t>
      </w:r>
      <w:hyperlink r:id="rId41" w:history="1">
        <w:r w:rsidRPr="006115FA">
          <w:rPr>
            <w:rStyle w:val="Hyperlink"/>
            <w:rFonts w:ascii="Calibri" w:hAnsi="Calibri" w:cs="Calibri"/>
            <w:shd w:val="clear" w:color="auto" w:fill="FFFFFF"/>
          </w:rPr>
          <w:t>Document 9</w:t>
        </w:r>
      </w:hyperlink>
      <w:r w:rsidRPr="002A34ED">
        <w:rPr>
          <w:rFonts w:asciiTheme="minorHAnsi" w:hAnsiTheme="minorHAnsi" w:cs="Calibri"/>
        </w:rPr>
        <w:t xml:space="preserve">. </w:t>
      </w:r>
    </w:p>
    <w:p w14:paraId="7B6F9A6B" w14:textId="77777777" w:rsidR="004F540F" w:rsidRPr="00202626"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Pr>
          <w:rFonts w:asciiTheme="minorHAnsi" w:hAnsiTheme="minorHAnsi" w:cs="Calibri"/>
          <w:b/>
        </w:rPr>
        <w:t xml:space="preserve">5.10 </w:t>
      </w:r>
      <w:r w:rsidRPr="002A34ED">
        <w:rPr>
          <w:rFonts w:asciiTheme="minorHAnsi" w:hAnsiTheme="minorHAnsi" w:cs="Calibri"/>
          <w:b/>
        </w:rPr>
        <w:t xml:space="preserve">Conclusion and way forward: </w:t>
      </w:r>
      <w:r w:rsidRPr="002A34ED">
        <w:rPr>
          <w:rFonts w:asciiTheme="minorHAnsi" w:hAnsiTheme="minorHAnsi" w:cs="Calibri"/>
          <w:color w:val="000000"/>
        </w:rPr>
        <w:t>TDAG-WG-RDTP</w:t>
      </w:r>
      <w:r w:rsidRPr="002A34ED">
        <w:rPr>
          <w:rFonts w:asciiTheme="minorHAnsi" w:hAnsiTheme="minorHAnsi" w:cs="Calibri"/>
        </w:rPr>
        <w:t xml:space="preserve"> noted Annex 1 to </w:t>
      </w:r>
      <w:r w:rsidRPr="002A34ED">
        <w:rPr>
          <w:rFonts w:asciiTheme="minorHAnsi" w:hAnsiTheme="minorHAnsi" w:cs="Calibri"/>
          <w:color w:val="000000"/>
          <w:shd w:val="clear" w:color="auto" w:fill="FFFFFF"/>
        </w:rPr>
        <w:t xml:space="preserve">Document </w:t>
      </w:r>
      <w:hyperlink r:id="rId42" w:history="1">
        <w:proofErr w:type="spellStart"/>
        <w:r w:rsidRPr="006115FA">
          <w:rPr>
            <w:rStyle w:val="Hyperlink"/>
            <w:rFonts w:ascii="Calibri" w:hAnsi="Calibri" w:cs="Calibri"/>
            <w:shd w:val="clear" w:color="auto" w:fill="FFFFFF"/>
          </w:rPr>
          <w:t>Document</w:t>
        </w:r>
        <w:proofErr w:type="spellEnd"/>
        <w:r w:rsidRPr="006115FA">
          <w:rPr>
            <w:rStyle w:val="Hyperlink"/>
            <w:rFonts w:ascii="Calibri" w:hAnsi="Calibri" w:cs="Calibri"/>
            <w:shd w:val="clear" w:color="auto" w:fill="FFFFFF"/>
          </w:rPr>
          <w:t xml:space="preserve"> 38</w:t>
        </w:r>
      </w:hyperlink>
      <w:r w:rsidRPr="002A34ED">
        <w:rPr>
          <w:rFonts w:asciiTheme="minorHAnsi" w:hAnsiTheme="minorHAnsi" w:cs="Calibri"/>
        </w:rPr>
        <w:t xml:space="preserve"> and </w:t>
      </w:r>
      <w:r w:rsidRPr="002A34ED">
        <w:rPr>
          <w:rFonts w:asciiTheme="minorHAnsi" w:hAnsiTheme="minorHAnsi" w:cs="Calibri"/>
          <w:color w:val="000000"/>
          <w:shd w:val="clear" w:color="auto" w:fill="FFFFFF"/>
        </w:rPr>
        <w:t>Document</w:t>
      </w:r>
      <w:r w:rsidRPr="002A34ED">
        <w:rPr>
          <w:rFonts w:asciiTheme="minorHAnsi" w:hAnsiTheme="minorHAnsi" w:cs="Calibri"/>
        </w:rPr>
        <w:t xml:space="preserve"> </w:t>
      </w:r>
      <w:hyperlink r:id="rId43" w:history="1">
        <w:proofErr w:type="spellStart"/>
        <w:r w:rsidRPr="006115FA">
          <w:rPr>
            <w:rStyle w:val="Hyperlink"/>
            <w:rFonts w:ascii="Calibri" w:hAnsi="Calibri" w:cs="Calibri"/>
            <w:shd w:val="clear" w:color="auto" w:fill="FFFFFF"/>
          </w:rPr>
          <w:t>Document</w:t>
        </w:r>
        <w:proofErr w:type="spellEnd"/>
        <w:r w:rsidRPr="006115FA">
          <w:rPr>
            <w:rStyle w:val="Hyperlink"/>
            <w:rFonts w:ascii="Calibri" w:hAnsi="Calibri" w:cs="Calibri"/>
            <w:shd w:val="clear" w:color="auto" w:fill="FFFFFF"/>
          </w:rPr>
          <w:t xml:space="preserve"> 9</w:t>
        </w:r>
      </w:hyperlink>
      <w:r w:rsidRPr="002A34ED">
        <w:rPr>
          <w:rFonts w:asciiTheme="minorHAnsi" w:hAnsiTheme="minorHAnsi" w:cs="Calibri"/>
        </w:rPr>
        <w:t>;</w:t>
      </w:r>
      <w:r w:rsidRPr="002A34ED">
        <w:rPr>
          <w:rFonts w:asciiTheme="minorHAnsi" w:hAnsiTheme="minorHAnsi" w:cs="Calibri"/>
          <w:color w:val="000000"/>
          <w:shd w:val="clear" w:color="auto" w:fill="FFFFFF"/>
        </w:rPr>
        <w:t xml:space="preserve"> acknowledged that b</w:t>
      </w:r>
      <w:r w:rsidRPr="002A34ED">
        <w:rPr>
          <w:rFonts w:asciiTheme="minorHAnsi" w:hAnsiTheme="minorHAnsi" w:cs="Calibri"/>
        </w:rPr>
        <w:t xml:space="preserve">oth documents were in different stages of consensus; and agreed to transmit them to TDAG. The meeting further recommended that any further work on Resolution 1 (Rev. Buenos Aires, 2017) needs to </w:t>
      </w:r>
      <w:proofErr w:type="gramStart"/>
      <w:r w:rsidRPr="002A34ED">
        <w:rPr>
          <w:rFonts w:asciiTheme="minorHAnsi" w:hAnsiTheme="minorHAnsi" w:cs="Calibri"/>
        </w:rPr>
        <w:t>take into account</w:t>
      </w:r>
      <w:proofErr w:type="gramEnd"/>
      <w:r w:rsidRPr="002A34ED">
        <w:rPr>
          <w:rFonts w:asciiTheme="minorHAnsi" w:hAnsiTheme="minorHAnsi" w:cs="Calibri"/>
        </w:rPr>
        <w:t xml:space="preserve"> the changes proposed in these </w:t>
      </w:r>
      <w:r w:rsidRPr="00202626">
        <w:rPr>
          <w:rFonts w:asciiTheme="minorHAnsi" w:hAnsiTheme="minorHAnsi" w:cs="Calibri"/>
        </w:rPr>
        <w:t xml:space="preserve">two documents. </w:t>
      </w:r>
    </w:p>
    <w:p w14:paraId="0383F409" w14:textId="77777777" w:rsidR="004F540F" w:rsidRPr="002A34ED" w:rsidRDefault="004F540F" w:rsidP="006115FA">
      <w:pPr>
        <w:pStyle w:val="Colloquy1"/>
        <w:keepNext/>
        <w:widowControl/>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autoSpaceDE/>
        <w:autoSpaceDN/>
        <w:adjustRightInd/>
        <w:spacing w:before="120"/>
        <w:ind w:firstLine="0"/>
        <w:rPr>
          <w:rFonts w:asciiTheme="minorHAnsi" w:hAnsiTheme="minorHAnsi" w:cs="Calibri"/>
          <w:b/>
        </w:rPr>
      </w:pPr>
      <w:r w:rsidRPr="002A34ED">
        <w:rPr>
          <w:rFonts w:asciiTheme="minorHAnsi" w:hAnsiTheme="minorHAnsi" w:cs="Calibri"/>
          <w:b/>
        </w:rPr>
        <w:t>Revision to WTDC Resolution 2</w:t>
      </w:r>
    </w:p>
    <w:p w14:paraId="7835A5CD" w14:textId="77777777" w:rsidR="004F540F" w:rsidRPr="002A34ED" w:rsidRDefault="004F540F" w:rsidP="006115FA">
      <w:pPr>
        <w:pStyle w:val="ListParagraph"/>
        <w:tabs>
          <w:tab w:val="clear" w:pos="1871"/>
          <w:tab w:val="left" w:pos="567"/>
          <w:tab w:val="left" w:pos="1701"/>
        </w:tabs>
        <w:overflowPunct/>
        <w:autoSpaceDE/>
        <w:autoSpaceDN/>
        <w:adjustRightInd/>
        <w:ind w:left="0"/>
        <w:contextualSpacing w:val="0"/>
        <w:textAlignment w:val="auto"/>
        <w:rPr>
          <w:rFonts w:cs="Calibri"/>
          <w:szCs w:val="24"/>
        </w:rPr>
      </w:pPr>
      <w:r w:rsidRPr="002A34ED">
        <w:rPr>
          <w:rFonts w:cs="Calibri"/>
          <w:szCs w:val="24"/>
        </w:rPr>
        <w:t>5.1</w:t>
      </w:r>
      <w:r>
        <w:rPr>
          <w:rFonts w:cs="Calibri"/>
          <w:szCs w:val="24"/>
        </w:rPr>
        <w:t>1</w:t>
      </w:r>
      <w:r w:rsidRPr="002A34ED">
        <w:rPr>
          <w:rFonts w:cs="Calibri"/>
          <w:szCs w:val="24"/>
        </w:rPr>
        <w:t xml:space="preserve"> The Chairman of TDAG-WG-RDTP, who is also Chairman of </w:t>
      </w:r>
      <w:r w:rsidRPr="002A34ED">
        <w:rPr>
          <w:rFonts w:cs="Calibri"/>
          <w:bCs/>
          <w:szCs w:val="24"/>
        </w:rPr>
        <w:t>ITU-D Study Group 2,</w:t>
      </w:r>
      <w:r w:rsidRPr="002A34ED">
        <w:rPr>
          <w:rFonts w:cs="Calibri"/>
          <w:b/>
          <w:bCs/>
          <w:szCs w:val="24"/>
        </w:rPr>
        <w:t xml:space="preserve"> </w:t>
      </w:r>
      <w:r w:rsidRPr="002A34ED">
        <w:rPr>
          <w:rFonts w:cs="Calibri"/>
          <w:szCs w:val="24"/>
        </w:rPr>
        <w:t xml:space="preserve">presented Annex 2 to </w:t>
      </w:r>
      <w:r w:rsidRPr="002A34ED">
        <w:rPr>
          <w:rFonts w:cs="Calibri"/>
          <w:color w:val="000000"/>
          <w:szCs w:val="24"/>
          <w:shd w:val="clear" w:color="auto" w:fill="FFFFFF"/>
        </w:rPr>
        <w:t xml:space="preserve">Document </w:t>
      </w:r>
      <w:hyperlink r:id="rId44" w:history="1">
        <w:proofErr w:type="spellStart"/>
        <w:r w:rsidRPr="006115FA">
          <w:rPr>
            <w:rStyle w:val="Hyperlink"/>
            <w:rFonts w:cs="Calibri"/>
            <w:shd w:val="clear" w:color="auto" w:fill="FFFFFF"/>
          </w:rPr>
          <w:t>Document</w:t>
        </w:r>
        <w:proofErr w:type="spellEnd"/>
        <w:r w:rsidRPr="006115FA">
          <w:rPr>
            <w:rStyle w:val="Hyperlink"/>
            <w:rFonts w:cs="Calibri"/>
            <w:shd w:val="clear" w:color="auto" w:fill="FFFFFF"/>
          </w:rPr>
          <w:t xml:space="preserve"> 38</w:t>
        </w:r>
      </w:hyperlink>
      <w:r w:rsidRPr="002A34ED">
        <w:rPr>
          <w:rFonts w:cs="Calibri"/>
          <w:szCs w:val="24"/>
        </w:rPr>
        <w:t xml:space="preserve"> containing proposed changes to Resolution 2 (Rev. Buenos Aires, 2017). In particular, the joint study group meeting had proposed to change the titles of both study </w:t>
      </w:r>
      <w:proofErr w:type="gramStart"/>
      <w:r w:rsidRPr="002A34ED">
        <w:rPr>
          <w:rFonts w:cs="Calibri"/>
          <w:szCs w:val="24"/>
        </w:rPr>
        <w:t>groups, but</w:t>
      </w:r>
      <w:proofErr w:type="gramEnd"/>
      <w:r w:rsidRPr="002A34ED">
        <w:rPr>
          <w:rFonts w:cs="Calibri"/>
          <w:szCs w:val="24"/>
        </w:rPr>
        <w:t xml:space="preserve"> did not reach consensus because of lack of time. For Study Group 1, the proposal is to change the current title from “Enabling environment for the development of telecommunications/ ICTs” to [</w:t>
      </w:r>
      <w:r w:rsidRPr="002A34ED">
        <w:rPr>
          <w:rFonts w:cs="Calibri"/>
          <w:bCs/>
          <w:szCs w:val="24"/>
        </w:rPr>
        <w:t>Enabling environment for meaningful connectivity for all]</w:t>
      </w:r>
      <w:r w:rsidRPr="002A34ED">
        <w:rPr>
          <w:rFonts w:cs="Calibri"/>
          <w:szCs w:val="24"/>
        </w:rPr>
        <w:t xml:space="preserve"> </w:t>
      </w:r>
      <w:proofErr w:type="gramStart"/>
      <w:r w:rsidRPr="002A34ED">
        <w:rPr>
          <w:rFonts w:cs="Calibri"/>
          <w:szCs w:val="24"/>
        </w:rPr>
        <w:t>in order to</w:t>
      </w:r>
      <w:proofErr w:type="gramEnd"/>
      <w:r w:rsidRPr="002A34ED">
        <w:rPr>
          <w:rFonts w:cs="Calibri"/>
          <w:szCs w:val="24"/>
        </w:rPr>
        <w:t xml:space="preserve"> align it on the theme of WTDC. For Study Group 2, the proposal is to change the current title from “</w:t>
      </w:r>
      <w:r w:rsidRPr="002A34ED">
        <w:rPr>
          <w:rFonts w:cs="Calibri"/>
          <w:bCs/>
          <w:szCs w:val="24"/>
        </w:rPr>
        <w:t xml:space="preserve">ICT services and applications for the promotion of sustainable development” to </w:t>
      </w:r>
      <w:r w:rsidRPr="002A34ED">
        <w:rPr>
          <w:rFonts w:cs="Calibri"/>
          <w:szCs w:val="24"/>
        </w:rPr>
        <w:t>[</w:t>
      </w:r>
      <w:r w:rsidRPr="002A34ED">
        <w:rPr>
          <w:rFonts w:cs="Calibri"/>
          <w:bCs/>
          <w:szCs w:val="24"/>
        </w:rPr>
        <w:t>Digital Transformation</w:t>
      </w:r>
      <w:r w:rsidRPr="002A34ED">
        <w:rPr>
          <w:rFonts w:cs="Calibri"/>
          <w:szCs w:val="24"/>
        </w:rPr>
        <w:t xml:space="preserve">]. </w:t>
      </w:r>
    </w:p>
    <w:p w14:paraId="3D26B3F1"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lastRenderedPageBreak/>
        <w:t>5.1</w:t>
      </w:r>
      <w:r>
        <w:rPr>
          <w:rFonts w:asciiTheme="minorHAnsi" w:hAnsiTheme="minorHAnsi" w:cs="Calibri"/>
        </w:rPr>
        <w:t>2</w:t>
      </w:r>
      <w:r w:rsidRPr="002A34ED">
        <w:rPr>
          <w:rFonts w:asciiTheme="minorHAnsi" w:hAnsiTheme="minorHAnsi" w:cs="Calibri"/>
        </w:rPr>
        <w:t xml:space="preserve"> The joint meeting also proposed to reduce the number of study Questions from seven to six for each study group. Points on which consensus could not be reached because of lack of time are indicated in square brackets </w:t>
      </w:r>
      <w:r>
        <w:rPr>
          <w:rFonts w:asciiTheme="minorHAnsi" w:hAnsiTheme="minorHAnsi" w:cs="Calibri"/>
        </w:rPr>
        <w:t xml:space="preserve">in </w:t>
      </w:r>
      <w:r w:rsidRPr="002A34ED">
        <w:rPr>
          <w:rFonts w:asciiTheme="minorHAnsi" w:hAnsiTheme="minorHAnsi" w:cs="Calibri"/>
        </w:rPr>
        <w:t xml:space="preserve">Annex 2 to </w:t>
      </w:r>
      <w:r w:rsidRPr="002A34ED">
        <w:rPr>
          <w:rFonts w:asciiTheme="minorHAnsi" w:hAnsiTheme="minorHAnsi" w:cs="Calibri"/>
          <w:color w:val="000000"/>
          <w:shd w:val="clear" w:color="auto" w:fill="FFFFFF"/>
        </w:rPr>
        <w:t xml:space="preserve">Document </w:t>
      </w:r>
      <w:hyperlink r:id="rId45" w:history="1">
        <w:proofErr w:type="spellStart"/>
        <w:r w:rsidRPr="006115FA">
          <w:rPr>
            <w:rStyle w:val="Hyperlink"/>
            <w:rFonts w:ascii="Calibri" w:hAnsi="Calibri" w:cs="Calibri"/>
            <w:shd w:val="clear" w:color="auto" w:fill="FFFFFF"/>
          </w:rPr>
          <w:t>Document</w:t>
        </w:r>
        <w:proofErr w:type="spellEnd"/>
        <w:r w:rsidRPr="006115FA">
          <w:rPr>
            <w:rStyle w:val="Hyperlink"/>
            <w:rFonts w:ascii="Calibri" w:hAnsi="Calibri" w:cs="Calibri"/>
            <w:shd w:val="clear" w:color="auto" w:fill="FFFFFF"/>
          </w:rPr>
          <w:t xml:space="preserve"> 38</w:t>
        </w:r>
      </w:hyperlink>
      <w:r w:rsidRPr="002A34ED">
        <w:rPr>
          <w:rFonts w:asciiTheme="minorHAnsi" w:hAnsiTheme="minorHAnsi" w:cs="Calibri"/>
        </w:rPr>
        <w:t xml:space="preserve">. </w:t>
      </w:r>
    </w:p>
    <w:p w14:paraId="10D1F1CE"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Pr>
          <w:rFonts w:asciiTheme="minorHAnsi" w:hAnsiTheme="minorHAnsi" w:cs="Calibri"/>
          <w:b/>
        </w:rPr>
        <w:t xml:space="preserve">5.13 </w:t>
      </w:r>
      <w:r w:rsidRPr="002A34ED">
        <w:rPr>
          <w:rFonts w:asciiTheme="minorHAnsi" w:hAnsiTheme="minorHAnsi" w:cs="Calibri"/>
          <w:b/>
        </w:rPr>
        <w:t>Conclusion and way forward:</w:t>
      </w:r>
      <w:r w:rsidRPr="002A34ED">
        <w:rPr>
          <w:rFonts w:asciiTheme="minorHAnsi" w:hAnsiTheme="minorHAnsi" w:cs="Calibri"/>
        </w:rPr>
        <w:t xml:space="preserve"> </w:t>
      </w:r>
      <w:r w:rsidRPr="002A34ED">
        <w:rPr>
          <w:rFonts w:asciiTheme="minorHAnsi" w:hAnsiTheme="minorHAnsi" w:cs="Calibri"/>
          <w:color w:val="000000"/>
        </w:rPr>
        <w:t>TDAG-WG-RDTP</w:t>
      </w:r>
      <w:r w:rsidRPr="002A34ED">
        <w:rPr>
          <w:rFonts w:asciiTheme="minorHAnsi" w:hAnsiTheme="minorHAnsi" w:cs="Calibri"/>
        </w:rPr>
        <w:t xml:space="preserve"> considered Annex 2 to Document </w:t>
      </w:r>
      <w:hyperlink r:id="rId46" w:history="1">
        <w:proofErr w:type="spellStart"/>
        <w:r w:rsidRPr="006115FA">
          <w:rPr>
            <w:rStyle w:val="Hyperlink"/>
            <w:rFonts w:ascii="Calibri" w:hAnsi="Calibri" w:cs="Calibri"/>
            <w:shd w:val="clear" w:color="auto" w:fill="FFFFFF"/>
          </w:rPr>
          <w:t>Document</w:t>
        </w:r>
        <w:proofErr w:type="spellEnd"/>
        <w:r w:rsidRPr="006115FA">
          <w:rPr>
            <w:rStyle w:val="Hyperlink"/>
            <w:rFonts w:ascii="Calibri" w:hAnsi="Calibri" w:cs="Calibri"/>
            <w:shd w:val="clear" w:color="auto" w:fill="FFFFFF"/>
          </w:rPr>
          <w:t xml:space="preserve"> 38</w:t>
        </w:r>
      </w:hyperlink>
      <w:r w:rsidRPr="002A34ED">
        <w:rPr>
          <w:rFonts w:asciiTheme="minorHAnsi" w:hAnsiTheme="minorHAnsi" w:cs="Calibri"/>
        </w:rPr>
        <w:t xml:space="preserve"> and needed more time to conclude its discussions. </w:t>
      </w:r>
      <w:r w:rsidRPr="002A34ED">
        <w:rPr>
          <w:rFonts w:asciiTheme="minorHAnsi" w:hAnsiTheme="minorHAnsi" w:cs="Calibri"/>
          <w:color w:val="000000"/>
        </w:rPr>
        <w:t>TDAG-WG-RDTP</w:t>
      </w:r>
      <w:r w:rsidRPr="002A34ED">
        <w:rPr>
          <w:rFonts w:asciiTheme="minorHAnsi" w:hAnsiTheme="minorHAnsi" w:cs="Calibri"/>
        </w:rPr>
        <w:t xml:space="preserve"> remains at the disposal of TDAG to undertake any other activities that may be deemed necessary. </w:t>
      </w:r>
    </w:p>
    <w:p w14:paraId="613629BA" w14:textId="77777777" w:rsidR="004F540F" w:rsidRPr="002A34ED" w:rsidRDefault="004F540F" w:rsidP="004F540F">
      <w:pPr>
        <w:pStyle w:val="ListParagraph"/>
        <w:keepNext/>
        <w:numPr>
          <w:ilvl w:val="1"/>
          <w:numId w:val="30"/>
        </w:numPr>
        <w:tabs>
          <w:tab w:val="clear" w:pos="1871"/>
          <w:tab w:val="left" w:pos="567"/>
          <w:tab w:val="left" w:pos="1701"/>
        </w:tabs>
        <w:ind w:left="431" w:hanging="431"/>
        <w:contextualSpacing w:val="0"/>
        <w:rPr>
          <w:rFonts w:cs="Calibri"/>
          <w:b/>
          <w:szCs w:val="24"/>
        </w:rPr>
      </w:pPr>
      <w:r w:rsidRPr="002A34ED">
        <w:rPr>
          <w:rFonts w:cs="Calibri"/>
          <w:b/>
          <w:szCs w:val="24"/>
        </w:rPr>
        <w:t>Streamlining of WTDC Resolutions</w:t>
      </w:r>
    </w:p>
    <w:p w14:paraId="75EB9FC1" w14:textId="77777777" w:rsidR="004F540F" w:rsidRPr="002A34ED" w:rsidRDefault="004F540F" w:rsidP="006115FA">
      <w:pPr>
        <w:tabs>
          <w:tab w:val="left" w:pos="567"/>
          <w:tab w:val="left" w:pos="1134"/>
          <w:tab w:val="left" w:pos="1701"/>
          <w:tab w:val="left" w:pos="2268"/>
        </w:tabs>
        <w:rPr>
          <w:rFonts w:cs="Calibri"/>
          <w:szCs w:val="24"/>
        </w:rPr>
      </w:pPr>
      <w:r w:rsidRPr="002A34ED">
        <w:rPr>
          <w:rFonts w:cs="Calibri"/>
          <w:bCs/>
          <w:szCs w:val="24"/>
        </w:rPr>
        <w:t>5.1</w:t>
      </w:r>
      <w:r>
        <w:rPr>
          <w:rFonts w:cs="Calibri"/>
          <w:bCs/>
          <w:szCs w:val="24"/>
        </w:rPr>
        <w:t>4</w:t>
      </w:r>
      <w:r w:rsidRPr="002A34ED">
        <w:rPr>
          <w:rFonts w:cs="Calibri"/>
          <w:bCs/>
          <w:szCs w:val="24"/>
        </w:rPr>
        <w:t xml:space="preserve"> The Russian Federation presented </w:t>
      </w:r>
      <w:hyperlink r:id="rId47" w:history="1">
        <w:r w:rsidRPr="006115FA">
          <w:rPr>
            <w:rStyle w:val="Hyperlink"/>
            <w:rFonts w:cs="Calibri"/>
            <w:bCs/>
            <w:szCs w:val="24"/>
          </w:rPr>
          <w:t>Document 8</w:t>
        </w:r>
      </w:hyperlink>
      <w:r w:rsidRPr="002A34ED">
        <w:rPr>
          <w:rFonts w:cs="Calibri"/>
          <w:bCs/>
          <w:szCs w:val="24"/>
        </w:rPr>
        <w:t xml:space="preserve"> </w:t>
      </w:r>
      <w:r w:rsidRPr="002A34ED">
        <w:rPr>
          <w:rFonts w:cs="Calibri"/>
          <w:szCs w:val="24"/>
        </w:rPr>
        <w:t xml:space="preserve">containing </w:t>
      </w:r>
      <w:r w:rsidRPr="002A34ED">
        <w:rPr>
          <w:rFonts w:cs="Calibri"/>
          <w:bCs/>
          <w:szCs w:val="24"/>
        </w:rPr>
        <w:t>proposed revisions to Resolution 17 (Rev. Buenos Aires, 2017) on the i</w:t>
      </w:r>
      <w:r w:rsidRPr="002A34ED">
        <w:rPr>
          <w:rFonts w:cs="Calibri"/>
          <w:szCs w:val="24"/>
        </w:rPr>
        <w:t xml:space="preserve">mplementation of and cooperation on regionally approved regional initiatives at the national, regional, interregional and global levels. </w:t>
      </w:r>
      <w:r w:rsidRPr="002A34ED">
        <w:rPr>
          <w:rFonts w:cs="Calibri"/>
          <w:bCs/>
          <w:szCs w:val="24"/>
        </w:rPr>
        <w:t>T</w:t>
      </w:r>
      <w:r w:rsidRPr="002A34ED">
        <w:rPr>
          <w:rFonts w:cs="Calibri"/>
          <w:szCs w:val="24"/>
        </w:rPr>
        <w:t xml:space="preserve">he delegation stressed the importance of this resolution in implementing regional initiatives. The </w:t>
      </w:r>
      <w:r w:rsidRPr="002A34ED">
        <w:rPr>
          <w:rFonts w:cs="Calibri"/>
          <w:bCs/>
          <w:szCs w:val="24"/>
        </w:rPr>
        <w:t xml:space="preserve">proposed revisions include the addition of a reference to </w:t>
      </w:r>
      <w:r w:rsidRPr="002A34ED">
        <w:rPr>
          <w:rFonts w:cs="Calibri"/>
          <w:szCs w:val="24"/>
        </w:rPr>
        <w:t>Resolution 52 (Rev. Dubai, 2014) on strengthening the role of ITU</w:t>
      </w:r>
      <w:r>
        <w:rPr>
          <w:rFonts w:cs="Calibri"/>
          <w:szCs w:val="24"/>
        </w:rPr>
        <w:t xml:space="preserve">-D as the </w:t>
      </w:r>
      <w:r w:rsidRPr="002A34ED">
        <w:rPr>
          <w:rFonts w:cs="Calibri"/>
          <w:szCs w:val="24"/>
        </w:rPr>
        <w:t xml:space="preserve">executing agency; an instruction to BDT to continue assisting developing countries in implementing regional initiatives, including preliminary estimates of financial contributions in kind and/or in cash for the implementation of projects. This is important because there are often </w:t>
      </w:r>
      <w:r>
        <w:rPr>
          <w:rFonts w:cs="Calibri"/>
          <w:szCs w:val="24"/>
        </w:rPr>
        <w:t xml:space="preserve">reported </w:t>
      </w:r>
      <w:r w:rsidRPr="002A34ED">
        <w:rPr>
          <w:rFonts w:cs="Calibri"/>
          <w:szCs w:val="24"/>
        </w:rPr>
        <w:t xml:space="preserve">difficulties in assessing the necessary financial contributions for projects properly. </w:t>
      </w:r>
    </w:p>
    <w:p w14:paraId="6B5CB17C"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t>5.1</w:t>
      </w:r>
      <w:r>
        <w:rPr>
          <w:rFonts w:asciiTheme="minorHAnsi" w:hAnsiTheme="minorHAnsi" w:cs="Calibri"/>
        </w:rPr>
        <w:t>5</w:t>
      </w:r>
      <w:r w:rsidRPr="002A34ED">
        <w:rPr>
          <w:rFonts w:asciiTheme="minorHAnsi" w:hAnsiTheme="minorHAnsi" w:cs="Calibri"/>
        </w:rPr>
        <w:t xml:space="preserve"> Other proposed changes underline the appropriateness of making in kind and in cash contributions and the need to promote dissemination on the progress of implementation of initiatives and projects to other regions, including to ITU</w:t>
      </w:r>
      <w:r w:rsidRPr="002A34ED">
        <w:rPr>
          <w:rFonts w:asciiTheme="minorHAnsi" w:hAnsiTheme="minorHAnsi" w:cs="Calibri"/>
        </w:rPr>
        <w:noBreakHyphen/>
        <w:t xml:space="preserve">D study groups. </w:t>
      </w:r>
    </w:p>
    <w:p w14:paraId="5E11E458"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t>5.1</w:t>
      </w:r>
      <w:r>
        <w:rPr>
          <w:rFonts w:asciiTheme="minorHAnsi" w:hAnsiTheme="minorHAnsi" w:cs="Calibri"/>
        </w:rPr>
        <w:t>6</w:t>
      </w:r>
      <w:r w:rsidRPr="002A34ED">
        <w:rPr>
          <w:rFonts w:asciiTheme="minorHAnsi" w:hAnsiTheme="minorHAnsi" w:cs="Calibri"/>
        </w:rPr>
        <w:t xml:space="preserve"> Many delegations welcomed these proposals, and in particular the proposed change relating to estimating financial contributions in kind or in cash for the implementation of projects. The delegate of Canada, backed by the delegate of Egypt, stressed how critically important this change is, especially as it relates to thematic priority number </w:t>
      </w:r>
      <w:r>
        <w:rPr>
          <w:rFonts w:asciiTheme="minorHAnsi" w:hAnsiTheme="minorHAnsi" w:cs="Calibri"/>
        </w:rPr>
        <w:t xml:space="preserve">four </w:t>
      </w:r>
      <w:r w:rsidRPr="002A34ED">
        <w:rPr>
          <w:rFonts w:asciiTheme="minorHAnsi" w:hAnsiTheme="minorHAnsi" w:cs="Calibri"/>
        </w:rPr>
        <w:t>on resource mobilization and international cooperation</w:t>
      </w:r>
      <w:r>
        <w:rPr>
          <w:rFonts w:asciiTheme="minorHAnsi" w:hAnsiTheme="minorHAnsi" w:cs="Calibri"/>
        </w:rPr>
        <w:t xml:space="preserve">. The delegate of Canada </w:t>
      </w:r>
      <w:r w:rsidRPr="002A34ED">
        <w:rPr>
          <w:rFonts w:asciiTheme="minorHAnsi" w:hAnsiTheme="minorHAnsi" w:cs="Calibri"/>
        </w:rPr>
        <w:t xml:space="preserve">wondered if the term “initiatives” could be replaced by </w:t>
      </w:r>
      <w:r>
        <w:rPr>
          <w:rFonts w:asciiTheme="minorHAnsi" w:hAnsiTheme="minorHAnsi" w:cs="Calibri"/>
        </w:rPr>
        <w:t xml:space="preserve">the term </w:t>
      </w:r>
      <w:r w:rsidRPr="002A34ED">
        <w:rPr>
          <w:rFonts w:asciiTheme="minorHAnsi" w:hAnsiTheme="minorHAnsi" w:cs="Calibri"/>
        </w:rPr>
        <w:t xml:space="preserve">“priorities”, considering that initiatives in the past have been relatively aspirational in nature. </w:t>
      </w:r>
    </w:p>
    <w:p w14:paraId="6F71FF60"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t>5.1</w:t>
      </w:r>
      <w:r>
        <w:rPr>
          <w:rFonts w:asciiTheme="minorHAnsi" w:hAnsiTheme="minorHAnsi" w:cs="Calibri"/>
        </w:rPr>
        <w:t>7</w:t>
      </w:r>
      <w:r w:rsidRPr="002A34ED">
        <w:rPr>
          <w:rFonts w:asciiTheme="minorHAnsi" w:hAnsiTheme="minorHAnsi" w:cs="Calibri"/>
        </w:rPr>
        <w:t xml:space="preserve"> The Russian Federation observed that Decision 5 of the Plenipotentiary Conference and many other resolutions talk of initiatives in the context of the ITU financial plans, so it may not be wise to substitute one terminology for another, as this could lead to </w:t>
      </w:r>
      <w:r>
        <w:rPr>
          <w:rFonts w:asciiTheme="minorHAnsi" w:hAnsiTheme="minorHAnsi" w:cs="Calibri"/>
        </w:rPr>
        <w:t xml:space="preserve">a </w:t>
      </w:r>
      <w:r w:rsidRPr="002A34ED">
        <w:rPr>
          <w:rFonts w:asciiTheme="minorHAnsi" w:hAnsiTheme="minorHAnsi" w:cs="Calibri"/>
        </w:rPr>
        <w:t xml:space="preserve">misunderstanding in the future realization of the strategic plan and financial plans of ITU. </w:t>
      </w:r>
      <w:r>
        <w:rPr>
          <w:rFonts w:asciiTheme="minorHAnsi" w:hAnsiTheme="minorHAnsi" w:cs="Calibri"/>
        </w:rPr>
        <w:t xml:space="preserve">It was </w:t>
      </w:r>
      <w:r w:rsidRPr="002A34ED">
        <w:rPr>
          <w:rFonts w:asciiTheme="minorHAnsi" w:hAnsiTheme="minorHAnsi" w:cs="Calibri"/>
        </w:rPr>
        <w:t xml:space="preserve">suggested that the matter could be taken up by TDAG or by the Plenipotentiary Conference. </w:t>
      </w:r>
    </w:p>
    <w:p w14:paraId="035EE5F0" w14:textId="77777777" w:rsidR="004F540F" w:rsidRPr="002A34ED" w:rsidRDefault="004F540F" w:rsidP="006115FA">
      <w:pPr>
        <w:pStyle w:val="ColContin1"/>
        <w:tabs>
          <w:tab w:val="clear" w:pos="2159"/>
          <w:tab w:val="left" w:pos="567"/>
          <w:tab w:val="left" w:pos="1134"/>
          <w:tab w:val="left" w:pos="1701"/>
          <w:tab w:val="left" w:pos="2268"/>
        </w:tabs>
        <w:spacing w:before="120"/>
        <w:ind w:firstLine="0"/>
        <w:rPr>
          <w:rFonts w:asciiTheme="minorHAnsi" w:hAnsiTheme="minorHAnsi" w:cs="Calibri"/>
        </w:rPr>
      </w:pPr>
      <w:r>
        <w:rPr>
          <w:rFonts w:asciiTheme="minorHAnsi" w:hAnsiTheme="minorHAnsi" w:cs="Calibri"/>
          <w:b/>
        </w:rPr>
        <w:t xml:space="preserve">5.18 </w:t>
      </w:r>
      <w:r w:rsidRPr="002A34ED">
        <w:rPr>
          <w:rFonts w:asciiTheme="minorHAnsi" w:hAnsiTheme="minorHAnsi" w:cs="Calibri"/>
          <w:b/>
        </w:rPr>
        <w:t xml:space="preserve">Conclusion and way forward: </w:t>
      </w:r>
      <w:r w:rsidRPr="002A34ED">
        <w:rPr>
          <w:rFonts w:asciiTheme="minorHAnsi" w:hAnsiTheme="minorHAnsi" w:cs="Calibri"/>
        </w:rPr>
        <w:t xml:space="preserve">The meeting considered revisions to Resolution 17 </w:t>
      </w:r>
      <w:r w:rsidRPr="002A34ED">
        <w:rPr>
          <w:rFonts w:asciiTheme="minorHAnsi" w:hAnsiTheme="minorHAnsi" w:cs="Calibri"/>
          <w:bCs/>
        </w:rPr>
        <w:t>(Rev. Buenos Aires, 2017</w:t>
      </w:r>
      <w:r w:rsidRPr="002A34ED">
        <w:rPr>
          <w:rFonts w:asciiTheme="minorHAnsi" w:hAnsiTheme="minorHAnsi" w:cs="Calibri"/>
        </w:rPr>
        <w:t xml:space="preserve">. There was general support for the revisions. The only pending issue is whether to replace “initiatives” by “priorities”. In view of the implications that this could have on ITU financial plans and Plenipotentiary Conference resolutions, the matter is submitted to TDAG for further discussion and decision. </w:t>
      </w:r>
    </w:p>
    <w:p w14:paraId="6AA7D691" w14:textId="77777777" w:rsidR="004F540F" w:rsidRPr="002A34ED" w:rsidRDefault="004F540F" w:rsidP="006115FA">
      <w:pPr>
        <w:pStyle w:val="ColContin1"/>
        <w:tabs>
          <w:tab w:val="clear" w:pos="215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color w:val="000000"/>
          <w:shd w:val="clear" w:color="auto" w:fill="FFFFFF"/>
        </w:rPr>
        <w:t>5.1</w:t>
      </w:r>
      <w:r>
        <w:rPr>
          <w:rFonts w:asciiTheme="minorHAnsi" w:hAnsiTheme="minorHAnsi" w:cs="Calibri"/>
          <w:color w:val="000000"/>
          <w:shd w:val="clear" w:color="auto" w:fill="FFFFFF"/>
        </w:rPr>
        <w:t>9</w:t>
      </w:r>
      <w:r w:rsidRPr="002A34ED">
        <w:rPr>
          <w:rFonts w:asciiTheme="minorHAnsi" w:hAnsiTheme="minorHAnsi" w:cs="Calibri"/>
          <w:color w:val="000000"/>
          <w:shd w:val="clear" w:color="auto" w:fill="FFFFFF"/>
        </w:rPr>
        <w:t xml:space="preserve"> The Russian Federation presented </w:t>
      </w:r>
      <w:hyperlink r:id="rId48" w:history="1">
        <w:r w:rsidRPr="006115FA">
          <w:rPr>
            <w:rStyle w:val="Hyperlink"/>
            <w:rFonts w:asciiTheme="minorHAnsi" w:hAnsiTheme="minorHAnsi" w:cs="Calibri"/>
            <w:shd w:val="clear" w:color="auto" w:fill="FFFFFF"/>
          </w:rPr>
          <w:t>Document 10</w:t>
        </w:r>
      </w:hyperlink>
      <w:r w:rsidRPr="002A34ED">
        <w:rPr>
          <w:rFonts w:asciiTheme="minorHAnsi" w:hAnsiTheme="minorHAnsi" w:cs="Calibri"/>
          <w:color w:val="000000"/>
          <w:shd w:val="clear" w:color="auto" w:fill="FFFFFF"/>
        </w:rPr>
        <w:t xml:space="preserve"> </w:t>
      </w:r>
      <w:r w:rsidRPr="002A34ED">
        <w:rPr>
          <w:rFonts w:asciiTheme="minorHAnsi" w:hAnsiTheme="minorHAnsi" w:cs="Calibri"/>
        </w:rPr>
        <w:t xml:space="preserve">containing proposals </w:t>
      </w:r>
      <w:r w:rsidRPr="002A34ED">
        <w:rPr>
          <w:rFonts w:asciiTheme="minorHAnsi" w:hAnsiTheme="minorHAnsi" w:cs="Calibri"/>
          <w:color w:val="000000"/>
          <w:shd w:val="clear" w:color="auto" w:fill="FFFFFF"/>
        </w:rPr>
        <w:t xml:space="preserve">to suppress Resolution 86 (Rev. Buenos Aires, 2017) on the use in the ITU Telecommunication Development Sector of the languages of the Union on an equal footing. It was noted that the Plenipotentiary Conference in 2018 </w:t>
      </w:r>
      <w:r w:rsidRPr="002A34ED">
        <w:rPr>
          <w:rFonts w:asciiTheme="minorHAnsi" w:hAnsiTheme="minorHAnsi" w:cs="Calibri"/>
        </w:rPr>
        <w:t xml:space="preserve">approved revisions to Resolution 154 (Rev. Dubai, 2018) on the use of the six official languages of the Union on an equal footing. It is proposed </w:t>
      </w:r>
      <w:bookmarkStart w:id="8" w:name="_Toc393980066"/>
      <w:r w:rsidRPr="002A34ED">
        <w:rPr>
          <w:rFonts w:asciiTheme="minorHAnsi" w:hAnsiTheme="minorHAnsi" w:cs="Calibri"/>
        </w:rPr>
        <w:t xml:space="preserve">in </w:t>
      </w:r>
      <w:r w:rsidRPr="002A34ED">
        <w:rPr>
          <w:rFonts w:asciiTheme="minorHAnsi" w:hAnsiTheme="minorHAnsi" w:cs="Calibri"/>
          <w:color w:val="000000"/>
          <w:shd w:val="clear" w:color="auto" w:fill="FFFFFF"/>
        </w:rPr>
        <w:t xml:space="preserve">Document 10 </w:t>
      </w:r>
      <w:r w:rsidRPr="002A34ED">
        <w:rPr>
          <w:rFonts w:asciiTheme="minorHAnsi" w:hAnsiTheme="minorHAnsi" w:cs="Calibri"/>
        </w:rPr>
        <w:t xml:space="preserve">to incorporate into Resolution 1 (Rev. Buenos Aires, 2017) all the salient sections from Resolution 86 (Rev. Buenos Aires, 2017) and to suppress this resolution. The meeting noted that some administrations, for </w:t>
      </w:r>
      <w:r w:rsidRPr="002A34ED">
        <w:rPr>
          <w:rFonts w:asciiTheme="minorHAnsi" w:hAnsiTheme="minorHAnsi" w:cs="Calibri"/>
        </w:rPr>
        <w:lastRenderedPageBreak/>
        <w:t xml:space="preserve">example the United States, and organizations were looking at ways of incorporating certain provisions </w:t>
      </w:r>
      <w:r>
        <w:rPr>
          <w:rFonts w:asciiTheme="minorHAnsi" w:hAnsiTheme="minorHAnsi" w:cs="Calibri"/>
        </w:rPr>
        <w:t xml:space="preserve">into </w:t>
      </w:r>
      <w:r w:rsidRPr="002A34ED">
        <w:rPr>
          <w:rFonts w:asciiTheme="minorHAnsi" w:hAnsiTheme="minorHAnsi" w:cs="Calibri"/>
        </w:rPr>
        <w:t xml:space="preserve">Resolution 1 </w:t>
      </w:r>
      <w:r w:rsidRPr="00824D02">
        <w:rPr>
          <w:rFonts w:ascii="Calibri" w:hAnsi="Calibri" w:cs="Calibri"/>
        </w:rPr>
        <w:t xml:space="preserve">while ensuring that </w:t>
      </w:r>
      <w:r>
        <w:rPr>
          <w:rFonts w:ascii="Calibri" w:hAnsi="Calibri" w:cs="Calibri"/>
        </w:rPr>
        <w:t xml:space="preserve">it </w:t>
      </w:r>
      <w:r w:rsidRPr="002A34ED">
        <w:rPr>
          <w:rFonts w:asciiTheme="minorHAnsi" w:hAnsiTheme="minorHAnsi" w:cs="Calibri"/>
        </w:rPr>
        <w:t>does not become too long.</w:t>
      </w:r>
      <w:r>
        <w:rPr>
          <w:rFonts w:asciiTheme="minorHAnsi" w:hAnsiTheme="minorHAnsi" w:cs="Calibri"/>
        </w:rPr>
        <w:t xml:space="preserve"> </w:t>
      </w:r>
    </w:p>
    <w:p w14:paraId="43DF6339"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Pr>
          <w:rFonts w:asciiTheme="minorHAnsi" w:hAnsiTheme="minorHAnsi" w:cs="Calibri"/>
          <w:b/>
        </w:rPr>
        <w:t xml:space="preserve">5.20 </w:t>
      </w:r>
      <w:r w:rsidRPr="002A34ED">
        <w:rPr>
          <w:rFonts w:asciiTheme="minorHAnsi" w:hAnsiTheme="minorHAnsi" w:cs="Calibri"/>
          <w:b/>
        </w:rPr>
        <w:t xml:space="preserve">Conclusion and way forward: </w:t>
      </w:r>
      <w:r w:rsidRPr="002A34ED">
        <w:rPr>
          <w:rFonts w:asciiTheme="minorHAnsi" w:hAnsiTheme="minorHAnsi" w:cs="Calibri"/>
        </w:rPr>
        <w:t>The meeting noted, with appreciation, the</w:t>
      </w:r>
      <w:r w:rsidRPr="002A34ED">
        <w:rPr>
          <w:rFonts w:asciiTheme="minorHAnsi" w:hAnsiTheme="minorHAnsi" w:cs="Calibri"/>
          <w:b/>
        </w:rPr>
        <w:t xml:space="preserve"> </w:t>
      </w:r>
      <w:r w:rsidRPr="002A34ED">
        <w:rPr>
          <w:rFonts w:asciiTheme="minorHAnsi" w:hAnsiTheme="minorHAnsi" w:cs="Calibri"/>
        </w:rPr>
        <w:t>contribution from the Russian Federation. Considering that some administrations and organizations are having further discussions on the issue of suppressing Resolution 86 (Rev. Buenos Aires, 2017, the matter is submitted to TDAG for decision.</w:t>
      </w:r>
      <w:r>
        <w:rPr>
          <w:rFonts w:asciiTheme="minorHAnsi" w:hAnsiTheme="minorHAnsi" w:cs="Calibri"/>
        </w:rPr>
        <w:t xml:space="preserve"> </w:t>
      </w:r>
    </w:p>
    <w:bookmarkEnd w:id="8"/>
    <w:p w14:paraId="6BEE66C8" w14:textId="77777777" w:rsidR="004F540F" w:rsidRPr="002A34ED" w:rsidRDefault="004F540F" w:rsidP="004F540F">
      <w:pPr>
        <w:pStyle w:val="ListParagraph"/>
        <w:keepNext/>
        <w:numPr>
          <w:ilvl w:val="0"/>
          <w:numId w:val="30"/>
        </w:numPr>
        <w:tabs>
          <w:tab w:val="clear" w:pos="1871"/>
          <w:tab w:val="left" w:pos="567"/>
          <w:tab w:val="left" w:pos="1701"/>
        </w:tabs>
        <w:contextualSpacing w:val="0"/>
        <w:rPr>
          <w:rFonts w:cs="Calibri"/>
          <w:b/>
          <w:szCs w:val="24"/>
        </w:rPr>
      </w:pPr>
      <w:r w:rsidRPr="002A34ED">
        <w:rPr>
          <w:rFonts w:cs="Calibri"/>
          <w:b/>
          <w:szCs w:val="24"/>
        </w:rPr>
        <w:t>Draft Addis Ababa Declaration</w:t>
      </w:r>
    </w:p>
    <w:p w14:paraId="33EA0822" w14:textId="77777777" w:rsidR="004F540F" w:rsidRPr="006115FA"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color w:val="000000"/>
          <w:shd w:val="clear" w:color="auto" w:fill="FFFFFF"/>
        </w:rPr>
        <w:t xml:space="preserve">6.1 The Chairman of TDAG WG-RDTP presented </w:t>
      </w:r>
      <w:hyperlink r:id="rId49" w:history="1">
        <w:r w:rsidRPr="006115FA">
          <w:rPr>
            <w:rStyle w:val="Hyperlink"/>
            <w:rFonts w:asciiTheme="minorHAnsi" w:hAnsiTheme="minorHAnsi" w:cs="Calibri"/>
            <w:shd w:val="clear" w:color="auto" w:fill="FFFFFF"/>
          </w:rPr>
          <w:t>Document 36(</w:t>
        </w:r>
        <w:r w:rsidRPr="006115FA">
          <w:rPr>
            <w:rStyle w:val="Hyperlink"/>
            <w:rFonts w:asciiTheme="minorHAnsi" w:hAnsiTheme="minorHAnsi" w:cs="Calibri"/>
          </w:rPr>
          <w:t>Rev.1)</w:t>
        </w:r>
      </w:hyperlink>
      <w:r>
        <w:rPr>
          <w:rFonts w:asciiTheme="minorHAnsi" w:hAnsiTheme="minorHAnsi" w:cs="Calibri"/>
        </w:rPr>
        <w:t xml:space="preserve"> </w:t>
      </w:r>
      <w:r w:rsidRPr="002A34ED">
        <w:rPr>
          <w:rFonts w:asciiTheme="minorHAnsi" w:hAnsiTheme="minorHAnsi" w:cs="Calibri"/>
        </w:rPr>
        <w:t xml:space="preserve">containing the </w:t>
      </w:r>
      <w:r w:rsidRPr="002A34ED">
        <w:rPr>
          <w:rFonts w:asciiTheme="minorHAnsi" w:hAnsiTheme="minorHAnsi" w:cs="Calibri"/>
          <w:color w:val="000000"/>
          <w:shd w:val="clear" w:color="auto" w:fill="FFFFFF"/>
        </w:rPr>
        <w:t>draft revised declaration</w:t>
      </w:r>
      <w:r w:rsidRPr="002A34ED">
        <w:rPr>
          <w:rFonts w:asciiTheme="minorHAnsi" w:hAnsiTheme="minorHAnsi" w:cs="Calibri"/>
        </w:rPr>
        <w:t xml:space="preserve">. This version reflects the </w:t>
      </w:r>
      <w:r w:rsidRPr="002A34ED">
        <w:rPr>
          <w:rFonts w:asciiTheme="minorHAnsi" w:hAnsiTheme="minorHAnsi" w:cs="Calibri"/>
          <w:color w:val="000000"/>
          <w:shd w:val="clear" w:color="auto" w:fill="FFFFFF"/>
        </w:rPr>
        <w:t>views expressed by the membership during the fourth meeting, held on</w:t>
      </w:r>
      <w:r w:rsidRPr="002A34ED">
        <w:rPr>
          <w:rFonts w:asciiTheme="minorHAnsi" w:hAnsiTheme="minorHAnsi" w:cs="Calibri"/>
        </w:rPr>
        <w:t xml:space="preserve"> 3 March 2021, </w:t>
      </w:r>
      <w:r w:rsidRPr="002A34ED">
        <w:rPr>
          <w:rFonts w:asciiTheme="minorHAnsi" w:hAnsiTheme="minorHAnsi" w:cs="Calibri"/>
          <w:color w:val="000000"/>
          <w:shd w:val="clear" w:color="auto" w:fill="FFFFFF"/>
        </w:rPr>
        <w:t xml:space="preserve">and is </w:t>
      </w:r>
      <w:r w:rsidRPr="002A34ED">
        <w:rPr>
          <w:rFonts w:asciiTheme="minorHAnsi" w:hAnsiTheme="minorHAnsi" w:cs="Calibri"/>
          <w:bCs/>
        </w:rPr>
        <w:t xml:space="preserve">in line </w:t>
      </w:r>
      <w:r w:rsidRPr="002A34ED">
        <w:rPr>
          <w:rFonts w:asciiTheme="minorHAnsi" w:hAnsiTheme="minorHAnsi" w:cs="Calibri"/>
        </w:rPr>
        <w:t>with the proposed t</w:t>
      </w:r>
      <w:r w:rsidRPr="002A34ED">
        <w:rPr>
          <w:rFonts w:asciiTheme="minorHAnsi" w:hAnsiTheme="minorHAnsi" w:cs="Calibri"/>
          <w:bCs/>
        </w:rPr>
        <w:t>hematic prioritie</w:t>
      </w:r>
      <w:r w:rsidRPr="002A34ED">
        <w:rPr>
          <w:rFonts w:asciiTheme="minorHAnsi" w:hAnsiTheme="minorHAnsi" w:cs="Calibri"/>
        </w:rPr>
        <w:t xml:space="preserve">s and the theme of WTDC: </w:t>
      </w:r>
      <w:r w:rsidRPr="002A34ED">
        <w:rPr>
          <w:rFonts w:asciiTheme="minorHAnsi" w:hAnsiTheme="minorHAnsi" w:cs="Calibri"/>
          <w:i/>
          <w:iCs/>
        </w:rPr>
        <w:t>Connecting the unconnected to achieve sustainable development</w:t>
      </w:r>
      <w:r w:rsidRPr="006115FA">
        <w:rPr>
          <w:rFonts w:asciiTheme="minorHAnsi" w:hAnsiTheme="minorHAnsi" w:cs="Calibri"/>
        </w:rPr>
        <w:t xml:space="preserve">. It comes in two parts. The “We declare” part highlights six facts, and the “We commit” part features connectivity, digital transformation, enabling environment, and resource mobilization and international cooperation, mirroring the connection between thematic priorities and the declaration. </w:t>
      </w:r>
    </w:p>
    <w:p w14:paraId="3446D565"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6115FA">
        <w:rPr>
          <w:rFonts w:asciiTheme="minorHAnsi" w:hAnsiTheme="minorHAnsi" w:cs="Calibri"/>
        </w:rPr>
        <w:t>6.2 The delegate of Saudi Arabia, while recognizing the emphasis placed on connectivity, stressed the need to also include, in a</w:t>
      </w:r>
      <w:r w:rsidRPr="002A34ED">
        <w:rPr>
          <w:rFonts w:asciiTheme="minorHAnsi" w:hAnsiTheme="minorHAnsi" w:cs="Calibri"/>
        </w:rPr>
        <w:t xml:space="preserve"> balanced way with connectivity, important activities that ITU-D implements, for example, in the areas of building confidence in the use of ICTs, policy and regulation, and Internet-related issues </w:t>
      </w:r>
      <w:proofErr w:type="gramStart"/>
      <w:r w:rsidRPr="002A34ED">
        <w:rPr>
          <w:rFonts w:asciiTheme="minorHAnsi" w:hAnsiTheme="minorHAnsi" w:cs="Calibri"/>
        </w:rPr>
        <w:t>in order to</w:t>
      </w:r>
      <w:proofErr w:type="gramEnd"/>
      <w:r w:rsidRPr="002A34ED">
        <w:rPr>
          <w:rFonts w:asciiTheme="minorHAnsi" w:hAnsiTheme="minorHAnsi" w:cs="Calibri"/>
        </w:rPr>
        <w:t xml:space="preserve"> make all stakeholders aware of the Sector’s mandate. </w:t>
      </w:r>
    </w:p>
    <w:p w14:paraId="1C7563C1" w14:textId="77777777" w:rsidR="004F540F" w:rsidRPr="002A34ED" w:rsidRDefault="004F540F" w:rsidP="006115FA">
      <w:pPr>
        <w:tabs>
          <w:tab w:val="left" w:pos="567"/>
          <w:tab w:val="left" w:pos="1134"/>
          <w:tab w:val="left" w:pos="1701"/>
          <w:tab w:val="left" w:pos="2268"/>
        </w:tabs>
        <w:rPr>
          <w:rFonts w:cs="Calibri"/>
          <w:szCs w:val="24"/>
        </w:rPr>
      </w:pPr>
      <w:r w:rsidRPr="002A34ED">
        <w:rPr>
          <w:rFonts w:cs="Calibri"/>
          <w:szCs w:val="24"/>
        </w:rPr>
        <w:t xml:space="preserve">6.3 </w:t>
      </w:r>
      <w:proofErr w:type="gramStart"/>
      <w:r w:rsidRPr="002A34ED">
        <w:rPr>
          <w:rFonts w:cs="Calibri"/>
          <w:szCs w:val="24"/>
        </w:rPr>
        <w:t>A number of</w:t>
      </w:r>
      <w:proofErr w:type="gramEnd"/>
      <w:r w:rsidRPr="002A34ED">
        <w:rPr>
          <w:rFonts w:cs="Calibri"/>
          <w:szCs w:val="24"/>
        </w:rPr>
        <w:t xml:space="preserve"> delegations also proposed additional input through the chat log. The delegate of the Russian Federation proposed to add new and emerging technologies (AI, IoT, OTT, big data), radio-frequency spectrum and satellite orbits; regulations, standardization; privacy; confidence and security in the use of ICTs; digital economy and other ITU activities important for developing countries.</w:t>
      </w:r>
    </w:p>
    <w:p w14:paraId="5E809158" w14:textId="77777777" w:rsidR="004F540F" w:rsidRPr="002A34ED" w:rsidRDefault="004F540F" w:rsidP="006115FA">
      <w:pPr>
        <w:tabs>
          <w:tab w:val="left" w:pos="567"/>
          <w:tab w:val="left" w:pos="1134"/>
          <w:tab w:val="left" w:pos="1701"/>
          <w:tab w:val="left" w:pos="2268"/>
        </w:tabs>
        <w:rPr>
          <w:rFonts w:cs="Calibri"/>
          <w:szCs w:val="24"/>
        </w:rPr>
      </w:pPr>
      <w:r w:rsidRPr="002A34ED">
        <w:rPr>
          <w:rFonts w:cs="Calibri"/>
          <w:szCs w:val="24"/>
        </w:rPr>
        <w:t xml:space="preserve">6.4 The delegate of Kuwait indicated that among the topics highlighted in a delayed contribution from the Arab group for inclusion in the declaration are security, personal data protection, compatibility of ICT equipment and systems, capacity building, and transparent and collaborative collection and dissemination of quality indicators and statistics for measuring the information society. </w:t>
      </w:r>
    </w:p>
    <w:p w14:paraId="0554B996"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sidRPr="002A34ED">
        <w:rPr>
          <w:rFonts w:asciiTheme="minorHAnsi" w:hAnsiTheme="minorHAnsi" w:cs="Calibri"/>
        </w:rPr>
        <w:t xml:space="preserve">6.5 The delegate of Algeria, speaking on behalf of the Africa group, listed the following area as input to the declaration: broadband infrastructure; radio-frequency spectrum; satellite orbits; inequalities in terms of digital technology; bridging the standardization gap; an environment conducive to investment; digital inclusion; and innovation ecosystems for enhancing and accelerating digital transformation. The Africa region considers the WSIS outcomes as vitally important and their review as a key milestone for achieving the 2030 Agenda for Sustainable Development. Finally, cybersecurity and data protection are also considered by the Africa region as important aspects to be included in the declaration. </w:t>
      </w:r>
    </w:p>
    <w:p w14:paraId="1E605017" w14:textId="77777777" w:rsidR="004F540F" w:rsidRPr="002A34ED" w:rsidRDefault="004F540F" w:rsidP="006115FA">
      <w:pPr>
        <w:tabs>
          <w:tab w:val="left" w:pos="567"/>
          <w:tab w:val="left" w:pos="1134"/>
          <w:tab w:val="left" w:pos="1701"/>
          <w:tab w:val="left" w:pos="2268"/>
        </w:tabs>
        <w:rPr>
          <w:rFonts w:cs="Calibri"/>
          <w:szCs w:val="24"/>
        </w:rPr>
      </w:pPr>
      <w:r w:rsidRPr="002A34ED">
        <w:rPr>
          <w:rFonts w:cs="Calibri"/>
          <w:szCs w:val="24"/>
        </w:rPr>
        <w:t xml:space="preserve">6.6 The Chairman reminded delegates that the Addis Ababa Action Plan would be the appropriate document for many of the topics they had cited, not the declaration. </w:t>
      </w:r>
      <w:proofErr w:type="gramStart"/>
      <w:r w:rsidRPr="002A34ED">
        <w:rPr>
          <w:rFonts w:cs="Calibri"/>
          <w:szCs w:val="24"/>
        </w:rPr>
        <w:t>A number of</w:t>
      </w:r>
      <w:proofErr w:type="gramEnd"/>
      <w:r w:rsidRPr="002A34ED">
        <w:rPr>
          <w:rFonts w:cs="Calibri"/>
          <w:szCs w:val="24"/>
        </w:rPr>
        <w:t xml:space="preserve"> delegations agreed with this reminder. The Chairman also cautioned that the mandates of other ITU Sectors should be avoided, noting </w:t>
      </w:r>
      <w:proofErr w:type="gramStart"/>
      <w:r w:rsidRPr="002A34ED">
        <w:rPr>
          <w:rFonts w:cs="Calibri"/>
          <w:szCs w:val="24"/>
        </w:rPr>
        <w:t>in particular that</w:t>
      </w:r>
      <w:proofErr w:type="gramEnd"/>
      <w:r w:rsidRPr="002A34ED">
        <w:rPr>
          <w:rFonts w:cs="Calibri"/>
          <w:szCs w:val="24"/>
        </w:rPr>
        <w:t xml:space="preserve"> satellite orbital matters are not within the purview of ITU</w:t>
      </w:r>
      <w:r w:rsidRPr="002A34ED">
        <w:rPr>
          <w:rFonts w:cs="Calibri"/>
          <w:szCs w:val="24"/>
        </w:rPr>
        <w:noBreakHyphen/>
        <w:t>D, but of ITU</w:t>
      </w:r>
      <w:r w:rsidRPr="002A34ED">
        <w:rPr>
          <w:rFonts w:cs="Calibri"/>
          <w:szCs w:val="24"/>
        </w:rPr>
        <w:noBreakHyphen/>
        <w:t xml:space="preserve">R. </w:t>
      </w:r>
    </w:p>
    <w:p w14:paraId="6FED365A" w14:textId="77777777" w:rsidR="004F540F" w:rsidRPr="002A34ED" w:rsidRDefault="004F540F" w:rsidP="006115FA">
      <w:pPr>
        <w:tabs>
          <w:tab w:val="left" w:pos="567"/>
          <w:tab w:val="left" w:pos="1134"/>
          <w:tab w:val="left" w:pos="1701"/>
          <w:tab w:val="left" w:pos="2268"/>
        </w:tabs>
        <w:rPr>
          <w:rFonts w:cs="Calibri"/>
          <w:szCs w:val="24"/>
        </w:rPr>
      </w:pPr>
      <w:r w:rsidRPr="002A34ED">
        <w:rPr>
          <w:rFonts w:cs="Calibri"/>
          <w:szCs w:val="24"/>
        </w:rPr>
        <w:t xml:space="preserve">6.7 The delegate of the Russian Federation noted that in their analysis, the declarations of 2006, 2010, 2014 and 2017 covered radio frequencies and spectrum management aspects; and that the </w:t>
      </w:r>
      <w:r w:rsidRPr="002A34ED">
        <w:rPr>
          <w:rFonts w:cs="Calibri"/>
          <w:szCs w:val="24"/>
        </w:rPr>
        <w:lastRenderedPageBreak/>
        <w:t xml:space="preserve">1994 and 1998 declarations highlighted the importance of collaboration with ITU-R and ITU-T. The delegation suggested that </w:t>
      </w:r>
      <w:proofErr w:type="gramStart"/>
      <w:r w:rsidRPr="002A34ED">
        <w:rPr>
          <w:rFonts w:cs="Calibri"/>
          <w:szCs w:val="24"/>
        </w:rPr>
        <w:t>in order to</w:t>
      </w:r>
      <w:proofErr w:type="gramEnd"/>
      <w:r w:rsidRPr="002A34ED">
        <w:rPr>
          <w:rFonts w:cs="Calibri"/>
          <w:szCs w:val="24"/>
        </w:rPr>
        <w:t xml:space="preserve"> be consistent with the WTDC declarations, these proposals should be considered in the drafting of the declaration so that it can reflect both the ITU</w:t>
      </w:r>
      <w:r w:rsidRPr="002A34ED">
        <w:rPr>
          <w:rFonts w:cs="Calibri"/>
          <w:szCs w:val="24"/>
        </w:rPr>
        <w:noBreakHyphen/>
        <w:t>D commitment to connecting the 3.7 billion people that are still unconnected and the ITU role as a specialized agency of the United Nations for ICTs.</w:t>
      </w:r>
    </w:p>
    <w:p w14:paraId="7A4B1D24" w14:textId="77777777" w:rsidR="004F540F" w:rsidRPr="002A34ED" w:rsidRDefault="004F540F" w:rsidP="006115FA">
      <w:pPr>
        <w:tabs>
          <w:tab w:val="left" w:pos="567"/>
          <w:tab w:val="left" w:pos="1134"/>
          <w:tab w:val="left" w:pos="1701"/>
          <w:tab w:val="left" w:pos="2268"/>
        </w:tabs>
        <w:rPr>
          <w:rFonts w:cs="Calibri"/>
          <w:szCs w:val="24"/>
        </w:rPr>
      </w:pPr>
      <w:r w:rsidRPr="002A34ED">
        <w:rPr>
          <w:rFonts w:cs="Calibri"/>
          <w:szCs w:val="24"/>
        </w:rPr>
        <w:t>6.8 The delegate of Indonesia suggested to add to Paragraph 3 of the "We declare" Part, the words highlighted in bold: “Inequalities remain and continue to widen in the use of data, and digital ICT-centric technologies</w:t>
      </w:r>
      <w:r w:rsidRPr="002A34ED">
        <w:rPr>
          <w:rFonts w:cs="Calibri"/>
          <w:b/>
          <w:szCs w:val="24"/>
        </w:rPr>
        <w:t>, and infrastructure</w:t>
      </w:r>
      <w:r w:rsidRPr="002A34ED">
        <w:rPr>
          <w:rFonts w:cs="Calibri"/>
          <w:szCs w:val="24"/>
        </w:rPr>
        <w:t xml:space="preserve">, and in the digitally skilled human resources between regions, </w:t>
      </w:r>
      <w:r w:rsidRPr="002A34ED">
        <w:rPr>
          <w:rFonts w:cs="Calibri"/>
          <w:b/>
          <w:szCs w:val="24"/>
        </w:rPr>
        <w:t>between and</w:t>
      </w:r>
      <w:r w:rsidRPr="002A34ED">
        <w:rPr>
          <w:rFonts w:cs="Calibri"/>
          <w:szCs w:val="24"/>
        </w:rPr>
        <w:t xml:space="preserve"> within countries, and between women and men, </w:t>
      </w:r>
      <w:r w:rsidRPr="002A34ED">
        <w:rPr>
          <w:rFonts w:cs="Calibri"/>
          <w:b/>
          <w:szCs w:val="24"/>
        </w:rPr>
        <w:t>youth and people of vulnerable groups</w:t>
      </w:r>
      <w:r w:rsidRPr="002A34ED">
        <w:rPr>
          <w:rFonts w:cs="Calibri"/>
          <w:szCs w:val="24"/>
        </w:rPr>
        <w:t>…”</w:t>
      </w:r>
    </w:p>
    <w:p w14:paraId="2EA9F76C" w14:textId="77777777" w:rsidR="004F540F" w:rsidRPr="002A34ED" w:rsidRDefault="004F540F" w:rsidP="006115FA">
      <w:pPr>
        <w:tabs>
          <w:tab w:val="left" w:pos="567"/>
          <w:tab w:val="left" w:pos="1134"/>
          <w:tab w:val="left" w:pos="1701"/>
          <w:tab w:val="left" w:pos="2268"/>
        </w:tabs>
        <w:rPr>
          <w:rFonts w:cs="Calibri"/>
          <w:szCs w:val="24"/>
        </w:rPr>
      </w:pPr>
      <w:r w:rsidRPr="002A34ED">
        <w:rPr>
          <w:rFonts w:cs="Calibri"/>
          <w:szCs w:val="24"/>
        </w:rPr>
        <w:t xml:space="preserve">6.9 Many delegations considered the draft declaration a very good starting point. The delegate of Canada stressed that WTDC will provide a unique opportunity to craft a solutions-based outcome that will deliver inclusive, </w:t>
      </w:r>
      <w:proofErr w:type="gramStart"/>
      <w:r w:rsidRPr="002A34ED">
        <w:rPr>
          <w:rFonts w:cs="Calibri"/>
          <w:szCs w:val="24"/>
        </w:rPr>
        <w:t>affordable</w:t>
      </w:r>
      <w:proofErr w:type="gramEnd"/>
      <w:r w:rsidRPr="002A34ED">
        <w:rPr>
          <w:rFonts w:cs="Calibri"/>
          <w:szCs w:val="24"/>
        </w:rPr>
        <w:t xml:space="preserve"> and accessible connectivity. This, he said, should be the focus of the declaration, a view echoed by Brazil, ESOA (</w:t>
      </w:r>
      <w:r w:rsidRPr="002A34ED">
        <w:rPr>
          <w:rFonts w:cs="Calibri"/>
          <w:color w:val="202124"/>
          <w:szCs w:val="24"/>
          <w:shd w:val="clear" w:color="auto" w:fill="FFFFFF"/>
        </w:rPr>
        <w:t>EMEA Satellite Operators Association)</w:t>
      </w:r>
      <w:r w:rsidRPr="002A34ED">
        <w:rPr>
          <w:rFonts w:cs="Calibri"/>
          <w:szCs w:val="24"/>
        </w:rPr>
        <w:t xml:space="preserve"> and United States. In this regard, the United States recalled the initial thinking behind the declaration: keep it brief, tie it to the theme of the conference and produce a document that is outward looking and that can attract the attention of a diverse group of people, who would wish to engage in the work of ITU-D, </w:t>
      </w:r>
      <w:r>
        <w:rPr>
          <w:rFonts w:cs="Calibri"/>
          <w:szCs w:val="24"/>
        </w:rPr>
        <w:t xml:space="preserve">while at the </w:t>
      </w:r>
      <w:r w:rsidRPr="002A34ED">
        <w:rPr>
          <w:rFonts w:cs="Calibri"/>
          <w:szCs w:val="24"/>
        </w:rPr>
        <w:t>same time provid</w:t>
      </w:r>
      <w:r>
        <w:rPr>
          <w:rFonts w:cs="Calibri"/>
          <w:szCs w:val="24"/>
        </w:rPr>
        <w:t>ing</w:t>
      </w:r>
      <w:r w:rsidRPr="002A34ED">
        <w:rPr>
          <w:rFonts w:cs="Calibri"/>
          <w:szCs w:val="24"/>
        </w:rPr>
        <w:t xml:space="preserve"> funding. </w:t>
      </w:r>
    </w:p>
    <w:p w14:paraId="4985C220" w14:textId="77777777" w:rsidR="004F540F" w:rsidRPr="002A34ED" w:rsidRDefault="004F540F" w:rsidP="006115FA">
      <w:pPr>
        <w:tabs>
          <w:tab w:val="left" w:pos="567"/>
          <w:tab w:val="left" w:pos="1134"/>
          <w:tab w:val="left" w:pos="1701"/>
          <w:tab w:val="left" w:pos="2268"/>
        </w:tabs>
        <w:ind w:left="34" w:right="-142"/>
        <w:rPr>
          <w:rFonts w:cs="Calibri"/>
          <w:szCs w:val="24"/>
        </w:rPr>
      </w:pPr>
      <w:r w:rsidRPr="002A34ED">
        <w:rPr>
          <w:rFonts w:cs="Calibri"/>
          <w:szCs w:val="24"/>
        </w:rPr>
        <w:t xml:space="preserve">6.10 The delegate of Zimbabwe presented </w:t>
      </w:r>
      <w:hyperlink r:id="rId50" w:history="1">
        <w:r w:rsidRPr="006115FA">
          <w:rPr>
            <w:rStyle w:val="Hyperlink"/>
            <w:rFonts w:cs="Calibri"/>
            <w:szCs w:val="24"/>
          </w:rPr>
          <w:t>Document 37</w:t>
        </w:r>
      </w:hyperlink>
      <w:r w:rsidRPr="002A34ED">
        <w:rPr>
          <w:rFonts w:cs="Calibri"/>
          <w:szCs w:val="24"/>
        </w:rPr>
        <w:t xml:space="preserve"> containing a proposal to include in the declaration the commitment to resolve the problem of inadequate infrastructure </w:t>
      </w:r>
      <w:r>
        <w:rPr>
          <w:rFonts w:cs="Calibri"/>
          <w:szCs w:val="24"/>
        </w:rPr>
        <w:t xml:space="preserve">in order to </w:t>
      </w:r>
      <w:r w:rsidRPr="002A34ED">
        <w:rPr>
          <w:rFonts w:cs="Calibri"/>
          <w:szCs w:val="24"/>
        </w:rPr>
        <w:t xml:space="preserve">connect rural and remote areas, particularly in developing countries. The COVID 19 pandemic has laid bare the digital divide between rural and urban areas in </w:t>
      </w:r>
      <w:r>
        <w:rPr>
          <w:rFonts w:cs="Calibri"/>
          <w:szCs w:val="24"/>
        </w:rPr>
        <w:t xml:space="preserve">these </w:t>
      </w:r>
      <w:r w:rsidRPr="002A34ED">
        <w:rPr>
          <w:rFonts w:cs="Calibri"/>
          <w:szCs w:val="24"/>
        </w:rPr>
        <w:t>countries. Unconnected rural populations have little or no access to many services, including education and health care. One of the reasons why remote areas have remained unconnected is because of the inadequate energy and transport infrastructure.</w:t>
      </w:r>
    </w:p>
    <w:p w14:paraId="2B7521F0" w14:textId="77777777" w:rsidR="004F540F" w:rsidRPr="002A34ED" w:rsidRDefault="004F540F" w:rsidP="006115FA">
      <w:pPr>
        <w:tabs>
          <w:tab w:val="left" w:pos="567"/>
          <w:tab w:val="left" w:pos="1134"/>
          <w:tab w:val="left" w:pos="1701"/>
          <w:tab w:val="left" w:pos="2268"/>
        </w:tabs>
        <w:rPr>
          <w:rFonts w:cs="Calibri"/>
          <w:szCs w:val="24"/>
        </w:rPr>
      </w:pPr>
      <w:r w:rsidRPr="002A34ED">
        <w:rPr>
          <w:rFonts w:cs="Calibri"/>
          <w:szCs w:val="24"/>
        </w:rPr>
        <w:t xml:space="preserve">6.11 Intel, Canada and ESOA expressed support for Zimbabwe’s proposal, with Intel stressing the need to also consider new energy efficient networks and smart technologies to reduce power consumption. Canada mentioned a document from CITEL on connectivity for rural and remote areas in the Americas – a result of thorough research and input from stakeholders and offered to share it with all RTOs. ESOA suggested to include in Paragraph 3 of the draft declaration a reference to inequalities between urban areas and rural areas and reference to inclusivity and sustainability in Paragraph c. </w:t>
      </w:r>
    </w:p>
    <w:p w14:paraId="47A3C5A2" w14:textId="77777777" w:rsidR="004F540F" w:rsidRPr="002A34ED" w:rsidRDefault="004F540F" w:rsidP="006115FA">
      <w:pPr>
        <w:pStyle w:val="Colloquy1"/>
        <w:tabs>
          <w:tab w:val="clear" w:pos="2159"/>
          <w:tab w:val="clear" w:pos="2879"/>
          <w:tab w:val="clear" w:pos="3599"/>
          <w:tab w:val="clear" w:pos="4319"/>
          <w:tab w:val="clear" w:pos="5039"/>
          <w:tab w:val="clear" w:pos="5759"/>
          <w:tab w:val="clear" w:pos="6479"/>
          <w:tab w:val="clear" w:pos="7199"/>
          <w:tab w:val="clear" w:pos="7919"/>
          <w:tab w:val="clear" w:pos="8639"/>
          <w:tab w:val="left" w:pos="567"/>
          <w:tab w:val="left" w:pos="1134"/>
          <w:tab w:val="left" w:pos="1701"/>
          <w:tab w:val="left" w:pos="2268"/>
        </w:tabs>
        <w:spacing w:before="120"/>
        <w:ind w:firstLine="0"/>
        <w:rPr>
          <w:rFonts w:asciiTheme="minorHAnsi" w:hAnsiTheme="minorHAnsi" w:cs="Calibri"/>
        </w:rPr>
      </w:pPr>
      <w:r>
        <w:rPr>
          <w:rFonts w:asciiTheme="minorHAnsi" w:hAnsiTheme="minorHAnsi" w:cs="Calibri"/>
          <w:b/>
        </w:rPr>
        <w:t xml:space="preserve">6.12 </w:t>
      </w:r>
      <w:r w:rsidRPr="002A34ED">
        <w:rPr>
          <w:rFonts w:asciiTheme="minorHAnsi" w:hAnsiTheme="minorHAnsi" w:cs="Calibri"/>
          <w:b/>
        </w:rPr>
        <w:t>Conclusion and way forward</w:t>
      </w:r>
      <w:r w:rsidRPr="002A34ED">
        <w:rPr>
          <w:rFonts w:asciiTheme="minorHAnsi" w:hAnsiTheme="minorHAnsi" w:cs="Calibri"/>
        </w:rPr>
        <w:t xml:space="preserve">: Regional groups or administrations </w:t>
      </w:r>
      <w:r>
        <w:rPr>
          <w:rFonts w:asciiTheme="minorHAnsi" w:hAnsiTheme="minorHAnsi" w:cs="Calibri"/>
        </w:rPr>
        <w:t xml:space="preserve">that had already prepared their </w:t>
      </w:r>
      <w:r w:rsidRPr="002A34ED">
        <w:rPr>
          <w:rFonts w:asciiTheme="minorHAnsi" w:hAnsiTheme="minorHAnsi" w:cs="Calibri"/>
        </w:rPr>
        <w:t>c</w:t>
      </w:r>
      <w:r>
        <w:rPr>
          <w:rFonts w:asciiTheme="minorHAnsi" w:hAnsiTheme="minorHAnsi" w:cs="Calibri"/>
        </w:rPr>
        <w:t xml:space="preserve">ontributions on the declaration </w:t>
      </w:r>
      <w:r w:rsidRPr="002A34ED">
        <w:rPr>
          <w:rFonts w:asciiTheme="minorHAnsi" w:hAnsiTheme="minorHAnsi" w:cs="Calibri"/>
        </w:rPr>
        <w:t>were</w:t>
      </w:r>
      <w:r>
        <w:rPr>
          <w:rFonts w:asciiTheme="minorHAnsi" w:hAnsiTheme="minorHAnsi" w:cs="Calibri"/>
        </w:rPr>
        <w:t xml:space="preserve"> encouraged to </w:t>
      </w:r>
      <w:r w:rsidRPr="002A34ED">
        <w:rPr>
          <w:rFonts w:asciiTheme="minorHAnsi" w:hAnsiTheme="minorHAnsi" w:cs="Calibri"/>
        </w:rPr>
        <w:t>submit them to TDAG</w:t>
      </w:r>
      <w:r>
        <w:rPr>
          <w:rFonts w:asciiTheme="minorHAnsi" w:hAnsiTheme="minorHAnsi" w:cs="Calibri"/>
        </w:rPr>
        <w:t>.</w:t>
      </w:r>
      <w:r w:rsidRPr="002A34ED">
        <w:rPr>
          <w:rFonts w:asciiTheme="minorHAnsi" w:hAnsiTheme="minorHAnsi" w:cs="Calibri"/>
        </w:rPr>
        <w:t xml:space="preserve"> The meeting agreed that elements from Zimbabwe’s contribution should be incorporated into </w:t>
      </w:r>
      <w:r>
        <w:rPr>
          <w:rFonts w:asciiTheme="minorHAnsi" w:hAnsiTheme="minorHAnsi" w:cs="Calibri"/>
        </w:rPr>
        <w:t xml:space="preserve">next </w:t>
      </w:r>
      <w:r w:rsidRPr="002A34ED">
        <w:rPr>
          <w:rFonts w:asciiTheme="minorHAnsi" w:hAnsiTheme="minorHAnsi" w:cs="Calibri"/>
        </w:rPr>
        <w:t xml:space="preserve">revised draft </w:t>
      </w:r>
      <w:r>
        <w:rPr>
          <w:rFonts w:asciiTheme="minorHAnsi" w:hAnsiTheme="minorHAnsi" w:cs="Calibri"/>
        </w:rPr>
        <w:t xml:space="preserve">of the </w:t>
      </w:r>
      <w:r w:rsidRPr="002A34ED">
        <w:rPr>
          <w:rFonts w:asciiTheme="minorHAnsi" w:hAnsiTheme="minorHAnsi" w:cs="Calibri"/>
        </w:rPr>
        <w:t xml:space="preserve">declaration. The version coming out of this </w:t>
      </w:r>
      <w:r>
        <w:rPr>
          <w:rFonts w:asciiTheme="minorHAnsi" w:hAnsiTheme="minorHAnsi" w:cs="Calibri"/>
        </w:rPr>
        <w:t xml:space="preserve">fifth </w:t>
      </w:r>
      <w:r w:rsidRPr="002A34ED">
        <w:rPr>
          <w:rFonts w:asciiTheme="minorHAnsi" w:hAnsiTheme="minorHAnsi" w:cs="Calibri"/>
        </w:rPr>
        <w:t xml:space="preserve">meeting of TDAG WG-RDTP will be submitted to TDAG for further consideration and possible submission as an input to WTDC-21, where it will be subsequently finalized and adopted. </w:t>
      </w:r>
    </w:p>
    <w:p w14:paraId="70E1C2B2" w14:textId="77777777" w:rsidR="004F540F" w:rsidRPr="002A34ED" w:rsidRDefault="004F540F" w:rsidP="006115FA">
      <w:pPr>
        <w:pStyle w:val="Normal0"/>
        <w:keepNext/>
        <w:widowControl/>
        <w:tabs>
          <w:tab w:val="left" w:pos="567"/>
          <w:tab w:val="left" w:pos="1134"/>
          <w:tab w:val="left" w:pos="1701"/>
          <w:tab w:val="left" w:pos="2268"/>
        </w:tabs>
        <w:autoSpaceDE/>
        <w:autoSpaceDN/>
        <w:adjustRightInd/>
        <w:spacing w:before="120"/>
        <w:ind w:firstLine="0"/>
        <w:rPr>
          <w:rFonts w:asciiTheme="minorHAnsi" w:hAnsiTheme="minorHAnsi" w:cs="Calibri"/>
          <w:b/>
        </w:rPr>
      </w:pPr>
      <w:r w:rsidRPr="002A34ED">
        <w:rPr>
          <w:rFonts w:asciiTheme="minorHAnsi" w:hAnsiTheme="minorHAnsi" w:cs="Calibri"/>
          <w:b/>
        </w:rPr>
        <w:t xml:space="preserve">Closing </w:t>
      </w:r>
    </w:p>
    <w:p w14:paraId="1FF7279E" w14:textId="77777777" w:rsidR="004F540F" w:rsidRPr="002A34ED" w:rsidRDefault="004F540F" w:rsidP="006115FA">
      <w:pPr>
        <w:tabs>
          <w:tab w:val="left" w:pos="567"/>
          <w:tab w:val="left" w:pos="1134"/>
          <w:tab w:val="left" w:pos="1701"/>
          <w:tab w:val="left" w:pos="2268"/>
        </w:tabs>
        <w:rPr>
          <w:rFonts w:cs="Calibri"/>
          <w:szCs w:val="24"/>
        </w:rPr>
      </w:pPr>
      <w:r>
        <w:rPr>
          <w:rFonts w:cs="Calibri"/>
          <w:szCs w:val="24"/>
        </w:rPr>
        <w:t xml:space="preserve">6.13 </w:t>
      </w:r>
      <w:r w:rsidRPr="002A34ED">
        <w:rPr>
          <w:rFonts w:cs="Calibri"/>
          <w:szCs w:val="24"/>
        </w:rPr>
        <w:t xml:space="preserve">The Chairman expressed his deep appreciation and gratitude to all participants for their cooperation, understanding, and </w:t>
      </w:r>
      <w:proofErr w:type="gramStart"/>
      <w:r w:rsidRPr="002A34ED">
        <w:rPr>
          <w:rFonts w:cs="Calibri"/>
          <w:szCs w:val="24"/>
        </w:rPr>
        <w:t>flexibility;</w:t>
      </w:r>
      <w:proofErr w:type="gramEnd"/>
      <w:r w:rsidRPr="002A34ED">
        <w:rPr>
          <w:rFonts w:cs="Calibri"/>
          <w:szCs w:val="24"/>
        </w:rPr>
        <w:t xml:space="preserve"> and to the secretariat for their help and efforts. He thanked TDAG for the confidence placed in him and the Chairman of TDAG for her support and guidance. The Director of BDT thanked the Chairman for his patience and wisdom</w:t>
      </w:r>
      <w:r>
        <w:rPr>
          <w:rFonts w:cs="Calibri"/>
          <w:szCs w:val="24"/>
        </w:rPr>
        <w:t>,</w:t>
      </w:r>
      <w:r w:rsidRPr="002A34ED">
        <w:rPr>
          <w:rFonts w:cs="Calibri"/>
          <w:szCs w:val="24"/>
        </w:rPr>
        <w:t xml:space="preserve"> and for having steered this meeting to new heights. The Chairman of TDAG remarked that the group had laid a </w:t>
      </w:r>
      <w:r w:rsidRPr="002A34ED">
        <w:rPr>
          <w:rFonts w:cs="Calibri"/>
          <w:szCs w:val="24"/>
        </w:rPr>
        <w:lastRenderedPageBreak/>
        <w:t xml:space="preserve">good foundation for WTDC. “You had a monstrous task. And you have really risen to the occasion. We are deeply grateful.” Participants thanked the Chairman for the excellent preparatory work for all the meetings. </w:t>
      </w:r>
    </w:p>
    <w:p w14:paraId="67B7A31A" w14:textId="77777777" w:rsidR="004F540F" w:rsidRPr="008502AB" w:rsidRDefault="004F540F" w:rsidP="008502AB">
      <w:pPr>
        <w:spacing w:before="60" w:after="60"/>
        <w:jc w:val="center"/>
        <w:rPr>
          <w:rFonts w:cs="Calibri"/>
          <w:szCs w:val="24"/>
        </w:rPr>
      </w:pPr>
      <w:r>
        <w:rPr>
          <w:rFonts w:cs="Calibri"/>
          <w:szCs w:val="24"/>
        </w:rPr>
        <w:t>________________</w:t>
      </w:r>
    </w:p>
    <w:sectPr w:rsidR="004F540F" w:rsidRPr="008502AB" w:rsidSect="00473791">
      <w:headerReference w:type="default" r:id="rId51"/>
      <w:footerReference w:type="first" r:id="rId5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6D10" w14:textId="77777777" w:rsidR="004D34A7" w:rsidRDefault="004D34A7">
      <w:r>
        <w:separator/>
      </w:r>
    </w:p>
  </w:endnote>
  <w:endnote w:type="continuationSeparator" w:id="0">
    <w:p w14:paraId="5404CCA9" w14:textId="77777777" w:rsidR="004D34A7" w:rsidRDefault="004D34A7">
      <w:r>
        <w:continuationSeparator/>
      </w:r>
    </w:p>
  </w:endnote>
  <w:endnote w:type="continuationNotice" w:id="1">
    <w:p w14:paraId="5BF65274" w14:textId="77777777" w:rsidR="004D34A7" w:rsidRDefault="004D34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Batang">
    <w:altName w:val="¢®E¡ËcE¡Ë¢çEcE¡Ë¢çE¢®EcEcE¡Ë¢çE"/>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4F540F" w:rsidRPr="00255A4F" w14:paraId="00AA8514" w14:textId="77777777" w:rsidTr="00B45709">
      <w:tc>
        <w:tcPr>
          <w:tcW w:w="1526" w:type="dxa"/>
          <w:tcBorders>
            <w:top w:val="single" w:sz="4" w:space="0" w:color="000000"/>
          </w:tcBorders>
        </w:tcPr>
        <w:p w14:paraId="37D91D04" w14:textId="77777777" w:rsidR="004F540F" w:rsidRPr="004D495C" w:rsidRDefault="004F540F" w:rsidP="004F540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tcPr>
        <w:p w14:paraId="1F3B0031" w14:textId="77777777" w:rsidR="004F540F" w:rsidRPr="004D495C" w:rsidRDefault="004F540F" w:rsidP="004F540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5831432" w14:textId="77777777" w:rsidR="004F540F" w:rsidRPr="00255A4F" w:rsidRDefault="004F540F" w:rsidP="004F540F">
          <w:pPr>
            <w:pStyle w:val="FirstFooter"/>
            <w:tabs>
              <w:tab w:val="left" w:pos="2302"/>
            </w:tabs>
            <w:rPr>
              <w:sz w:val="18"/>
              <w:szCs w:val="18"/>
              <w:lang w:val="en-US"/>
            </w:rPr>
          </w:pPr>
          <w:r>
            <w:rPr>
              <w:sz w:val="18"/>
              <w:szCs w:val="18"/>
              <w:lang w:val="en-GB"/>
            </w:rPr>
            <w:t>Mr Ahmad Reza Sharafat, Chairman, TDAG Working Group on WTDC Resolutions, Declaration and Thematic Priorities</w:t>
          </w:r>
        </w:p>
      </w:tc>
    </w:tr>
    <w:tr w:rsidR="004F540F" w:rsidRPr="001647C3" w14:paraId="7E79DFB6" w14:textId="77777777" w:rsidTr="00B45709">
      <w:tc>
        <w:tcPr>
          <w:tcW w:w="1526" w:type="dxa"/>
        </w:tcPr>
        <w:p w14:paraId="28C00B9C" w14:textId="77777777" w:rsidR="004F540F" w:rsidRPr="004D495C" w:rsidRDefault="004F540F" w:rsidP="004F540F">
          <w:pPr>
            <w:pStyle w:val="FirstFooter"/>
            <w:tabs>
              <w:tab w:val="left" w:pos="1559"/>
              <w:tab w:val="left" w:pos="3828"/>
            </w:tabs>
            <w:rPr>
              <w:sz w:val="20"/>
              <w:lang w:val="en-US"/>
            </w:rPr>
          </w:pPr>
        </w:p>
      </w:tc>
      <w:tc>
        <w:tcPr>
          <w:tcW w:w="2410" w:type="dxa"/>
        </w:tcPr>
        <w:p w14:paraId="6A8A341D" w14:textId="77777777" w:rsidR="004F540F" w:rsidRPr="004D495C" w:rsidRDefault="004F540F" w:rsidP="004F540F">
          <w:pPr>
            <w:pStyle w:val="FirstFooter"/>
            <w:tabs>
              <w:tab w:val="left" w:pos="2302"/>
            </w:tabs>
            <w:rPr>
              <w:sz w:val="18"/>
              <w:szCs w:val="18"/>
              <w:lang w:val="en-US"/>
            </w:rPr>
          </w:pPr>
          <w:r w:rsidRPr="004D495C">
            <w:rPr>
              <w:sz w:val="18"/>
              <w:szCs w:val="18"/>
              <w:lang w:val="en-US"/>
            </w:rPr>
            <w:t>Phone number:</w:t>
          </w:r>
        </w:p>
      </w:tc>
      <w:tc>
        <w:tcPr>
          <w:tcW w:w="5987" w:type="dxa"/>
        </w:tcPr>
        <w:p w14:paraId="52FE3D13" w14:textId="77777777" w:rsidR="004F540F" w:rsidRPr="001647C3" w:rsidRDefault="004F540F" w:rsidP="004F540F">
          <w:pPr>
            <w:pStyle w:val="FirstFooter"/>
            <w:tabs>
              <w:tab w:val="left" w:pos="2302"/>
            </w:tabs>
            <w:rPr>
              <w:sz w:val="18"/>
              <w:szCs w:val="18"/>
              <w:lang w:val="en-US"/>
            </w:rPr>
          </w:pPr>
          <w:r>
            <w:rPr>
              <w:sz w:val="18"/>
              <w:szCs w:val="18"/>
            </w:rPr>
            <w:t>+98 912 106 1716 (Iran</w:t>
          </w:r>
          <w:proofErr w:type="gramStart"/>
          <w:r>
            <w:rPr>
              <w:sz w:val="18"/>
              <w:szCs w:val="18"/>
            </w:rPr>
            <w:t>);</w:t>
          </w:r>
          <w:proofErr w:type="gramEnd"/>
          <w:r>
            <w:rPr>
              <w:sz w:val="18"/>
              <w:szCs w:val="18"/>
            </w:rPr>
            <w:t xml:space="preserve"> +41 76 622 7447 (</w:t>
          </w:r>
          <w:proofErr w:type="spellStart"/>
          <w:r>
            <w:rPr>
              <w:sz w:val="18"/>
              <w:szCs w:val="18"/>
            </w:rPr>
            <w:t>Switzerland</w:t>
          </w:r>
          <w:proofErr w:type="spellEnd"/>
          <w:r>
            <w:rPr>
              <w:sz w:val="18"/>
              <w:szCs w:val="18"/>
            </w:rPr>
            <w:t>)</w:t>
          </w:r>
        </w:p>
      </w:tc>
    </w:tr>
    <w:tr w:rsidR="004F540F" w:rsidRPr="001647C3" w14:paraId="5D8D2743" w14:textId="77777777" w:rsidTr="00B45709">
      <w:tc>
        <w:tcPr>
          <w:tcW w:w="1526" w:type="dxa"/>
        </w:tcPr>
        <w:p w14:paraId="248832D8" w14:textId="77777777" w:rsidR="004F540F" w:rsidRPr="004D495C" w:rsidRDefault="004F540F" w:rsidP="004F540F">
          <w:pPr>
            <w:pStyle w:val="FirstFooter"/>
            <w:tabs>
              <w:tab w:val="left" w:pos="1559"/>
              <w:tab w:val="left" w:pos="3828"/>
            </w:tabs>
            <w:rPr>
              <w:sz w:val="20"/>
              <w:lang w:val="en-US"/>
            </w:rPr>
          </w:pPr>
        </w:p>
      </w:tc>
      <w:tc>
        <w:tcPr>
          <w:tcW w:w="2410" w:type="dxa"/>
        </w:tcPr>
        <w:p w14:paraId="18134756" w14:textId="77777777" w:rsidR="004F540F" w:rsidRPr="004D495C" w:rsidRDefault="004F540F" w:rsidP="004F540F">
          <w:pPr>
            <w:pStyle w:val="FirstFooter"/>
            <w:tabs>
              <w:tab w:val="left" w:pos="2302"/>
            </w:tabs>
            <w:rPr>
              <w:sz w:val="18"/>
              <w:szCs w:val="18"/>
              <w:lang w:val="en-US"/>
            </w:rPr>
          </w:pPr>
          <w:r w:rsidRPr="004D495C">
            <w:rPr>
              <w:sz w:val="18"/>
              <w:szCs w:val="18"/>
              <w:lang w:val="en-US"/>
            </w:rPr>
            <w:t>E-mail:</w:t>
          </w:r>
        </w:p>
      </w:tc>
      <w:tc>
        <w:tcPr>
          <w:tcW w:w="5987" w:type="dxa"/>
        </w:tcPr>
        <w:p w14:paraId="36A470EE" w14:textId="77777777" w:rsidR="004F540F" w:rsidRPr="001647C3" w:rsidRDefault="004F540F" w:rsidP="004F540F">
          <w:pPr>
            <w:pStyle w:val="FirstFooter"/>
            <w:tabs>
              <w:tab w:val="left" w:pos="2302"/>
            </w:tabs>
            <w:rPr>
              <w:sz w:val="18"/>
              <w:szCs w:val="18"/>
              <w:lang w:val="en-US"/>
            </w:rPr>
          </w:pPr>
          <w:hyperlink r:id="rId1" w:history="1">
            <w:r>
              <w:rPr>
                <w:rStyle w:val="Hyperlink"/>
                <w:sz w:val="18"/>
                <w:szCs w:val="18"/>
              </w:rPr>
              <w:t>ahmad.sharafat@gmail.com</w:t>
            </w:r>
          </w:hyperlink>
        </w:p>
      </w:tc>
    </w:tr>
  </w:tbl>
  <w:p w14:paraId="40A321D0" w14:textId="54C27151" w:rsidR="00721657" w:rsidRPr="004A438C" w:rsidRDefault="004F540F" w:rsidP="004F540F">
    <w:pPr>
      <w:pStyle w:val="Footer"/>
      <w:spacing w:before="120"/>
      <w:jc w:val="center"/>
    </w:pPr>
    <w:hyperlink r:id="rId2" w:history="1">
      <w:r>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4013" w14:textId="77777777" w:rsidR="004D34A7" w:rsidRDefault="004D34A7">
      <w:r>
        <w:t>____________________</w:t>
      </w:r>
    </w:p>
  </w:footnote>
  <w:footnote w:type="continuationSeparator" w:id="0">
    <w:p w14:paraId="7A5B1379" w14:textId="77777777" w:rsidR="004D34A7" w:rsidRDefault="004D34A7">
      <w:r>
        <w:continuationSeparator/>
      </w:r>
    </w:p>
  </w:footnote>
  <w:footnote w:type="continuationNotice" w:id="1">
    <w:p w14:paraId="0D67D922" w14:textId="77777777" w:rsidR="004D34A7" w:rsidRDefault="004D34A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B841773" w:rsidR="00721657" w:rsidRPr="00A525CC" w:rsidRDefault="00A525CC" w:rsidP="004F540F">
    <w:pPr>
      <w:tabs>
        <w:tab w:val="clear" w:pos="794"/>
        <w:tab w:val="clear" w:pos="1191"/>
        <w:tab w:val="clear" w:pos="1588"/>
        <w:tab w:val="clear" w:pos="1985"/>
        <w:tab w:val="center" w:pos="4820"/>
        <w:tab w:val="right" w:pos="9639"/>
      </w:tabs>
      <w:spacing w:after="120"/>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4F540F">
      <w:rPr>
        <w:sz w:val="22"/>
        <w:szCs w:val="22"/>
        <w:lang w:val="de-CH"/>
      </w:rPr>
      <w:t>21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90C"/>
    <w:multiLevelType w:val="hybridMultilevel"/>
    <w:tmpl w:val="537AF70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0569B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BD943F9"/>
    <w:multiLevelType w:val="hybridMultilevel"/>
    <w:tmpl w:val="FD009D4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C83278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FAF5798"/>
    <w:multiLevelType w:val="multilevel"/>
    <w:tmpl w:val="3DA69D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0345F36"/>
    <w:multiLevelType w:val="multilevel"/>
    <w:tmpl w:val="2DB86E66"/>
    <w:lvl w:ilvl="0">
      <w:start w:val="5"/>
      <w:numFmt w:val="decimal"/>
      <w:lvlText w:val="%1"/>
      <w:lvlJc w:val="left"/>
      <w:pPr>
        <w:ind w:left="420" w:hanging="420"/>
      </w:pPr>
      <w:rPr>
        <w:rFonts w:cs="Times New Roman" w:hint="default"/>
      </w:rPr>
    </w:lvl>
    <w:lvl w:ilvl="1">
      <w:start w:val="20"/>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1EF2F68"/>
    <w:multiLevelType w:val="hybridMultilevel"/>
    <w:tmpl w:val="C0F6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E2D4A"/>
    <w:multiLevelType w:val="hybridMultilevel"/>
    <w:tmpl w:val="39281800"/>
    <w:lvl w:ilvl="0" w:tplc="D8AA70EE">
      <w:start w:val="1"/>
      <w:numFmt w:val="bullet"/>
      <w:lvlText w:val=""/>
      <w:lvlJc w:val="left"/>
      <w:pPr>
        <w:ind w:left="791" w:hanging="360"/>
      </w:pPr>
      <w:rPr>
        <w:rFonts w:ascii="Symbol" w:hAnsi="Symbol" w:hint="default"/>
      </w:rPr>
    </w:lvl>
    <w:lvl w:ilvl="1" w:tplc="08090003">
      <w:start w:val="1"/>
      <w:numFmt w:val="bullet"/>
      <w:lvlText w:val="o"/>
      <w:lvlJc w:val="left"/>
      <w:pPr>
        <w:ind w:left="1511" w:hanging="360"/>
      </w:pPr>
      <w:rPr>
        <w:rFonts w:ascii="Courier New" w:hAnsi="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8" w15:restartNumberingAfterBreak="0">
    <w:nsid w:val="1A0746BE"/>
    <w:multiLevelType w:val="hybridMultilevel"/>
    <w:tmpl w:val="C3A06D38"/>
    <w:lvl w:ilvl="0" w:tplc="04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1B955D98"/>
    <w:multiLevelType w:val="hybridMultilevel"/>
    <w:tmpl w:val="CD9458D2"/>
    <w:lvl w:ilvl="0" w:tplc="D8AA70EE">
      <w:start w:val="1"/>
      <w:numFmt w:val="bullet"/>
      <w:lvlText w:val=""/>
      <w:lvlJc w:val="left"/>
      <w:pPr>
        <w:ind w:left="360" w:hanging="360"/>
      </w:pPr>
      <w:rPr>
        <w:rFonts w:ascii="Symbol" w:hAnsi="Symbol" w:hint="default"/>
      </w:rPr>
    </w:lvl>
    <w:lvl w:ilvl="1" w:tplc="099854B2">
      <w:numFmt w:val="bullet"/>
      <w:lvlText w:val="-"/>
      <w:lvlJc w:val="left"/>
      <w:pPr>
        <w:ind w:left="1080" w:hanging="360"/>
      </w:pPr>
      <w:rPr>
        <w:rFonts w:ascii="Calibri" w:eastAsia="Times New Roman"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34378F"/>
    <w:multiLevelType w:val="hybridMultilevel"/>
    <w:tmpl w:val="8ACAED58"/>
    <w:lvl w:ilvl="0" w:tplc="D26CF196">
      <w:start w:val="1"/>
      <w:numFmt w:val="decimal"/>
      <w:lvlText w:val="%1."/>
      <w:lvlJc w:val="left"/>
      <w:pPr>
        <w:ind w:left="1440" w:hanging="360"/>
      </w:pPr>
      <w:rPr>
        <w:rFonts w:hint="default"/>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11A0B2A"/>
    <w:multiLevelType w:val="hybridMultilevel"/>
    <w:tmpl w:val="2B92CDF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240D43A4"/>
    <w:multiLevelType w:val="hybridMultilevel"/>
    <w:tmpl w:val="620A9540"/>
    <w:lvl w:ilvl="0" w:tplc="0409000F">
      <w:start w:val="1"/>
      <w:numFmt w:val="decimal"/>
      <w:lvlText w:val="%1."/>
      <w:lvlJc w:val="left"/>
      <w:pPr>
        <w:ind w:left="360" w:hanging="360"/>
      </w:pPr>
      <w:rPr>
        <w:rFonts w:cs="Times New Roman"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BA2376"/>
    <w:multiLevelType w:val="hybridMultilevel"/>
    <w:tmpl w:val="C5D4D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736E81"/>
    <w:multiLevelType w:val="hybridMultilevel"/>
    <w:tmpl w:val="8ACAED58"/>
    <w:lvl w:ilvl="0" w:tplc="D26CF196">
      <w:start w:val="1"/>
      <w:numFmt w:val="decimal"/>
      <w:lvlText w:val="%1."/>
      <w:lvlJc w:val="left"/>
      <w:pPr>
        <w:ind w:left="360" w:hanging="360"/>
      </w:pPr>
      <w:rPr>
        <w:rFonts w:hint="default"/>
        <w:color w:val="auto"/>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A85937"/>
    <w:multiLevelType w:val="hybridMultilevel"/>
    <w:tmpl w:val="9D1CABF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BE5A7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F7E1EED"/>
    <w:multiLevelType w:val="multilevel"/>
    <w:tmpl w:val="D3B2D7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FED5BE9"/>
    <w:multiLevelType w:val="hybridMultilevel"/>
    <w:tmpl w:val="76704752"/>
    <w:lvl w:ilvl="0" w:tplc="04090017">
      <w:start w:val="1"/>
      <w:numFmt w:val="lowerLetter"/>
      <w:lvlText w:val="%1)"/>
      <w:lvlJc w:val="left"/>
      <w:pPr>
        <w:ind w:left="360" w:hanging="360"/>
      </w:pPr>
      <w:rPr>
        <w:rFonts w:cs="Times New Roman"/>
      </w:rPr>
    </w:lvl>
    <w:lvl w:ilvl="1" w:tplc="08090019">
      <w:start w:val="1"/>
      <w:numFmt w:val="lowerLetter"/>
      <w:lvlText w:val="%2."/>
      <w:lvlJc w:val="left"/>
      <w:pPr>
        <w:ind w:left="1087" w:hanging="360"/>
      </w:pPr>
      <w:rPr>
        <w:rFonts w:cs="Times New Roman"/>
      </w:rPr>
    </w:lvl>
    <w:lvl w:ilvl="2" w:tplc="0809001B">
      <w:start w:val="1"/>
      <w:numFmt w:val="lowerRoman"/>
      <w:lvlText w:val="%3."/>
      <w:lvlJc w:val="right"/>
      <w:pPr>
        <w:ind w:left="1807" w:hanging="180"/>
      </w:pPr>
      <w:rPr>
        <w:rFonts w:cs="Times New Roman"/>
      </w:rPr>
    </w:lvl>
    <w:lvl w:ilvl="3" w:tplc="0809000F">
      <w:start w:val="1"/>
      <w:numFmt w:val="decimal"/>
      <w:lvlText w:val="%4."/>
      <w:lvlJc w:val="left"/>
      <w:pPr>
        <w:ind w:left="2527" w:hanging="360"/>
      </w:pPr>
      <w:rPr>
        <w:rFonts w:cs="Times New Roman"/>
      </w:rPr>
    </w:lvl>
    <w:lvl w:ilvl="4" w:tplc="08090019">
      <w:start w:val="1"/>
      <w:numFmt w:val="lowerLetter"/>
      <w:lvlText w:val="%5."/>
      <w:lvlJc w:val="left"/>
      <w:pPr>
        <w:ind w:left="3247" w:hanging="360"/>
      </w:pPr>
      <w:rPr>
        <w:rFonts w:cs="Times New Roman"/>
      </w:rPr>
    </w:lvl>
    <w:lvl w:ilvl="5" w:tplc="0809001B">
      <w:start w:val="1"/>
      <w:numFmt w:val="lowerRoman"/>
      <w:lvlText w:val="%6."/>
      <w:lvlJc w:val="right"/>
      <w:pPr>
        <w:ind w:left="3967" w:hanging="180"/>
      </w:pPr>
      <w:rPr>
        <w:rFonts w:cs="Times New Roman"/>
      </w:rPr>
    </w:lvl>
    <w:lvl w:ilvl="6" w:tplc="0809000F">
      <w:start w:val="1"/>
      <w:numFmt w:val="decimal"/>
      <w:lvlText w:val="%7."/>
      <w:lvlJc w:val="left"/>
      <w:pPr>
        <w:ind w:left="4687" w:hanging="360"/>
      </w:pPr>
      <w:rPr>
        <w:rFonts w:cs="Times New Roman"/>
      </w:rPr>
    </w:lvl>
    <w:lvl w:ilvl="7" w:tplc="08090019">
      <w:start w:val="1"/>
      <w:numFmt w:val="lowerLetter"/>
      <w:lvlText w:val="%8."/>
      <w:lvlJc w:val="left"/>
      <w:pPr>
        <w:ind w:left="5407" w:hanging="360"/>
      </w:pPr>
      <w:rPr>
        <w:rFonts w:cs="Times New Roman"/>
      </w:rPr>
    </w:lvl>
    <w:lvl w:ilvl="8" w:tplc="0809001B">
      <w:start w:val="1"/>
      <w:numFmt w:val="lowerRoman"/>
      <w:lvlText w:val="%9."/>
      <w:lvlJc w:val="right"/>
      <w:pPr>
        <w:ind w:left="6127" w:hanging="180"/>
      </w:pPr>
      <w:rPr>
        <w:rFonts w:cs="Times New Roman"/>
      </w:rPr>
    </w:lvl>
  </w:abstractNum>
  <w:abstractNum w:abstractNumId="19" w15:restartNumberingAfterBreak="0">
    <w:nsid w:val="31B77A6F"/>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F52205"/>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AB71691"/>
    <w:multiLevelType w:val="hybridMultilevel"/>
    <w:tmpl w:val="635AEDA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13620C68">
      <w:start w:val="1"/>
      <w:numFmt w:val="lowerLetter"/>
      <w:lvlText w:val="%3)"/>
      <w:lvlJc w:val="left"/>
      <w:pPr>
        <w:ind w:left="2160" w:hanging="516"/>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5A2FB1"/>
    <w:multiLevelType w:val="hybridMultilevel"/>
    <w:tmpl w:val="5832E7CC"/>
    <w:lvl w:ilvl="0" w:tplc="0809000F">
      <w:start w:val="1"/>
      <w:numFmt w:val="decimal"/>
      <w:lvlText w:val="%1."/>
      <w:lvlJc w:val="left"/>
      <w:pPr>
        <w:ind w:left="363" w:hanging="360"/>
      </w:pPr>
      <w:rPr>
        <w:rFonts w:hint="default"/>
      </w:rPr>
    </w:lvl>
    <w:lvl w:ilvl="1" w:tplc="0809000F">
      <w:start w:val="1"/>
      <w:numFmt w:val="decimal"/>
      <w:lvlText w:val="%2."/>
      <w:lvlJc w:val="left"/>
      <w:pPr>
        <w:ind w:left="1083" w:hanging="360"/>
      </w:pPr>
    </w:lvl>
    <w:lvl w:ilvl="2" w:tplc="13620C68">
      <w:start w:val="1"/>
      <w:numFmt w:val="lowerLetter"/>
      <w:lvlText w:val="%3)"/>
      <w:lvlJc w:val="left"/>
      <w:pPr>
        <w:ind w:left="1803" w:hanging="516"/>
      </w:pPr>
      <w:rPr>
        <w:rFonts w:hint="default"/>
      </w:rPr>
    </w:lvl>
    <w:lvl w:ilvl="3" w:tplc="0809000F">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4" w15:restartNumberingAfterBreak="0">
    <w:nsid w:val="4EC6475F"/>
    <w:multiLevelType w:val="hybridMultilevel"/>
    <w:tmpl w:val="8E1EB47E"/>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28F0E32"/>
    <w:multiLevelType w:val="hybridMultilevel"/>
    <w:tmpl w:val="12500510"/>
    <w:lvl w:ilvl="0" w:tplc="61A46F60">
      <w:start w:val="1"/>
      <w:numFmt w:val="lowerLetter"/>
      <w:lvlText w:val="%1)"/>
      <w:lvlJc w:val="left"/>
      <w:pPr>
        <w:ind w:left="1068" w:hanging="360"/>
      </w:pPr>
      <w:rPr>
        <w:rFonts w:cs="Times New Roman"/>
      </w:rPr>
    </w:lvl>
    <w:lvl w:ilvl="1" w:tplc="08090019">
      <w:start w:val="1"/>
      <w:numFmt w:val="lowerLetter"/>
      <w:lvlText w:val="%2."/>
      <w:lvlJc w:val="left"/>
      <w:pPr>
        <w:ind w:left="1795" w:hanging="360"/>
      </w:pPr>
      <w:rPr>
        <w:rFonts w:cs="Times New Roman"/>
      </w:rPr>
    </w:lvl>
    <w:lvl w:ilvl="2" w:tplc="0809001B">
      <w:start w:val="1"/>
      <w:numFmt w:val="lowerRoman"/>
      <w:lvlText w:val="%3."/>
      <w:lvlJc w:val="right"/>
      <w:pPr>
        <w:ind w:left="2515" w:hanging="180"/>
      </w:pPr>
      <w:rPr>
        <w:rFonts w:cs="Times New Roman"/>
      </w:rPr>
    </w:lvl>
    <w:lvl w:ilvl="3" w:tplc="0809000F">
      <w:start w:val="1"/>
      <w:numFmt w:val="decimal"/>
      <w:lvlText w:val="%4."/>
      <w:lvlJc w:val="left"/>
      <w:pPr>
        <w:ind w:left="3235" w:hanging="360"/>
      </w:pPr>
      <w:rPr>
        <w:rFonts w:cs="Times New Roman"/>
      </w:rPr>
    </w:lvl>
    <w:lvl w:ilvl="4" w:tplc="08090019">
      <w:start w:val="1"/>
      <w:numFmt w:val="lowerLetter"/>
      <w:lvlText w:val="%5."/>
      <w:lvlJc w:val="left"/>
      <w:pPr>
        <w:ind w:left="3955" w:hanging="360"/>
      </w:pPr>
      <w:rPr>
        <w:rFonts w:cs="Times New Roman"/>
      </w:rPr>
    </w:lvl>
    <w:lvl w:ilvl="5" w:tplc="0809001B">
      <w:start w:val="1"/>
      <w:numFmt w:val="lowerRoman"/>
      <w:lvlText w:val="%6."/>
      <w:lvlJc w:val="right"/>
      <w:pPr>
        <w:ind w:left="4675" w:hanging="180"/>
      </w:pPr>
      <w:rPr>
        <w:rFonts w:cs="Times New Roman"/>
      </w:rPr>
    </w:lvl>
    <w:lvl w:ilvl="6" w:tplc="0809000F">
      <w:start w:val="1"/>
      <w:numFmt w:val="decimal"/>
      <w:lvlText w:val="%7."/>
      <w:lvlJc w:val="left"/>
      <w:pPr>
        <w:ind w:left="5395" w:hanging="360"/>
      </w:pPr>
      <w:rPr>
        <w:rFonts w:cs="Times New Roman"/>
      </w:rPr>
    </w:lvl>
    <w:lvl w:ilvl="7" w:tplc="08090019">
      <w:start w:val="1"/>
      <w:numFmt w:val="lowerLetter"/>
      <w:lvlText w:val="%8."/>
      <w:lvlJc w:val="left"/>
      <w:pPr>
        <w:ind w:left="6115" w:hanging="360"/>
      </w:pPr>
      <w:rPr>
        <w:rFonts w:cs="Times New Roman"/>
      </w:rPr>
    </w:lvl>
    <w:lvl w:ilvl="8" w:tplc="0809001B">
      <w:start w:val="1"/>
      <w:numFmt w:val="lowerRoman"/>
      <w:lvlText w:val="%9."/>
      <w:lvlJc w:val="right"/>
      <w:pPr>
        <w:ind w:left="6835" w:hanging="180"/>
      </w:pPr>
      <w:rPr>
        <w:rFonts w:cs="Times New Roman"/>
      </w:rPr>
    </w:lvl>
  </w:abstractNum>
  <w:abstractNum w:abstractNumId="26" w15:restartNumberingAfterBreak="0">
    <w:nsid w:val="558F1ED8"/>
    <w:multiLevelType w:val="hybridMultilevel"/>
    <w:tmpl w:val="EFC4F736"/>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877204B"/>
    <w:multiLevelType w:val="hybridMultilevel"/>
    <w:tmpl w:val="1620072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6F25F7"/>
    <w:multiLevelType w:val="hybridMultilevel"/>
    <w:tmpl w:val="5832E7CC"/>
    <w:lvl w:ilvl="0" w:tplc="0809000F">
      <w:start w:val="1"/>
      <w:numFmt w:val="decimal"/>
      <w:lvlText w:val="%1."/>
      <w:lvlJc w:val="left"/>
      <w:pPr>
        <w:ind w:left="1494" w:hanging="360"/>
      </w:pPr>
      <w:rPr>
        <w:rFonts w:hint="default"/>
      </w:rPr>
    </w:lvl>
    <w:lvl w:ilvl="1" w:tplc="0809000F">
      <w:start w:val="1"/>
      <w:numFmt w:val="decimal"/>
      <w:lvlText w:val="%2."/>
      <w:lvlJc w:val="left"/>
      <w:pPr>
        <w:ind w:left="2214" w:hanging="360"/>
      </w:pPr>
    </w:lvl>
    <w:lvl w:ilvl="2" w:tplc="13620C68">
      <w:start w:val="1"/>
      <w:numFmt w:val="lowerLetter"/>
      <w:lvlText w:val="%3)"/>
      <w:lvlJc w:val="left"/>
      <w:pPr>
        <w:ind w:left="2934" w:hanging="516"/>
      </w:pPr>
      <w:rPr>
        <w:rFonts w:hint="default"/>
      </w:r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5AD26C4D"/>
    <w:multiLevelType w:val="multilevel"/>
    <w:tmpl w:val="475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680265AC"/>
    <w:multiLevelType w:val="hybridMultilevel"/>
    <w:tmpl w:val="4B267B96"/>
    <w:lvl w:ilvl="0" w:tplc="0809000F">
      <w:start w:val="1"/>
      <w:numFmt w:val="decimal"/>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5519F0"/>
    <w:multiLevelType w:val="hybridMultilevel"/>
    <w:tmpl w:val="0254AC2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7021CD"/>
    <w:multiLevelType w:val="hybridMultilevel"/>
    <w:tmpl w:val="31F6140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21"/>
  </w:num>
  <w:num w:numId="3">
    <w:abstractNumId w:val="3"/>
  </w:num>
  <w:num w:numId="4">
    <w:abstractNumId w:val="10"/>
  </w:num>
  <w:num w:numId="5">
    <w:abstractNumId w:val="16"/>
  </w:num>
  <w:num w:numId="6">
    <w:abstractNumId w:val="22"/>
  </w:num>
  <w:num w:numId="7">
    <w:abstractNumId w:val="13"/>
  </w:num>
  <w:num w:numId="8">
    <w:abstractNumId w:val="32"/>
  </w:num>
  <w:num w:numId="9">
    <w:abstractNumId w:val="23"/>
  </w:num>
  <w:num w:numId="10">
    <w:abstractNumId w:val="4"/>
  </w:num>
  <w:num w:numId="11">
    <w:abstractNumId w:val="20"/>
  </w:num>
  <w:num w:numId="12">
    <w:abstractNumId w:val="28"/>
  </w:num>
  <w:num w:numId="13">
    <w:abstractNumId w:val="14"/>
  </w:num>
  <w:num w:numId="14">
    <w:abstractNumId w:val="19"/>
  </w:num>
  <w:num w:numId="15">
    <w:abstractNumId w:val="29"/>
  </w:num>
  <w:num w:numId="16">
    <w:abstractNumId w:val="1"/>
  </w:num>
  <w:num w:numId="17">
    <w:abstractNumId w:val="27"/>
  </w:num>
  <w:num w:numId="18">
    <w:abstractNumId w:val="7"/>
  </w:num>
  <w:num w:numId="19">
    <w:abstractNumId w:val="0"/>
  </w:num>
  <w:num w:numId="20">
    <w:abstractNumId w:val="26"/>
  </w:num>
  <w:num w:numId="21">
    <w:abstractNumId w:val="24"/>
  </w:num>
  <w:num w:numId="22">
    <w:abstractNumId w:val="11"/>
  </w:num>
  <w:num w:numId="23">
    <w:abstractNumId w:val="2"/>
  </w:num>
  <w:num w:numId="24">
    <w:abstractNumId w:val="6"/>
  </w:num>
  <w:num w:numId="25">
    <w:abstractNumId w:val="12"/>
  </w:num>
  <w:num w:numId="26">
    <w:abstractNumId w:val="34"/>
  </w:num>
  <w:num w:numId="27">
    <w:abstractNumId w:val="33"/>
  </w:num>
  <w:num w:numId="28">
    <w:abstractNumId w:val="8"/>
  </w:num>
  <w:num w:numId="29">
    <w:abstractNumId w:val="18"/>
  </w:num>
  <w:num w:numId="30">
    <w:abstractNumId w:val="17"/>
  </w:num>
  <w:num w:numId="31">
    <w:abstractNumId w:val="31"/>
  </w:num>
  <w:num w:numId="32">
    <w:abstractNumId w:val="5"/>
  </w:num>
  <w:num w:numId="33">
    <w:abstractNumId w:val="15"/>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6B44"/>
    <w:rsid w:val="00010827"/>
    <w:rsid w:val="00015089"/>
    <w:rsid w:val="0002520B"/>
    <w:rsid w:val="00036703"/>
    <w:rsid w:val="00037A9E"/>
    <w:rsid w:val="00037F91"/>
    <w:rsid w:val="00040826"/>
    <w:rsid w:val="000539F1"/>
    <w:rsid w:val="00054747"/>
    <w:rsid w:val="00055A2A"/>
    <w:rsid w:val="000615C1"/>
    <w:rsid w:val="00061675"/>
    <w:rsid w:val="000743AA"/>
    <w:rsid w:val="000744DB"/>
    <w:rsid w:val="0009076F"/>
    <w:rsid w:val="0009225C"/>
    <w:rsid w:val="000A17C4"/>
    <w:rsid w:val="000A36A4"/>
    <w:rsid w:val="000B2352"/>
    <w:rsid w:val="000C7B84"/>
    <w:rsid w:val="000D261B"/>
    <w:rsid w:val="000D58A3"/>
    <w:rsid w:val="000E3ED4"/>
    <w:rsid w:val="000E3F9C"/>
    <w:rsid w:val="000F1550"/>
    <w:rsid w:val="000F1FED"/>
    <w:rsid w:val="000F251B"/>
    <w:rsid w:val="000F5FE8"/>
    <w:rsid w:val="000F6644"/>
    <w:rsid w:val="000F6C72"/>
    <w:rsid w:val="000F6DC1"/>
    <w:rsid w:val="00100833"/>
    <w:rsid w:val="00102F72"/>
    <w:rsid w:val="00107E85"/>
    <w:rsid w:val="00113EE8"/>
    <w:rsid w:val="00114435"/>
    <w:rsid w:val="0011455A"/>
    <w:rsid w:val="00114A65"/>
    <w:rsid w:val="00132E93"/>
    <w:rsid w:val="00133061"/>
    <w:rsid w:val="00141699"/>
    <w:rsid w:val="00147000"/>
    <w:rsid w:val="00163091"/>
    <w:rsid w:val="001645CB"/>
    <w:rsid w:val="00166305"/>
    <w:rsid w:val="00167545"/>
    <w:rsid w:val="001703C6"/>
    <w:rsid w:val="00173781"/>
    <w:rsid w:val="00175869"/>
    <w:rsid w:val="00175ADF"/>
    <w:rsid w:val="00175CAE"/>
    <w:rsid w:val="00181956"/>
    <w:rsid w:val="001828DB"/>
    <w:rsid w:val="001850FE"/>
    <w:rsid w:val="00185135"/>
    <w:rsid w:val="0019037C"/>
    <w:rsid w:val="001905A9"/>
    <w:rsid w:val="00191273"/>
    <w:rsid w:val="001942A7"/>
    <w:rsid w:val="0019587B"/>
    <w:rsid w:val="001A163D"/>
    <w:rsid w:val="001A441E"/>
    <w:rsid w:val="001A6733"/>
    <w:rsid w:val="001B357F"/>
    <w:rsid w:val="001C0BEC"/>
    <w:rsid w:val="001C3444"/>
    <w:rsid w:val="001C3702"/>
    <w:rsid w:val="001C3848"/>
    <w:rsid w:val="001C4656"/>
    <w:rsid w:val="001C46BC"/>
    <w:rsid w:val="001D1AF1"/>
    <w:rsid w:val="001D1E06"/>
    <w:rsid w:val="001D5FC2"/>
    <w:rsid w:val="001F23E6"/>
    <w:rsid w:val="001F4238"/>
    <w:rsid w:val="00200A38"/>
    <w:rsid w:val="00200A46"/>
    <w:rsid w:val="00211B6F"/>
    <w:rsid w:val="00215C99"/>
    <w:rsid w:val="00217CC3"/>
    <w:rsid w:val="00220AB6"/>
    <w:rsid w:val="0022120F"/>
    <w:rsid w:val="0022754A"/>
    <w:rsid w:val="00236560"/>
    <w:rsid w:val="0023662E"/>
    <w:rsid w:val="00245D0F"/>
    <w:rsid w:val="002548C3"/>
    <w:rsid w:val="00257ACD"/>
    <w:rsid w:val="00262908"/>
    <w:rsid w:val="002650F4"/>
    <w:rsid w:val="002715FD"/>
    <w:rsid w:val="00273285"/>
    <w:rsid w:val="002770B1"/>
    <w:rsid w:val="00285B33"/>
    <w:rsid w:val="002877C9"/>
    <w:rsid w:val="00287A3C"/>
    <w:rsid w:val="002927FD"/>
    <w:rsid w:val="002930BD"/>
    <w:rsid w:val="00296730"/>
    <w:rsid w:val="002A284B"/>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643"/>
    <w:rsid w:val="003125C3"/>
    <w:rsid w:val="00312AE6"/>
    <w:rsid w:val="00313879"/>
    <w:rsid w:val="00317D1A"/>
    <w:rsid w:val="003211FF"/>
    <w:rsid w:val="003242AB"/>
    <w:rsid w:val="003256B8"/>
    <w:rsid w:val="00327247"/>
    <w:rsid w:val="00327A9D"/>
    <w:rsid w:val="0033130E"/>
    <w:rsid w:val="0033269C"/>
    <w:rsid w:val="00350774"/>
    <w:rsid w:val="00351C79"/>
    <w:rsid w:val="0035516C"/>
    <w:rsid w:val="00355A4C"/>
    <w:rsid w:val="003604FB"/>
    <w:rsid w:val="00360B73"/>
    <w:rsid w:val="003735B0"/>
    <w:rsid w:val="00380B71"/>
    <w:rsid w:val="0038365A"/>
    <w:rsid w:val="00386A89"/>
    <w:rsid w:val="0039648E"/>
    <w:rsid w:val="00397F27"/>
    <w:rsid w:val="003A5AFE"/>
    <w:rsid w:val="003A5D5F"/>
    <w:rsid w:val="003A5E89"/>
    <w:rsid w:val="003A7FFE"/>
    <w:rsid w:val="003B0A63"/>
    <w:rsid w:val="003B50E1"/>
    <w:rsid w:val="003C1746"/>
    <w:rsid w:val="003C2AA9"/>
    <w:rsid w:val="003C58A9"/>
    <w:rsid w:val="003C58BF"/>
    <w:rsid w:val="003D451D"/>
    <w:rsid w:val="003E6D4F"/>
    <w:rsid w:val="003F2DD8"/>
    <w:rsid w:val="003F3F2D"/>
    <w:rsid w:val="003F50B2"/>
    <w:rsid w:val="00400CCF"/>
    <w:rsid w:val="00401BFF"/>
    <w:rsid w:val="00404424"/>
    <w:rsid w:val="0041156B"/>
    <w:rsid w:val="004122C5"/>
    <w:rsid w:val="00413B78"/>
    <w:rsid w:val="00416DDE"/>
    <w:rsid w:val="0044411E"/>
    <w:rsid w:val="00445AC7"/>
    <w:rsid w:val="00453435"/>
    <w:rsid w:val="00460089"/>
    <w:rsid w:val="00466398"/>
    <w:rsid w:val="0047306D"/>
    <w:rsid w:val="00473791"/>
    <w:rsid w:val="00476E48"/>
    <w:rsid w:val="00481DE9"/>
    <w:rsid w:val="0049128B"/>
    <w:rsid w:val="00493B49"/>
    <w:rsid w:val="00495501"/>
    <w:rsid w:val="004A070A"/>
    <w:rsid w:val="004A320E"/>
    <w:rsid w:val="004A438C"/>
    <w:rsid w:val="004A4E9C"/>
    <w:rsid w:val="004B1A3C"/>
    <w:rsid w:val="004D2CC3"/>
    <w:rsid w:val="004D34A7"/>
    <w:rsid w:val="004D35CB"/>
    <w:rsid w:val="004D631D"/>
    <w:rsid w:val="004D7DAB"/>
    <w:rsid w:val="004E20E5"/>
    <w:rsid w:val="004E3025"/>
    <w:rsid w:val="004E64EA"/>
    <w:rsid w:val="004E7828"/>
    <w:rsid w:val="004F4234"/>
    <w:rsid w:val="004F46AA"/>
    <w:rsid w:val="004F540F"/>
    <w:rsid w:val="004F6A70"/>
    <w:rsid w:val="004F6C81"/>
    <w:rsid w:val="00500AD7"/>
    <w:rsid w:val="00502ABF"/>
    <w:rsid w:val="00504DB0"/>
    <w:rsid w:val="0050733E"/>
    <w:rsid w:val="00507C35"/>
    <w:rsid w:val="00510735"/>
    <w:rsid w:val="00514D2F"/>
    <w:rsid w:val="005375A9"/>
    <w:rsid w:val="00542A25"/>
    <w:rsid w:val="0054329B"/>
    <w:rsid w:val="0054420E"/>
    <w:rsid w:val="00544D1B"/>
    <w:rsid w:val="00545DC0"/>
    <w:rsid w:val="00545F6C"/>
    <w:rsid w:val="005477D9"/>
    <w:rsid w:val="0055720C"/>
    <w:rsid w:val="00557D3E"/>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962B5"/>
    <w:rsid w:val="005A33B0"/>
    <w:rsid w:val="005B7068"/>
    <w:rsid w:val="005C1415"/>
    <w:rsid w:val="005C18E6"/>
    <w:rsid w:val="005C2DC2"/>
    <w:rsid w:val="005C304A"/>
    <w:rsid w:val="005C3D69"/>
    <w:rsid w:val="005C7C98"/>
    <w:rsid w:val="005D2C3A"/>
    <w:rsid w:val="005D49FE"/>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23BD"/>
    <w:rsid w:val="00683C32"/>
    <w:rsid w:val="0069019A"/>
    <w:rsid w:val="00690BB2"/>
    <w:rsid w:val="00693D09"/>
    <w:rsid w:val="006A6549"/>
    <w:rsid w:val="006A7710"/>
    <w:rsid w:val="006A7A61"/>
    <w:rsid w:val="006B1E59"/>
    <w:rsid w:val="006B2FFB"/>
    <w:rsid w:val="006B680A"/>
    <w:rsid w:val="006C10A2"/>
    <w:rsid w:val="006C1F18"/>
    <w:rsid w:val="006D40D5"/>
    <w:rsid w:val="006F009A"/>
    <w:rsid w:val="006F3D93"/>
    <w:rsid w:val="007019B1"/>
    <w:rsid w:val="00721657"/>
    <w:rsid w:val="007279A8"/>
    <w:rsid w:val="00727B1A"/>
    <w:rsid w:val="00741337"/>
    <w:rsid w:val="00752258"/>
    <w:rsid w:val="0075258E"/>
    <w:rsid w:val="007529E1"/>
    <w:rsid w:val="007566A6"/>
    <w:rsid w:val="00762880"/>
    <w:rsid w:val="00762AD6"/>
    <w:rsid w:val="00762E02"/>
    <w:rsid w:val="00772290"/>
    <w:rsid w:val="00777265"/>
    <w:rsid w:val="007805E7"/>
    <w:rsid w:val="0078222A"/>
    <w:rsid w:val="00787D48"/>
    <w:rsid w:val="00795294"/>
    <w:rsid w:val="007A4E50"/>
    <w:rsid w:val="007A4EE7"/>
    <w:rsid w:val="007B18A7"/>
    <w:rsid w:val="007B250E"/>
    <w:rsid w:val="007C27FC"/>
    <w:rsid w:val="007C51FF"/>
    <w:rsid w:val="007D50E4"/>
    <w:rsid w:val="007E2DC5"/>
    <w:rsid w:val="007F1BB3"/>
    <w:rsid w:val="007F1CC7"/>
    <w:rsid w:val="008027AC"/>
    <w:rsid w:val="008028CE"/>
    <w:rsid w:val="0080332E"/>
    <w:rsid w:val="008141E0"/>
    <w:rsid w:val="00816EE1"/>
    <w:rsid w:val="00816F88"/>
    <w:rsid w:val="008218C9"/>
    <w:rsid w:val="00821996"/>
    <w:rsid w:val="00822323"/>
    <w:rsid w:val="00826E4A"/>
    <w:rsid w:val="00827BC6"/>
    <w:rsid w:val="008300AD"/>
    <w:rsid w:val="00833024"/>
    <w:rsid w:val="008419B1"/>
    <w:rsid w:val="00844A56"/>
    <w:rsid w:val="00845B11"/>
    <w:rsid w:val="00847449"/>
    <w:rsid w:val="00852081"/>
    <w:rsid w:val="00867A6D"/>
    <w:rsid w:val="00872B6E"/>
    <w:rsid w:val="00874DFD"/>
    <w:rsid w:val="008802F9"/>
    <w:rsid w:val="00883086"/>
    <w:rsid w:val="008868D0"/>
    <w:rsid w:val="008879FD"/>
    <w:rsid w:val="008927BB"/>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4DC8"/>
    <w:rsid w:val="008F71C1"/>
    <w:rsid w:val="0090143E"/>
    <w:rsid w:val="00902524"/>
    <w:rsid w:val="00902D41"/>
    <w:rsid w:val="00902F49"/>
    <w:rsid w:val="00904230"/>
    <w:rsid w:val="009110D7"/>
    <w:rsid w:val="00914004"/>
    <w:rsid w:val="00922EC1"/>
    <w:rsid w:val="00923CF1"/>
    <w:rsid w:val="009301F1"/>
    <w:rsid w:val="009307DF"/>
    <w:rsid w:val="009359B8"/>
    <w:rsid w:val="00935FF0"/>
    <w:rsid w:val="009431F8"/>
    <w:rsid w:val="00947A35"/>
    <w:rsid w:val="009554D5"/>
    <w:rsid w:val="0096201B"/>
    <w:rsid w:val="00962081"/>
    <w:rsid w:val="00966CB5"/>
    <w:rsid w:val="00975786"/>
    <w:rsid w:val="00981CB7"/>
    <w:rsid w:val="00983E1F"/>
    <w:rsid w:val="00993F46"/>
    <w:rsid w:val="00997358"/>
    <w:rsid w:val="009A2A40"/>
    <w:rsid w:val="009A452B"/>
    <w:rsid w:val="009B050C"/>
    <w:rsid w:val="009B087F"/>
    <w:rsid w:val="009B2AF4"/>
    <w:rsid w:val="009B5B82"/>
    <w:rsid w:val="009C110B"/>
    <w:rsid w:val="009C5441"/>
    <w:rsid w:val="009D119F"/>
    <w:rsid w:val="009D49A2"/>
    <w:rsid w:val="009E0363"/>
    <w:rsid w:val="009F3940"/>
    <w:rsid w:val="009F3EB2"/>
    <w:rsid w:val="009F6EB1"/>
    <w:rsid w:val="00A11D05"/>
    <w:rsid w:val="00A13162"/>
    <w:rsid w:val="00A20267"/>
    <w:rsid w:val="00A25C11"/>
    <w:rsid w:val="00A3158C"/>
    <w:rsid w:val="00A32DF3"/>
    <w:rsid w:val="00A33E32"/>
    <w:rsid w:val="00A35E20"/>
    <w:rsid w:val="00A35F57"/>
    <w:rsid w:val="00A36F6D"/>
    <w:rsid w:val="00A377A2"/>
    <w:rsid w:val="00A46537"/>
    <w:rsid w:val="00A50CA0"/>
    <w:rsid w:val="00A525CC"/>
    <w:rsid w:val="00A52C41"/>
    <w:rsid w:val="00A53E7C"/>
    <w:rsid w:val="00A60087"/>
    <w:rsid w:val="00A66EAF"/>
    <w:rsid w:val="00A705E8"/>
    <w:rsid w:val="00A721F4"/>
    <w:rsid w:val="00A860C2"/>
    <w:rsid w:val="00A92410"/>
    <w:rsid w:val="00A9392C"/>
    <w:rsid w:val="00A9462B"/>
    <w:rsid w:val="00A97D59"/>
    <w:rsid w:val="00AA3E09"/>
    <w:rsid w:val="00AA4BEF"/>
    <w:rsid w:val="00AB1659"/>
    <w:rsid w:val="00AB4962"/>
    <w:rsid w:val="00AB734E"/>
    <w:rsid w:val="00AB740F"/>
    <w:rsid w:val="00AC6F14"/>
    <w:rsid w:val="00AC7221"/>
    <w:rsid w:val="00AD4677"/>
    <w:rsid w:val="00AD6F5D"/>
    <w:rsid w:val="00AE5961"/>
    <w:rsid w:val="00AF0745"/>
    <w:rsid w:val="00AF4971"/>
    <w:rsid w:val="00AF5276"/>
    <w:rsid w:val="00AF7C86"/>
    <w:rsid w:val="00B01046"/>
    <w:rsid w:val="00B07084"/>
    <w:rsid w:val="00B310F9"/>
    <w:rsid w:val="00B37866"/>
    <w:rsid w:val="00B412FB"/>
    <w:rsid w:val="00B4576B"/>
    <w:rsid w:val="00B46350"/>
    <w:rsid w:val="00B46DF3"/>
    <w:rsid w:val="00B5759A"/>
    <w:rsid w:val="00B648C7"/>
    <w:rsid w:val="00B66E8F"/>
    <w:rsid w:val="00B80157"/>
    <w:rsid w:val="00B83D5E"/>
    <w:rsid w:val="00B8460A"/>
    <w:rsid w:val="00B857BC"/>
    <w:rsid w:val="00B8650D"/>
    <w:rsid w:val="00B879B4"/>
    <w:rsid w:val="00B90F07"/>
    <w:rsid w:val="00B97BB9"/>
    <w:rsid w:val="00BA0009"/>
    <w:rsid w:val="00BB02B5"/>
    <w:rsid w:val="00BB1772"/>
    <w:rsid w:val="00BB1863"/>
    <w:rsid w:val="00BB25EE"/>
    <w:rsid w:val="00BB363A"/>
    <w:rsid w:val="00BC10A0"/>
    <w:rsid w:val="00BC7BA2"/>
    <w:rsid w:val="00BD426B"/>
    <w:rsid w:val="00BD79F0"/>
    <w:rsid w:val="00BE2B4D"/>
    <w:rsid w:val="00BE4945"/>
    <w:rsid w:val="00BF5D63"/>
    <w:rsid w:val="00C015F8"/>
    <w:rsid w:val="00C02C2A"/>
    <w:rsid w:val="00C07E26"/>
    <w:rsid w:val="00C1011C"/>
    <w:rsid w:val="00C12F94"/>
    <w:rsid w:val="00C177C5"/>
    <w:rsid w:val="00C34EC3"/>
    <w:rsid w:val="00C4038C"/>
    <w:rsid w:val="00C40EAB"/>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55EA"/>
    <w:rsid w:val="00CC732E"/>
    <w:rsid w:val="00CD27CF"/>
    <w:rsid w:val="00CD2FCD"/>
    <w:rsid w:val="00CD7207"/>
    <w:rsid w:val="00CE0422"/>
    <w:rsid w:val="00CE0DBE"/>
    <w:rsid w:val="00CE1D71"/>
    <w:rsid w:val="00CE5E4D"/>
    <w:rsid w:val="00CF02C4"/>
    <w:rsid w:val="00CF167F"/>
    <w:rsid w:val="00CF37B3"/>
    <w:rsid w:val="00CF72E5"/>
    <w:rsid w:val="00D013EE"/>
    <w:rsid w:val="00D01F54"/>
    <w:rsid w:val="00D040F7"/>
    <w:rsid w:val="00D04A76"/>
    <w:rsid w:val="00D10FC7"/>
    <w:rsid w:val="00D1519F"/>
    <w:rsid w:val="00D20E99"/>
    <w:rsid w:val="00D21C83"/>
    <w:rsid w:val="00D23D18"/>
    <w:rsid w:val="00D3052C"/>
    <w:rsid w:val="00D35BDD"/>
    <w:rsid w:val="00D36C21"/>
    <w:rsid w:val="00D41C18"/>
    <w:rsid w:val="00D51A08"/>
    <w:rsid w:val="00D53A5D"/>
    <w:rsid w:val="00D63006"/>
    <w:rsid w:val="00D72301"/>
    <w:rsid w:val="00D911DE"/>
    <w:rsid w:val="00D91B97"/>
    <w:rsid w:val="00D93ACC"/>
    <w:rsid w:val="00D93C08"/>
    <w:rsid w:val="00D95DAC"/>
    <w:rsid w:val="00DA0B53"/>
    <w:rsid w:val="00DA42DF"/>
    <w:rsid w:val="00DB1171"/>
    <w:rsid w:val="00DB1519"/>
    <w:rsid w:val="00DB2840"/>
    <w:rsid w:val="00DC1BD3"/>
    <w:rsid w:val="00DC2C1A"/>
    <w:rsid w:val="00DD5F2B"/>
    <w:rsid w:val="00DD66B4"/>
    <w:rsid w:val="00DE1972"/>
    <w:rsid w:val="00DE27AB"/>
    <w:rsid w:val="00DF2AB3"/>
    <w:rsid w:val="00DF4C61"/>
    <w:rsid w:val="00DF4E38"/>
    <w:rsid w:val="00DF7250"/>
    <w:rsid w:val="00E00CAA"/>
    <w:rsid w:val="00E03EBF"/>
    <w:rsid w:val="00E05209"/>
    <w:rsid w:val="00E05AC1"/>
    <w:rsid w:val="00E1141D"/>
    <w:rsid w:val="00E11BCF"/>
    <w:rsid w:val="00E2258E"/>
    <w:rsid w:val="00E260C2"/>
    <w:rsid w:val="00E32596"/>
    <w:rsid w:val="00E368F7"/>
    <w:rsid w:val="00E36EB8"/>
    <w:rsid w:val="00E37FB8"/>
    <w:rsid w:val="00E40B07"/>
    <w:rsid w:val="00E42326"/>
    <w:rsid w:val="00E43544"/>
    <w:rsid w:val="00E44D89"/>
    <w:rsid w:val="00E461FE"/>
    <w:rsid w:val="00E477EA"/>
    <w:rsid w:val="00E55807"/>
    <w:rsid w:val="00E63B14"/>
    <w:rsid w:val="00E65CA0"/>
    <w:rsid w:val="00E67753"/>
    <w:rsid w:val="00E70D9F"/>
    <w:rsid w:val="00E74F9A"/>
    <w:rsid w:val="00E83810"/>
    <w:rsid w:val="00E86933"/>
    <w:rsid w:val="00E9605B"/>
    <w:rsid w:val="00E97298"/>
    <w:rsid w:val="00E97753"/>
    <w:rsid w:val="00EA0C51"/>
    <w:rsid w:val="00EA7DE7"/>
    <w:rsid w:val="00EB7A8A"/>
    <w:rsid w:val="00EC6FED"/>
    <w:rsid w:val="00EC7F3B"/>
    <w:rsid w:val="00ED5299"/>
    <w:rsid w:val="00EE3A64"/>
    <w:rsid w:val="00EE48DD"/>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34F4C"/>
    <w:rsid w:val="00F41B1C"/>
    <w:rsid w:val="00F41F93"/>
    <w:rsid w:val="00F42E13"/>
    <w:rsid w:val="00F42F1C"/>
    <w:rsid w:val="00F43B44"/>
    <w:rsid w:val="00F440E5"/>
    <w:rsid w:val="00F4422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77F186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uiPriority w:val="39"/>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uiPriority w:val="39"/>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uiPriority w:val="99"/>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uiPriority w:val="99"/>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5C1415"/>
    <w:rPr>
      <w:color w:val="605E5C"/>
      <w:shd w:val="clear" w:color="auto" w:fill="E1DFDD"/>
    </w:rPr>
  </w:style>
  <w:style w:type="character" w:customStyle="1" w:styleId="ListParagraphChar">
    <w:name w:val="List Paragraph Char"/>
    <w:aliases w:val="Recommendation Char,List Paragraph11 Char,O5 Char,Para_sk Char,Resume Title Char,- Bullets Char,Equipment Char,Numbered Indented Text Char,Figure_name Char"/>
    <w:link w:val="ListParagraph"/>
    <w:uiPriority w:val="34"/>
    <w:locked/>
    <w:rsid w:val="00D36C21"/>
    <w:rPr>
      <w:rFonts w:asciiTheme="minorHAnsi" w:hAnsiTheme="minorHAnsi"/>
      <w:sz w:val="24"/>
      <w:lang w:val="en-GB" w:eastAsia="en-US"/>
    </w:rPr>
  </w:style>
  <w:style w:type="character" w:customStyle="1" w:styleId="apple-converted-space">
    <w:name w:val="apple-converted-space"/>
    <w:basedOn w:val="DefaultParagraphFont"/>
    <w:rsid w:val="00D36C21"/>
  </w:style>
  <w:style w:type="character" w:styleId="Strong">
    <w:name w:val="Strong"/>
    <w:basedOn w:val="DefaultParagraphFont"/>
    <w:uiPriority w:val="22"/>
    <w:qFormat/>
    <w:rsid w:val="00445AC7"/>
    <w:rPr>
      <w:b/>
      <w:bCs/>
    </w:rPr>
  </w:style>
  <w:style w:type="character" w:customStyle="1" w:styleId="Heading1Char">
    <w:name w:val="Heading 1 Char"/>
    <w:basedOn w:val="DefaultParagraphFont"/>
    <w:link w:val="Heading1"/>
    <w:uiPriority w:val="9"/>
    <w:locked/>
    <w:rsid w:val="004F540F"/>
    <w:rPr>
      <w:rFonts w:asciiTheme="minorHAnsi" w:hAnsiTheme="minorHAnsi"/>
      <w:b/>
      <w:sz w:val="28"/>
      <w:lang w:val="en-GB" w:eastAsia="en-US"/>
    </w:rPr>
  </w:style>
  <w:style w:type="paragraph" w:customStyle="1" w:styleId="Normal0">
    <w:name w:val="Normal 0"/>
    <w:rsid w:val="004F540F"/>
    <w:pPr>
      <w:widowControl w:val="0"/>
      <w:autoSpaceDE w:val="0"/>
      <w:autoSpaceDN w:val="0"/>
      <w:adjustRightInd w:val="0"/>
      <w:ind w:firstLine="361"/>
    </w:pPr>
    <w:rPr>
      <w:rFonts w:ascii="Courier New" w:eastAsiaTheme="minorEastAsia" w:hAnsi="Courier New" w:cs="Courier New"/>
      <w:sz w:val="24"/>
      <w:szCs w:val="24"/>
      <w:lang w:eastAsia="en-US"/>
    </w:rPr>
  </w:style>
  <w:style w:type="paragraph" w:customStyle="1" w:styleId="Question1">
    <w:name w:val="Question 1"/>
    <w:basedOn w:val="Normal0"/>
    <w:next w:val="QueContin1"/>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360"/>
    </w:pPr>
  </w:style>
  <w:style w:type="paragraph" w:customStyle="1" w:styleId="QueContin1">
    <w:name w:val="Que Contin 1"/>
    <w:basedOn w:val="Question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Answer1">
    <w:name w:val="Answer 1"/>
    <w:basedOn w:val="Normal0"/>
    <w:next w:val="AnsContin1"/>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360"/>
    </w:pPr>
  </w:style>
  <w:style w:type="paragraph" w:customStyle="1" w:styleId="AnsContin1">
    <w:name w:val="Ans Contin 1"/>
    <w:basedOn w:val="Answer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Colloquy1">
    <w:name w:val="Colloquy 1"/>
    <w:basedOn w:val="Normal0"/>
    <w:next w:val="ColContin1"/>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ColContin1">
    <w:name w:val="Col Contin 1"/>
    <w:basedOn w:val="Colloquy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ByLine1">
    <w:name w:val="By Line 1"/>
    <w:basedOn w:val="Normal0"/>
    <w:next w:val="ByContin1"/>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ByContin1">
    <w:name w:val="By  Contin 1"/>
    <w:basedOn w:val="ByLine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Paren1">
    <w:name w:val="Paren 1"/>
    <w:basedOn w:val="Normal0"/>
    <w:next w:val="ParContin1"/>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ParContin1">
    <w:name w:val="Par Contin 1"/>
    <w:basedOn w:val="Paren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1Defined1">
    <w:name w:val="User1 Defined 1"/>
    <w:basedOn w:val="Normal0"/>
    <w:next w:val="UseContin1"/>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
    <w:name w:val="Use Contin 1"/>
    <w:basedOn w:val="User1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2Defined1">
    <w:name w:val="User2 Defined 1"/>
    <w:basedOn w:val="Normal0"/>
    <w:next w:val="UseContin131"/>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31">
    <w:name w:val="Use Contin 131"/>
    <w:basedOn w:val="User2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3Defined1">
    <w:name w:val="User3 Defined 1"/>
    <w:basedOn w:val="Normal0"/>
    <w:next w:val="UseContin130"/>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30">
    <w:name w:val="Use Contin 130"/>
    <w:basedOn w:val="User3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4Defined1">
    <w:name w:val="User4 Defined 1"/>
    <w:basedOn w:val="Normal0"/>
    <w:next w:val="UseContin129"/>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29">
    <w:name w:val="Use Contin 129"/>
    <w:basedOn w:val="User4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5Defined1">
    <w:name w:val="User5 Defined 1"/>
    <w:basedOn w:val="Normal0"/>
    <w:next w:val="UseContin128"/>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28">
    <w:name w:val="Use Contin 128"/>
    <w:basedOn w:val="User5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6Defined1">
    <w:name w:val="User6 Defined 1"/>
    <w:basedOn w:val="Normal0"/>
    <w:next w:val="UseContin127"/>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27">
    <w:name w:val="Use Contin 127"/>
    <w:basedOn w:val="User6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7Defined1">
    <w:name w:val="User7 Defined 1"/>
    <w:basedOn w:val="Normal0"/>
    <w:next w:val="UseContin126"/>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26">
    <w:name w:val="Use Contin 126"/>
    <w:basedOn w:val="User7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8Defined1">
    <w:name w:val="User8 Defined 1"/>
    <w:basedOn w:val="Normal0"/>
    <w:next w:val="UseContin125"/>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25">
    <w:name w:val="Use Contin 125"/>
    <w:basedOn w:val="User8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9Defined1">
    <w:name w:val="User9 Defined 1"/>
    <w:basedOn w:val="Normal0"/>
    <w:next w:val="UseContin124"/>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24">
    <w:name w:val="Use Contin 124"/>
    <w:basedOn w:val="User9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10Defined1">
    <w:name w:val="User10 Defined 1"/>
    <w:basedOn w:val="Normal0"/>
    <w:next w:val="UseContin123"/>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23">
    <w:name w:val="Use Contin 123"/>
    <w:basedOn w:val="User10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11Defined1">
    <w:name w:val="User11 Defined 1"/>
    <w:basedOn w:val="Normal0"/>
    <w:next w:val="UseContin122"/>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22">
    <w:name w:val="Use Contin 122"/>
    <w:basedOn w:val="User11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12Defined1">
    <w:name w:val="User12 Defined 1"/>
    <w:basedOn w:val="Normal0"/>
    <w:next w:val="UseContin121"/>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21">
    <w:name w:val="Use Contin 121"/>
    <w:basedOn w:val="User12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13Defined1">
    <w:name w:val="User13 Defined 1"/>
    <w:basedOn w:val="Normal0"/>
    <w:next w:val="UseContin120"/>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20">
    <w:name w:val="Use Contin 120"/>
    <w:basedOn w:val="User13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14Defined1">
    <w:name w:val="User14 Defined 1"/>
    <w:basedOn w:val="Normal0"/>
    <w:next w:val="UseContin119"/>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19">
    <w:name w:val="Use Contin 119"/>
    <w:basedOn w:val="User14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15Defined1">
    <w:name w:val="User15 Defined 1"/>
    <w:basedOn w:val="Normal0"/>
    <w:next w:val="UseContin118"/>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18">
    <w:name w:val="Use Contin 118"/>
    <w:basedOn w:val="User15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16Defined1">
    <w:name w:val="User16 Defined 1"/>
    <w:basedOn w:val="Normal0"/>
    <w:next w:val="UseContin117"/>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17">
    <w:name w:val="Use Contin 117"/>
    <w:basedOn w:val="User16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17Defined1">
    <w:name w:val="User17 Defined 1"/>
    <w:basedOn w:val="Normal0"/>
    <w:next w:val="UseContin116"/>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16">
    <w:name w:val="Use Contin 116"/>
    <w:basedOn w:val="User17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18Defined1">
    <w:name w:val="User18 Defined 1"/>
    <w:basedOn w:val="Normal0"/>
    <w:next w:val="UseContin115"/>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15">
    <w:name w:val="Use Contin 115"/>
    <w:basedOn w:val="User18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19Defined1">
    <w:name w:val="User19 Defined 1"/>
    <w:basedOn w:val="Normal0"/>
    <w:next w:val="UseContin114"/>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14">
    <w:name w:val="Use Contin 114"/>
    <w:basedOn w:val="User19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20Defined1">
    <w:name w:val="User20 Defined 1"/>
    <w:basedOn w:val="Normal0"/>
    <w:next w:val="UseContin113"/>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13">
    <w:name w:val="Use Contin 113"/>
    <w:basedOn w:val="User20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21Defined1">
    <w:name w:val="User21 Defined 1"/>
    <w:basedOn w:val="Normal0"/>
    <w:next w:val="UseContin112"/>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12">
    <w:name w:val="Use Contin 112"/>
    <w:basedOn w:val="User21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22Defined1">
    <w:name w:val="User22 Defined 1"/>
    <w:basedOn w:val="Normal0"/>
    <w:next w:val="UseContin111"/>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11">
    <w:name w:val="Use Contin 111"/>
    <w:basedOn w:val="User22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23Defined1">
    <w:name w:val="User23 Defined 1"/>
    <w:basedOn w:val="Normal0"/>
    <w:next w:val="UseContin110"/>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10">
    <w:name w:val="Use Contin 110"/>
    <w:basedOn w:val="User23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24Defined1">
    <w:name w:val="User24 Defined 1"/>
    <w:basedOn w:val="Normal0"/>
    <w:next w:val="UseContin19"/>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9">
    <w:name w:val="Use Contin 19"/>
    <w:basedOn w:val="User24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25Defined1">
    <w:name w:val="User25 Defined 1"/>
    <w:basedOn w:val="Normal0"/>
    <w:next w:val="UseContin18"/>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8">
    <w:name w:val="Use Contin 18"/>
    <w:basedOn w:val="User25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26Defined1">
    <w:name w:val="User26 Defined 1"/>
    <w:basedOn w:val="Normal0"/>
    <w:next w:val="UseContin17"/>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7">
    <w:name w:val="Use Contin 17"/>
    <w:basedOn w:val="User26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27Defined1">
    <w:name w:val="User27 Defined 1"/>
    <w:basedOn w:val="Normal0"/>
    <w:next w:val="UseContin16"/>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6">
    <w:name w:val="Use Contin 16"/>
    <w:basedOn w:val="User27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28Defined1">
    <w:name w:val="User28 Defined 1"/>
    <w:basedOn w:val="Normal0"/>
    <w:next w:val="UseContin15"/>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5">
    <w:name w:val="Use Contin 15"/>
    <w:basedOn w:val="User28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29Defined1">
    <w:name w:val="User29 Defined 1"/>
    <w:basedOn w:val="Normal0"/>
    <w:next w:val="UseContin14"/>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4">
    <w:name w:val="Use Contin 14"/>
    <w:basedOn w:val="User29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30Defined1">
    <w:name w:val="User30 Defined 1"/>
    <w:basedOn w:val="Normal0"/>
    <w:next w:val="UseContin13"/>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3">
    <w:name w:val="Use Contin 13"/>
    <w:basedOn w:val="User30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31Defined1">
    <w:name w:val="User31 Defined 1"/>
    <w:basedOn w:val="Normal0"/>
    <w:next w:val="UseContin12"/>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2">
    <w:name w:val="Use Contin 12"/>
    <w:basedOn w:val="User31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32Defined1">
    <w:name w:val="User32 Defined 1"/>
    <w:basedOn w:val="Normal0"/>
    <w:next w:val="UseContin11"/>
    <w:uiPriority w:val="99"/>
    <w:rsid w:val="004F540F"/>
    <w:pPr>
      <w:tabs>
        <w:tab w:val="left" w:pos="2159"/>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UseContin11">
    <w:name w:val="Use Contin 11"/>
    <w:basedOn w:val="User32Defined1"/>
    <w:uiPriority w:val="99"/>
    <w:rsid w:val="004F540F"/>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Normal1">
    <w:name w:val="Normal 1"/>
    <w:basedOn w:val="Normal"/>
    <w:next w:val="Normal"/>
    <w:uiPriority w:val="99"/>
    <w:rsid w:val="004F540F"/>
    <w:pPr>
      <w:widowControl w:val="0"/>
      <w:tabs>
        <w:tab w:val="clear" w:pos="794"/>
        <w:tab w:val="clear" w:pos="1191"/>
        <w:tab w:val="clear" w:pos="1588"/>
        <w:tab w:val="clear" w:pos="1985"/>
      </w:tabs>
      <w:overflowPunct/>
      <w:spacing w:before="0" w:line="528" w:lineRule="atLeast"/>
      <w:ind w:right="1152" w:firstLine="720"/>
      <w:textAlignment w:val="auto"/>
    </w:pPr>
    <w:rPr>
      <w:rFonts w:ascii="Arial" w:eastAsiaTheme="minorEastAsia" w:hAnsi="Arial" w:cs="Arial"/>
      <w:szCs w:val="24"/>
      <w:lang w:val="en-US"/>
    </w:rPr>
  </w:style>
  <w:style w:type="paragraph" w:styleId="NormalWeb">
    <w:name w:val="Normal (Web)"/>
    <w:basedOn w:val="Normal"/>
    <w:uiPriority w:val="99"/>
    <w:unhideWhenUsed/>
    <w:rsid w:val="004F540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rPr>
  </w:style>
  <w:style w:type="paragraph" w:customStyle="1" w:styleId="Fixed">
    <w:name w:val="Fixed"/>
    <w:rsid w:val="004F540F"/>
    <w:pPr>
      <w:widowControl w:val="0"/>
      <w:autoSpaceDE w:val="0"/>
      <w:autoSpaceDN w:val="0"/>
      <w:adjustRightInd w:val="0"/>
      <w:spacing w:line="285" w:lineRule="atLeast"/>
      <w:ind w:right="676"/>
    </w:pPr>
    <w:rPr>
      <w:rFonts w:ascii="Courier New" w:eastAsiaTheme="minorEastAsia" w:hAnsi="Courier New" w:cs="Courier New"/>
      <w:sz w:val="24"/>
      <w:szCs w:val="24"/>
      <w:lang w:eastAsia="en-US"/>
    </w:rPr>
  </w:style>
  <w:style w:type="character" w:customStyle="1" w:styleId="normaltextrun">
    <w:name w:val="normaltextrun"/>
    <w:rsid w:val="004F540F"/>
  </w:style>
  <w:style w:type="character" w:customStyle="1" w:styleId="NormalaftertitleChar">
    <w:name w:val="Normal after title Char"/>
    <w:link w:val="Normalaftertitle"/>
    <w:locked/>
    <w:rsid w:val="004F540F"/>
    <w:rPr>
      <w:rFonts w:asciiTheme="minorHAnsi" w:hAnsiTheme="minorHAnsi"/>
      <w:sz w:val="24"/>
      <w:lang w:val="en-GB" w:eastAsia="en-US"/>
    </w:rPr>
  </w:style>
  <w:style w:type="paragraph" w:styleId="CommentText">
    <w:name w:val="annotation text"/>
    <w:basedOn w:val="Normal"/>
    <w:link w:val="CommentTextChar"/>
    <w:uiPriority w:val="99"/>
    <w:unhideWhenUsed/>
    <w:qFormat/>
    <w:rsid w:val="004F540F"/>
    <w:rPr>
      <w:rFonts w:eastAsia="Batang"/>
      <w:sz w:val="20"/>
    </w:rPr>
  </w:style>
  <w:style w:type="character" w:customStyle="1" w:styleId="CommentTextChar">
    <w:name w:val="Comment Text Char"/>
    <w:basedOn w:val="DefaultParagraphFont"/>
    <w:link w:val="CommentText"/>
    <w:uiPriority w:val="99"/>
    <w:rsid w:val="004F540F"/>
    <w:rPr>
      <w:rFonts w:asciiTheme="minorHAnsi" w:eastAsia="Batang" w:hAnsiTheme="minorHAnsi"/>
      <w:lang w:val="en-GB" w:eastAsia="en-US"/>
    </w:rPr>
  </w:style>
  <w:style w:type="character" w:styleId="CommentReference">
    <w:name w:val="annotation reference"/>
    <w:basedOn w:val="DefaultParagraphFont"/>
    <w:uiPriority w:val="99"/>
    <w:unhideWhenUsed/>
    <w:rsid w:val="004F540F"/>
    <w:rPr>
      <w:rFonts w:cs="Times New Roman"/>
      <w:sz w:val="16"/>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qFormat/>
    <w:locked/>
    <w:rsid w:val="004F540F"/>
    <w:rPr>
      <w:rFonts w:asciiTheme="minorHAnsi" w:hAnsiTheme="minorHAnsi"/>
      <w:sz w:val="24"/>
      <w:lang w:val="en-GB" w:eastAsia="en-US"/>
    </w:rPr>
  </w:style>
  <w:style w:type="character" w:customStyle="1" w:styleId="enumlev1Char">
    <w:name w:val="enumlev1 Char"/>
    <w:link w:val="enumlev1"/>
    <w:qFormat/>
    <w:locked/>
    <w:rsid w:val="004F540F"/>
    <w:rPr>
      <w:rFonts w:asciiTheme="minorHAnsi" w:hAnsiTheme="minorHAnsi"/>
      <w:sz w:val="24"/>
      <w:lang w:val="en-GB" w:eastAsia="en-US"/>
    </w:rPr>
  </w:style>
  <w:style w:type="character" w:customStyle="1" w:styleId="ResNoChar">
    <w:name w:val="Res_No Char"/>
    <w:link w:val="ResNo"/>
    <w:locked/>
    <w:rsid w:val="004F540F"/>
    <w:rPr>
      <w:rFonts w:asciiTheme="minorHAnsi" w:hAnsiTheme="minorHAnsi"/>
      <w:caps/>
      <w:sz w:val="28"/>
      <w:lang w:val="en-GB" w:eastAsia="en-US"/>
    </w:rPr>
  </w:style>
  <w:style w:type="paragraph" w:styleId="BalloonText">
    <w:name w:val="Balloon Text"/>
    <w:basedOn w:val="Normal"/>
    <w:link w:val="BalloonTextChar"/>
    <w:uiPriority w:val="99"/>
    <w:semiHidden/>
    <w:unhideWhenUsed/>
    <w:rsid w:val="004F540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4F540F"/>
    <w:rPr>
      <w:rFonts w:ascii="Segoe UI" w:eastAsiaTheme="minorEastAsia" w:hAnsi="Segoe UI" w:cs="Segoe UI"/>
      <w:sz w:val="18"/>
      <w:szCs w:val="18"/>
      <w:lang w:eastAsia="en-US"/>
    </w:rPr>
  </w:style>
  <w:style w:type="paragraph" w:customStyle="1" w:styleId="Default">
    <w:name w:val="Default"/>
    <w:rsid w:val="004F540F"/>
    <w:pPr>
      <w:autoSpaceDE w:val="0"/>
      <w:autoSpaceDN w:val="0"/>
      <w:adjustRightInd w:val="0"/>
    </w:pPr>
    <w:rPr>
      <w:rFonts w:ascii="Calibri" w:eastAsiaTheme="minorEastAsia" w:hAnsi="Calibri" w:cs="Calibri"/>
      <w:color w:val="000000"/>
      <w:sz w:val="24"/>
      <w:szCs w:val="24"/>
      <w:lang w:eastAsia="en-US"/>
    </w:rPr>
  </w:style>
  <w:style w:type="character" w:customStyle="1" w:styleId="RestitleChar">
    <w:name w:val="Res_title Char"/>
    <w:link w:val="Restitle"/>
    <w:locked/>
    <w:rsid w:val="004F540F"/>
    <w:rPr>
      <w:rFonts w:asciiTheme="minorHAnsi" w:hAnsiTheme="minorHAnsi"/>
      <w:b/>
      <w:sz w:val="28"/>
      <w:lang w:val="en-GB" w:eastAsia="en-US"/>
    </w:rPr>
  </w:style>
  <w:style w:type="character" w:customStyle="1" w:styleId="href">
    <w:name w:val="href"/>
    <w:uiPriority w:val="99"/>
    <w:rsid w:val="004F540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Conferences/TDAG/Pages/TDAG_WG_WTDC_Prep.aspx" TargetMode="External"/><Relationship Id="rId18" Type="http://schemas.openxmlformats.org/officeDocument/2006/relationships/hyperlink" Target="https://www.itu.int/md/D18-TDAG27.RDTP-210409-TD-0008/" TargetMode="External"/><Relationship Id="rId26" Type="http://schemas.openxmlformats.org/officeDocument/2006/relationships/hyperlink" Target="https://www.itu.int/md/D18-TDAG27.RDTP-C-0018/" TargetMode="External"/><Relationship Id="rId39" Type="http://schemas.openxmlformats.org/officeDocument/2006/relationships/hyperlink" Target="https://www.itu.int/md/D18-TDAG27.RDTP-210409-TD-0009/en" TargetMode="External"/><Relationship Id="rId21" Type="http://schemas.openxmlformats.org/officeDocument/2006/relationships/hyperlink" Target="https://www.itu.int/md/D18-TDAG27.RDTP-C-0008/" TargetMode="External"/><Relationship Id="rId34" Type="http://schemas.openxmlformats.org/officeDocument/2006/relationships/hyperlink" Target="https://www.itu.int/md/D18-TDAG26.RDTP-C-0004/en" TargetMode="External"/><Relationship Id="rId42" Type="http://schemas.openxmlformats.org/officeDocument/2006/relationships/hyperlink" Target="https://www.itu.int/md/D18-TDAG27.RDTP-C-0038/en" TargetMode="External"/><Relationship Id="rId47" Type="http://schemas.openxmlformats.org/officeDocument/2006/relationships/hyperlink" Target="https://www.itu.int/md/D18-TDAG27.RDTP-210409-TD-0008/en" TargetMode="External"/><Relationship Id="rId50" Type="http://schemas.openxmlformats.org/officeDocument/2006/relationships/hyperlink" Target="https://www.itu.int/md/D18-TDAG27.RDTP-C-0037/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18-TDAG27.RDTP-C-0021/" TargetMode="External"/><Relationship Id="rId29" Type="http://schemas.openxmlformats.org/officeDocument/2006/relationships/hyperlink" Target="https://www.itu.int/md/D18-TDAG27.RDTP-C-0030/" TargetMode="External"/><Relationship Id="rId11" Type="http://schemas.openxmlformats.org/officeDocument/2006/relationships/image" Target="media/image1.png"/><Relationship Id="rId24" Type="http://schemas.openxmlformats.org/officeDocument/2006/relationships/hyperlink" Target="https://www.itu.int/md/D18-TDAG27.RDTP-C-0016/" TargetMode="External"/><Relationship Id="rId32" Type="http://schemas.openxmlformats.org/officeDocument/2006/relationships/hyperlink" Target="https://www.itu.int/md/D18-TDAG27.RDTP-C-0035/" TargetMode="External"/><Relationship Id="rId37" Type="http://schemas.openxmlformats.org/officeDocument/2006/relationships/hyperlink" Target="https://www.itu.int/md/D18-TDAG27.RDTP-C-0035/" TargetMode="External"/><Relationship Id="rId40" Type="http://schemas.openxmlformats.org/officeDocument/2006/relationships/hyperlink" Target="https://www.itu.int/md/D18-TDAG27.RDTP-C-0038/en" TargetMode="External"/><Relationship Id="rId45" Type="http://schemas.openxmlformats.org/officeDocument/2006/relationships/hyperlink" Target="https://www.itu.int/md/D18-TDAG27.RDTP-C-0038/en"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D18-TDAG27.RDTP-210409-TD-0009/" TargetMode="External"/><Relationship Id="rId31" Type="http://schemas.openxmlformats.org/officeDocument/2006/relationships/hyperlink" Target="https://www.itu.int/md/D18-TDAG27.RDTP-C-0038/" TargetMode="External"/><Relationship Id="rId44" Type="http://schemas.openxmlformats.org/officeDocument/2006/relationships/hyperlink" Target="https://www.itu.int/md/D18-TDAG27.RDTP-C-0038/en"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TDAG26.RDTP-C-0005/" TargetMode="External"/><Relationship Id="rId22" Type="http://schemas.openxmlformats.org/officeDocument/2006/relationships/hyperlink" Target="https://www.itu.int/md/D18-TDAG27.RDTP-C-0014/" TargetMode="External"/><Relationship Id="rId27" Type="http://schemas.openxmlformats.org/officeDocument/2006/relationships/hyperlink" Target="https://www.itu.int/md/D18-TDAG27.RDTP-C-0019/" TargetMode="External"/><Relationship Id="rId30" Type="http://schemas.openxmlformats.org/officeDocument/2006/relationships/hyperlink" Target="https://www.itu.int/md/D18-TDAG27.RDTP-C-0036/" TargetMode="External"/><Relationship Id="rId35" Type="http://schemas.openxmlformats.org/officeDocument/2006/relationships/hyperlink" Target="https://www.itu.int/md/D18-TDAG27.RDTP-C-0034/en" TargetMode="External"/><Relationship Id="rId43" Type="http://schemas.openxmlformats.org/officeDocument/2006/relationships/hyperlink" Target="https://www.itu.int/md/D18-TDAG27.RDTP-210409-TD-0009/en" TargetMode="External"/><Relationship Id="rId48" Type="http://schemas.openxmlformats.org/officeDocument/2006/relationships/hyperlink" Target="https://www.itu.int/md/D18-TDAG27.RDTP-210409-TD-0010/en"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itu.int/md/D18-TDAG27.RDTP-C-0033/" TargetMode="External"/><Relationship Id="rId25" Type="http://schemas.openxmlformats.org/officeDocument/2006/relationships/hyperlink" Target="https://www.itu.int/md/D18-TDAG27.RDTP-C-0017/" TargetMode="External"/><Relationship Id="rId33" Type="http://schemas.openxmlformats.org/officeDocument/2006/relationships/hyperlink" Target="https://www.itu.int/md/D18-TDAG26.RDTP-C-0003/en" TargetMode="External"/><Relationship Id="rId38" Type="http://schemas.openxmlformats.org/officeDocument/2006/relationships/hyperlink" Target="https://www.itu.int/md/D18-TDAG27.RDTP-C-0038/en" TargetMode="External"/><Relationship Id="rId46" Type="http://schemas.openxmlformats.org/officeDocument/2006/relationships/hyperlink" Target="https://www.itu.int/md/D18-TDAG27.RDTP-C-0038/en" TargetMode="External"/><Relationship Id="rId20" Type="http://schemas.openxmlformats.org/officeDocument/2006/relationships/hyperlink" Target="https://www.itu.int/md/D18-TDAG27.RDTP-210409-TD-0010/" TargetMode="External"/><Relationship Id="rId41" Type="http://schemas.openxmlformats.org/officeDocument/2006/relationships/hyperlink" Target="https://www.itu.int/md/D18-TDAG27.RDTP-210409-TD-0009/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18-TDAG27.RDTP-C-0010/" TargetMode="External"/><Relationship Id="rId23" Type="http://schemas.openxmlformats.org/officeDocument/2006/relationships/hyperlink" Target="https://www.itu.int/md/D18-TDAG27.RDTP-C-0015/" TargetMode="External"/><Relationship Id="rId28" Type="http://schemas.openxmlformats.org/officeDocument/2006/relationships/hyperlink" Target="https://www.itu.int/md/D18-TDAG27.RDTP-C-0029/" TargetMode="External"/><Relationship Id="rId36" Type="http://schemas.openxmlformats.org/officeDocument/2006/relationships/hyperlink" Target="https://www.itu.int/md/D18-TDAG27.RDTP-C-0033/en" TargetMode="External"/><Relationship Id="rId49" Type="http://schemas.openxmlformats.org/officeDocument/2006/relationships/hyperlink" Target="https://www.itu.int/md/D18-TDAG27.RDTP-C-0036/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2.xml><?xml version="1.0" encoding="utf-8"?>
<ds:datastoreItem xmlns:ds="http://schemas.openxmlformats.org/officeDocument/2006/customXml" ds:itemID="{99CCC8D9-4250-4DA5-BA6F-6B169966D49B}">
  <ds:schemaRefs>
    <ds:schemaRef ds:uri="http://schemas.openxmlformats.org/officeDocument/2006/bibliography"/>
  </ds:schemaRefs>
</ds:datastoreItem>
</file>

<file path=customXml/itemProps3.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E9870-5BE7-4B8A-98F2-BD619ABAC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4594</Words>
  <Characters>28156</Characters>
  <Application>Microsoft Office Word</Application>
  <DocSecurity>0</DocSecurity>
  <Lines>234</Lines>
  <Paragraphs>65</Paragraphs>
  <ScaleCrop>false</ScaleCrop>
  <Manager>General Secretariat - Pool</Manager>
  <Company>International Telecommunication Union (ITU)</Company>
  <LinksUpToDate>false</LinksUpToDate>
  <CharactersWithSpaces>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4</cp:revision>
  <cp:lastPrinted>2014-11-04T09:22:00Z</cp:lastPrinted>
  <dcterms:created xsi:type="dcterms:W3CDTF">2021-04-29T11:22:00Z</dcterms:created>
  <dcterms:modified xsi:type="dcterms:W3CDTF">2021-04-29T11:29:00Z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