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9F119E" w14:paraId="4199AD10" w14:textId="77777777" w:rsidTr="00C85582">
        <w:trPr>
          <w:cantSplit/>
          <w:trHeight w:val="1134"/>
        </w:trPr>
        <w:tc>
          <w:tcPr>
            <w:tcW w:w="2410" w:type="dxa"/>
            <w:tcBorders>
              <w:bottom w:val="single" w:sz="12" w:space="0" w:color="auto"/>
            </w:tcBorders>
          </w:tcPr>
          <w:p w14:paraId="08C522F3" w14:textId="77777777" w:rsidR="00C85582" w:rsidRPr="009F119E" w:rsidRDefault="00C85582" w:rsidP="00C85582">
            <w:pPr>
              <w:spacing w:after="120"/>
              <w:rPr>
                <w:b/>
                <w:bCs/>
                <w:sz w:val="32"/>
                <w:szCs w:val="32"/>
                <w:lang w:val="es-ES_tradnl"/>
              </w:rPr>
            </w:pPr>
            <w:r w:rsidRPr="009F119E">
              <w:rPr>
                <w:noProof/>
                <w:lang w:val="es-ES_tradnl"/>
              </w:rPr>
              <w:drawing>
                <wp:inline distT="0" distB="0" distL="0" distR="0" wp14:anchorId="75DF9D1E" wp14:editId="1E9B7320">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0DDA8A7D" w14:textId="77777777" w:rsidR="00C85582" w:rsidRPr="009F119E" w:rsidRDefault="00C85582" w:rsidP="00C85582">
            <w:pPr>
              <w:spacing w:before="280" w:after="120"/>
              <w:rPr>
                <w:b/>
                <w:bCs/>
                <w:sz w:val="32"/>
                <w:szCs w:val="32"/>
                <w:lang w:val="es-ES_tradnl"/>
              </w:rPr>
            </w:pPr>
            <w:r w:rsidRPr="009F119E">
              <w:rPr>
                <w:rFonts w:cstheme="minorHAnsi"/>
                <w:b/>
                <w:bCs/>
                <w:sz w:val="32"/>
                <w:szCs w:val="32"/>
                <w:lang w:val="es-ES_tradnl"/>
              </w:rPr>
              <w:t>Grupo Asesor de Desarrollo de las Telecomunicaciones (GADT</w:t>
            </w:r>
            <w:r w:rsidRPr="009F119E">
              <w:rPr>
                <w:b/>
                <w:bCs/>
                <w:sz w:val="32"/>
                <w:szCs w:val="32"/>
                <w:lang w:val="es-ES_tradnl"/>
              </w:rPr>
              <w:t>)</w:t>
            </w:r>
          </w:p>
          <w:p w14:paraId="13FF9875" w14:textId="77777777" w:rsidR="00C85582" w:rsidRPr="009F119E" w:rsidRDefault="00C85582" w:rsidP="00AA076A">
            <w:pPr>
              <w:spacing w:before="100" w:after="120"/>
              <w:rPr>
                <w:rFonts w:ascii="Verdana" w:hAnsi="Verdana"/>
                <w:sz w:val="28"/>
                <w:szCs w:val="28"/>
                <w:lang w:val="es-ES_tradnl"/>
              </w:rPr>
            </w:pPr>
            <w:r w:rsidRPr="009F119E">
              <w:rPr>
                <w:b/>
                <w:bCs/>
                <w:sz w:val="26"/>
                <w:szCs w:val="26"/>
                <w:lang w:val="es-ES_tradnl"/>
              </w:rPr>
              <w:t>28ª reunión, Virtual, 2</w:t>
            </w:r>
            <w:r w:rsidR="00603CC6" w:rsidRPr="009F119E">
              <w:rPr>
                <w:b/>
                <w:bCs/>
                <w:sz w:val="26"/>
                <w:szCs w:val="26"/>
                <w:lang w:val="es-ES_tradnl"/>
              </w:rPr>
              <w:t>4</w:t>
            </w:r>
            <w:r w:rsidRPr="009F119E">
              <w:rPr>
                <w:b/>
                <w:bCs/>
                <w:sz w:val="26"/>
                <w:szCs w:val="26"/>
                <w:lang w:val="es-ES_tradnl"/>
              </w:rPr>
              <w:t>-28 de mayo de 2021</w:t>
            </w:r>
          </w:p>
        </w:tc>
        <w:tc>
          <w:tcPr>
            <w:tcW w:w="2091" w:type="dxa"/>
            <w:tcBorders>
              <w:bottom w:val="single" w:sz="12" w:space="0" w:color="auto"/>
            </w:tcBorders>
          </w:tcPr>
          <w:p w14:paraId="4F887913" w14:textId="77777777" w:rsidR="00C85582" w:rsidRPr="009F119E" w:rsidRDefault="00C85582" w:rsidP="004E7861">
            <w:pPr>
              <w:spacing w:before="40" w:after="80"/>
              <w:ind w:right="142"/>
              <w:jc w:val="right"/>
              <w:rPr>
                <w:lang w:val="es-ES_tradnl"/>
              </w:rPr>
            </w:pPr>
            <w:r w:rsidRPr="009F119E">
              <w:rPr>
                <w:noProof/>
                <w:color w:val="3399FF"/>
                <w:lang w:val="es-ES_tradnl" w:eastAsia="en-GB"/>
              </w:rPr>
              <w:drawing>
                <wp:inline distT="0" distB="0" distL="0" distR="0" wp14:anchorId="4C9C4367" wp14:editId="21D2A9C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9F119E" w14:paraId="3CFE30B5" w14:textId="77777777" w:rsidTr="004B7893">
        <w:trPr>
          <w:cantSplit/>
        </w:trPr>
        <w:tc>
          <w:tcPr>
            <w:tcW w:w="6663" w:type="dxa"/>
            <w:gridSpan w:val="2"/>
            <w:tcBorders>
              <w:top w:val="single" w:sz="12" w:space="0" w:color="auto"/>
            </w:tcBorders>
          </w:tcPr>
          <w:p w14:paraId="3F910C83" w14:textId="77777777" w:rsidR="004B7893" w:rsidRPr="009F119E" w:rsidRDefault="004B7893" w:rsidP="004B7893">
            <w:pPr>
              <w:spacing w:before="0"/>
              <w:rPr>
                <w:rFonts w:cs="Arial"/>
                <w:b/>
                <w:bCs/>
                <w:sz w:val="20"/>
                <w:lang w:val="es-ES_tradnl"/>
              </w:rPr>
            </w:pPr>
          </w:p>
        </w:tc>
        <w:tc>
          <w:tcPr>
            <w:tcW w:w="3225" w:type="dxa"/>
            <w:gridSpan w:val="2"/>
            <w:tcBorders>
              <w:top w:val="single" w:sz="12" w:space="0" w:color="auto"/>
            </w:tcBorders>
          </w:tcPr>
          <w:p w14:paraId="3A99E54B" w14:textId="77777777" w:rsidR="004B7893" w:rsidRPr="009F119E" w:rsidRDefault="004B7893" w:rsidP="004B7893">
            <w:pPr>
              <w:spacing w:before="0"/>
              <w:rPr>
                <w:b/>
                <w:bCs/>
                <w:sz w:val="20"/>
                <w:lang w:val="es-ES_tradnl"/>
              </w:rPr>
            </w:pPr>
          </w:p>
        </w:tc>
      </w:tr>
      <w:tr w:rsidR="004B7893" w:rsidRPr="009F119E" w14:paraId="1C9614D8" w14:textId="77777777" w:rsidTr="004B7893">
        <w:trPr>
          <w:cantSplit/>
        </w:trPr>
        <w:tc>
          <w:tcPr>
            <w:tcW w:w="6663" w:type="dxa"/>
            <w:gridSpan w:val="2"/>
          </w:tcPr>
          <w:p w14:paraId="7E9F6E03" w14:textId="77777777" w:rsidR="004B7893" w:rsidRPr="009F119E" w:rsidRDefault="004B7893" w:rsidP="004B7893">
            <w:pPr>
              <w:pStyle w:val="Committee"/>
              <w:spacing w:before="0"/>
              <w:rPr>
                <w:b w:val="0"/>
                <w:lang w:val="es-ES_tradnl"/>
              </w:rPr>
            </w:pPr>
          </w:p>
        </w:tc>
        <w:tc>
          <w:tcPr>
            <w:tcW w:w="3225" w:type="dxa"/>
            <w:gridSpan w:val="2"/>
          </w:tcPr>
          <w:p w14:paraId="454C5643" w14:textId="7DF1298A" w:rsidR="004B7893" w:rsidRPr="009F119E" w:rsidRDefault="005637B9" w:rsidP="00AA076A">
            <w:pPr>
              <w:spacing w:before="0"/>
              <w:rPr>
                <w:bCs/>
                <w:lang w:val="es-ES_tradnl"/>
              </w:rPr>
            </w:pPr>
            <w:r w:rsidRPr="009F119E">
              <w:rPr>
                <w:b/>
                <w:bCs/>
                <w:lang w:val="es-ES_tradnl"/>
              </w:rPr>
              <w:t xml:space="preserve">Documento </w:t>
            </w:r>
            <w:bookmarkStart w:id="0" w:name="DocRef1"/>
            <w:bookmarkEnd w:id="0"/>
            <w:r w:rsidRPr="009F119E">
              <w:rPr>
                <w:b/>
                <w:bCs/>
                <w:lang w:val="es-ES_tradnl"/>
              </w:rPr>
              <w:t>TDAG</w:t>
            </w:r>
            <w:r w:rsidR="00602B27" w:rsidRPr="009F119E">
              <w:rPr>
                <w:b/>
                <w:bCs/>
                <w:lang w:val="es-ES_tradnl"/>
              </w:rPr>
              <w:t>-</w:t>
            </w:r>
            <w:r w:rsidR="00AA076A" w:rsidRPr="009F119E">
              <w:rPr>
                <w:b/>
                <w:bCs/>
                <w:lang w:val="es-ES_tradnl"/>
              </w:rPr>
              <w:t>2</w:t>
            </w:r>
            <w:r w:rsidR="00C85582" w:rsidRPr="009F119E">
              <w:rPr>
                <w:b/>
                <w:bCs/>
                <w:lang w:val="es-ES_tradnl"/>
              </w:rPr>
              <w:t>1</w:t>
            </w:r>
            <w:r w:rsidRPr="009F119E">
              <w:rPr>
                <w:b/>
                <w:bCs/>
                <w:lang w:val="es-ES_tradnl"/>
              </w:rPr>
              <w:t>/</w:t>
            </w:r>
            <w:bookmarkStart w:id="1" w:name="DocNo1"/>
            <w:bookmarkEnd w:id="1"/>
            <w:r w:rsidR="00200CFC" w:rsidRPr="009F119E">
              <w:rPr>
                <w:b/>
                <w:bCs/>
                <w:lang w:val="es-ES_tradnl"/>
              </w:rPr>
              <w:t>19</w:t>
            </w:r>
            <w:r w:rsidRPr="009F119E">
              <w:rPr>
                <w:b/>
                <w:bCs/>
                <w:lang w:val="es-ES_tradnl"/>
              </w:rPr>
              <w:t>-S</w:t>
            </w:r>
          </w:p>
        </w:tc>
      </w:tr>
      <w:tr w:rsidR="004B7893" w:rsidRPr="009F119E" w14:paraId="38AA1268" w14:textId="77777777" w:rsidTr="004B7893">
        <w:trPr>
          <w:cantSplit/>
        </w:trPr>
        <w:tc>
          <w:tcPr>
            <w:tcW w:w="6663" w:type="dxa"/>
            <w:gridSpan w:val="2"/>
          </w:tcPr>
          <w:p w14:paraId="44AA6767" w14:textId="77777777" w:rsidR="004B7893" w:rsidRPr="009F119E" w:rsidRDefault="004B7893" w:rsidP="004B7893">
            <w:pPr>
              <w:spacing w:before="0"/>
              <w:rPr>
                <w:b/>
                <w:bCs/>
                <w:smallCaps/>
                <w:lang w:val="es-ES_tradnl"/>
              </w:rPr>
            </w:pPr>
          </w:p>
        </w:tc>
        <w:tc>
          <w:tcPr>
            <w:tcW w:w="3225" w:type="dxa"/>
            <w:gridSpan w:val="2"/>
          </w:tcPr>
          <w:p w14:paraId="584DB874" w14:textId="60360764" w:rsidR="004B7893" w:rsidRPr="009F119E" w:rsidRDefault="00200CFC" w:rsidP="00AA076A">
            <w:pPr>
              <w:spacing w:before="0"/>
              <w:rPr>
                <w:b/>
                <w:lang w:val="es-ES_tradnl"/>
              </w:rPr>
            </w:pPr>
            <w:bookmarkStart w:id="2" w:name="CreationDate"/>
            <w:bookmarkEnd w:id="2"/>
            <w:r w:rsidRPr="009F119E">
              <w:rPr>
                <w:b/>
                <w:bCs/>
                <w:szCs w:val="28"/>
                <w:lang w:val="es-ES_tradnl"/>
              </w:rPr>
              <w:t>13 de mayo de</w:t>
            </w:r>
            <w:r w:rsidR="00BC7208" w:rsidRPr="009F119E">
              <w:rPr>
                <w:b/>
                <w:bCs/>
                <w:szCs w:val="28"/>
                <w:lang w:val="es-ES_tradnl"/>
              </w:rPr>
              <w:t xml:space="preserve"> 20</w:t>
            </w:r>
            <w:r w:rsidR="00AA076A" w:rsidRPr="009F119E">
              <w:rPr>
                <w:b/>
                <w:bCs/>
                <w:szCs w:val="28"/>
                <w:lang w:val="es-ES_tradnl"/>
              </w:rPr>
              <w:t>2</w:t>
            </w:r>
            <w:r w:rsidR="00C85582" w:rsidRPr="009F119E">
              <w:rPr>
                <w:b/>
                <w:bCs/>
                <w:szCs w:val="28"/>
                <w:lang w:val="es-ES_tradnl"/>
              </w:rPr>
              <w:t>1</w:t>
            </w:r>
          </w:p>
        </w:tc>
      </w:tr>
      <w:tr w:rsidR="004B7893" w:rsidRPr="009F119E" w14:paraId="47BA233F" w14:textId="77777777" w:rsidTr="004B7893">
        <w:trPr>
          <w:cantSplit/>
        </w:trPr>
        <w:tc>
          <w:tcPr>
            <w:tcW w:w="6663" w:type="dxa"/>
            <w:gridSpan w:val="2"/>
          </w:tcPr>
          <w:p w14:paraId="6F90F892" w14:textId="77777777" w:rsidR="004B7893" w:rsidRPr="009F119E" w:rsidRDefault="004B7893" w:rsidP="004B7893">
            <w:pPr>
              <w:spacing w:before="0"/>
              <w:rPr>
                <w:b/>
                <w:bCs/>
                <w:smallCaps/>
                <w:lang w:val="es-ES_tradnl"/>
              </w:rPr>
            </w:pPr>
          </w:p>
        </w:tc>
        <w:tc>
          <w:tcPr>
            <w:tcW w:w="3225" w:type="dxa"/>
            <w:gridSpan w:val="2"/>
          </w:tcPr>
          <w:p w14:paraId="279CDC3F" w14:textId="56598948" w:rsidR="004B7893" w:rsidRPr="009F119E" w:rsidRDefault="005637B9" w:rsidP="004B7893">
            <w:pPr>
              <w:spacing w:before="0"/>
              <w:rPr>
                <w:szCs w:val="24"/>
                <w:lang w:val="es-ES_tradnl"/>
              </w:rPr>
            </w:pPr>
            <w:r w:rsidRPr="009F119E">
              <w:rPr>
                <w:b/>
                <w:lang w:val="es-ES_tradnl"/>
              </w:rPr>
              <w:t>Original:</w:t>
            </w:r>
            <w:bookmarkStart w:id="3" w:name="Original"/>
            <w:bookmarkEnd w:id="3"/>
            <w:r w:rsidRPr="009F119E">
              <w:rPr>
                <w:b/>
                <w:lang w:val="es-ES_tradnl"/>
              </w:rPr>
              <w:t xml:space="preserve"> </w:t>
            </w:r>
            <w:r w:rsidR="00200CFC" w:rsidRPr="009F119E">
              <w:rPr>
                <w:b/>
                <w:lang w:val="es-ES_tradnl"/>
              </w:rPr>
              <w:t>inglés</w:t>
            </w:r>
          </w:p>
        </w:tc>
      </w:tr>
      <w:tr w:rsidR="004B7893" w:rsidRPr="009F119E" w14:paraId="18B34B58" w14:textId="77777777" w:rsidTr="004B7893">
        <w:trPr>
          <w:cantSplit/>
          <w:trHeight w:val="852"/>
        </w:trPr>
        <w:tc>
          <w:tcPr>
            <w:tcW w:w="9888" w:type="dxa"/>
            <w:gridSpan w:val="4"/>
          </w:tcPr>
          <w:p w14:paraId="4AE6F0DE" w14:textId="18C95913" w:rsidR="004B7893" w:rsidRPr="009F119E" w:rsidRDefault="00200CFC" w:rsidP="004B7893">
            <w:pPr>
              <w:pStyle w:val="Source"/>
              <w:rPr>
                <w:szCs w:val="28"/>
                <w:lang w:val="es-ES_tradnl"/>
              </w:rPr>
            </w:pPr>
            <w:bookmarkStart w:id="4" w:name="Source"/>
            <w:bookmarkEnd w:id="4"/>
            <w:r w:rsidRPr="009F119E">
              <w:rPr>
                <w:lang w:val="es-ES_tradnl"/>
              </w:rPr>
              <w:t>Directora de la Oficina de Desarrollo de las Telecomunicaciones</w:t>
            </w:r>
          </w:p>
        </w:tc>
      </w:tr>
      <w:tr w:rsidR="004B7893" w:rsidRPr="009F119E" w14:paraId="0445169D" w14:textId="77777777" w:rsidTr="004B7893">
        <w:trPr>
          <w:cantSplit/>
        </w:trPr>
        <w:tc>
          <w:tcPr>
            <w:tcW w:w="9888" w:type="dxa"/>
            <w:gridSpan w:val="4"/>
          </w:tcPr>
          <w:p w14:paraId="315E2884" w14:textId="59AE5EDB" w:rsidR="004B7893" w:rsidRPr="009F119E" w:rsidRDefault="00200CFC" w:rsidP="004B7893">
            <w:pPr>
              <w:pStyle w:val="Title1"/>
              <w:rPr>
                <w:bCs/>
                <w:szCs w:val="28"/>
                <w:lang w:val="es-ES_tradnl"/>
              </w:rPr>
            </w:pPr>
            <w:bookmarkStart w:id="5" w:name="Title"/>
            <w:bookmarkEnd w:id="5"/>
            <w:r w:rsidRPr="009F119E">
              <w:rPr>
                <w:lang w:val="es-ES_tradnl"/>
              </w:rPr>
              <w:t>Preparativos del Segmento Partner2Connect</w:t>
            </w:r>
            <w:r w:rsidRPr="009F119E">
              <w:rPr>
                <w:lang w:val="es-ES_tradnl"/>
              </w:rPr>
              <w:br/>
            </w:r>
            <w:r w:rsidRPr="009F119E">
              <w:rPr>
                <w:lang w:val="es-ES_tradnl"/>
              </w:rPr>
              <w:t>de la CMDT-21</w:t>
            </w:r>
          </w:p>
        </w:tc>
      </w:tr>
      <w:tr w:rsidR="004B7893" w:rsidRPr="009F119E" w14:paraId="1F085841" w14:textId="77777777" w:rsidTr="004B7893">
        <w:trPr>
          <w:cantSplit/>
        </w:trPr>
        <w:tc>
          <w:tcPr>
            <w:tcW w:w="9888" w:type="dxa"/>
            <w:gridSpan w:val="4"/>
            <w:tcBorders>
              <w:bottom w:val="single" w:sz="4" w:space="0" w:color="auto"/>
            </w:tcBorders>
          </w:tcPr>
          <w:p w14:paraId="69814386" w14:textId="77777777" w:rsidR="004B7893" w:rsidRPr="009F119E" w:rsidRDefault="004B7893" w:rsidP="00BC7208">
            <w:pPr>
              <w:rPr>
                <w:lang w:val="es-ES_tradnl"/>
              </w:rPr>
            </w:pPr>
          </w:p>
        </w:tc>
      </w:tr>
      <w:tr w:rsidR="004B7893" w:rsidRPr="009F119E" w14:paraId="56796B7F"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1E2E70A9" w14:textId="77777777" w:rsidR="004B7893" w:rsidRPr="009F119E" w:rsidRDefault="004B7893" w:rsidP="004B7893">
            <w:pPr>
              <w:spacing w:before="240"/>
              <w:rPr>
                <w:b/>
                <w:bCs/>
                <w:lang w:val="es-ES_tradnl"/>
              </w:rPr>
            </w:pPr>
            <w:r w:rsidRPr="009F119E">
              <w:rPr>
                <w:b/>
                <w:bCs/>
                <w:lang w:val="es-ES_tradnl"/>
              </w:rPr>
              <w:t>Resumen:</w:t>
            </w:r>
          </w:p>
          <w:p w14:paraId="76A4BBF6" w14:textId="255C5F27" w:rsidR="004B7893" w:rsidRPr="009F119E" w:rsidRDefault="00200CFC" w:rsidP="004B7893">
            <w:pPr>
              <w:rPr>
                <w:lang w:val="es-ES_tradnl"/>
              </w:rPr>
            </w:pPr>
            <w:r w:rsidRPr="009F119E">
              <w:rPr>
                <w:lang w:val="es-ES_tradnl"/>
              </w:rPr>
              <w:t>El Segmento Partner2Connect ofrecerá a los participantes de los gobiernos, las empresas, las organizaciones internacionales, la sociedad civil y las instituciones académicas que asistan a la CMDT, así como a quienes normalmente no asisten a esta Cumbre, una oportunidad de participar en debates de alto nivel sobre los retos y las oportunidades relacionadas con el desarrollo digital, concretar compromisos y forjar nuevas alianzas. Sus compromisos contribuirán al progreso del acceso y la utilización de las tecnologías digitales para transformar la vida de las personas en particular en los PMA, los PDSL y los PEID. Los participantes se implicarán mediante un proceso dinámico de preparación, que se coordinará con los copresidentes de las cuatro esferas de interés que integran la agenda del Segmento Partner2Connect. Estas cuatro esferas de interés abordan dimensiones peculiares, críticas para el desarrollo digital, que también se relacionan con las Prioridades Regionales identificadas durante el Proceso Preparatorio Regional de la CMDT-21</w:t>
            </w:r>
            <w:r w:rsidR="002113B8" w:rsidRPr="009F119E">
              <w:rPr>
                <w:lang w:val="es-ES_tradnl"/>
              </w:rPr>
              <w:t>.</w:t>
            </w:r>
          </w:p>
          <w:p w14:paraId="28CBD1E4" w14:textId="77777777" w:rsidR="004B7893" w:rsidRPr="009F119E" w:rsidRDefault="004B7893" w:rsidP="004B7893">
            <w:pPr>
              <w:rPr>
                <w:b/>
                <w:bCs/>
                <w:lang w:val="es-ES_tradnl"/>
              </w:rPr>
            </w:pPr>
            <w:r w:rsidRPr="009F119E">
              <w:rPr>
                <w:b/>
                <w:bCs/>
                <w:lang w:val="es-ES_tradnl"/>
              </w:rPr>
              <w:t xml:space="preserve">Acción solicitada: </w:t>
            </w:r>
          </w:p>
          <w:p w14:paraId="2E3FE5AE" w14:textId="6298078D" w:rsidR="004B7893" w:rsidRPr="009F119E" w:rsidRDefault="00200CFC" w:rsidP="004B7893">
            <w:pPr>
              <w:rPr>
                <w:lang w:val="es-ES_tradnl"/>
              </w:rPr>
            </w:pPr>
            <w:r w:rsidRPr="009F119E">
              <w:rPr>
                <w:lang w:val="es-ES_tradnl"/>
              </w:rPr>
              <w:t>Se invita al GADT a tomar nota de este documento.</w:t>
            </w:r>
          </w:p>
          <w:p w14:paraId="645B137C" w14:textId="77777777" w:rsidR="004B7893" w:rsidRPr="009F119E" w:rsidRDefault="004B7893" w:rsidP="004B7893">
            <w:pPr>
              <w:rPr>
                <w:b/>
                <w:bCs/>
                <w:lang w:val="es-ES_tradnl"/>
              </w:rPr>
            </w:pPr>
            <w:r w:rsidRPr="009F119E">
              <w:rPr>
                <w:b/>
                <w:bCs/>
                <w:lang w:val="es-ES_tradnl"/>
              </w:rPr>
              <w:t>Referencias:</w:t>
            </w:r>
          </w:p>
          <w:bookmarkStart w:id="6" w:name="lt_pId027"/>
          <w:p w14:paraId="09836B01" w14:textId="740C9A0B" w:rsidR="004B7893" w:rsidRPr="009F119E" w:rsidRDefault="00200CFC" w:rsidP="00200CFC">
            <w:pPr>
              <w:rPr>
                <w:b/>
                <w:bCs/>
                <w:lang w:val="es-ES_tradnl"/>
              </w:rPr>
            </w:pPr>
            <w:r w:rsidRPr="009F119E">
              <w:rPr>
                <w:lang w:val="es-ES_tradnl"/>
              </w:rPr>
              <w:fldChar w:fldCharType="begin"/>
            </w:r>
            <w:r w:rsidR="002113B8" w:rsidRPr="009F119E">
              <w:rPr>
                <w:lang w:val="es-ES_tradnl"/>
              </w:rPr>
              <w:instrText>HYPERLINK "https://www.itu.int/md/D18-TDAG27-C-0005/es"</w:instrText>
            </w:r>
            <w:r w:rsidR="002113B8" w:rsidRPr="009F119E">
              <w:rPr>
                <w:lang w:val="es-ES_tradnl"/>
              </w:rPr>
            </w:r>
            <w:r w:rsidRPr="009F119E">
              <w:rPr>
                <w:lang w:val="es-ES_tradnl"/>
              </w:rPr>
              <w:fldChar w:fldCharType="separate"/>
            </w:r>
            <w:r w:rsidRPr="009F119E">
              <w:rPr>
                <w:rStyle w:val="Hyperlink"/>
                <w:szCs w:val="24"/>
                <w:lang w:val="es-ES_tradnl"/>
              </w:rPr>
              <w:t>TDAG-2</w:t>
            </w:r>
            <w:r w:rsidRPr="009F119E">
              <w:rPr>
                <w:rStyle w:val="Hyperlink"/>
                <w:szCs w:val="24"/>
                <w:lang w:val="es-ES_tradnl"/>
              </w:rPr>
              <w:t>0</w:t>
            </w:r>
            <w:r w:rsidRPr="009F119E">
              <w:rPr>
                <w:rStyle w:val="Hyperlink"/>
                <w:szCs w:val="24"/>
                <w:lang w:val="es-ES_tradnl"/>
              </w:rPr>
              <w:t>/3/5</w:t>
            </w:r>
            <w:r w:rsidRPr="009F119E">
              <w:rPr>
                <w:rStyle w:val="Hyperlink"/>
                <w:szCs w:val="24"/>
                <w:lang w:val="es-ES_tradnl"/>
              </w:rPr>
              <w:fldChar w:fldCharType="end"/>
            </w:r>
            <w:r w:rsidRPr="009F119E">
              <w:rPr>
                <w:szCs w:val="24"/>
                <w:lang w:val="es-ES_tradnl"/>
              </w:rPr>
              <w:t xml:space="preserve"> y </w:t>
            </w:r>
            <w:hyperlink r:id="rId10" w:history="1">
              <w:r w:rsidRPr="009F119E">
                <w:rPr>
                  <w:rStyle w:val="Hyperlink"/>
                  <w:szCs w:val="24"/>
                  <w:lang w:val="es-ES_tradnl"/>
                </w:rPr>
                <w:t>TDAG-20/</w:t>
              </w:r>
              <w:r w:rsidRPr="009F119E">
                <w:rPr>
                  <w:rStyle w:val="Hyperlink"/>
                  <w:szCs w:val="24"/>
                  <w:lang w:val="es-ES_tradnl"/>
                </w:rPr>
                <w:t>3</w:t>
              </w:r>
              <w:r w:rsidRPr="009F119E">
                <w:rPr>
                  <w:rStyle w:val="Hyperlink"/>
                  <w:szCs w:val="24"/>
                  <w:lang w:val="es-ES_tradnl"/>
                </w:rPr>
                <w:t>/7</w:t>
              </w:r>
            </w:hyperlink>
            <w:bookmarkEnd w:id="6"/>
          </w:p>
          <w:p w14:paraId="15075CA2" w14:textId="1B398A82" w:rsidR="00200CFC" w:rsidRPr="009F119E" w:rsidRDefault="00200CFC" w:rsidP="00200CFC">
            <w:pPr>
              <w:rPr>
                <w:b/>
                <w:bCs/>
                <w:lang w:val="es-ES_tradnl"/>
              </w:rPr>
            </w:pPr>
          </w:p>
        </w:tc>
      </w:tr>
    </w:tbl>
    <w:p w14:paraId="0B1DCD44" w14:textId="77777777" w:rsidR="00835A77" w:rsidRPr="009F119E" w:rsidRDefault="00835A77" w:rsidP="00BC7208">
      <w:pPr>
        <w:rPr>
          <w:lang w:val="es-ES_tradnl"/>
        </w:rPr>
      </w:pPr>
    </w:p>
    <w:p w14:paraId="778D6950" w14:textId="77777777" w:rsidR="00AA076A" w:rsidRPr="009F119E" w:rsidRDefault="00AA076A" w:rsidP="00991B13">
      <w:pPr>
        <w:rPr>
          <w:lang w:val="es-ES_tradnl"/>
        </w:rPr>
      </w:pPr>
    </w:p>
    <w:p w14:paraId="070E111C" w14:textId="77777777" w:rsidR="00AA076A" w:rsidRPr="009F119E" w:rsidRDefault="00AA076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9F119E">
        <w:rPr>
          <w:lang w:val="es-ES_tradnl"/>
        </w:rPr>
        <w:br w:type="page"/>
      </w:r>
    </w:p>
    <w:p w14:paraId="5479FAEE" w14:textId="6B884783" w:rsidR="00200CFC" w:rsidRPr="009F119E" w:rsidRDefault="00200CFC" w:rsidP="00200CFC">
      <w:pPr>
        <w:pStyle w:val="Heading1"/>
        <w:rPr>
          <w:lang w:val="es-ES_tradnl"/>
        </w:rPr>
      </w:pPr>
      <w:r w:rsidRPr="009F119E">
        <w:rPr>
          <w:lang w:val="es-ES_tradnl"/>
        </w:rPr>
        <w:lastRenderedPageBreak/>
        <w:t>1</w:t>
      </w:r>
      <w:r w:rsidRPr="009F119E">
        <w:rPr>
          <w:lang w:val="es-ES_tradnl"/>
        </w:rPr>
        <w:tab/>
      </w:r>
      <w:r w:rsidRPr="009F119E">
        <w:rPr>
          <w:lang w:val="es-ES_tradnl"/>
        </w:rPr>
        <w:t>Antecedentes</w:t>
      </w:r>
    </w:p>
    <w:p w14:paraId="669C70AC" w14:textId="63E66708" w:rsidR="00200CFC" w:rsidRPr="009F119E" w:rsidRDefault="00200CFC" w:rsidP="00200CFC">
      <w:pPr>
        <w:rPr>
          <w:lang w:val="es-ES_tradnl"/>
        </w:rPr>
      </w:pPr>
      <w:r w:rsidRPr="009F119E">
        <w:rPr>
          <w:lang w:val="es-ES_tradnl"/>
        </w:rPr>
        <w:t xml:space="preserve">A raíz de las conversaciones preliminares con ocasión de los </w:t>
      </w:r>
      <w:hyperlink r:id="rId11" w:history="1">
        <w:r w:rsidRPr="009F119E">
          <w:rPr>
            <w:rStyle w:val="Hyperlink"/>
            <w:lang w:val="es-ES_tradnl"/>
          </w:rPr>
          <w:t>Diálogos p</w:t>
        </w:r>
        <w:r w:rsidRPr="009F119E">
          <w:rPr>
            <w:rStyle w:val="Hyperlink"/>
            <w:lang w:val="es-ES_tradnl"/>
          </w:rPr>
          <w:t>o</w:t>
        </w:r>
        <w:r w:rsidRPr="009F119E">
          <w:rPr>
            <w:rStyle w:val="Hyperlink"/>
            <w:lang w:val="es-ES_tradnl"/>
          </w:rPr>
          <w:t>r la web del GADT</w:t>
        </w:r>
      </w:hyperlink>
      <w:r w:rsidRPr="009F119E">
        <w:rPr>
          <w:lang w:val="es-ES_tradnl"/>
        </w:rPr>
        <w:t xml:space="preserve"> sobre el tema del aumento de la eficiencia de las Conferencias Mundiales de Desarrollo de las Telecomunicaciones y de la repercusión de la labor de la BDT, el GADT, en sus reuniones del 2-5 y 16 de junio de 2020, creó el Grupo de Trabajo sobre los preparativos de la CMDT (</w:t>
      </w:r>
      <w:hyperlink r:id="rId12" w:history="1">
        <w:r w:rsidRPr="009F119E">
          <w:rPr>
            <w:rStyle w:val="Hyperlink"/>
            <w:lang w:val="es-ES_tradnl"/>
          </w:rPr>
          <w:t>GADT-G</w:t>
        </w:r>
        <w:r w:rsidRPr="009F119E">
          <w:rPr>
            <w:rStyle w:val="Hyperlink"/>
            <w:lang w:val="es-ES_tradnl"/>
          </w:rPr>
          <w:t>T</w:t>
        </w:r>
        <w:r w:rsidRPr="009F119E">
          <w:rPr>
            <w:rStyle w:val="Hyperlink"/>
            <w:lang w:val="es-ES_tradnl"/>
          </w:rPr>
          <w:t>-Prep</w:t>
        </w:r>
      </w:hyperlink>
      <w:r w:rsidRPr="009F119E">
        <w:rPr>
          <w:lang w:val="es-ES_tradnl"/>
        </w:rPr>
        <w:t xml:space="preserve">) que trabajó durante el verano y el otoño de 2020 para presentar sus conclusiones y propuestas en la reunión del GADT de 23 de noviembre de 2020 (Documento </w:t>
      </w:r>
      <w:hyperlink r:id="rId13" w:history="1">
        <w:r w:rsidRPr="009F119E">
          <w:rPr>
            <w:rStyle w:val="Hyperlink"/>
            <w:lang w:val="es-ES_tradnl"/>
          </w:rPr>
          <w:t>TDAG-20</w:t>
        </w:r>
        <w:r w:rsidRPr="009F119E">
          <w:rPr>
            <w:rStyle w:val="Hyperlink"/>
            <w:lang w:val="es-ES_tradnl"/>
          </w:rPr>
          <w:t>/</w:t>
        </w:r>
        <w:r w:rsidRPr="009F119E">
          <w:rPr>
            <w:rStyle w:val="Hyperlink"/>
            <w:lang w:val="es-ES_tradnl"/>
          </w:rPr>
          <w:t>3/5</w:t>
        </w:r>
      </w:hyperlink>
      <w:r w:rsidRPr="009F119E">
        <w:rPr>
          <w:lang w:val="es-ES_tradnl"/>
        </w:rPr>
        <w:t>). Las propuestas aprobadas contienen las bases del Partner2Connect para el Desarrollo Digital:</w:t>
      </w:r>
    </w:p>
    <w:p w14:paraId="1A9B6C20" w14:textId="5108DCE9" w:rsidR="00200CFC" w:rsidRPr="009F119E" w:rsidRDefault="00200CFC" w:rsidP="00200CFC">
      <w:pPr>
        <w:pStyle w:val="enumlev1"/>
        <w:rPr>
          <w:lang w:val="es-ES_tradnl"/>
        </w:rPr>
      </w:pPr>
      <w:r w:rsidRPr="009F119E">
        <w:rPr>
          <w:lang w:val="es-ES_tradnl"/>
        </w:rPr>
        <w:t>–</w:t>
      </w:r>
      <w:r w:rsidRPr="009F119E">
        <w:rPr>
          <w:lang w:val="es-ES_tradnl"/>
        </w:rPr>
        <w:tab/>
        <w:t>El Segmento de Alto Nivel y las declaraciones de política de alto nivel podrían dar paso a una "Vía de Desarrollo", que comprendiese paneles de alto nivel, mesas redondas y debates temáticos sobre temas de desarrollo relacionados con la aplicación del Plan de Acción y el establecimiento del nuevo Plan de Acción.</w:t>
      </w:r>
    </w:p>
    <w:p w14:paraId="578FC1D8" w14:textId="3E481677" w:rsidR="00200CFC" w:rsidRPr="009F119E" w:rsidRDefault="00200CFC" w:rsidP="00200CFC">
      <w:pPr>
        <w:pStyle w:val="enumlev1"/>
        <w:rPr>
          <w:lang w:val="es-ES_tradnl"/>
        </w:rPr>
      </w:pPr>
      <w:r w:rsidRPr="009F119E">
        <w:rPr>
          <w:lang w:val="es-ES_tradnl"/>
        </w:rPr>
        <w:t>–</w:t>
      </w:r>
      <w:r w:rsidRPr="009F119E">
        <w:rPr>
          <w:lang w:val="es-ES_tradnl"/>
        </w:rPr>
        <w:tab/>
        <w:t>Ello no debería restar tiempo a la labor de la Plenaria y las comisiones de la CMDT, ni de sus grupos conexos.</w:t>
      </w:r>
    </w:p>
    <w:p w14:paraId="410C5A7A" w14:textId="36DD1788" w:rsidR="00200CFC" w:rsidRPr="009F119E" w:rsidRDefault="00200CFC" w:rsidP="00200CFC">
      <w:pPr>
        <w:pStyle w:val="enumlev1"/>
        <w:rPr>
          <w:lang w:val="es-ES_tradnl"/>
        </w:rPr>
      </w:pPr>
      <w:r w:rsidRPr="009F119E">
        <w:rPr>
          <w:lang w:val="es-ES_tradnl"/>
        </w:rPr>
        <w:t>–</w:t>
      </w:r>
      <w:r w:rsidRPr="009F119E">
        <w:rPr>
          <w:lang w:val="es-ES_tradnl"/>
        </w:rPr>
        <w:tab/>
        <w:t>Las vías temáticas deben reflejar las prioridades temáticas del UIT-D.</w:t>
      </w:r>
    </w:p>
    <w:p w14:paraId="5ADC9725" w14:textId="254EF3D8" w:rsidR="002113B8" w:rsidRPr="009F119E" w:rsidRDefault="002113B8" w:rsidP="00200CFC">
      <w:pPr>
        <w:pStyle w:val="enumlev1"/>
        <w:rPr>
          <w:lang w:val="es-ES_tradnl"/>
        </w:rPr>
      </w:pPr>
      <w:r w:rsidRPr="009F119E">
        <w:rPr>
          <w:lang w:val="es-ES_tradnl"/>
        </w:rPr>
        <w:t>–</w:t>
      </w:r>
      <w:r w:rsidRPr="009F119E">
        <w:rPr>
          <w:lang w:val="es-ES_tradnl"/>
        </w:rPr>
        <w:tab/>
      </w:r>
      <w:r w:rsidR="009F119E" w:rsidRPr="009F119E">
        <w:rPr>
          <w:lang w:val="es-ES_tradnl"/>
        </w:rPr>
        <w:t>Entre los integrantes que deben tenerse en cuenta figuran: las instituciones financieras internacionales, los bancos regionales de desarrollo, el Sistema de las Naciones Unidas, el sector privado, y otras partes interesadas pertinentes tales como organizaciones juveniles y representantes de las comunidades marginadas</w:t>
      </w:r>
      <w:r w:rsidRPr="009F119E">
        <w:rPr>
          <w:lang w:val="es-ES_tradnl"/>
        </w:rPr>
        <w:t>.</w:t>
      </w:r>
    </w:p>
    <w:p w14:paraId="11F7E073" w14:textId="0192FB4C" w:rsidR="00200CFC" w:rsidRPr="009F119E" w:rsidRDefault="00200CFC" w:rsidP="00200CFC">
      <w:pPr>
        <w:pStyle w:val="enumlev1"/>
        <w:rPr>
          <w:lang w:val="es-ES_tradnl"/>
        </w:rPr>
      </w:pPr>
      <w:r w:rsidRPr="009F119E">
        <w:rPr>
          <w:lang w:val="es-ES_tradnl"/>
        </w:rPr>
        <w:t>–</w:t>
      </w:r>
      <w:r w:rsidRPr="009F119E">
        <w:rPr>
          <w:lang w:val="es-ES_tradnl"/>
        </w:rPr>
        <w:tab/>
        <w:t>El Grupo de Trabajo propone invitar a participantes de alto nivel de Estados Miembros, Miembros de Sector, entidades del sector privado, instituciones académicas, organizaciones del sistema de las Naciones Unidas, miembros de la sociedad civil y organizaciones financieras internacionales y regionales a presidir y/o pronunciar discursos de apertura sobre el tema o temas seleccionados.</w:t>
      </w:r>
    </w:p>
    <w:p w14:paraId="6D6A655B" w14:textId="77777777" w:rsidR="00200CFC" w:rsidRPr="009F119E" w:rsidRDefault="00200CFC" w:rsidP="00200CFC">
      <w:pPr>
        <w:spacing w:after="120"/>
        <w:rPr>
          <w:rFonts w:cstheme="minorHAnsi"/>
          <w:szCs w:val="24"/>
          <w:lang w:val="es-ES_tradnl"/>
        </w:rPr>
      </w:pPr>
      <w:r w:rsidRPr="009F119E">
        <w:rPr>
          <w:rFonts w:cstheme="minorHAnsi"/>
          <w:szCs w:val="24"/>
          <w:lang w:val="es-ES_tradnl"/>
        </w:rPr>
        <w:t>Durante el Proceso Preparatorio Regional para la CMDT-21, los Miembros coincidieron en la identificación de la importancia de una conectividad resiliente y fiable, del empoderamiento de las comunidades y de la transformación digital como Prioridades Regionales. En este contexto, el evento Partner2Connect para el Desarrollo Digital (P2C) de la CMDT-21 ofrecerá a los líderes de todos los integrantes del UIT-D (Miembros, Miembros de Sector, líderes de otros sectores privados y de las instituciones académicas, la sociedad civil, y las organizaciones internacionales/multilaterales) la oportunidad de debatir los retos clave del desarrollo digital y las posibilidades de lograr una conectividad universal significativa.</w:t>
      </w:r>
    </w:p>
    <w:p w14:paraId="09DC9816" w14:textId="6EC3282E" w:rsidR="00200CFC" w:rsidRPr="009F119E" w:rsidRDefault="00200CFC" w:rsidP="00200CFC">
      <w:pPr>
        <w:spacing w:after="120"/>
        <w:rPr>
          <w:rFonts w:cstheme="minorHAnsi"/>
          <w:szCs w:val="24"/>
          <w:lang w:val="es-ES_tradnl"/>
        </w:rPr>
      </w:pPr>
      <w:r w:rsidRPr="009F119E">
        <w:rPr>
          <w:rFonts w:cstheme="minorHAnsi"/>
          <w:szCs w:val="24"/>
          <w:lang w:val="es-ES_tradnl"/>
        </w:rPr>
        <w:t>El evento P2C se organiza en reconocimiento de las alianzas como factor de impulso crítico para alcanzar las Prioridades Regionales del UIT-D y los Objetivos del Desarrollo Sostenible (ODS). El cúmulo de recursos que se necesitan exige la constitución de alianzas mundiales y nuevos modelos de colaboración con todas las partes interesadas.</w:t>
      </w:r>
    </w:p>
    <w:p w14:paraId="32B1DB8F" w14:textId="3A70E752" w:rsidR="00200CFC" w:rsidRPr="009F119E" w:rsidRDefault="00200CFC" w:rsidP="00200CFC">
      <w:pPr>
        <w:pStyle w:val="Heading1"/>
        <w:rPr>
          <w:lang w:val="es-ES_tradnl"/>
        </w:rPr>
      </w:pPr>
      <w:bookmarkStart w:id="7" w:name="lt_pId040"/>
      <w:r w:rsidRPr="009F119E">
        <w:rPr>
          <w:lang w:val="es-ES_tradnl"/>
        </w:rPr>
        <w:t>2</w:t>
      </w:r>
      <w:r w:rsidRPr="009F119E">
        <w:rPr>
          <w:lang w:val="es-ES_tradnl"/>
        </w:rPr>
        <w:tab/>
      </w:r>
      <w:r w:rsidRPr="009F119E">
        <w:rPr>
          <w:lang w:val="es-ES_tradnl"/>
        </w:rPr>
        <w:t>Participantes</w:t>
      </w:r>
      <w:bookmarkEnd w:id="7"/>
    </w:p>
    <w:p w14:paraId="6C40C182" w14:textId="77777777" w:rsidR="00200CFC" w:rsidRPr="009F119E" w:rsidRDefault="00200CFC" w:rsidP="00200CFC">
      <w:pPr>
        <w:spacing w:after="120"/>
        <w:rPr>
          <w:rFonts w:cstheme="minorHAnsi"/>
          <w:szCs w:val="24"/>
          <w:lang w:val="es-ES_tradnl"/>
        </w:rPr>
      </w:pPr>
      <w:r w:rsidRPr="009F119E">
        <w:rPr>
          <w:rFonts w:cstheme="minorHAnsi"/>
          <w:szCs w:val="24"/>
          <w:lang w:val="es-ES_tradnl"/>
        </w:rPr>
        <w:t xml:space="preserve">En consonancia con las directrices del GADT, los participantes en el segmento P2C de la CMDT-21 serán líderes de los gobiernos, las empresas, las organizaciones internacionales, la sociedad civil y las instituciones académicas. P2C pretende atraer participantes y organizaciones que normalmente no asisten a la CMDT pero que son críticos para el progreso de la conectividad digital y el desarrollo en el contexto de los ODS, y para posicionar al Sector UIT-D como plataforma clave para el progreso de esta agenda. </w:t>
      </w:r>
      <w:r w:rsidRPr="009F119E">
        <w:rPr>
          <w:rFonts w:cstheme="minorHAnsi"/>
          <w:szCs w:val="24"/>
          <w:u w:val="single"/>
          <w:lang w:val="es-ES_tradnl"/>
        </w:rPr>
        <w:t xml:space="preserve">Se invitará a participantes al máximo nivel a los que se unirán los </w:t>
      </w:r>
      <w:r w:rsidRPr="009F119E">
        <w:rPr>
          <w:rFonts w:cstheme="minorHAnsi"/>
          <w:szCs w:val="24"/>
          <w:u w:val="single"/>
          <w:lang w:val="es-ES_tradnl"/>
        </w:rPr>
        <w:lastRenderedPageBreak/>
        <w:t>Ministros y altos funcionarios que asistan a la CMDT-21, con un formato interactivo e impactante que proporcionará una mejor experiencia a todos los asistentes</w:t>
      </w:r>
      <w:r w:rsidRPr="009F119E">
        <w:rPr>
          <w:rFonts w:cstheme="minorHAnsi"/>
          <w:szCs w:val="24"/>
          <w:lang w:val="es-ES_tradnl"/>
        </w:rPr>
        <w:t>.</w:t>
      </w:r>
    </w:p>
    <w:p w14:paraId="0B4C79C9" w14:textId="48F646BA" w:rsidR="00200CFC" w:rsidRPr="009F119E" w:rsidRDefault="00200CFC" w:rsidP="00200CFC">
      <w:pPr>
        <w:pStyle w:val="Heading1"/>
        <w:rPr>
          <w:lang w:val="es-ES_tradnl"/>
        </w:rPr>
      </w:pPr>
      <w:r w:rsidRPr="009F119E">
        <w:rPr>
          <w:lang w:val="es-ES_tradnl"/>
        </w:rPr>
        <w:t>3</w:t>
      </w:r>
      <w:r w:rsidRPr="009F119E">
        <w:rPr>
          <w:lang w:val="es-ES_tradnl"/>
        </w:rPr>
        <w:tab/>
      </w:r>
      <w:r w:rsidRPr="009F119E">
        <w:rPr>
          <w:lang w:val="es-ES_tradnl"/>
        </w:rPr>
        <w:t>Objetivos del Segmento Partner2Connect de la CMDT-21</w:t>
      </w:r>
    </w:p>
    <w:p w14:paraId="0FE8DAAE" w14:textId="77777777" w:rsidR="00200CFC" w:rsidRPr="009F119E" w:rsidRDefault="00200CFC" w:rsidP="00200CFC">
      <w:pPr>
        <w:spacing w:after="120"/>
        <w:rPr>
          <w:rFonts w:cstheme="minorHAnsi"/>
          <w:szCs w:val="24"/>
          <w:lang w:val="es-ES_tradnl"/>
        </w:rPr>
      </w:pPr>
      <w:r w:rsidRPr="009F119E">
        <w:rPr>
          <w:rFonts w:cstheme="minorHAnsi"/>
          <w:szCs w:val="24"/>
          <w:lang w:val="es-ES_tradnl"/>
        </w:rPr>
        <w:t>Este Segmento se orientará a los siguientes objetivos:</w:t>
      </w:r>
    </w:p>
    <w:p w14:paraId="731A03B3" w14:textId="42D5719E" w:rsidR="00200CFC" w:rsidRPr="009F119E" w:rsidRDefault="00200CFC" w:rsidP="00200CFC">
      <w:pPr>
        <w:pStyle w:val="enumlev1"/>
        <w:rPr>
          <w:lang w:val="es-ES_tradnl"/>
        </w:rPr>
      </w:pPr>
      <w:r w:rsidRPr="009F119E">
        <w:rPr>
          <w:lang w:val="es-ES_tradnl"/>
        </w:rPr>
        <w:t>–</w:t>
      </w:r>
      <w:r w:rsidRPr="009F119E">
        <w:rPr>
          <w:lang w:val="es-ES_tradnl"/>
        </w:rPr>
        <w:tab/>
      </w:r>
      <w:r w:rsidRPr="009F119E">
        <w:rPr>
          <w:lang w:val="es-ES_tradnl"/>
        </w:rPr>
        <w:t>Conseguir un compromiso significativo de los participantes con la promoción del acceso y la utilización de la conectividad digital para transformar la vida de las personas en los PMA, los PDSL y los PEID</w:t>
      </w:r>
      <w:r w:rsidR="007D5623" w:rsidRPr="009F119E">
        <w:rPr>
          <w:lang w:val="es-ES_tradnl"/>
        </w:rPr>
        <w:t>.</w:t>
      </w:r>
    </w:p>
    <w:p w14:paraId="480CD699" w14:textId="44F22863" w:rsidR="00200CFC" w:rsidRPr="009F119E" w:rsidRDefault="00200CFC" w:rsidP="00200CFC">
      <w:pPr>
        <w:pStyle w:val="enumlev1"/>
        <w:rPr>
          <w:lang w:val="es-ES_tradnl"/>
        </w:rPr>
      </w:pPr>
      <w:r w:rsidRPr="009F119E">
        <w:rPr>
          <w:lang w:val="es-ES_tradnl"/>
        </w:rPr>
        <w:t>–</w:t>
      </w:r>
      <w:r w:rsidRPr="009F119E">
        <w:rPr>
          <w:lang w:val="es-ES_tradnl"/>
        </w:rPr>
        <w:tab/>
      </w:r>
      <w:r w:rsidRPr="009F119E">
        <w:rPr>
          <w:lang w:val="es-ES_tradnl"/>
        </w:rPr>
        <w:t>Impulsar el progreso de las Prioridades Regionales</w:t>
      </w:r>
      <w:r w:rsidR="007D5623" w:rsidRPr="009F119E">
        <w:rPr>
          <w:lang w:val="es-ES_tradnl"/>
        </w:rPr>
        <w:t>.</w:t>
      </w:r>
    </w:p>
    <w:p w14:paraId="2F918D11" w14:textId="50CF77AA" w:rsidR="00200CFC" w:rsidRPr="009F119E" w:rsidRDefault="00200CFC" w:rsidP="00200CFC">
      <w:pPr>
        <w:pStyle w:val="enumlev1"/>
        <w:rPr>
          <w:lang w:val="es-ES_tradnl"/>
        </w:rPr>
      </w:pPr>
      <w:r w:rsidRPr="009F119E">
        <w:rPr>
          <w:lang w:val="es-ES_tradnl"/>
        </w:rPr>
        <w:t>–</w:t>
      </w:r>
      <w:r w:rsidRPr="009F119E">
        <w:rPr>
          <w:lang w:val="es-ES_tradnl"/>
        </w:rPr>
        <w:tab/>
      </w:r>
      <w:r w:rsidRPr="009F119E">
        <w:rPr>
          <w:lang w:val="es-ES_tradnl"/>
        </w:rPr>
        <w:t>Lograr un amplia implicación e identificación de los asociados clave mediante la creación de Grupos de Trabajo y el nombramiento de copresidentes de los Grupos de Trabajo para las cuatro esferas de interés del Segmento</w:t>
      </w:r>
      <w:r w:rsidR="007D5623" w:rsidRPr="009F119E">
        <w:rPr>
          <w:lang w:val="es-ES_tradnl"/>
        </w:rPr>
        <w:t>.</w:t>
      </w:r>
    </w:p>
    <w:p w14:paraId="7DDD84B6" w14:textId="45B65583" w:rsidR="00200CFC" w:rsidRPr="009F119E" w:rsidRDefault="00200CFC" w:rsidP="00200CFC">
      <w:pPr>
        <w:pStyle w:val="enumlev1"/>
        <w:rPr>
          <w:lang w:val="es-ES_tradnl"/>
        </w:rPr>
      </w:pPr>
      <w:r w:rsidRPr="009F119E">
        <w:rPr>
          <w:lang w:val="es-ES_tradnl"/>
        </w:rPr>
        <w:t>–</w:t>
      </w:r>
      <w:r w:rsidRPr="009F119E">
        <w:rPr>
          <w:lang w:val="es-ES_tradnl"/>
        </w:rPr>
        <w:tab/>
      </w:r>
      <w:r w:rsidRPr="009F119E">
        <w:rPr>
          <w:lang w:val="es-ES_tradnl"/>
        </w:rPr>
        <w:t>Conseguir la armonización con otras declaraciones y compromisos reconocidos internacionalmente, entre ellos la Comisión sobre la Banda Ancha, la Hoja de Ruta de la Cooperación Digital de la Secretaría General de las Naciones Unidas, y la 5ª Conferencia de las Naciones Unidas sobre los Países Menos Adelantados (LDC5) prevista para enero de</w:t>
      </w:r>
      <w:r w:rsidR="007D5623" w:rsidRPr="009F119E">
        <w:rPr>
          <w:lang w:val="es-ES_tradnl"/>
        </w:rPr>
        <w:t> </w:t>
      </w:r>
      <w:r w:rsidRPr="009F119E">
        <w:rPr>
          <w:lang w:val="es-ES_tradnl"/>
        </w:rPr>
        <w:t>2022.</w:t>
      </w:r>
    </w:p>
    <w:p w14:paraId="36393B85" w14:textId="77777777" w:rsidR="00200CFC" w:rsidRPr="009F119E" w:rsidRDefault="00200CFC" w:rsidP="00200CFC">
      <w:pPr>
        <w:rPr>
          <w:lang w:val="es-ES_tradnl"/>
        </w:rPr>
      </w:pPr>
      <w:r w:rsidRPr="009F119E">
        <w:rPr>
          <w:lang w:val="es-ES_tradnl"/>
        </w:rPr>
        <w:t>Con la organización del Segmento Partner2Connect, se prevé obtener los siguientes resultados:</w:t>
      </w:r>
    </w:p>
    <w:p w14:paraId="4CAD2B77" w14:textId="420CF8B7" w:rsidR="00200CFC" w:rsidRPr="009F119E" w:rsidRDefault="00200CFC" w:rsidP="00200CFC">
      <w:pPr>
        <w:pStyle w:val="enumlev1"/>
        <w:rPr>
          <w:lang w:val="es-ES_tradnl"/>
        </w:rPr>
      </w:pPr>
      <w:r w:rsidRPr="009F119E">
        <w:rPr>
          <w:lang w:val="es-ES_tradnl"/>
        </w:rPr>
        <w:t>–</w:t>
      </w:r>
      <w:r w:rsidRPr="009F119E">
        <w:rPr>
          <w:lang w:val="es-ES_tradnl"/>
        </w:rPr>
        <w:tab/>
        <w:t>Se pondrá en marcha la Coalición Digital Partner2Connect de la CMDT-21</w:t>
      </w:r>
      <w:r w:rsidR="007D5623" w:rsidRPr="009F119E">
        <w:rPr>
          <w:lang w:val="es-ES_tradnl"/>
        </w:rPr>
        <w:t>.</w:t>
      </w:r>
    </w:p>
    <w:p w14:paraId="2A695F61" w14:textId="6B0BF9F5" w:rsidR="00200CFC" w:rsidRPr="009F119E" w:rsidRDefault="00200CFC" w:rsidP="00200CFC">
      <w:pPr>
        <w:pStyle w:val="enumlev1"/>
        <w:rPr>
          <w:lang w:val="es-ES_tradnl"/>
        </w:rPr>
      </w:pPr>
      <w:r w:rsidRPr="009F119E">
        <w:rPr>
          <w:lang w:val="es-ES_tradnl"/>
        </w:rPr>
        <w:t>–</w:t>
      </w:r>
      <w:r w:rsidRPr="009F119E">
        <w:rPr>
          <w:lang w:val="es-ES_tradnl"/>
        </w:rPr>
        <w:tab/>
        <w:t>Un proceso preparatorio de la CMDT-21 y Partner2Connect</w:t>
      </w:r>
      <w:r w:rsidR="007D5623" w:rsidRPr="009F119E">
        <w:rPr>
          <w:lang w:val="es-ES_tradnl"/>
        </w:rPr>
        <w:t>.</w:t>
      </w:r>
    </w:p>
    <w:p w14:paraId="277CDC57" w14:textId="458122EA" w:rsidR="00200CFC" w:rsidRPr="009F119E" w:rsidRDefault="00200CFC" w:rsidP="00200CFC">
      <w:pPr>
        <w:pStyle w:val="enumlev1"/>
        <w:rPr>
          <w:lang w:val="es-ES_tradnl"/>
        </w:rPr>
      </w:pPr>
      <w:r w:rsidRPr="009F119E">
        <w:rPr>
          <w:lang w:val="es-ES_tradnl"/>
        </w:rPr>
        <w:t>–</w:t>
      </w:r>
      <w:r w:rsidRPr="009F119E">
        <w:rPr>
          <w:lang w:val="es-ES_tradnl"/>
        </w:rPr>
        <w:tab/>
        <w:t>Actividades de seguimiento tras la CMDT-21, entre ellas la elaboración periódica de informes sobre los compromisos suscritos por los signatarios de la coalición y sobre la situación con respecto a las Prioridades Regionales.</w:t>
      </w:r>
    </w:p>
    <w:p w14:paraId="15189FB6" w14:textId="3CE11626" w:rsidR="00200CFC" w:rsidRPr="009F119E" w:rsidRDefault="00200CFC" w:rsidP="00200CFC">
      <w:pPr>
        <w:pStyle w:val="Heading1"/>
        <w:rPr>
          <w:lang w:val="es-ES_tradnl"/>
        </w:rPr>
      </w:pPr>
      <w:r w:rsidRPr="009F119E">
        <w:rPr>
          <w:lang w:val="es-ES_tradnl"/>
        </w:rPr>
        <w:t>4</w:t>
      </w:r>
      <w:r w:rsidRPr="009F119E">
        <w:rPr>
          <w:lang w:val="es-ES_tradnl"/>
        </w:rPr>
        <w:tab/>
      </w:r>
      <w:r w:rsidRPr="009F119E">
        <w:rPr>
          <w:lang w:val="es-ES_tradnl"/>
        </w:rPr>
        <w:t>Formato, contenidos y diseño del Segmento Partner2Connect</w:t>
      </w:r>
    </w:p>
    <w:p w14:paraId="6CB3B2ED" w14:textId="11C37FE3" w:rsidR="00200CFC" w:rsidRPr="009F119E" w:rsidRDefault="00200CFC" w:rsidP="00200CFC">
      <w:pPr>
        <w:spacing w:after="120"/>
        <w:rPr>
          <w:rFonts w:cstheme="minorHAnsi"/>
          <w:szCs w:val="24"/>
          <w:lang w:val="es-ES_tradnl"/>
        </w:rPr>
      </w:pPr>
      <w:r w:rsidRPr="009F119E">
        <w:rPr>
          <w:rFonts w:cstheme="minorHAnsi"/>
          <w:szCs w:val="24"/>
          <w:lang w:val="es-ES_tradnl"/>
        </w:rPr>
        <w:t>El Segmento Partner2Connect durará dos días y medio y comenzará en la tarde del segundo día de la CMDT-21. Se organizará en torno a cuatro esferas de interés:</w:t>
      </w:r>
    </w:p>
    <w:p w14:paraId="44E41593" w14:textId="74D6E73A" w:rsidR="00200CFC" w:rsidRPr="009F119E" w:rsidRDefault="00200CFC" w:rsidP="00200CFC">
      <w:pPr>
        <w:spacing w:after="120"/>
        <w:rPr>
          <w:rFonts w:cstheme="minorHAnsi"/>
          <w:szCs w:val="24"/>
          <w:lang w:val="es-ES_tradnl"/>
        </w:rPr>
      </w:pPr>
      <w:r w:rsidRPr="009F119E">
        <w:rPr>
          <w:rFonts w:cstheme="minorHAnsi"/>
          <w:b/>
          <w:bCs/>
          <w:szCs w:val="24"/>
          <w:lang w:val="es-ES_tradnl"/>
        </w:rPr>
        <w:t>CONECTAR A LAS PERSONAS EN CUALQUIER LUGAR</w:t>
      </w:r>
      <w:r w:rsidRPr="009F119E">
        <w:rPr>
          <w:rFonts w:cstheme="minorHAnsi"/>
          <w:szCs w:val="24"/>
          <w:lang w:val="es-ES_tradnl"/>
        </w:rPr>
        <w:t xml:space="preserve"> – Conectividad resiliente y fiable para todos</w:t>
      </w:r>
      <w:r w:rsidR="009A5F98" w:rsidRPr="009F119E">
        <w:rPr>
          <w:rFonts w:cstheme="minorHAnsi"/>
          <w:szCs w:val="24"/>
          <w:lang w:val="es-ES_tradnl"/>
        </w:rPr>
        <w:t>.</w:t>
      </w:r>
    </w:p>
    <w:p w14:paraId="7D1C7C65" w14:textId="650CC336" w:rsidR="00200CFC" w:rsidRPr="009F119E" w:rsidRDefault="00200CFC" w:rsidP="00200CFC">
      <w:pPr>
        <w:spacing w:after="120"/>
        <w:rPr>
          <w:rFonts w:cstheme="minorHAnsi"/>
          <w:szCs w:val="24"/>
          <w:lang w:val="es-ES_tradnl"/>
        </w:rPr>
      </w:pPr>
      <w:r w:rsidRPr="009F119E">
        <w:rPr>
          <w:rFonts w:cstheme="minorHAnsi"/>
          <w:b/>
          <w:bCs/>
          <w:szCs w:val="24"/>
          <w:lang w:val="es-ES_tradnl"/>
        </w:rPr>
        <w:t>EMPODERAR LAS COMUNIDADES</w:t>
      </w:r>
      <w:r w:rsidRPr="009F119E">
        <w:rPr>
          <w:rFonts w:cstheme="minorHAnsi"/>
          <w:szCs w:val="24"/>
          <w:lang w:val="es-ES_tradnl"/>
        </w:rPr>
        <w:t xml:space="preserve"> – Que todas las personas tengan acceso a los servicios digitales pertinentes y los conocimientos y recursos necesarios para maximizar su potencial</w:t>
      </w:r>
      <w:r w:rsidR="009A5F98" w:rsidRPr="009F119E">
        <w:rPr>
          <w:rFonts w:cstheme="minorHAnsi"/>
          <w:szCs w:val="24"/>
          <w:lang w:val="es-ES_tradnl"/>
        </w:rPr>
        <w:t>.</w:t>
      </w:r>
    </w:p>
    <w:p w14:paraId="48DD2048" w14:textId="50A0DDF7" w:rsidR="00200CFC" w:rsidRPr="009F119E" w:rsidRDefault="00200CFC" w:rsidP="00200CFC">
      <w:pPr>
        <w:spacing w:after="120"/>
        <w:rPr>
          <w:rFonts w:cstheme="minorHAnsi"/>
          <w:szCs w:val="24"/>
          <w:lang w:val="es-ES_tradnl"/>
        </w:rPr>
      </w:pPr>
      <w:r w:rsidRPr="009F119E">
        <w:rPr>
          <w:rFonts w:cstheme="minorHAnsi"/>
          <w:b/>
          <w:bCs/>
          <w:szCs w:val="24"/>
          <w:lang w:val="es-ES_tradnl"/>
        </w:rPr>
        <w:t>CREAR ECOSISTEMAS DIGITALES</w:t>
      </w:r>
      <w:r w:rsidRPr="009F119E">
        <w:rPr>
          <w:rFonts w:cstheme="minorHAnsi"/>
          <w:szCs w:val="24"/>
          <w:lang w:val="es-ES_tradnl"/>
        </w:rPr>
        <w:t xml:space="preserve"> – Proporcionar el liderazgo propicio y la capacidad de innovación, la iniciativa empresarial y los marcos de políticas y reglamentación necesarios para transformar digitalmente los ecosistemas</w:t>
      </w:r>
      <w:r w:rsidR="009A5F98" w:rsidRPr="009F119E">
        <w:rPr>
          <w:rFonts w:cstheme="minorHAnsi"/>
          <w:szCs w:val="24"/>
          <w:lang w:val="es-ES_tradnl"/>
        </w:rPr>
        <w:t>.</w:t>
      </w:r>
    </w:p>
    <w:p w14:paraId="662C5214" w14:textId="77777777" w:rsidR="00200CFC" w:rsidRPr="009F119E" w:rsidRDefault="00200CFC" w:rsidP="00200CFC">
      <w:pPr>
        <w:spacing w:after="120"/>
        <w:rPr>
          <w:rFonts w:cstheme="minorHAnsi"/>
          <w:szCs w:val="24"/>
          <w:lang w:val="es-ES_tradnl"/>
        </w:rPr>
      </w:pPr>
      <w:r w:rsidRPr="009F119E">
        <w:rPr>
          <w:rFonts w:cstheme="minorHAnsi"/>
          <w:b/>
          <w:bCs/>
          <w:szCs w:val="24"/>
          <w:lang w:val="es-ES_tradnl"/>
        </w:rPr>
        <w:t>INCENTIVAR LAS INVERSIONES</w:t>
      </w:r>
      <w:r w:rsidRPr="009F119E">
        <w:rPr>
          <w:rFonts w:cstheme="minorHAnsi"/>
          <w:szCs w:val="24"/>
          <w:lang w:val="es-ES_tradnl"/>
        </w:rPr>
        <w:t xml:space="preserve"> – Crear modelos de inversión e instrumentos de financiación que incentiven nuevas formas de inversión de fuentes tanto tradicionales como no tradicionales.</w:t>
      </w:r>
    </w:p>
    <w:p w14:paraId="4D55C6FF" w14:textId="77777777" w:rsidR="00200CFC" w:rsidRPr="009F119E" w:rsidRDefault="00200CFC" w:rsidP="00200CFC">
      <w:pPr>
        <w:spacing w:after="120"/>
        <w:rPr>
          <w:rFonts w:cstheme="minorHAnsi"/>
          <w:szCs w:val="24"/>
          <w:lang w:val="es-ES_tradnl"/>
        </w:rPr>
      </w:pPr>
      <w:r w:rsidRPr="009F119E">
        <w:rPr>
          <w:rFonts w:cstheme="minorHAnsi"/>
          <w:szCs w:val="24"/>
          <w:lang w:val="es-ES_tradnl"/>
        </w:rPr>
        <w:t>Cada esfera de interés contará con 3 o 4 copresidentes, entre ellos 1-2 de entre los Miembros, 1 del sector privado, y 1 de la sociedad civil y las Organizaciones Internacionales. Los copresidentes de estas esferas de interés dirigirán el proceso preparatorio y facilitarán la elaboración de compromisos concretos de cada esfera de interés para anunciarlos en el Segmento Partner2Connect. Este Segmento podrá incluir actividades tales como: mesas redondas, debates en grupos reducidos, compromisos de la plenaria, y la ceremonia de firma de la coalición.</w:t>
      </w:r>
    </w:p>
    <w:p w14:paraId="6EBFF688" w14:textId="77777777" w:rsidR="00200CFC" w:rsidRPr="009F119E" w:rsidRDefault="00200CFC" w:rsidP="00200CFC">
      <w:pPr>
        <w:spacing w:after="120"/>
        <w:rPr>
          <w:rFonts w:cstheme="minorHAnsi"/>
          <w:szCs w:val="24"/>
          <w:lang w:val="es-ES_tradnl"/>
        </w:rPr>
      </w:pPr>
      <w:r w:rsidRPr="009F119E">
        <w:rPr>
          <w:rFonts w:cstheme="minorHAnsi"/>
          <w:szCs w:val="24"/>
          <w:lang w:val="es-ES_tradnl"/>
        </w:rPr>
        <w:lastRenderedPageBreak/>
        <w:t>En virtud de los principios aprobados por el GADT, los grupos de expertos, las mesas redondas y los debates en grupo incluirán o serán presididos/moderados por participantes de alto nivel de entre los Miembros. Además, es posible que otros participantes de alto nivel deseen grabar mensajes de video para reproducirlos en las salas de reunión y las pantallas repartidas por el recinto de la Conferencia, durante los descansos.</w:t>
      </w:r>
    </w:p>
    <w:p w14:paraId="1F519441" w14:textId="11BA4E66" w:rsidR="00200CFC" w:rsidRPr="009F119E" w:rsidRDefault="00200CFC" w:rsidP="00200CFC">
      <w:pPr>
        <w:pStyle w:val="Heading1"/>
        <w:rPr>
          <w:lang w:val="es-ES_tradnl"/>
        </w:rPr>
      </w:pPr>
      <w:r w:rsidRPr="009F119E">
        <w:rPr>
          <w:lang w:val="es-ES_tradnl"/>
        </w:rPr>
        <w:t>5</w:t>
      </w:r>
      <w:r w:rsidRPr="009F119E">
        <w:rPr>
          <w:lang w:val="es-ES_tradnl"/>
        </w:rPr>
        <w:tab/>
      </w:r>
      <w:r w:rsidRPr="009F119E">
        <w:rPr>
          <w:lang w:val="es-ES_tradnl"/>
        </w:rPr>
        <w:t>Implicación de los asociados</w:t>
      </w:r>
    </w:p>
    <w:p w14:paraId="17B14E7E" w14:textId="6E53FB05" w:rsidR="00200CFC" w:rsidRPr="009F119E" w:rsidRDefault="00200CFC" w:rsidP="00200CFC">
      <w:pPr>
        <w:spacing w:after="120"/>
        <w:rPr>
          <w:rFonts w:cstheme="minorHAnsi"/>
          <w:szCs w:val="24"/>
          <w:lang w:val="es-ES_tradnl"/>
        </w:rPr>
      </w:pPr>
      <w:r w:rsidRPr="009F119E">
        <w:rPr>
          <w:rFonts w:cstheme="minorHAnsi"/>
          <w:szCs w:val="24"/>
          <w:lang w:val="es-ES_tradnl"/>
        </w:rPr>
        <w:t xml:space="preserve">La BDT piensa invitar a importantes asociados pertinentes como copresidentes de las esferas de interés y para identificar asociados potenciales para este Segmento. Los copresidentes en representación de los Miembros se elegirán de entre las seis Regiones y asumirán las Prioridades Regionales. </w:t>
      </w:r>
      <w:bookmarkStart w:id="8" w:name="_Hlk72408011"/>
      <w:r w:rsidR="00674A44" w:rsidRPr="009F119E">
        <w:rPr>
          <w:rFonts w:cstheme="minorHAnsi"/>
          <w:szCs w:val="24"/>
          <w:lang w:val="es-ES_tradnl"/>
        </w:rPr>
        <w:t>Los copresidentes apoyarán a la BDT para conseguir la participación de nuevos grupos integrantes, un diálogo fluido con una amplio conjunto de interesados durante los preparativos de la CMDT-21, compromisos significativos en el segmento Partner2Connect, y un seguimiento constante y la elaboración de informes tras la CMDT-21.</w:t>
      </w:r>
    </w:p>
    <w:bookmarkEnd w:id="8"/>
    <w:p w14:paraId="203460C5" w14:textId="77777777" w:rsidR="00200CFC" w:rsidRPr="009F119E" w:rsidRDefault="00200CFC" w:rsidP="0032202E">
      <w:pPr>
        <w:pStyle w:val="Reasons"/>
        <w:rPr>
          <w:lang w:val="es-ES_tradnl"/>
        </w:rPr>
      </w:pPr>
    </w:p>
    <w:p w14:paraId="147122A3" w14:textId="77777777" w:rsidR="00200CFC" w:rsidRPr="009F119E" w:rsidRDefault="00200CFC">
      <w:pPr>
        <w:jc w:val="center"/>
        <w:rPr>
          <w:lang w:val="es-ES_tradnl"/>
        </w:rPr>
      </w:pPr>
      <w:r w:rsidRPr="009F119E">
        <w:rPr>
          <w:lang w:val="es-ES_tradnl"/>
        </w:rPr>
        <w:t>______________</w:t>
      </w:r>
    </w:p>
    <w:sectPr w:rsidR="00200CFC" w:rsidRPr="009F119E" w:rsidSect="004B7893">
      <w:headerReference w:type="default" r:id="rId14"/>
      <w:footerReference w:type="default" r:id="rId15"/>
      <w:footerReference w:type="first" r:id="rId1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0C32" w14:textId="77777777" w:rsidR="00200CFC" w:rsidRDefault="00200CFC" w:rsidP="0088106F">
      <w:r>
        <w:separator/>
      </w:r>
    </w:p>
  </w:endnote>
  <w:endnote w:type="continuationSeparator" w:id="0">
    <w:p w14:paraId="3C64F592" w14:textId="77777777" w:rsidR="00200CFC" w:rsidRDefault="00200CF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2B99" w14:textId="0174F453" w:rsidR="0088106F" w:rsidRPr="009A6FC4" w:rsidRDefault="009F119E" w:rsidP="009A6FC4">
    <w:pPr>
      <w:pStyle w:val="Footer"/>
    </w:pPr>
    <w:r>
      <w:fldChar w:fldCharType="begin"/>
    </w:r>
    <w:r>
      <w:instrText xml:space="preserve"> FILENAME \p  \* MERGEFORMAT </w:instrText>
    </w:r>
    <w:r>
      <w:fldChar w:fldCharType="separate"/>
    </w:r>
    <w:r w:rsidR="00295E0D">
      <w:t>P:\ESP\ITU-D\CONF-D\TDAG21\000\019S.docx</w:t>
    </w:r>
    <w:r>
      <w:fldChar w:fldCharType="end"/>
    </w:r>
    <w:r w:rsidR="00295E0D">
      <w:t xml:space="preserve"> (486977)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FC2964" w14:paraId="67A7D6C6" w14:textId="77777777" w:rsidTr="004E3CF5">
      <w:tc>
        <w:tcPr>
          <w:tcW w:w="1134" w:type="dxa"/>
          <w:tcBorders>
            <w:top w:val="single" w:sz="4" w:space="0" w:color="000000"/>
          </w:tcBorders>
          <w:shd w:val="clear" w:color="auto" w:fill="auto"/>
        </w:tcPr>
        <w:p w14:paraId="5F6D0CD6" w14:textId="77777777" w:rsidR="009D1BD4" w:rsidRPr="00FC2964" w:rsidRDefault="009D1BD4" w:rsidP="009D1BD4">
          <w:pPr>
            <w:pStyle w:val="FirstFooter"/>
            <w:tabs>
              <w:tab w:val="left" w:pos="1559"/>
              <w:tab w:val="left" w:pos="3828"/>
            </w:tabs>
            <w:rPr>
              <w:sz w:val="18"/>
              <w:szCs w:val="18"/>
              <w:lang w:val="es-ES_tradnl"/>
            </w:rPr>
          </w:pPr>
          <w:r w:rsidRPr="00FC2964">
            <w:rPr>
              <w:sz w:val="18"/>
              <w:szCs w:val="18"/>
              <w:lang w:val="es-ES_tradnl"/>
            </w:rPr>
            <w:t>Contacto:</w:t>
          </w:r>
        </w:p>
      </w:tc>
      <w:tc>
        <w:tcPr>
          <w:tcW w:w="2552" w:type="dxa"/>
          <w:tcBorders>
            <w:top w:val="single" w:sz="4" w:space="0" w:color="000000"/>
          </w:tcBorders>
          <w:shd w:val="clear" w:color="auto" w:fill="auto"/>
        </w:tcPr>
        <w:p w14:paraId="759251EB" w14:textId="77777777" w:rsidR="009D1BD4" w:rsidRPr="00FC2964" w:rsidRDefault="009D1BD4" w:rsidP="009D1BD4">
          <w:pPr>
            <w:pStyle w:val="FirstFooter"/>
            <w:tabs>
              <w:tab w:val="left" w:pos="2302"/>
            </w:tabs>
            <w:ind w:left="2302" w:hanging="2302"/>
            <w:rPr>
              <w:sz w:val="18"/>
              <w:szCs w:val="18"/>
              <w:lang w:val="es-ES_tradnl"/>
            </w:rPr>
          </w:pPr>
          <w:r w:rsidRPr="00FC2964">
            <w:rPr>
              <w:sz w:val="18"/>
              <w:szCs w:val="18"/>
              <w:lang w:val="es-ES_tradnl"/>
            </w:rPr>
            <w:t>Nombre/Organización/Entidad:</w:t>
          </w:r>
        </w:p>
      </w:tc>
      <w:tc>
        <w:tcPr>
          <w:tcW w:w="6237" w:type="dxa"/>
          <w:tcBorders>
            <w:top w:val="single" w:sz="4" w:space="0" w:color="000000"/>
          </w:tcBorders>
          <w:shd w:val="clear" w:color="auto" w:fill="auto"/>
        </w:tcPr>
        <w:p w14:paraId="095D9EF5" w14:textId="5AF77D6F" w:rsidR="009D1BD4" w:rsidRPr="00FC2964" w:rsidRDefault="00200CFC" w:rsidP="00200CFC">
          <w:pPr>
            <w:pStyle w:val="FirstFooter"/>
            <w:tabs>
              <w:tab w:val="left" w:pos="1876"/>
            </w:tabs>
            <w:rPr>
              <w:sz w:val="18"/>
              <w:szCs w:val="18"/>
              <w:lang w:val="es-ES_tradnl"/>
            </w:rPr>
          </w:pPr>
          <w:bookmarkStart w:id="9" w:name="OrgName"/>
          <w:bookmarkEnd w:id="9"/>
          <w:r w:rsidRPr="00FC2964">
            <w:rPr>
              <w:sz w:val="18"/>
              <w:szCs w:val="18"/>
              <w:lang w:val="es-ES_tradnl"/>
            </w:rPr>
            <w:t>Sr. Stephen Bereaux, Director Adjunto de la Oficina de Desarrollo de las Telecomunicaciones</w:t>
          </w:r>
        </w:p>
      </w:tc>
    </w:tr>
    <w:tr w:rsidR="009D1BD4" w:rsidRPr="00FC2964" w14:paraId="46DDAB1D" w14:textId="77777777" w:rsidTr="004E3CF5">
      <w:tc>
        <w:tcPr>
          <w:tcW w:w="1134" w:type="dxa"/>
          <w:shd w:val="clear" w:color="auto" w:fill="auto"/>
        </w:tcPr>
        <w:p w14:paraId="2CE7457E" w14:textId="77777777" w:rsidR="009D1BD4" w:rsidRPr="00FC2964" w:rsidRDefault="009D1BD4" w:rsidP="009D1BD4">
          <w:pPr>
            <w:pStyle w:val="FirstFooter"/>
            <w:tabs>
              <w:tab w:val="left" w:pos="1559"/>
              <w:tab w:val="left" w:pos="3828"/>
            </w:tabs>
            <w:rPr>
              <w:sz w:val="20"/>
              <w:lang w:val="es-ES_tradnl"/>
            </w:rPr>
          </w:pPr>
        </w:p>
      </w:tc>
      <w:tc>
        <w:tcPr>
          <w:tcW w:w="2552" w:type="dxa"/>
          <w:shd w:val="clear" w:color="auto" w:fill="auto"/>
        </w:tcPr>
        <w:p w14:paraId="3F61CB44" w14:textId="77777777" w:rsidR="009D1BD4" w:rsidRPr="00FC2964" w:rsidRDefault="009D1BD4" w:rsidP="009D1BD4">
          <w:pPr>
            <w:pStyle w:val="FirstFooter"/>
            <w:tabs>
              <w:tab w:val="left" w:pos="2302"/>
            </w:tabs>
            <w:rPr>
              <w:sz w:val="18"/>
              <w:szCs w:val="18"/>
              <w:lang w:val="es-ES_tradnl"/>
            </w:rPr>
          </w:pPr>
          <w:r w:rsidRPr="00FC2964">
            <w:rPr>
              <w:sz w:val="18"/>
              <w:szCs w:val="18"/>
              <w:lang w:val="es-ES_tradnl"/>
            </w:rPr>
            <w:t>Teléfono:</w:t>
          </w:r>
        </w:p>
      </w:tc>
      <w:tc>
        <w:tcPr>
          <w:tcW w:w="6237" w:type="dxa"/>
          <w:shd w:val="clear" w:color="auto" w:fill="auto"/>
        </w:tcPr>
        <w:p w14:paraId="25BFB709" w14:textId="3B3C5202" w:rsidR="009D1BD4" w:rsidRPr="00FC2964" w:rsidRDefault="00200CFC" w:rsidP="009D1BD4">
          <w:pPr>
            <w:pStyle w:val="FirstFooter"/>
            <w:tabs>
              <w:tab w:val="left" w:pos="2302"/>
            </w:tabs>
            <w:rPr>
              <w:sz w:val="18"/>
              <w:szCs w:val="18"/>
              <w:lang w:val="es-ES_tradnl"/>
            </w:rPr>
          </w:pPr>
          <w:bookmarkStart w:id="10" w:name="PhoneNo"/>
          <w:bookmarkEnd w:id="10"/>
          <w:r w:rsidRPr="00FC2964">
            <w:rPr>
              <w:sz w:val="18"/>
              <w:szCs w:val="18"/>
              <w:lang w:val="es-ES_tradnl"/>
            </w:rPr>
            <w:t>+41 22 730 5131</w:t>
          </w:r>
        </w:p>
      </w:tc>
    </w:tr>
    <w:tr w:rsidR="00200CFC" w:rsidRPr="00FC2964" w14:paraId="14BB10CD" w14:textId="77777777" w:rsidTr="004E3CF5">
      <w:tc>
        <w:tcPr>
          <w:tcW w:w="1134" w:type="dxa"/>
          <w:shd w:val="clear" w:color="auto" w:fill="auto"/>
        </w:tcPr>
        <w:p w14:paraId="40FA3F04" w14:textId="77777777" w:rsidR="00200CFC" w:rsidRPr="00FC2964" w:rsidRDefault="00200CFC" w:rsidP="00200CFC">
          <w:pPr>
            <w:pStyle w:val="FirstFooter"/>
            <w:tabs>
              <w:tab w:val="left" w:pos="1559"/>
              <w:tab w:val="left" w:pos="3828"/>
            </w:tabs>
            <w:rPr>
              <w:sz w:val="20"/>
              <w:lang w:val="es-ES_tradnl"/>
            </w:rPr>
          </w:pPr>
        </w:p>
      </w:tc>
      <w:tc>
        <w:tcPr>
          <w:tcW w:w="2552" w:type="dxa"/>
          <w:shd w:val="clear" w:color="auto" w:fill="auto"/>
        </w:tcPr>
        <w:p w14:paraId="5B50613B" w14:textId="77777777" w:rsidR="00200CFC" w:rsidRPr="00FC2964" w:rsidRDefault="00200CFC" w:rsidP="00200CFC">
          <w:pPr>
            <w:pStyle w:val="FirstFooter"/>
            <w:tabs>
              <w:tab w:val="left" w:pos="2302"/>
            </w:tabs>
            <w:rPr>
              <w:sz w:val="18"/>
              <w:szCs w:val="18"/>
              <w:lang w:val="es-ES_tradnl"/>
            </w:rPr>
          </w:pPr>
          <w:r w:rsidRPr="00FC2964">
            <w:rPr>
              <w:sz w:val="18"/>
              <w:szCs w:val="18"/>
              <w:lang w:val="es-ES_tradnl"/>
            </w:rPr>
            <w:t>Correo-e:</w:t>
          </w:r>
        </w:p>
      </w:tc>
      <w:bookmarkStart w:id="11" w:name="Email"/>
      <w:bookmarkEnd w:id="11"/>
      <w:tc>
        <w:tcPr>
          <w:tcW w:w="6237" w:type="dxa"/>
          <w:shd w:val="clear" w:color="auto" w:fill="auto"/>
        </w:tcPr>
        <w:p w14:paraId="35AEFA0A" w14:textId="413A42D2" w:rsidR="00200CFC" w:rsidRPr="00FC2964" w:rsidRDefault="00200CFC" w:rsidP="00200CFC">
          <w:pPr>
            <w:pStyle w:val="FirstFooter"/>
            <w:tabs>
              <w:tab w:val="left" w:pos="2302"/>
            </w:tabs>
            <w:rPr>
              <w:sz w:val="18"/>
              <w:szCs w:val="18"/>
              <w:lang w:val="es-ES_tradnl"/>
            </w:rPr>
          </w:pPr>
          <w:r w:rsidRPr="00FC2964">
            <w:rPr>
              <w:sz w:val="18"/>
              <w:szCs w:val="18"/>
              <w:lang w:val="es-ES_tradnl"/>
            </w:rPr>
            <w:fldChar w:fldCharType="begin"/>
          </w:r>
          <w:r w:rsidRPr="00FC2964">
            <w:rPr>
              <w:sz w:val="18"/>
              <w:szCs w:val="18"/>
              <w:lang w:val="es-ES_tradnl"/>
            </w:rPr>
            <w:instrText xml:space="preserve"> HYPERLINK "mailto:stephen.bereaux@itu.int" </w:instrText>
          </w:r>
          <w:r w:rsidRPr="00FC2964">
            <w:rPr>
              <w:sz w:val="18"/>
              <w:szCs w:val="18"/>
              <w:lang w:val="es-ES_tradnl"/>
            </w:rPr>
            <w:fldChar w:fldCharType="separate"/>
          </w:r>
          <w:r w:rsidRPr="00FC2964">
            <w:rPr>
              <w:rStyle w:val="Hyperlink"/>
              <w:sz w:val="18"/>
              <w:szCs w:val="18"/>
              <w:lang w:val="es-ES_tradnl"/>
            </w:rPr>
            <w:t>stephen.bereaux@itu.int</w:t>
          </w:r>
          <w:r w:rsidRPr="00FC2964">
            <w:rPr>
              <w:sz w:val="18"/>
              <w:szCs w:val="18"/>
              <w:lang w:val="es-ES_tradnl"/>
            </w:rPr>
            <w:fldChar w:fldCharType="end"/>
          </w:r>
        </w:p>
      </w:tc>
    </w:tr>
  </w:tbl>
  <w:p w14:paraId="678040AB" w14:textId="77777777" w:rsidR="009D1BD4" w:rsidRDefault="009D1BD4" w:rsidP="006E4AB3">
    <w:pPr>
      <w:tabs>
        <w:tab w:val="clear" w:pos="794"/>
        <w:tab w:val="clear" w:pos="1191"/>
        <w:tab w:val="clear" w:pos="1588"/>
        <w:tab w:val="clear" w:pos="1985"/>
        <w:tab w:val="left" w:pos="5954"/>
        <w:tab w:val="right" w:pos="9639"/>
      </w:tabs>
      <w:spacing w:before="0"/>
      <w:jc w:val="center"/>
    </w:pPr>
  </w:p>
  <w:p w14:paraId="3E3DC2CD" w14:textId="77777777" w:rsidR="006E4AB3" w:rsidRPr="006E4AB3" w:rsidRDefault="009F119E"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A2CE" w14:textId="77777777" w:rsidR="00200CFC" w:rsidRDefault="00200CFC" w:rsidP="0088106F">
      <w:r>
        <w:separator/>
      </w:r>
    </w:p>
  </w:footnote>
  <w:footnote w:type="continuationSeparator" w:id="0">
    <w:p w14:paraId="1ECE8A85" w14:textId="77777777" w:rsidR="00200CFC" w:rsidRDefault="00200CFC"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AEAD" w14:textId="6BCFAC01" w:rsidR="009A6FC4" w:rsidRPr="00200CFC" w:rsidRDefault="009A6FC4" w:rsidP="00200CF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200CFC">
      <w:rPr>
        <w:sz w:val="22"/>
        <w:szCs w:val="22"/>
        <w:lang w:val="en-US"/>
      </w:rPr>
      <w:t>19</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77B2"/>
    <w:multiLevelType w:val="hybridMultilevel"/>
    <w:tmpl w:val="7B5861F8"/>
    <w:lvl w:ilvl="0" w:tplc="E0FA67F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8AB3CC0"/>
    <w:multiLevelType w:val="hybridMultilevel"/>
    <w:tmpl w:val="CA9C4B5C"/>
    <w:lvl w:ilvl="0" w:tplc="E0FA67FC">
      <w:start w:val="1"/>
      <w:numFmt w:val="bullet"/>
      <w:lvlText w:val=""/>
      <w:lvlJc w:val="left"/>
      <w:pPr>
        <w:ind w:left="2204" w:hanging="360"/>
      </w:pPr>
      <w:rPr>
        <w:rFonts w:ascii="Symbol" w:hAnsi="Symbol" w:hint="default"/>
      </w:rPr>
    </w:lvl>
    <w:lvl w:ilvl="1" w:tplc="0C0A0003" w:tentative="1">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abstractNum w:abstractNumId="2" w15:restartNumberingAfterBreak="0">
    <w:nsid w:val="47DD34DE"/>
    <w:multiLevelType w:val="hybridMultilevel"/>
    <w:tmpl w:val="B3F0878C"/>
    <w:lvl w:ilvl="0" w:tplc="37648046">
      <w:start w:val="1"/>
      <w:numFmt w:val="decimal"/>
      <w:lvlText w:val="%1."/>
      <w:lvlJc w:val="left"/>
      <w:pPr>
        <w:ind w:left="360" w:hanging="360"/>
      </w:pPr>
      <w:rPr>
        <w:rFonts w:hint="default"/>
      </w:rPr>
    </w:lvl>
    <w:lvl w:ilvl="1" w:tplc="97227974" w:tentative="1">
      <w:start w:val="1"/>
      <w:numFmt w:val="lowerLetter"/>
      <w:lvlText w:val="%2."/>
      <w:lvlJc w:val="left"/>
      <w:pPr>
        <w:ind w:left="1080" w:hanging="360"/>
      </w:pPr>
    </w:lvl>
    <w:lvl w:ilvl="2" w:tplc="F4B8B734" w:tentative="1">
      <w:start w:val="1"/>
      <w:numFmt w:val="lowerRoman"/>
      <w:lvlText w:val="%3."/>
      <w:lvlJc w:val="right"/>
      <w:pPr>
        <w:ind w:left="1800" w:hanging="180"/>
      </w:pPr>
    </w:lvl>
    <w:lvl w:ilvl="3" w:tplc="D302ABE4" w:tentative="1">
      <w:start w:val="1"/>
      <w:numFmt w:val="decimal"/>
      <w:lvlText w:val="%4."/>
      <w:lvlJc w:val="left"/>
      <w:pPr>
        <w:ind w:left="2520" w:hanging="360"/>
      </w:pPr>
    </w:lvl>
    <w:lvl w:ilvl="4" w:tplc="D090D19E" w:tentative="1">
      <w:start w:val="1"/>
      <w:numFmt w:val="lowerLetter"/>
      <w:lvlText w:val="%5."/>
      <w:lvlJc w:val="left"/>
      <w:pPr>
        <w:ind w:left="3240" w:hanging="360"/>
      </w:pPr>
    </w:lvl>
    <w:lvl w:ilvl="5" w:tplc="2B4E9570" w:tentative="1">
      <w:start w:val="1"/>
      <w:numFmt w:val="lowerRoman"/>
      <w:lvlText w:val="%6."/>
      <w:lvlJc w:val="right"/>
      <w:pPr>
        <w:ind w:left="3960" w:hanging="180"/>
      </w:pPr>
    </w:lvl>
    <w:lvl w:ilvl="6" w:tplc="6D3865E4" w:tentative="1">
      <w:start w:val="1"/>
      <w:numFmt w:val="decimal"/>
      <w:lvlText w:val="%7."/>
      <w:lvlJc w:val="left"/>
      <w:pPr>
        <w:ind w:left="4680" w:hanging="360"/>
      </w:pPr>
    </w:lvl>
    <w:lvl w:ilvl="7" w:tplc="5616F602" w:tentative="1">
      <w:start w:val="1"/>
      <w:numFmt w:val="lowerLetter"/>
      <w:lvlText w:val="%8."/>
      <w:lvlJc w:val="left"/>
      <w:pPr>
        <w:ind w:left="5400" w:hanging="360"/>
      </w:pPr>
    </w:lvl>
    <w:lvl w:ilvl="8" w:tplc="45DA0ECE"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FC"/>
    <w:rsid w:val="000135AE"/>
    <w:rsid w:val="00033D49"/>
    <w:rsid w:val="000725A1"/>
    <w:rsid w:val="000C0AA7"/>
    <w:rsid w:val="000E7A0A"/>
    <w:rsid w:val="00194CB2"/>
    <w:rsid w:val="00200CFC"/>
    <w:rsid w:val="002113B8"/>
    <w:rsid w:val="00213302"/>
    <w:rsid w:val="00221C14"/>
    <w:rsid w:val="00225D2E"/>
    <w:rsid w:val="00241CB9"/>
    <w:rsid w:val="00295E0D"/>
    <w:rsid w:val="002A7FAB"/>
    <w:rsid w:val="002D4BE6"/>
    <w:rsid w:val="002D6772"/>
    <w:rsid w:val="00302736"/>
    <w:rsid w:val="0033649F"/>
    <w:rsid w:val="00360762"/>
    <w:rsid w:val="00390391"/>
    <w:rsid w:val="003D4CFB"/>
    <w:rsid w:val="00482632"/>
    <w:rsid w:val="00492B9B"/>
    <w:rsid w:val="004B7893"/>
    <w:rsid w:val="004E7861"/>
    <w:rsid w:val="0050528B"/>
    <w:rsid w:val="00535C50"/>
    <w:rsid w:val="005557A3"/>
    <w:rsid w:val="005637B9"/>
    <w:rsid w:val="005643DC"/>
    <w:rsid w:val="00602B27"/>
    <w:rsid w:val="00603CC6"/>
    <w:rsid w:val="006339E7"/>
    <w:rsid w:val="00635A62"/>
    <w:rsid w:val="00674A44"/>
    <w:rsid w:val="006E4AB3"/>
    <w:rsid w:val="006F39EB"/>
    <w:rsid w:val="007C3061"/>
    <w:rsid w:val="007D5623"/>
    <w:rsid w:val="007E471D"/>
    <w:rsid w:val="00835A77"/>
    <w:rsid w:val="0086435F"/>
    <w:rsid w:val="0088106F"/>
    <w:rsid w:val="008C1852"/>
    <w:rsid w:val="008D789A"/>
    <w:rsid w:val="00917B12"/>
    <w:rsid w:val="009752D2"/>
    <w:rsid w:val="00991B13"/>
    <w:rsid w:val="009952F6"/>
    <w:rsid w:val="009A5F98"/>
    <w:rsid w:val="009A6FC4"/>
    <w:rsid w:val="009D1BD4"/>
    <w:rsid w:val="009F119E"/>
    <w:rsid w:val="00A33516"/>
    <w:rsid w:val="00A87DD9"/>
    <w:rsid w:val="00AA076A"/>
    <w:rsid w:val="00AE1BA7"/>
    <w:rsid w:val="00AF563E"/>
    <w:rsid w:val="00BC7208"/>
    <w:rsid w:val="00C85582"/>
    <w:rsid w:val="00D16175"/>
    <w:rsid w:val="00D372A5"/>
    <w:rsid w:val="00E17138"/>
    <w:rsid w:val="00E204A0"/>
    <w:rsid w:val="00E3519F"/>
    <w:rsid w:val="00E51C72"/>
    <w:rsid w:val="00E827C2"/>
    <w:rsid w:val="00EB6D19"/>
    <w:rsid w:val="00ED2681"/>
    <w:rsid w:val="00F01E28"/>
    <w:rsid w:val="00F12690"/>
    <w:rsid w:val="00FA67A2"/>
    <w:rsid w:val="00FC2964"/>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6014"/>
  <w15:docId w15:val="{EF93A3F2-FA67-4EE0-9A1F-DCA3EDFE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Style 58,超????,超?级链,超级链接,하이퍼링크2"/>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uiPriority w:val="34"/>
    <w:qFormat/>
    <w:rsid w:val="00200CF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lang w:val="en-GB"/>
    </w:rPr>
  </w:style>
  <w:style w:type="character" w:styleId="FollowedHyperlink">
    <w:name w:val="FollowedHyperlink"/>
    <w:basedOn w:val="DefaultParagraphFont"/>
    <w:uiPriority w:val="99"/>
    <w:semiHidden/>
    <w:unhideWhenUsed/>
    <w:rsid w:val="002113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7-C-0005/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s/ITU-D/Conferences/TDAG/Pages/TDAG_WG_WTDC_Prep.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D/Conferences/WTDC/WTDC21/Pages/Web-Dialogue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7-C-0007/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135</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5</cp:revision>
  <dcterms:created xsi:type="dcterms:W3CDTF">2021-05-20T09:09:00Z</dcterms:created>
  <dcterms:modified xsi:type="dcterms:W3CDTF">2021-05-20T11:32:00Z</dcterms:modified>
</cp:coreProperties>
</file>