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55AD8" w14:textId="77777777" w:rsidR="0067092E" w:rsidRDefault="0067092E">
      <w:bookmarkStart w:id="0" w:name="_GoBack"/>
    </w:p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AD4677" w14:paraId="3F0E9EC4" w14:textId="77777777" w:rsidTr="00AD4677">
        <w:trPr>
          <w:cantSplit/>
          <w:trHeight w:val="1134"/>
        </w:trPr>
        <w:tc>
          <w:tcPr>
            <w:tcW w:w="2410" w:type="dxa"/>
          </w:tcPr>
          <w:p w14:paraId="5BB7E038" w14:textId="4A88B7D6" w:rsidR="00AD4677" w:rsidRDefault="00AD4677" w:rsidP="00DE3ED7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A01642E" wp14:editId="226D37F1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68FE8375" w14:textId="77777777" w:rsidR="00AD4677" w:rsidRDefault="00AD4677" w:rsidP="00D93359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01DC69EC" w:rsidR="00AD4677" w:rsidRPr="00844A56" w:rsidRDefault="00AD4677" w:rsidP="00D93359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28th Meeting, Virtual, 2</w:t>
            </w:r>
            <w:r w:rsidR="00BB02B5">
              <w:rPr>
                <w:b/>
                <w:bCs/>
                <w:sz w:val="26"/>
                <w:szCs w:val="26"/>
              </w:rPr>
              <w:t>4</w:t>
            </w:r>
            <w:r>
              <w:rPr>
                <w:b/>
                <w:bCs/>
                <w:sz w:val="26"/>
                <w:szCs w:val="26"/>
              </w:rPr>
              <w:t>-28 May 2021</w:t>
            </w:r>
          </w:p>
        </w:tc>
        <w:tc>
          <w:tcPr>
            <w:tcW w:w="1524" w:type="dxa"/>
          </w:tcPr>
          <w:p w14:paraId="67E7B4C4" w14:textId="0F52E4CC" w:rsidR="00AD4677" w:rsidRPr="00683C32" w:rsidRDefault="00AD4677" w:rsidP="00D93359">
            <w:pPr>
              <w:spacing w:before="24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74714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74714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  <w:gridSpan w:val="2"/>
          </w:tcPr>
          <w:p w14:paraId="43C54B3D" w14:textId="77777777" w:rsidR="00683C32" w:rsidRPr="007F1CC7" w:rsidRDefault="00683C32" w:rsidP="00174714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5B916D9B" w:rsidR="00683C32" w:rsidRPr="00D93359" w:rsidRDefault="0096201B" w:rsidP="00174714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D93359">
              <w:rPr>
                <w:b/>
                <w:bCs/>
                <w:lang w:val="en-US"/>
              </w:rPr>
              <w:t xml:space="preserve">Document </w:t>
            </w:r>
            <w:bookmarkStart w:id="1" w:name="DocRef1"/>
            <w:bookmarkEnd w:id="1"/>
            <w:r w:rsidRPr="00D93359">
              <w:rPr>
                <w:b/>
                <w:bCs/>
                <w:lang w:val="en-US"/>
              </w:rPr>
              <w:t>TDAG</w:t>
            </w:r>
            <w:r w:rsidR="003242AB" w:rsidRPr="00D93359">
              <w:rPr>
                <w:b/>
                <w:bCs/>
                <w:lang w:val="en-US"/>
              </w:rPr>
              <w:t>-</w:t>
            </w:r>
            <w:r w:rsidR="00B648C7" w:rsidRPr="00D93359">
              <w:rPr>
                <w:b/>
                <w:bCs/>
                <w:lang w:val="en-US"/>
              </w:rPr>
              <w:t>2</w:t>
            </w:r>
            <w:bookmarkStart w:id="2" w:name="DocNo1"/>
            <w:bookmarkEnd w:id="2"/>
            <w:r w:rsidR="00AD4677" w:rsidRPr="00D93359">
              <w:rPr>
                <w:b/>
                <w:bCs/>
                <w:lang w:val="en-US"/>
              </w:rPr>
              <w:t>1</w:t>
            </w:r>
            <w:r w:rsidR="0009076F" w:rsidRPr="00D93359">
              <w:rPr>
                <w:b/>
                <w:bCs/>
                <w:lang w:val="en-US"/>
              </w:rPr>
              <w:t>/</w:t>
            </w:r>
            <w:r w:rsidR="004308AD" w:rsidRPr="00D93359">
              <w:rPr>
                <w:b/>
                <w:bCs/>
                <w:lang w:val="en-US"/>
              </w:rPr>
              <w:t>1</w:t>
            </w:r>
            <w:r w:rsidR="007F6E53">
              <w:rPr>
                <w:b/>
                <w:bCs/>
                <w:lang w:val="en-US"/>
              </w:rPr>
              <w:t>9</w:t>
            </w:r>
            <w:r w:rsidRPr="00D93359"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  <w:gridSpan w:val="2"/>
          </w:tcPr>
          <w:p w14:paraId="12CE4DBF" w14:textId="77777777" w:rsidR="00683C32" w:rsidRPr="007F1CC7" w:rsidRDefault="00683C32" w:rsidP="00174714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0F89640F" w14:textId="5700CCD1" w:rsidR="00683C32" w:rsidRPr="00D93359" w:rsidRDefault="008131EC" w:rsidP="00174714">
            <w:pPr>
              <w:spacing w:before="0"/>
              <w:rPr>
                <w:b/>
                <w:szCs w:val="24"/>
              </w:rPr>
            </w:pPr>
            <w:bookmarkStart w:id="3" w:name="CreationDate"/>
            <w:bookmarkEnd w:id="3"/>
            <w:r w:rsidRPr="008131EC">
              <w:rPr>
                <w:b/>
                <w:bCs/>
                <w:szCs w:val="28"/>
              </w:rPr>
              <w:t>13</w:t>
            </w:r>
            <w:r w:rsidRPr="008131EC">
              <w:rPr>
                <w:b/>
                <w:bCs/>
                <w:szCs w:val="28"/>
              </w:rPr>
              <w:t xml:space="preserve"> </w:t>
            </w:r>
            <w:r w:rsidR="00D041B4" w:rsidRPr="008131EC">
              <w:rPr>
                <w:b/>
                <w:bCs/>
                <w:szCs w:val="28"/>
              </w:rPr>
              <w:t>May</w:t>
            </w:r>
            <w:r w:rsidR="00D0586C" w:rsidRPr="008131EC">
              <w:rPr>
                <w:b/>
                <w:bCs/>
                <w:szCs w:val="28"/>
              </w:rPr>
              <w:t xml:space="preserve"> </w:t>
            </w:r>
            <w:r w:rsidR="00CE0422" w:rsidRPr="008131EC">
              <w:rPr>
                <w:b/>
                <w:bCs/>
                <w:szCs w:val="28"/>
              </w:rPr>
              <w:t>20</w:t>
            </w:r>
            <w:r w:rsidR="00B648C7" w:rsidRPr="008131EC">
              <w:rPr>
                <w:b/>
                <w:bCs/>
                <w:szCs w:val="28"/>
              </w:rPr>
              <w:t>2</w:t>
            </w:r>
            <w:r w:rsidR="00AD4677" w:rsidRPr="008131EC">
              <w:rPr>
                <w:b/>
                <w:bCs/>
                <w:szCs w:val="28"/>
              </w:rPr>
              <w:t>1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  <w:gridSpan w:val="2"/>
          </w:tcPr>
          <w:p w14:paraId="65956FD3" w14:textId="77777777" w:rsidR="00683C32" w:rsidRPr="007F1CC7" w:rsidRDefault="00683C32" w:rsidP="00174714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0BF1F51F" w:rsidR="00514D2F" w:rsidRPr="00D93359" w:rsidRDefault="0096201B" w:rsidP="00174714">
            <w:pPr>
              <w:spacing w:before="0"/>
              <w:rPr>
                <w:szCs w:val="24"/>
              </w:rPr>
            </w:pPr>
            <w:r w:rsidRPr="00D93359">
              <w:rPr>
                <w:b/>
              </w:rPr>
              <w:t>Original:</w:t>
            </w:r>
            <w:bookmarkStart w:id="4" w:name="Original"/>
            <w:bookmarkEnd w:id="4"/>
            <w:r w:rsidR="00CE0422" w:rsidRPr="00D93359">
              <w:rPr>
                <w:b/>
              </w:rPr>
              <w:t xml:space="preserve"> </w:t>
            </w:r>
            <w:r w:rsidR="00AD4677" w:rsidRPr="00D93359">
              <w:rPr>
                <w:b/>
              </w:rPr>
              <w:t>English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718E7E9F" w:rsidR="00A13162" w:rsidRPr="0030353C" w:rsidRDefault="00247639" w:rsidP="00174714">
            <w:pPr>
              <w:pStyle w:val="Source"/>
            </w:pPr>
            <w:bookmarkStart w:id="5" w:name="Source"/>
            <w:bookmarkEnd w:id="5"/>
            <w:r w:rsidRPr="00247639">
              <w:t>Director, Telecommunication Development Bureau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0278001C" w:rsidR="00AC6F14" w:rsidRPr="0030353C" w:rsidRDefault="00660C02" w:rsidP="00174714">
            <w:pPr>
              <w:pStyle w:val="Title1"/>
            </w:pPr>
            <w:bookmarkStart w:id="6" w:name="Title"/>
            <w:bookmarkEnd w:id="6"/>
            <w:r>
              <w:t>P</w:t>
            </w:r>
            <w:r w:rsidR="00D93359">
              <w:t xml:space="preserve">reparations for the </w:t>
            </w:r>
            <w:r>
              <w:t xml:space="preserve">WTDC-21 </w:t>
            </w:r>
            <w:r w:rsidR="007F6E53">
              <w:t>Partner2Connect</w:t>
            </w:r>
            <w:r w:rsidR="00D93359">
              <w:t xml:space="preserve"> </w:t>
            </w:r>
            <w:r w:rsidR="007F6E53">
              <w:t>Segment</w:t>
            </w:r>
          </w:p>
        </w:tc>
      </w:tr>
      <w:tr w:rsidR="00A721F4" w:rsidRPr="002E6963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DE3ED7">
            <w:pPr>
              <w:spacing w:after="120"/>
            </w:pPr>
          </w:p>
        </w:tc>
      </w:tr>
      <w:tr w:rsidR="00A721F4" w:rsidRPr="002E6963" w14:paraId="590033C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Pr="00D93359" w:rsidRDefault="00A721F4" w:rsidP="00DE3ED7">
            <w:pPr>
              <w:spacing w:after="120"/>
              <w:rPr>
                <w:b/>
                <w:bCs/>
                <w:szCs w:val="24"/>
              </w:rPr>
            </w:pPr>
            <w:r w:rsidRPr="00D93359">
              <w:rPr>
                <w:b/>
                <w:bCs/>
                <w:szCs w:val="24"/>
              </w:rPr>
              <w:t>Summary:</w:t>
            </w:r>
          </w:p>
          <w:p w14:paraId="7F1C7010" w14:textId="2671923C" w:rsidR="00643B49" w:rsidRPr="00D041B4" w:rsidRDefault="00836E71" w:rsidP="00DE3ED7">
            <w:pPr>
              <w:spacing w:after="120"/>
              <w:rPr>
                <w:szCs w:val="24"/>
              </w:rPr>
            </w:pPr>
            <w:r w:rsidRPr="00D041B4">
              <w:rPr>
                <w:szCs w:val="24"/>
              </w:rPr>
              <w:t xml:space="preserve">The </w:t>
            </w:r>
            <w:r w:rsidR="00EE63C7" w:rsidRPr="00D041B4">
              <w:rPr>
                <w:szCs w:val="24"/>
              </w:rPr>
              <w:t xml:space="preserve">ITU </w:t>
            </w:r>
            <w:r w:rsidR="00643B49" w:rsidRPr="00D041B4">
              <w:rPr>
                <w:szCs w:val="24"/>
              </w:rPr>
              <w:t xml:space="preserve">Partner2Connect Segment will offer participants from </w:t>
            </w:r>
            <w:r w:rsidR="00EB204B" w:rsidRPr="0041399A">
              <w:rPr>
                <w:lang w:val="en-US"/>
              </w:rPr>
              <w:t>government, business, international organizations, civil society, and academia</w:t>
            </w:r>
            <w:r w:rsidR="00EB204B">
              <w:rPr>
                <w:szCs w:val="24"/>
              </w:rPr>
              <w:t>, attending WTDC, as well as those</w:t>
            </w:r>
            <w:r w:rsidR="00643B49" w:rsidRPr="00D041B4">
              <w:rPr>
                <w:szCs w:val="24"/>
              </w:rPr>
              <w:t xml:space="preserve"> who </w:t>
            </w:r>
            <w:r w:rsidR="00EB204B">
              <w:rPr>
                <w:szCs w:val="24"/>
              </w:rPr>
              <w:t>have not</w:t>
            </w:r>
            <w:r w:rsidR="00643B49" w:rsidRPr="00D041B4">
              <w:rPr>
                <w:szCs w:val="24"/>
              </w:rPr>
              <w:t xml:space="preserve"> traditionally attend</w:t>
            </w:r>
            <w:r w:rsidR="00EB204B">
              <w:rPr>
                <w:szCs w:val="24"/>
              </w:rPr>
              <w:t>ed</w:t>
            </w:r>
            <w:r w:rsidR="00643B49" w:rsidRPr="00D041B4">
              <w:rPr>
                <w:szCs w:val="24"/>
              </w:rPr>
              <w:t xml:space="preserve"> WTDC</w:t>
            </w:r>
            <w:r w:rsidR="00EB204B">
              <w:rPr>
                <w:szCs w:val="24"/>
              </w:rPr>
              <w:t>,</w:t>
            </w:r>
            <w:r w:rsidR="00643B49" w:rsidRPr="00D041B4">
              <w:rPr>
                <w:szCs w:val="24"/>
              </w:rPr>
              <w:t xml:space="preserve"> an opportunity to </w:t>
            </w:r>
            <w:r w:rsidR="00EB204B">
              <w:rPr>
                <w:szCs w:val="24"/>
              </w:rPr>
              <w:t>engage in high level discussions around the challenges and opportunities related to digital development,</w:t>
            </w:r>
            <w:r w:rsidR="00643B49" w:rsidRPr="00D041B4">
              <w:rPr>
                <w:szCs w:val="24"/>
              </w:rPr>
              <w:t xml:space="preserve"> make concrete commitments</w:t>
            </w:r>
            <w:r w:rsidR="00EB204B">
              <w:rPr>
                <w:szCs w:val="24"/>
              </w:rPr>
              <w:t>, and forge new partnerships</w:t>
            </w:r>
            <w:r w:rsidR="00643B49" w:rsidRPr="00D041B4">
              <w:rPr>
                <w:szCs w:val="24"/>
              </w:rPr>
              <w:t xml:space="preserve">. Their commitments will help advance access and use of digital technologies to transform lives </w:t>
            </w:r>
            <w:r w:rsidR="00EB204B">
              <w:rPr>
                <w:szCs w:val="24"/>
              </w:rPr>
              <w:t xml:space="preserve">particularly </w:t>
            </w:r>
            <w:r w:rsidR="00643B49" w:rsidRPr="00D041B4">
              <w:rPr>
                <w:szCs w:val="24"/>
              </w:rPr>
              <w:t>in LDCs, LLDCs, and SIDS</w:t>
            </w:r>
            <w:r w:rsidR="00731A90" w:rsidRPr="00D041B4">
              <w:rPr>
                <w:szCs w:val="24"/>
              </w:rPr>
              <w:t>. Participants will be engaged through a dynamic preparatory process, which will be co</w:t>
            </w:r>
            <w:r w:rsidR="00EB204B">
              <w:rPr>
                <w:szCs w:val="24"/>
              </w:rPr>
              <w:t>ordinated</w:t>
            </w:r>
            <w:r w:rsidR="00731A90" w:rsidRPr="00D041B4">
              <w:rPr>
                <w:szCs w:val="24"/>
              </w:rPr>
              <w:t xml:space="preserve"> by </w:t>
            </w:r>
            <w:r w:rsidR="00D041B4">
              <w:rPr>
                <w:szCs w:val="24"/>
              </w:rPr>
              <w:t xml:space="preserve">the </w:t>
            </w:r>
            <w:r w:rsidR="00EB204B">
              <w:rPr>
                <w:szCs w:val="24"/>
              </w:rPr>
              <w:t>co-</w:t>
            </w:r>
            <w:r w:rsidR="00731A90" w:rsidRPr="00D041B4">
              <w:rPr>
                <w:szCs w:val="24"/>
              </w:rPr>
              <w:t>chairs of</w:t>
            </w:r>
            <w:r w:rsidR="00993B98">
              <w:rPr>
                <w:szCs w:val="24"/>
              </w:rPr>
              <w:t xml:space="preserve"> the</w:t>
            </w:r>
            <w:r w:rsidR="00EB204B">
              <w:rPr>
                <w:szCs w:val="24"/>
              </w:rPr>
              <w:t xml:space="preserve"> four focus areas</w:t>
            </w:r>
            <w:r w:rsidR="00993B98">
              <w:rPr>
                <w:szCs w:val="24"/>
              </w:rPr>
              <w:t xml:space="preserve"> that make up the Partner2Connect Segment agenda. The four focus areas</w:t>
            </w:r>
            <w:r w:rsidR="00EB204B">
              <w:rPr>
                <w:szCs w:val="24"/>
              </w:rPr>
              <w:t xml:space="preserve"> each addressing a different dimension critical to digital development</w:t>
            </w:r>
            <w:r w:rsidR="00993B98">
              <w:rPr>
                <w:szCs w:val="24"/>
              </w:rPr>
              <w:t xml:space="preserve">, </w:t>
            </w:r>
            <w:r w:rsidR="00BA2392">
              <w:rPr>
                <w:szCs w:val="24"/>
              </w:rPr>
              <w:t>also relate to the</w:t>
            </w:r>
            <w:r w:rsidR="00993B98">
              <w:rPr>
                <w:szCs w:val="24"/>
              </w:rPr>
              <w:t xml:space="preserve"> Regional Priorities identified during the WTDC-21 Regional Preparatory Process</w:t>
            </w:r>
            <w:r w:rsidR="00731A90" w:rsidRPr="00D041B4">
              <w:rPr>
                <w:szCs w:val="24"/>
              </w:rPr>
              <w:t>.</w:t>
            </w:r>
            <w:r w:rsidR="00643B49" w:rsidRPr="00D041B4">
              <w:rPr>
                <w:szCs w:val="24"/>
              </w:rPr>
              <w:t xml:space="preserve">  </w:t>
            </w:r>
          </w:p>
          <w:p w14:paraId="76A1C541" w14:textId="77777777" w:rsidR="00A721F4" w:rsidRPr="00D93359" w:rsidRDefault="00A721F4" w:rsidP="00DE3ED7">
            <w:pPr>
              <w:spacing w:after="120"/>
              <w:rPr>
                <w:b/>
                <w:bCs/>
                <w:szCs w:val="24"/>
              </w:rPr>
            </w:pPr>
            <w:r w:rsidRPr="00D93359">
              <w:rPr>
                <w:b/>
                <w:bCs/>
                <w:szCs w:val="24"/>
              </w:rPr>
              <w:t>Action required:</w:t>
            </w:r>
          </w:p>
          <w:p w14:paraId="371956FC" w14:textId="7901DF43" w:rsidR="00A721F4" w:rsidRPr="00D93359" w:rsidRDefault="00C21792" w:rsidP="00DE3ED7">
            <w:pPr>
              <w:spacing w:after="120"/>
              <w:rPr>
                <w:szCs w:val="24"/>
              </w:rPr>
            </w:pPr>
            <w:r w:rsidRPr="00D93359">
              <w:rPr>
                <w:szCs w:val="24"/>
              </w:rPr>
              <w:t>TDAG is invited to note this document.</w:t>
            </w:r>
          </w:p>
          <w:p w14:paraId="622ACB80" w14:textId="419B927E" w:rsidR="00A721F4" w:rsidRPr="00D93359" w:rsidRDefault="00A721F4" w:rsidP="00DE3ED7">
            <w:pPr>
              <w:spacing w:after="120"/>
              <w:rPr>
                <w:b/>
                <w:bCs/>
                <w:szCs w:val="24"/>
              </w:rPr>
            </w:pPr>
            <w:r w:rsidRPr="00D93359">
              <w:rPr>
                <w:b/>
                <w:bCs/>
                <w:szCs w:val="24"/>
              </w:rPr>
              <w:t>References:</w:t>
            </w:r>
          </w:p>
          <w:p w14:paraId="1ECDD20E" w14:textId="72BBFB45" w:rsidR="006A0459" w:rsidRPr="00D041B4" w:rsidRDefault="008131EC" w:rsidP="00D041B4">
            <w:pPr>
              <w:spacing w:before="60" w:after="120"/>
              <w:rPr>
                <w:szCs w:val="24"/>
              </w:rPr>
            </w:pPr>
            <w:hyperlink r:id="rId13" w:history="1">
              <w:r w:rsidR="00D041B4" w:rsidRPr="00D041B4">
                <w:rPr>
                  <w:rStyle w:val="Hyperlink"/>
                  <w:szCs w:val="24"/>
                </w:rPr>
                <w:t>TDAG-20/3/5</w:t>
              </w:r>
            </w:hyperlink>
            <w:r w:rsidR="00D041B4">
              <w:rPr>
                <w:szCs w:val="24"/>
              </w:rPr>
              <w:t xml:space="preserve"> and </w:t>
            </w:r>
            <w:hyperlink r:id="rId14" w:history="1">
              <w:r w:rsidR="00D041B4" w:rsidRPr="00D041B4">
                <w:rPr>
                  <w:rStyle w:val="Hyperlink"/>
                  <w:szCs w:val="24"/>
                </w:rPr>
                <w:t>TDAG-20/3/7</w:t>
              </w:r>
            </w:hyperlink>
          </w:p>
        </w:tc>
      </w:tr>
    </w:tbl>
    <w:p w14:paraId="77CF718B" w14:textId="77777777" w:rsidR="00AC6F14" w:rsidRDefault="00AC6F14" w:rsidP="00DE3ED7">
      <w:pPr>
        <w:spacing w:after="120"/>
      </w:pPr>
    </w:p>
    <w:p w14:paraId="6C1E19CD" w14:textId="47976FE6" w:rsidR="003909CC" w:rsidRDefault="00923CF1" w:rsidP="00D933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jc w:val="center"/>
        <w:textAlignment w:val="auto"/>
      </w:pPr>
      <w:r>
        <w:br w:type="page"/>
      </w:r>
    </w:p>
    <w:p w14:paraId="6DE6EA56" w14:textId="1C1A4754" w:rsidR="00E17E09" w:rsidRPr="00D93359" w:rsidRDefault="00E17E09" w:rsidP="008B71F2">
      <w:pPr>
        <w:pStyle w:val="ListParagraph"/>
        <w:keepNext/>
        <w:numPr>
          <w:ilvl w:val="0"/>
          <w:numId w:val="8"/>
        </w:numPr>
        <w:overflowPunct/>
        <w:autoSpaceDE/>
        <w:autoSpaceDN/>
        <w:adjustRightInd/>
        <w:spacing w:after="120"/>
        <w:ind w:left="357" w:hanging="357"/>
        <w:contextualSpacing w:val="0"/>
        <w:textAlignment w:val="auto"/>
        <w:rPr>
          <w:rFonts w:cstheme="minorHAnsi"/>
          <w:b/>
          <w:bCs/>
          <w:szCs w:val="24"/>
        </w:rPr>
      </w:pPr>
      <w:r w:rsidRPr="00D93359">
        <w:rPr>
          <w:rFonts w:cstheme="minorHAnsi"/>
          <w:b/>
          <w:bCs/>
          <w:szCs w:val="24"/>
        </w:rPr>
        <w:lastRenderedPageBreak/>
        <w:t>Background</w:t>
      </w:r>
    </w:p>
    <w:p w14:paraId="2960CCB4" w14:textId="3231D00E" w:rsidR="0067092E" w:rsidRDefault="000008A5" w:rsidP="008B71F2">
      <w:pPr>
        <w:rPr>
          <w:lang w:val="en-US"/>
        </w:rPr>
      </w:pPr>
      <w:r>
        <w:rPr>
          <w:lang w:val="en-US"/>
        </w:rPr>
        <w:t xml:space="preserve">Further to early conversations </w:t>
      </w:r>
      <w:r w:rsidR="002E0010">
        <w:rPr>
          <w:lang w:val="en-US"/>
        </w:rPr>
        <w:t xml:space="preserve">during the </w:t>
      </w:r>
      <w:hyperlink r:id="rId15" w:history="1">
        <w:r w:rsidR="002E0010" w:rsidRPr="00A63F56">
          <w:rPr>
            <w:rStyle w:val="Hyperlink"/>
            <w:lang w:val="en-US"/>
          </w:rPr>
          <w:t xml:space="preserve">TDAG Web </w:t>
        </w:r>
        <w:r w:rsidR="00A83F5E" w:rsidRPr="00A63F56">
          <w:rPr>
            <w:rStyle w:val="Hyperlink"/>
            <w:lang w:val="en-US"/>
          </w:rPr>
          <w:t>D</w:t>
        </w:r>
        <w:r w:rsidR="002E0010" w:rsidRPr="00A63F56">
          <w:rPr>
            <w:rStyle w:val="Hyperlink"/>
            <w:lang w:val="en-US"/>
          </w:rPr>
          <w:t>ialogues</w:t>
        </w:r>
      </w:hyperlink>
      <w:r w:rsidR="00A83F5E">
        <w:rPr>
          <w:lang w:val="en-US"/>
        </w:rPr>
        <w:t xml:space="preserve"> </w:t>
      </w:r>
      <w:r>
        <w:rPr>
          <w:lang w:val="en-US"/>
        </w:rPr>
        <w:t xml:space="preserve">on the topic of making the </w:t>
      </w:r>
      <w:r w:rsidR="0057020F">
        <w:rPr>
          <w:lang w:val="en-US"/>
        </w:rPr>
        <w:t>W</w:t>
      </w:r>
      <w:r w:rsidR="005A5D2A">
        <w:rPr>
          <w:lang w:val="en-US"/>
        </w:rPr>
        <w:t xml:space="preserve">orld </w:t>
      </w:r>
      <w:r w:rsidR="0057020F">
        <w:rPr>
          <w:lang w:val="en-US"/>
        </w:rPr>
        <w:t>T</w:t>
      </w:r>
      <w:r w:rsidR="005A5D2A">
        <w:rPr>
          <w:lang w:val="en-US"/>
        </w:rPr>
        <w:t xml:space="preserve">elecommunication </w:t>
      </w:r>
      <w:r w:rsidR="0057020F">
        <w:rPr>
          <w:lang w:val="en-US"/>
        </w:rPr>
        <w:t>D</w:t>
      </w:r>
      <w:r w:rsidR="005A5D2A">
        <w:rPr>
          <w:lang w:val="en-US"/>
        </w:rPr>
        <w:t xml:space="preserve">evelopment </w:t>
      </w:r>
      <w:r w:rsidR="0057020F">
        <w:rPr>
          <w:lang w:val="en-US"/>
        </w:rPr>
        <w:t>C</w:t>
      </w:r>
      <w:r w:rsidR="005A5D2A">
        <w:rPr>
          <w:lang w:val="en-US"/>
        </w:rPr>
        <w:t>onferences more efficient and the work of BDT more impactful TDAG</w:t>
      </w:r>
      <w:r w:rsidR="0086091F">
        <w:rPr>
          <w:lang w:val="en-US"/>
        </w:rPr>
        <w:t xml:space="preserve">, at its 2-5 </w:t>
      </w:r>
      <w:r w:rsidR="00372054">
        <w:rPr>
          <w:lang w:val="en-US"/>
        </w:rPr>
        <w:t xml:space="preserve">and 16 </w:t>
      </w:r>
      <w:r w:rsidR="0086091F">
        <w:rPr>
          <w:lang w:val="en-US"/>
        </w:rPr>
        <w:t>June 2020 meeting</w:t>
      </w:r>
      <w:r w:rsidR="00372054">
        <w:rPr>
          <w:lang w:val="en-US"/>
        </w:rPr>
        <w:t>s,</w:t>
      </w:r>
      <w:r w:rsidR="0086091F">
        <w:rPr>
          <w:lang w:val="en-US"/>
        </w:rPr>
        <w:t xml:space="preserve"> created a working group on WTDC preparations </w:t>
      </w:r>
      <w:r w:rsidR="007622EF">
        <w:rPr>
          <w:lang w:val="en-US"/>
        </w:rPr>
        <w:t>(</w:t>
      </w:r>
      <w:hyperlink r:id="rId16" w:history="1">
        <w:r w:rsidR="007622EF" w:rsidRPr="007622EF">
          <w:rPr>
            <w:rStyle w:val="Hyperlink"/>
            <w:lang w:val="en-US"/>
          </w:rPr>
          <w:t>TDAG-WG-Prep</w:t>
        </w:r>
      </w:hyperlink>
      <w:r w:rsidR="007622EF">
        <w:rPr>
          <w:lang w:val="en-US"/>
        </w:rPr>
        <w:t xml:space="preserve">) </w:t>
      </w:r>
      <w:r w:rsidR="0086091F">
        <w:rPr>
          <w:lang w:val="en-US"/>
        </w:rPr>
        <w:t xml:space="preserve">that worked </w:t>
      </w:r>
      <w:r w:rsidR="00702889">
        <w:rPr>
          <w:lang w:val="en-US"/>
        </w:rPr>
        <w:t>through the summer and autumn of 2020 to submit its conclusions and proposals to the TDAG meeting of 23 November 2020</w:t>
      </w:r>
      <w:r w:rsidR="00AA5D8F">
        <w:rPr>
          <w:lang w:val="en-US"/>
        </w:rPr>
        <w:t xml:space="preserve"> (Document </w:t>
      </w:r>
      <w:hyperlink r:id="rId17" w:history="1">
        <w:r w:rsidR="00AA5D8F" w:rsidRPr="00AA5D8F">
          <w:rPr>
            <w:rStyle w:val="Hyperlink"/>
            <w:lang w:val="en-US"/>
          </w:rPr>
          <w:t>TDAG-20/3/5</w:t>
        </w:r>
      </w:hyperlink>
      <w:r w:rsidR="00AA5D8F">
        <w:rPr>
          <w:lang w:val="en-US"/>
        </w:rPr>
        <w:t>)</w:t>
      </w:r>
      <w:r w:rsidR="00702889">
        <w:rPr>
          <w:lang w:val="en-US"/>
        </w:rPr>
        <w:t>.</w:t>
      </w:r>
      <w:r w:rsidR="00075BBE">
        <w:rPr>
          <w:lang w:val="en-US"/>
        </w:rPr>
        <w:t xml:space="preserve">  The approved proposals contained the basis for the </w:t>
      </w:r>
      <w:r w:rsidR="001D32D5">
        <w:rPr>
          <w:lang w:val="en-US"/>
        </w:rPr>
        <w:t>Partner2Connect for Digital Development:</w:t>
      </w:r>
    </w:p>
    <w:p w14:paraId="7B8059B9" w14:textId="0551CEDD" w:rsidR="001D32D5" w:rsidRPr="008131EC" w:rsidRDefault="005B3A80" w:rsidP="008131EC">
      <w:pPr>
        <w:pStyle w:val="ListParagraph"/>
        <w:numPr>
          <w:ilvl w:val="0"/>
          <w:numId w:val="10"/>
        </w:numPr>
        <w:spacing w:before="60"/>
        <w:ind w:left="567" w:hanging="567"/>
        <w:contextualSpacing w:val="0"/>
        <w:rPr>
          <w:lang w:val="en-US"/>
        </w:rPr>
      </w:pPr>
      <w:r w:rsidRPr="005B3A80">
        <w:t xml:space="preserve">The High-Level Segment and high-level policy statements could make way for a Development Track that would incorporate senior level panels, roundtables and thematic discussions of development topics related to the implementation of the Action Plan and establishment of the new Action </w:t>
      </w:r>
      <w:proofErr w:type="gramStart"/>
      <w:r w:rsidRPr="005B3A80">
        <w:t>Plan</w:t>
      </w:r>
      <w:r w:rsidR="00473AF3">
        <w:t>;</w:t>
      </w:r>
      <w:proofErr w:type="gramEnd"/>
    </w:p>
    <w:p w14:paraId="2E79A990" w14:textId="43241E59" w:rsidR="00473AF3" w:rsidRPr="008131EC" w:rsidRDefault="00B728EB" w:rsidP="008131EC">
      <w:pPr>
        <w:pStyle w:val="ListParagraph"/>
        <w:numPr>
          <w:ilvl w:val="0"/>
          <w:numId w:val="10"/>
        </w:numPr>
        <w:spacing w:before="60"/>
        <w:ind w:left="567" w:hanging="567"/>
        <w:contextualSpacing w:val="0"/>
        <w:rPr>
          <w:lang w:val="en-US"/>
        </w:rPr>
      </w:pPr>
      <w:r>
        <w:t>It</w:t>
      </w:r>
      <w:r w:rsidR="00313560" w:rsidRPr="00313560">
        <w:t xml:space="preserve"> should not take time from the work of WTDC Plenary and committees and their related </w:t>
      </w:r>
      <w:proofErr w:type="gramStart"/>
      <w:r w:rsidR="00313560" w:rsidRPr="00313560">
        <w:t>groups</w:t>
      </w:r>
      <w:r w:rsidR="00313560">
        <w:t>;</w:t>
      </w:r>
      <w:proofErr w:type="gramEnd"/>
    </w:p>
    <w:p w14:paraId="3451922E" w14:textId="1BC892BD" w:rsidR="00313560" w:rsidRPr="008131EC" w:rsidRDefault="00503962" w:rsidP="008131EC">
      <w:pPr>
        <w:pStyle w:val="ListParagraph"/>
        <w:numPr>
          <w:ilvl w:val="0"/>
          <w:numId w:val="10"/>
        </w:numPr>
        <w:spacing w:before="60"/>
        <w:ind w:left="567" w:hanging="567"/>
        <w:contextualSpacing w:val="0"/>
        <w:rPr>
          <w:lang w:val="en-US"/>
        </w:rPr>
      </w:pPr>
      <w:r>
        <w:t>T</w:t>
      </w:r>
      <w:r w:rsidRPr="00503962">
        <w:t xml:space="preserve">hematic tracks </w:t>
      </w:r>
      <w:r w:rsidR="004707EC">
        <w:t xml:space="preserve">should </w:t>
      </w:r>
      <w:r w:rsidRPr="00503962">
        <w:t xml:space="preserve">reflect the ITU-D thematic </w:t>
      </w:r>
      <w:proofErr w:type="gramStart"/>
      <w:r w:rsidRPr="00503962">
        <w:t>priorities</w:t>
      </w:r>
      <w:r>
        <w:t>;</w:t>
      </w:r>
      <w:proofErr w:type="gramEnd"/>
    </w:p>
    <w:p w14:paraId="589D91E1" w14:textId="408ADD96" w:rsidR="00503962" w:rsidRPr="008131EC" w:rsidRDefault="004707EC" w:rsidP="008131EC">
      <w:pPr>
        <w:pStyle w:val="ListParagraph"/>
        <w:numPr>
          <w:ilvl w:val="0"/>
          <w:numId w:val="10"/>
        </w:numPr>
        <w:spacing w:before="60"/>
        <w:ind w:left="567" w:hanging="567"/>
        <w:contextualSpacing w:val="0"/>
        <w:rPr>
          <w:lang w:val="en-US"/>
        </w:rPr>
      </w:pPr>
      <w:r>
        <w:rPr>
          <w:bCs/>
        </w:rPr>
        <w:t xml:space="preserve">The </w:t>
      </w:r>
      <w:r w:rsidRPr="004707EC">
        <w:rPr>
          <w:bCs/>
        </w:rPr>
        <w:t xml:space="preserve">constituents to be targeted </w:t>
      </w:r>
      <w:r>
        <w:rPr>
          <w:bCs/>
        </w:rPr>
        <w:t xml:space="preserve">should </w:t>
      </w:r>
      <w:r w:rsidRPr="004707EC">
        <w:rPr>
          <w:bCs/>
        </w:rPr>
        <w:t xml:space="preserve">include: International financial institutions, regional development banks, United Nations System, private sector, and other relevant stakeholders such as youth organizations, representatives from marginalized </w:t>
      </w:r>
      <w:proofErr w:type="gramStart"/>
      <w:r w:rsidRPr="004707EC">
        <w:rPr>
          <w:bCs/>
        </w:rPr>
        <w:t>communities</w:t>
      </w:r>
      <w:r>
        <w:rPr>
          <w:bCs/>
        </w:rPr>
        <w:t>;</w:t>
      </w:r>
      <w:proofErr w:type="gramEnd"/>
    </w:p>
    <w:p w14:paraId="4298A86C" w14:textId="352A21FF" w:rsidR="004707EC" w:rsidRPr="005B3A80" w:rsidRDefault="00B728EB" w:rsidP="008131EC">
      <w:pPr>
        <w:pStyle w:val="ListParagraph"/>
        <w:numPr>
          <w:ilvl w:val="0"/>
          <w:numId w:val="10"/>
        </w:numPr>
        <w:spacing w:before="60"/>
        <w:ind w:left="567" w:hanging="567"/>
        <w:contextualSpacing w:val="0"/>
        <w:rPr>
          <w:lang w:val="en-US"/>
        </w:rPr>
      </w:pPr>
      <w:r w:rsidRPr="00B728EB">
        <w:t>The proposal of the Working Group is that h</w:t>
      </w:r>
      <w:r w:rsidRPr="00B728EB">
        <w:rPr>
          <w:lang w:val="id-ID"/>
        </w:rPr>
        <w:t xml:space="preserve">igh-level participants </w:t>
      </w:r>
      <w:r w:rsidRPr="00B728EB">
        <w:t>from Member States, Sector Members, private sector, A</w:t>
      </w:r>
      <w:r w:rsidRPr="00B728EB">
        <w:rPr>
          <w:lang w:val="id-ID"/>
        </w:rPr>
        <w:t>cademia</w:t>
      </w:r>
      <w:r w:rsidRPr="00B728EB">
        <w:t>, UN System, civil society and from international and regional financial organizations be invited to chair and/or deliver keynote speeches on the theme(s) selected.</w:t>
      </w:r>
    </w:p>
    <w:p w14:paraId="75D8BC2C" w14:textId="6A49760F" w:rsidR="005B5A78" w:rsidRPr="005B5A78" w:rsidRDefault="00BA2392" w:rsidP="008B71F2">
      <w:pPr>
        <w:rPr>
          <w:lang w:val="en-US"/>
        </w:rPr>
      </w:pPr>
      <w:r>
        <w:rPr>
          <w:lang w:val="en-US"/>
        </w:rPr>
        <w:t xml:space="preserve">During the Regional Preparatory Process for WTDC-21, Members consistently identified the importance of </w:t>
      </w:r>
      <w:r w:rsidR="006227F2">
        <w:rPr>
          <w:lang w:val="en-US"/>
        </w:rPr>
        <w:t xml:space="preserve">resilient and reliable </w:t>
      </w:r>
      <w:r>
        <w:rPr>
          <w:lang w:val="en-US"/>
        </w:rPr>
        <w:t xml:space="preserve">connectivity, empowering communities, </w:t>
      </w:r>
      <w:r w:rsidR="006227F2">
        <w:rPr>
          <w:lang w:val="en-US"/>
        </w:rPr>
        <w:t xml:space="preserve">and digital transformation </w:t>
      </w:r>
      <w:r>
        <w:rPr>
          <w:lang w:val="en-US"/>
        </w:rPr>
        <w:t xml:space="preserve">as Regional Priorities. </w:t>
      </w:r>
      <w:r w:rsidR="005B5A78" w:rsidRPr="005B5A78">
        <w:rPr>
          <w:lang w:val="en-US"/>
        </w:rPr>
        <w:t>In th</w:t>
      </w:r>
      <w:r>
        <w:rPr>
          <w:lang w:val="en-US"/>
        </w:rPr>
        <w:t>is</w:t>
      </w:r>
      <w:r w:rsidR="005B5A78" w:rsidRPr="005B5A78">
        <w:rPr>
          <w:lang w:val="en-US"/>
        </w:rPr>
        <w:t xml:space="preserve"> context, the Partner2Connect for Digital Development (P2C) event</w:t>
      </w:r>
      <w:r>
        <w:rPr>
          <w:lang w:val="en-US"/>
        </w:rPr>
        <w:t xml:space="preserve"> at WTDC-21</w:t>
      </w:r>
      <w:r w:rsidR="005B5A78" w:rsidRPr="005B5A78">
        <w:rPr>
          <w:lang w:val="en-US"/>
        </w:rPr>
        <w:t xml:space="preserve"> will provide an opportunity for leaders from all ITU-D constituents (Members, Sector Members, other private sector and academia leaders, civil society, and international/multilateral organizations) to discuss the key digital development challenges and opportunities to achieving universal meaningful connectivity. </w:t>
      </w:r>
    </w:p>
    <w:p w14:paraId="26556739" w14:textId="73B30966" w:rsidR="005B5A78" w:rsidRPr="005B5A78" w:rsidRDefault="005B5A78" w:rsidP="008B71F2">
      <w:pPr>
        <w:rPr>
          <w:lang w:val="en-US"/>
        </w:rPr>
      </w:pPr>
      <w:r>
        <w:rPr>
          <w:lang w:val="en-US"/>
        </w:rPr>
        <w:t>T</w:t>
      </w:r>
      <w:r w:rsidRPr="005B5A78">
        <w:rPr>
          <w:lang w:val="en-US"/>
        </w:rPr>
        <w:t xml:space="preserve">he provision of the P2C event is in recognition of partnerships as a critical enabler for achieving the </w:t>
      </w:r>
      <w:r w:rsidR="00BA2392">
        <w:rPr>
          <w:lang w:val="en-US"/>
        </w:rPr>
        <w:t xml:space="preserve">ITU-D Regional Priorities and the </w:t>
      </w:r>
      <w:r w:rsidRPr="005B5A78">
        <w:rPr>
          <w:lang w:val="en-US"/>
        </w:rPr>
        <w:t>Sustainable Development Goals (SDGs). The enormity of the resources needed requires global partnerships and new models of collaboration with all stakeholders.</w:t>
      </w:r>
    </w:p>
    <w:p w14:paraId="414BFB8C" w14:textId="49EAF175" w:rsidR="00EB51B0" w:rsidRPr="00D93359" w:rsidRDefault="00EB51B0" w:rsidP="008131EC">
      <w:pPr>
        <w:pStyle w:val="ListParagraph"/>
        <w:keepNext/>
        <w:numPr>
          <w:ilvl w:val="0"/>
          <w:numId w:val="8"/>
        </w:numPr>
        <w:overflowPunct/>
        <w:autoSpaceDE/>
        <w:autoSpaceDN/>
        <w:adjustRightInd/>
        <w:spacing w:before="240" w:after="120"/>
        <w:ind w:left="357" w:hanging="357"/>
        <w:contextualSpacing w:val="0"/>
        <w:textAlignment w:val="auto"/>
        <w:rPr>
          <w:rFonts w:cstheme="minorHAnsi"/>
          <w:b/>
          <w:bCs/>
          <w:szCs w:val="24"/>
        </w:rPr>
      </w:pPr>
      <w:r w:rsidRPr="00D93359">
        <w:rPr>
          <w:rFonts w:cstheme="minorHAnsi"/>
          <w:b/>
          <w:bCs/>
          <w:szCs w:val="24"/>
        </w:rPr>
        <w:t xml:space="preserve">Participants </w:t>
      </w:r>
    </w:p>
    <w:p w14:paraId="22850EFF" w14:textId="1F431E54" w:rsidR="005B5A78" w:rsidRPr="00975DFF" w:rsidRDefault="009B4D65" w:rsidP="005B5A78">
      <w:pPr>
        <w:rPr>
          <w:lang w:val="en-US"/>
        </w:rPr>
      </w:pPr>
      <w:r>
        <w:rPr>
          <w:rFonts w:cstheme="minorHAnsi"/>
          <w:szCs w:val="24"/>
        </w:rPr>
        <w:t>Consistent with the guidance from TDAG, t</w:t>
      </w:r>
      <w:r w:rsidR="00EB51B0" w:rsidRPr="00D93359">
        <w:rPr>
          <w:rFonts w:cstheme="minorHAnsi"/>
          <w:szCs w:val="24"/>
        </w:rPr>
        <w:t xml:space="preserve">he participants to the WTDC-21 </w:t>
      </w:r>
      <w:r w:rsidR="005B5A78">
        <w:rPr>
          <w:rFonts w:cstheme="minorHAnsi"/>
          <w:szCs w:val="24"/>
        </w:rPr>
        <w:t>P2C segment</w:t>
      </w:r>
      <w:r w:rsidR="00EB51B0" w:rsidRPr="00D93359">
        <w:rPr>
          <w:rFonts w:cstheme="minorHAnsi"/>
          <w:szCs w:val="24"/>
        </w:rPr>
        <w:t xml:space="preserve"> will be </w:t>
      </w:r>
      <w:r w:rsidR="005B5A78" w:rsidRPr="0041399A">
        <w:rPr>
          <w:lang w:val="en-US"/>
        </w:rPr>
        <w:t>leaders from government, business, international organizations, civil society, and academia</w:t>
      </w:r>
      <w:r w:rsidR="005B5A78">
        <w:rPr>
          <w:lang w:val="en-US"/>
        </w:rPr>
        <w:t>.</w:t>
      </w:r>
      <w:r w:rsidR="005B5A78" w:rsidRPr="00D93359">
        <w:rPr>
          <w:rFonts w:cstheme="minorHAnsi"/>
          <w:szCs w:val="24"/>
        </w:rPr>
        <w:t xml:space="preserve"> </w:t>
      </w:r>
      <w:r w:rsidR="005B5A78" w:rsidRPr="00975DFF">
        <w:rPr>
          <w:lang w:val="en-US"/>
        </w:rPr>
        <w:t>P2C aims to bring participants and organizations who do not traditionally attend WTDC but are critical to advancing digital connectivity</w:t>
      </w:r>
      <w:r w:rsidR="00EB204B">
        <w:rPr>
          <w:lang w:val="en-US"/>
        </w:rPr>
        <w:t xml:space="preserve"> and development</w:t>
      </w:r>
      <w:r w:rsidR="005B5A78" w:rsidRPr="00975DFF">
        <w:rPr>
          <w:lang w:val="en-US"/>
        </w:rPr>
        <w:t xml:space="preserve"> in the context of the SDGs, and to position </w:t>
      </w:r>
      <w:r w:rsidR="00D041B4">
        <w:rPr>
          <w:lang w:val="en-US"/>
        </w:rPr>
        <w:t xml:space="preserve">the </w:t>
      </w:r>
      <w:r w:rsidR="005B5A78" w:rsidRPr="00975DFF">
        <w:rPr>
          <w:lang w:val="en-US"/>
        </w:rPr>
        <w:t xml:space="preserve">ITU-D Sector as the key </w:t>
      </w:r>
      <w:r w:rsidR="005B5A78">
        <w:rPr>
          <w:lang w:val="en-US"/>
        </w:rPr>
        <w:t>platform for advancing this agenda.</w:t>
      </w:r>
      <w:r w:rsidR="009118A8">
        <w:rPr>
          <w:lang w:val="en-US"/>
        </w:rPr>
        <w:t xml:space="preserve"> </w:t>
      </w:r>
      <w:r w:rsidR="009118A8" w:rsidRPr="009D4B5D">
        <w:rPr>
          <w:u w:val="single"/>
          <w:lang w:val="en-US"/>
        </w:rPr>
        <w:t xml:space="preserve">Participants will be invited at the highest </w:t>
      </w:r>
      <w:r w:rsidR="009D4B5D" w:rsidRPr="009D4B5D">
        <w:rPr>
          <w:u w:val="single"/>
          <w:lang w:val="en-US"/>
        </w:rPr>
        <w:t>level and will be</w:t>
      </w:r>
      <w:r w:rsidR="009118A8" w:rsidRPr="009D4B5D">
        <w:rPr>
          <w:u w:val="single"/>
          <w:lang w:val="en-US"/>
        </w:rPr>
        <w:t xml:space="preserve"> joined by Ministers and high-level officials who are attending WTDC21</w:t>
      </w:r>
      <w:r w:rsidR="0057020F">
        <w:rPr>
          <w:u w:val="single"/>
          <w:lang w:val="en-US"/>
        </w:rPr>
        <w:t>, in an interactive and impactful format providing an enhanced experience for all attendees</w:t>
      </w:r>
      <w:r w:rsidR="009118A8" w:rsidRPr="009D4B5D">
        <w:rPr>
          <w:u w:val="single"/>
          <w:lang w:val="en-US"/>
        </w:rPr>
        <w:t>.</w:t>
      </w:r>
      <w:r w:rsidR="0057020F">
        <w:rPr>
          <w:u w:val="single"/>
          <w:lang w:val="en-US"/>
        </w:rPr>
        <w:t xml:space="preserve"> </w:t>
      </w:r>
    </w:p>
    <w:p w14:paraId="0ECD9574" w14:textId="4E4B5465" w:rsidR="00336D65" w:rsidRPr="00D93359" w:rsidRDefault="00132B40" w:rsidP="008131EC">
      <w:pPr>
        <w:pStyle w:val="ListParagraph"/>
        <w:keepNext/>
        <w:numPr>
          <w:ilvl w:val="0"/>
          <w:numId w:val="8"/>
        </w:numPr>
        <w:overflowPunct/>
        <w:autoSpaceDE/>
        <w:autoSpaceDN/>
        <w:adjustRightInd/>
        <w:spacing w:before="240" w:after="120"/>
        <w:ind w:left="357" w:hanging="357"/>
        <w:contextualSpacing w:val="0"/>
        <w:textAlignment w:val="auto"/>
        <w:rPr>
          <w:rFonts w:cstheme="minorHAnsi"/>
          <w:b/>
          <w:bCs/>
          <w:szCs w:val="24"/>
        </w:rPr>
      </w:pPr>
      <w:r w:rsidRPr="00D93359">
        <w:rPr>
          <w:rFonts w:cstheme="minorHAnsi"/>
          <w:b/>
          <w:bCs/>
          <w:szCs w:val="24"/>
        </w:rPr>
        <w:t>Goals</w:t>
      </w:r>
      <w:r w:rsidR="00336D65" w:rsidRPr="00D93359">
        <w:rPr>
          <w:rFonts w:cstheme="minorHAnsi"/>
          <w:b/>
          <w:bCs/>
          <w:szCs w:val="24"/>
        </w:rPr>
        <w:t xml:space="preserve"> of the WTDC-21 </w:t>
      </w:r>
      <w:r w:rsidR="00D82840">
        <w:rPr>
          <w:rFonts w:cstheme="minorHAnsi"/>
          <w:b/>
          <w:bCs/>
          <w:szCs w:val="24"/>
        </w:rPr>
        <w:t>Partner2Connect Segment</w:t>
      </w:r>
    </w:p>
    <w:p w14:paraId="1AFE5287" w14:textId="3AF17DE9" w:rsidR="00924045" w:rsidRPr="00D93359" w:rsidRDefault="00336D65" w:rsidP="00D933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 w:rsidRPr="00D93359">
        <w:rPr>
          <w:rFonts w:cstheme="minorHAnsi"/>
          <w:szCs w:val="24"/>
        </w:rPr>
        <w:t xml:space="preserve">The </w:t>
      </w:r>
      <w:r w:rsidR="00A83747">
        <w:rPr>
          <w:rFonts w:cstheme="minorHAnsi"/>
          <w:szCs w:val="24"/>
        </w:rPr>
        <w:t>Segment</w:t>
      </w:r>
      <w:r w:rsidR="00A83747" w:rsidRPr="00D93359">
        <w:rPr>
          <w:rFonts w:cstheme="minorHAnsi"/>
          <w:szCs w:val="24"/>
        </w:rPr>
        <w:t xml:space="preserve"> </w:t>
      </w:r>
      <w:r w:rsidR="00724600" w:rsidRPr="00D93359">
        <w:rPr>
          <w:rFonts w:cstheme="minorHAnsi"/>
          <w:szCs w:val="24"/>
        </w:rPr>
        <w:t xml:space="preserve">will </w:t>
      </w:r>
      <w:r w:rsidRPr="00D93359">
        <w:rPr>
          <w:rFonts w:cstheme="minorHAnsi"/>
          <w:szCs w:val="24"/>
        </w:rPr>
        <w:t xml:space="preserve">have </w:t>
      </w:r>
      <w:r w:rsidR="00924045" w:rsidRPr="00D93359">
        <w:rPr>
          <w:rFonts w:cstheme="minorHAnsi"/>
          <w:szCs w:val="24"/>
        </w:rPr>
        <w:t xml:space="preserve">the following goals: </w:t>
      </w:r>
    </w:p>
    <w:p w14:paraId="30EEA104" w14:textId="367C8EC8" w:rsidR="00692264" w:rsidRDefault="00692264" w:rsidP="00D93359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before="60" w:after="60"/>
        <w:ind w:left="357" w:hanging="357"/>
        <w:contextualSpacing w:val="0"/>
        <w:textAlignment w:val="auto"/>
        <w:rPr>
          <w:rFonts w:cstheme="minorHAnsi"/>
          <w:szCs w:val="24"/>
        </w:rPr>
      </w:pPr>
      <w:r w:rsidRPr="00D93359">
        <w:rPr>
          <w:rFonts w:cstheme="minorHAnsi"/>
          <w:szCs w:val="24"/>
        </w:rPr>
        <w:lastRenderedPageBreak/>
        <w:t xml:space="preserve">To </w:t>
      </w:r>
      <w:r w:rsidR="00A83747">
        <w:rPr>
          <w:rFonts w:cstheme="minorHAnsi"/>
          <w:szCs w:val="24"/>
        </w:rPr>
        <w:t>secure meaningful commitments from participants to advance the access and use of digital connectivity to transform lives in LDCs, LLDCs, and SIDS</w:t>
      </w:r>
      <w:r w:rsidR="009205DD">
        <w:rPr>
          <w:rFonts w:cstheme="minorHAnsi"/>
          <w:szCs w:val="24"/>
        </w:rPr>
        <w:t>;</w:t>
      </w:r>
      <w:r w:rsidR="009205DD" w:rsidRPr="00D93359">
        <w:rPr>
          <w:rFonts w:cstheme="minorHAnsi"/>
          <w:szCs w:val="24"/>
        </w:rPr>
        <w:t xml:space="preserve"> </w:t>
      </w:r>
    </w:p>
    <w:p w14:paraId="637E6AE4" w14:textId="6AAA8A20" w:rsidR="00BA2392" w:rsidRPr="00D93359" w:rsidRDefault="00BA2392" w:rsidP="00D93359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before="60" w:after="60"/>
        <w:ind w:left="357" w:hanging="357"/>
        <w:contextualSpacing w:val="0"/>
        <w:textAlignment w:val="auto"/>
        <w:rPr>
          <w:rFonts w:cstheme="minorHAnsi"/>
          <w:szCs w:val="24"/>
        </w:rPr>
      </w:pPr>
      <w:r>
        <w:rPr>
          <w:rFonts w:cstheme="minorHAnsi"/>
          <w:szCs w:val="24"/>
        </w:rPr>
        <w:t>To advance progress on the Regional Priorities;</w:t>
      </w:r>
    </w:p>
    <w:p w14:paraId="232CB71B" w14:textId="084886FA" w:rsidR="00692264" w:rsidRPr="00D93359" w:rsidRDefault="00692264" w:rsidP="00D93359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before="60" w:after="60"/>
        <w:ind w:left="357" w:hanging="357"/>
        <w:contextualSpacing w:val="0"/>
        <w:textAlignment w:val="auto"/>
        <w:rPr>
          <w:rFonts w:cstheme="minorHAnsi"/>
          <w:szCs w:val="24"/>
        </w:rPr>
      </w:pPr>
      <w:r w:rsidRPr="00D93359">
        <w:rPr>
          <w:rFonts w:cstheme="minorHAnsi"/>
          <w:szCs w:val="24"/>
        </w:rPr>
        <w:t xml:space="preserve">To attain </w:t>
      </w:r>
      <w:r w:rsidR="00643B49">
        <w:rPr>
          <w:rFonts w:cstheme="minorHAnsi"/>
          <w:szCs w:val="24"/>
        </w:rPr>
        <w:t xml:space="preserve">broad engagement and ownership from key partners through the </w:t>
      </w:r>
      <w:r w:rsidR="00EB204B">
        <w:rPr>
          <w:rFonts w:cstheme="minorHAnsi"/>
          <w:szCs w:val="24"/>
        </w:rPr>
        <w:t xml:space="preserve">creation of Working Groups and the </w:t>
      </w:r>
      <w:r w:rsidR="00643B49">
        <w:rPr>
          <w:rFonts w:cstheme="minorHAnsi"/>
          <w:szCs w:val="24"/>
        </w:rPr>
        <w:t xml:space="preserve">nomination of </w:t>
      </w:r>
      <w:r w:rsidR="00EB204B">
        <w:rPr>
          <w:rFonts w:cstheme="minorHAnsi"/>
          <w:szCs w:val="24"/>
        </w:rPr>
        <w:t>Working Group co-</w:t>
      </w:r>
      <w:r w:rsidR="00643B49">
        <w:rPr>
          <w:rFonts w:cstheme="minorHAnsi"/>
          <w:szCs w:val="24"/>
        </w:rPr>
        <w:t xml:space="preserve">chairs for </w:t>
      </w:r>
      <w:r w:rsidR="00EB204B">
        <w:rPr>
          <w:rFonts w:cstheme="minorHAnsi"/>
          <w:szCs w:val="24"/>
        </w:rPr>
        <w:t xml:space="preserve">the four </w:t>
      </w:r>
      <w:r w:rsidR="00643B49">
        <w:rPr>
          <w:rFonts w:cstheme="minorHAnsi"/>
          <w:szCs w:val="24"/>
        </w:rPr>
        <w:t>focus areas of the segment</w:t>
      </w:r>
      <w:r w:rsidR="009205DD">
        <w:rPr>
          <w:rFonts w:cstheme="minorHAnsi"/>
          <w:szCs w:val="24"/>
        </w:rPr>
        <w:t>;</w:t>
      </w:r>
    </w:p>
    <w:p w14:paraId="072A8B1B" w14:textId="63573389" w:rsidR="00281EEE" w:rsidRPr="00D93359" w:rsidRDefault="00692264" w:rsidP="00D93359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before="60" w:after="60"/>
        <w:ind w:left="357" w:hanging="357"/>
        <w:contextualSpacing w:val="0"/>
        <w:textAlignment w:val="auto"/>
        <w:rPr>
          <w:rFonts w:cstheme="minorHAnsi"/>
          <w:szCs w:val="24"/>
        </w:rPr>
      </w:pPr>
      <w:r w:rsidRPr="00D93359">
        <w:rPr>
          <w:rFonts w:cstheme="minorHAnsi"/>
          <w:szCs w:val="24"/>
        </w:rPr>
        <w:t xml:space="preserve">To be </w:t>
      </w:r>
      <w:r w:rsidR="00281EEE" w:rsidRPr="00D93359">
        <w:rPr>
          <w:rFonts w:cstheme="minorHAnsi"/>
          <w:szCs w:val="24"/>
        </w:rPr>
        <w:t>aligned</w:t>
      </w:r>
      <w:r w:rsidRPr="00D93359">
        <w:rPr>
          <w:rFonts w:cstheme="minorHAnsi"/>
          <w:szCs w:val="24"/>
        </w:rPr>
        <w:t xml:space="preserve"> </w:t>
      </w:r>
      <w:r w:rsidR="00643B49">
        <w:rPr>
          <w:rFonts w:cstheme="minorHAnsi"/>
          <w:szCs w:val="24"/>
        </w:rPr>
        <w:t>o</w:t>
      </w:r>
      <w:r w:rsidR="00643B49" w:rsidRPr="00643B49">
        <w:rPr>
          <w:rFonts w:cstheme="minorHAnsi"/>
          <w:szCs w:val="24"/>
        </w:rPr>
        <w:t>ther internationally recognized declarations and pledges</w:t>
      </w:r>
      <w:r w:rsidR="00643B49">
        <w:rPr>
          <w:rFonts w:cstheme="minorHAnsi"/>
          <w:szCs w:val="24"/>
        </w:rPr>
        <w:t>, including</w:t>
      </w:r>
      <w:r w:rsidR="00643B49" w:rsidRPr="00643B49">
        <w:rPr>
          <w:rFonts w:cstheme="minorHAnsi"/>
          <w:szCs w:val="24"/>
        </w:rPr>
        <w:t xml:space="preserve"> the Broadband Commission, the UNSG Digital Cooperation Roadmap, and the UN LDC5 conference in January 2022</w:t>
      </w:r>
      <w:r w:rsidR="00643B49">
        <w:rPr>
          <w:rFonts w:cstheme="minorHAnsi"/>
          <w:szCs w:val="24"/>
        </w:rPr>
        <w:t>.</w:t>
      </w:r>
    </w:p>
    <w:p w14:paraId="473FFA93" w14:textId="591817F5" w:rsidR="00595AB7" w:rsidRPr="00D93359" w:rsidRDefault="00B854B1" w:rsidP="008B71F2">
      <w:pPr>
        <w:keepNext/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bookmarkStart w:id="7" w:name="_Hlk68876963"/>
      <w:r w:rsidRPr="00D93359">
        <w:rPr>
          <w:rFonts w:cstheme="minorHAnsi"/>
          <w:szCs w:val="24"/>
        </w:rPr>
        <w:t xml:space="preserve">With the organization of the </w:t>
      </w:r>
      <w:r w:rsidR="00643B49">
        <w:rPr>
          <w:rFonts w:cstheme="minorHAnsi"/>
          <w:szCs w:val="24"/>
        </w:rPr>
        <w:t>Partner2Connect segment</w:t>
      </w:r>
      <w:r w:rsidRPr="00D93359">
        <w:rPr>
          <w:rFonts w:cstheme="minorHAnsi"/>
          <w:szCs w:val="24"/>
        </w:rPr>
        <w:t xml:space="preserve">, the following results are expected: </w:t>
      </w:r>
    </w:p>
    <w:p w14:paraId="5472802F" w14:textId="233DAF20" w:rsidR="00B854B1" w:rsidRPr="00D93359" w:rsidRDefault="00534DFD" w:rsidP="00D93359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before="60" w:after="60"/>
        <w:ind w:left="357" w:hanging="357"/>
        <w:contextualSpacing w:val="0"/>
        <w:textAlignment w:val="auto"/>
        <w:rPr>
          <w:rFonts w:cstheme="minorHAnsi"/>
          <w:szCs w:val="24"/>
        </w:rPr>
      </w:pPr>
      <w:r w:rsidRPr="00D93359">
        <w:rPr>
          <w:rFonts w:cstheme="minorHAnsi"/>
          <w:szCs w:val="24"/>
        </w:rPr>
        <w:t xml:space="preserve">A WTDC-21 </w:t>
      </w:r>
      <w:r w:rsidR="00A83747">
        <w:rPr>
          <w:rFonts w:cstheme="minorHAnsi"/>
          <w:szCs w:val="24"/>
        </w:rPr>
        <w:t>Partner2Connect</w:t>
      </w:r>
      <w:r w:rsidRPr="00D93359">
        <w:rPr>
          <w:rFonts w:cstheme="minorHAnsi"/>
          <w:szCs w:val="24"/>
        </w:rPr>
        <w:t xml:space="preserve"> </w:t>
      </w:r>
      <w:r w:rsidR="00134BC8">
        <w:rPr>
          <w:rFonts w:cstheme="minorHAnsi"/>
          <w:szCs w:val="24"/>
        </w:rPr>
        <w:t xml:space="preserve">Digital </w:t>
      </w:r>
      <w:r w:rsidR="00A83747">
        <w:rPr>
          <w:rFonts w:cstheme="minorHAnsi"/>
          <w:szCs w:val="24"/>
        </w:rPr>
        <w:t>Coalition will be launched</w:t>
      </w:r>
      <w:r w:rsidR="009205DD">
        <w:rPr>
          <w:rFonts w:cstheme="minorHAnsi"/>
          <w:szCs w:val="24"/>
        </w:rPr>
        <w:t>;</w:t>
      </w:r>
    </w:p>
    <w:p w14:paraId="1F573396" w14:textId="3D34E848" w:rsidR="009F4B7A" w:rsidRPr="00D93359" w:rsidRDefault="009F4B7A" w:rsidP="00D93359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before="60" w:after="60"/>
        <w:ind w:left="357" w:hanging="357"/>
        <w:contextualSpacing w:val="0"/>
        <w:textAlignment w:val="auto"/>
        <w:rPr>
          <w:rFonts w:cstheme="minorHAnsi"/>
          <w:szCs w:val="24"/>
        </w:rPr>
      </w:pPr>
      <w:r w:rsidRPr="00D93359">
        <w:rPr>
          <w:rFonts w:cstheme="minorHAnsi"/>
          <w:szCs w:val="24"/>
        </w:rPr>
        <w:t xml:space="preserve">A WTDC-21 and </w:t>
      </w:r>
      <w:r w:rsidR="00A83747">
        <w:rPr>
          <w:rFonts w:cstheme="minorHAnsi"/>
          <w:szCs w:val="24"/>
        </w:rPr>
        <w:t>Partner2Connect</w:t>
      </w:r>
      <w:r w:rsidRPr="00D93359">
        <w:rPr>
          <w:rFonts w:cstheme="minorHAnsi"/>
          <w:szCs w:val="24"/>
        </w:rPr>
        <w:t xml:space="preserve"> preparatory process</w:t>
      </w:r>
      <w:r w:rsidR="009205DD">
        <w:rPr>
          <w:rFonts w:cstheme="minorHAnsi"/>
          <w:szCs w:val="24"/>
        </w:rPr>
        <w:t>;</w:t>
      </w:r>
    </w:p>
    <w:p w14:paraId="006CD685" w14:textId="6CEF402C" w:rsidR="00C610AF" w:rsidRPr="00D93359" w:rsidRDefault="00C610AF" w:rsidP="00D93359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before="60" w:after="60"/>
        <w:ind w:left="357" w:hanging="357"/>
        <w:contextualSpacing w:val="0"/>
        <w:textAlignment w:val="auto"/>
        <w:rPr>
          <w:rFonts w:cstheme="minorHAnsi"/>
          <w:szCs w:val="24"/>
        </w:rPr>
      </w:pPr>
      <w:r w:rsidRPr="00D93359">
        <w:rPr>
          <w:rFonts w:cstheme="minorHAnsi"/>
          <w:szCs w:val="24"/>
        </w:rPr>
        <w:t xml:space="preserve">Follow up </w:t>
      </w:r>
      <w:r w:rsidR="005E19E1" w:rsidRPr="00D93359">
        <w:rPr>
          <w:rFonts w:cstheme="minorHAnsi"/>
          <w:szCs w:val="24"/>
        </w:rPr>
        <w:t xml:space="preserve">after the WTDC-21, </w:t>
      </w:r>
      <w:r w:rsidR="00643B49">
        <w:rPr>
          <w:rFonts w:cstheme="minorHAnsi"/>
          <w:szCs w:val="24"/>
        </w:rPr>
        <w:t>including periodic reporting on commitments made by signatories to the coalition</w:t>
      </w:r>
      <w:r w:rsidR="00BA2392">
        <w:rPr>
          <w:rFonts w:cstheme="minorHAnsi"/>
          <w:szCs w:val="24"/>
        </w:rPr>
        <w:t xml:space="preserve"> and progress against the Regional Priorities</w:t>
      </w:r>
    </w:p>
    <w:p w14:paraId="70F91C96" w14:textId="5F4314E8" w:rsidR="00CE3764" w:rsidRPr="00D93359" w:rsidRDefault="00643B49" w:rsidP="008131EC">
      <w:pPr>
        <w:pStyle w:val="ListParagraph"/>
        <w:keepNext/>
        <w:numPr>
          <w:ilvl w:val="0"/>
          <w:numId w:val="8"/>
        </w:numPr>
        <w:overflowPunct/>
        <w:autoSpaceDE/>
        <w:autoSpaceDN/>
        <w:adjustRightInd/>
        <w:spacing w:before="240" w:after="120"/>
        <w:ind w:left="357" w:hanging="357"/>
        <w:contextualSpacing w:val="0"/>
        <w:textAlignment w:val="auto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Partner2Connect Segment</w:t>
      </w:r>
      <w:r w:rsidR="00CE3764" w:rsidRPr="00D93359">
        <w:rPr>
          <w:rFonts w:cstheme="minorHAnsi"/>
          <w:b/>
          <w:bCs/>
          <w:szCs w:val="24"/>
        </w:rPr>
        <w:t xml:space="preserve"> Format</w:t>
      </w:r>
      <w:r w:rsidR="005E19E1" w:rsidRPr="00D93359">
        <w:rPr>
          <w:rFonts w:cstheme="minorHAnsi"/>
          <w:b/>
          <w:bCs/>
          <w:szCs w:val="24"/>
        </w:rPr>
        <w:t xml:space="preserve">, </w:t>
      </w:r>
      <w:r w:rsidR="00CE3764" w:rsidRPr="00D93359">
        <w:rPr>
          <w:rFonts w:cstheme="minorHAnsi"/>
          <w:b/>
          <w:bCs/>
          <w:szCs w:val="24"/>
        </w:rPr>
        <w:t>Content</w:t>
      </w:r>
      <w:r w:rsidR="005E19E1" w:rsidRPr="00D93359">
        <w:rPr>
          <w:rFonts w:cstheme="minorHAnsi"/>
          <w:b/>
          <w:bCs/>
          <w:szCs w:val="24"/>
        </w:rPr>
        <w:t xml:space="preserve"> and Design </w:t>
      </w:r>
    </w:p>
    <w:p w14:paraId="365C9CC6" w14:textId="2361066F" w:rsidR="00C73760" w:rsidRDefault="00C73760" w:rsidP="00D93359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 w:rsidRPr="00D93359">
        <w:rPr>
          <w:rFonts w:cstheme="minorHAnsi"/>
          <w:szCs w:val="24"/>
        </w:rPr>
        <w:t xml:space="preserve">The </w:t>
      </w:r>
      <w:r w:rsidR="00731A90">
        <w:rPr>
          <w:rFonts w:cstheme="minorHAnsi"/>
          <w:szCs w:val="24"/>
        </w:rPr>
        <w:t xml:space="preserve">Partner2Connect segment </w:t>
      </w:r>
      <w:r w:rsidR="00D041B4">
        <w:rPr>
          <w:rFonts w:cstheme="minorHAnsi"/>
          <w:szCs w:val="24"/>
        </w:rPr>
        <w:t xml:space="preserve">will take place </w:t>
      </w:r>
      <w:r w:rsidR="00EB204B">
        <w:rPr>
          <w:rFonts w:cstheme="minorHAnsi"/>
          <w:szCs w:val="24"/>
        </w:rPr>
        <w:t>over the course of</w:t>
      </w:r>
      <w:r w:rsidR="00D041B4">
        <w:rPr>
          <w:rFonts w:cstheme="minorHAnsi"/>
          <w:szCs w:val="24"/>
        </w:rPr>
        <w:t xml:space="preserve"> two-and-a-half days starting from the afternoon of Day 2 of WTDC-21</w:t>
      </w:r>
      <w:r w:rsidR="00EB204B">
        <w:rPr>
          <w:rFonts w:cstheme="minorHAnsi"/>
          <w:szCs w:val="24"/>
        </w:rPr>
        <w:t>,</w:t>
      </w:r>
      <w:r w:rsidR="00D041B4">
        <w:rPr>
          <w:rFonts w:cstheme="minorHAnsi"/>
          <w:szCs w:val="24"/>
        </w:rPr>
        <w:t xml:space="preserve"> and </w:t>
      </w:r>
      <w:r w:rsidR="00731A90">
        <w:rPr>
          <w:rFonts w:cstheme="minorHAnsi"/>
          <w:szCs w:val="24"/>
        </w:rPr>
        <w:t>will be built around four focus areas:</w:t>
      </w:r>
    </w:p>
    <w:p w14:paraId="0D72F145" w14:textId="5C4086DF" w:rsidR="00731A90" w:rsidRPr="00731A90" w:rsidRDefault="00731A90" w:rsidP="00731A90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  <w:lang w:val="en-US"/>
        </w:rPr>
      </w:pPr>
      <w:r w:rsidRPr="008131EC">
        <w:rPr>
          <w:rFonts w:cstheme="minorHAnsi"/>
          <w:b/>
          <w:bCs/>
          <w:szCs w:val="24"/>
          <w:lang w:val="en-US"/>
        </w:rPr>
        <w:t>CONNECTING PEOPLE EVERYWHERE</w:t>
      </w:r>
      <w:r w:rsidRPr="00731A90">
        <w:rPr>
          <w:rFonts w:cstheme="minorHAnsi"/>
          <w:szCs w:val="24"/>
          <w:lang w:val="en-US"/>
        </w:rPr>
        <w:t xml:space="preserve"> – Resilient and reliable connectivity for </w:t>
      </w:r>
      <w:proofErr w:type="gramStart"/>
      <w:r w:rsidRPr="00731A90">
        <w:rPr>
          <w:rFonts w:cstheme="minorHAnsi"/>
          <w:szCs w:val="24"/>
          <w:lang w:val="en-US"/>
        </w:rPr>
        <w:t>all</w:t>
      </w:r>
      <w:r w:rsidR="00D041B4">
        <w:rPr>
          <w:rFonts w:cstheme="minorHAnsi"/>
          <w:szCs w:val="24"/>
          <w:lang w:val="en-US"/>
        </w:rPr>
        <w:t>;</w:t>
      </w:r>
      <w:proofErr w:type="gramEnd"/>
    </w:p>
    <w:p w14:paraId="1AE021E0" w14:textId="3282FBD8" w:rsidR="00731A90" w:rsidRPr="00731A90" w:rsidRDefault="00731A90" w:rsidP="00731A90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  <w:lang w:val="en-US"/>
        </w:rPr>
      </w:pPr>
      <w:r w:rsidRPr="008131EC">
        <w:rPr>
          <w:rFonts w:cstheme="minorHAnsi"/>
          <w:b/>
          <w:bCs/>
          <w:szCs w:val="24"/>
          <w:lang w:val="en-US"/>
        </w:rPr>
        <w:t>EMPOWERING COMMUNITIES</w:t>
      </w:r>
      <w:r w:rsidRPr="00731A90">
        <w:rPr>
          <w:rFonts w:cstheme="minorHAnsi"/>
          <w:szCs w:val="24"/>
          <w:lang w:val="en-US"/>
        </w:rPr>
        <w:t xml:space="preserve"> – All people have access to the relevant digital services and the skills and resources to maximize their </w:t>
      </w:r>
      <w:proofErr w:type="gramStart"/>
      <w:r w:rsidRPr="00731A90">
        <w:rPr>
          <w:rFonts w:cstheme="minorHAnsi"/>
          <w:szCs w:val="24"/>
          <w:lang w:val="en-US"/>
        </w:rPr>
        <w:t>potential</w:t>
      </w:r>
      <w:r w:rsidR="00D041B4">
        <w:rPr>
          <w:rFonts w:cstheme="minorHAnsi"/>
          <w:szCs w:val="24"/>
          <w:lang w:val="en-US"/>
        </w:rPr>
        <w:t>;</w:t>
      </w:r>
      <w:proofErr w:type="gramEnd"/>
    </w:p>
    <w:p w14:paraId="0A5F9A63" w14:textId="66045759" w:rsidR="00731A90" w:rsidRPr="00731A90" w:rsidRDefault="00731A90" w:rsidP="00731A90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  <w:lang w:val="en-US"/>
        </w:rPr>
      </w:pPr>
      <w:r w:rsidRPr="008131EC">
        <w:rPr>
          <w:rFonts w:cstheme="minorHAnsi"/>
          <w:b/>
          <w:bCs/>
          <w:szCs w:val="24"/>
          <w:lang w:val="en-US"/>
        </w:rPr>
        <w:t>BUILDING DIGITAL ECOSYSTEMS</w:t>
      </w:r>
      <w:r w:rsidRPr="00731A90">
        <w:rPr>
          <w:rFonts w:cstheme="minorHAnsi"/>
          <w:szCs w:val="24"/>
          <w:lang w:val="en-US"/>
        </w:rPr>
        <w:t xml:space="preserve"> – Providing the enabling leadership and capacity for innovation, entrepreneurship, and policy/regulatory frameworks to digitally transform </w:t>
      </w:r>
      <w:proofErr w:type="gramStart"/>
      <w:r w:rsidRPr="00731A90">
        <w:rPr>
          <w:rFonts w:cstheme="minorHAnsi"/>
          <w:szCs w:val="24"/>
          <w:lang w:val="en-US"/>
        </w:rPr>
        <w:t>ecosystems</w:t>
      </w:r>
      <w:r w:rsidR="00D041B4">
        <w:rPr>
          <w:rFonts w:cstheme="minorHAnsi"/>
          <w:szCs w:val="24"/>
          <w:lang w:val="en-US"/>
        </w:rPr>
        <w:t>;</w:t>
      </w:r>
      <w:proofErr w:type="gramEnd"/>
    </w:p>
    <w:p w14:paraId="3AF046BE" w14:textId="60973CF4" w:rsidR="00731A90" w:rsidRPr="008B71F2" w:rsidRDefault="00731A90" w:rsidP="00731A90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  <w:lang w:val="en-US"/>
        </w:rPr>
      </w:pPr>
      <w:r w:rsidRPr="008131EC">
        <w:rPr>
          <w:rFonts w:cstheme="minorHAnsi"/>
          <w:b/>
          <w:bCs/>
          <w:szCs w:val="24"/>
          <w:lang w:val="en-US"/>
        </w:rPr>
        <w:t>INCENTIVIZING INVESTMENTS</w:t>
      </w:r>
      <w:r w:rsidRPr="00731A90">
        <w:rPr>
          <w:rFonts w:cstheme="minorHAnsi"/>
          <w:szCs w:val="24"/>
          <w:lang w:val="en-US"/>
        </w:rPr>
        <w:t xml:space="preserve"> – </w:t>
      </w:r>
      <w:r w:rsidR="00D041B4">
        <w:rPr>
          <w:rFonts w:cstheme="minorHAnsi"/>
          <w:szCs w:val="24"/>
          <w:lang w:val="en-US"/>
        </w:rPr>
        <w:t>C</w:t>
      </w:r>
      <w:r w:rsidR="00D041B4" w:rsidRPr="00731A90">
        <w:rPr>
          <w:rFonts w:cstheme="minorHAnsi"/>
          <w:szCs w:val="24"/>
          <w:lang w:val="en-US"/>
        </w:rPr>
        <w:t xml:space="preserve">reating </w:t>
      </w:r>
      <w:r w:rsidRPr="00731A90">
        <w:rPr>
          <w:rFonts w:cstheme="minorHAnsi"/>
          <w:szCs w:val="24"/>
          <w:lang w:val="en-US"/>
        </w:rPr>
        <w:t>investment models and financing instruments that incentivize new sources of investment from both traditional and non-traditional sources.</w:t>
      </w:r>
    </w:p>
    <w:p w14:paraId="4989884D" w14:textId="5F201AB2" w:rsidR="00CE204D" w:rsidRDefault="00BA2392" w:rsidP="00D933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Each focus area will have 3-4 co-chairs, including 1-2 from Members, 1 from private sector, and 1 from Civil Society/International Organization. </w:t>
      </w:r>
      <w:r w:rsidR="00731A90">
        <w:rPr>
          <w:rFonts w:cstheme="minorHAnsi"/>
          <w:szCs w:val="24"/>
        </w:rPr>
        <w:t xml:space="preserve">Co-chairs of these focus areas would lead the preparatory process, and facilitate the development of concrete commitments to be announced around those areas at the Partner2Connect segment. </w:t>
      </w:r>
      <w:r w:rsidR="00A258B1" w:rsidRPr="00D93359">
        <w:rPr>
          <w:rFonts w:cstheme="minorHAnsi"/>
          <w:szCs w:val="24"/>
        </w:rPr>
        <w:t xml:space="preserve">The </w:t>
      </w:r>
      <w:r w:rsidR="00643B49">
        <w:rPr>
          <w:rFonts w:cstheme="minorHAnsi"/>
          <w:szCs w:val="24"/>
        </w:rPr>
        <w:t>segment</w:t>
      </w:r>
      <w:r w:rsidR="00643B49" w:rsidRPr="00D93359">
        <w:rPr>
          <w:rFonts w:cstheme="minorHAnsi"/>
          <w:szCs w:val="24"/>
        </w:rPr>
        <w:t xml:space="preserve"> </w:t>
      </w:r>
      <w:r w:rsidR="00A258B1" w:rsidRPr="00D93359">
        <w:rPr>
          <w:rFonts w:cstheme="minorHAnsi"/>
          <w:szCs w:val="24"/>
        </w:rPr>
        <w:t>may include activities such as: panel sessions</w:t>
      </w:r>
      <w:r w:rsidR="00731A90">
        <w:rPr>
          <w:rFonts w:cstheme="minorHAnsi"/>
          <w:szCs w:val="24"/>
        </w:rPr>
        <w:t>, small group discussions, plenary pledges, and signing ceremony for the coalition</w:t>
      </w:r>
      <w:r w:rsidR="006A37DC" w:rsidRPr="00D93359">
        <w:rPr>
          <w:rFonts w:cstheme="minorHAnsi"/>
          <w:szCs w:val="24"/>
        </w:rPr>
        <w:t>.</w:t>
      </w:r>
    </w:p>
    <w:p w14:paraId="6DAD10B4" w14:textId="43FB19D6" w:rsidR="00541DAB" w:rsidRPr="00D93359" w:rsidRDefault="005E0240" w:rsidP="00D933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Following the principles approved by TDAG the panels, round tables and </w:t>
      </w:r>
      <w:r w:rsidR="00B65202">
        <w:rPr>
          <w:rFonts w:cstheme="minorHAnsi"/>
          <w:szCs w:val="24"/>
        </w:rPr>
        <w:t xml:space="preserve">group </w:t>
      </w:r>
      <w:r>
        <w:rPr>
          <w:rFonts w:cstheme="minorHAnsi"/>
          <w:szCs w:val="24"/>
        </w:rPr>
        <w:t>discussion</w:t>
      </w:r>
      <w:r w:rsidR="00B65202">
        <w:rPr>
          <w:rFonts w:cstheme="minorHAnsi"/>
          <w:szCs w:val="24"/>
        </w:rPr>
        <w:t>,</w:t>
      </w:r>
      <w:r>
        <w:rPr>
          <w:rFonts w:cstheme="minorHAnsi"/>
          <w:szCs w:val="24"/>
        </w:rPr>
        <w:t xml:space="preserve"> </w:t>
      </w:r>
      <w:r w:rsidR="00B65202">
        <w:rPr>
          <w:rFonts w:cstheme="minorHAnsi"/>
          <w:szCs w:val="24"/>
        </w:rPr>
        <w:t xml:space="preserve">will </w:t>
      </w:r>
      <w:r w:rsidR="00D7018C">
        <w:rPr>
          <w:rFonts w:cstheme="minorHAnsi"/>
          <w:szCs w:val="24"/>
        </w:rPr>
        <w:t xml:space="preserve">either include or be chaired/moderated </w:t>
      </w:r>
      <w:r w:rsidR="00B65202">
        <w:rPr>
          <w:rFonts w:cstheme="minorHAnsi"/>
          <w:szCs w:val="24"/>
        </w:rPr>
        <w:t>high-level participants from membership</w:t>
      </w:r>
      <w:r w:rsidR="00D7018C">
        <w:rPr>
          <w:rFonts w:cstheme="minorHAnsi"/>
          <w:szCs w:val="24"/>
        </w:rPr>
        <w:t xml:space="preserve">.  In addition to this, </w:t>
      </w:r>
      <w:r w:rsidR="00075786">
        <w:rPr>
          <w:rFonts w:cstheme="minorHAnsi"/>
          <w:szCs w:val="24"/>
        </w:rPr>
        <w:t>other high-level participants may wish to record video messages that will be played during the coffee breaks in meeting rooms and in the screens dotted around the conference venue.</w:t>
      </w:r>
    </w:p>
    <w:bookmarkEnd w:id="7"/>
    <w:p w14:paraId="590CAEEA" w14:textId="76893C9B" w:rsidR="00F63300" w:rsidRPr="008B71F2" w:rsidRDefault="003B5C3B" w:rsidP="008131EC">
      <w:pPr>
        <w:pStyle w:val="ListParagraph"/>
        <w:keepNext/>
        <w:numPr>
          <w:ilvl w:val="0"/>
          <w:numId w:val="8"/>
        </w:numPr>
        <w:overflowPunct/>
        <w:autoSpaceDE/>
        <w:autoSpaceDN/>
        <w:adjustRightInd/>
        <w:spacing w:before="240" w:after="120"/>
        <w:ind w:left="357" w:hanging="357"/>
        <w:contextualSpacing w:val="0"/>
        <w:textAlignment w:val="auto"/>
        <w:rPr>
          <w:rFonts w:cstheme="minorHAnsi"/>
          <w:b/>
          <w:bCs/>
          <w:szCs w:val="24"/>
        </w:rPr>
      </w:pPr>
      <w:r w:rsidRPr="008B71F2">
        <w:rPr>
          <w:rFonts w:cstheme="minorHAnsi"/>
          <w:b/>
          <w:bCs/>
          <w:szCs w:val="24"/>
        </w:rPr>
        <w:t>Partner engagement</w:t>
      </w:r>
    </w:p>
    <w:p w14:paraId="03C96014" w14:textId="36CFA7CF" w:rsidR="00F63300" w:rsidRPr="000914E9" w:rsidRDefault="00731A90" w:rsidP="00D933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 w:rsidRPr="000914E9">
        <w:rPr>
          <w:rFonts w:cstheme="minorHAnsi"/>
          <w:szCs w:val="24"/>
        </w:rPr>
        <w:t xml:space="preserve">BDT intends to invite </w:t>
      </w:r>
      <w:r w:rsidR="009B4D65">
        <w:rPr>
          <w:rFonts w:cstheme="minorHAnsi"/>
          <w:szCs w:val="24"/>
        </w:rPr>
        <w:t>key, relevant</w:t>
      </w:r>
      <w:r w:rsidRPr="000914E9">
        <w:rPr>
          <w:rFonts w:cstheme="minorHAnsi"/>
          <w:szCs w:val="24"/>
        </w:rPr>
        <w:t xml:space="preserve"> partners to serve as </w:t>
      </w:r>
      <w:r w:rsidR="00EB204B">
        <w:rPr>
          <w:rFonts w:cstheme="minorHAnsi"/>
          <w:szCs w:val="24"/>
        </w:rPr>
        <w:t xml:space="preserve">co-chairs of the focus areas and </w:t>
      </w:r>
      <w:r w:rsidRPr="000914E9">
        <w:rPr>
          <w:rFonts w:cstheme="minorHAnsi"/>
          <w:szCs w:val="24"/>
        </w:rPr>
        <w:t>track leads for this segment</w:t>
      </w:r>
      <w:r w:rsidR="003A3AFB" w:rsidRPr="000914E9">
        <w:rPr>
          <w:rFonts w:cstheme="minorHAnsi"/>
          <w:szCs w:val="24"/>
        </w:rPr>
        <w:t>.</w:t>
      </w:r>
      <w:r w:rsidR="00924045" w:rsidRPr="000914E9">
        <w:rPr>
          <w:rFonts w:cstheme="minorHAnsi"/>
          <w:szCs w:val="24"/>
        </w:rPr>
        <w:t xml:space="preserve"> </w:t>
      </w:r>
      <w:r w:rsidR="009D4B5D">
        <w:rPr>
          <w:rFonts w:cstheme="minorHAnsi"/>
          <w:szCs w:val="24"/>
        </w:rPr>
        <w:t>T</w:t>
      </w:r>
      <w:r w:rsidR="00BA2392">
        <w:rPr>
          <w:rFonts w:cstheme="minorHAnsi"/>
          <w:szCs w:val="24"/>
        </w:rPr>
        <w:t>he co-chair Members representatives</w:t>
      </w:r>
      <w:r w:rsidR="00207344">
        <w:rPr>
          <w:rFonts w:cstheme="minorHAnsi"/>
          <w:szCs w:val="24"/>
        </w:rPr>
        <w:t xml:space="preserve"> will be drawn from across all </w:t>
      </w:r>
      <w:r w:rsidR="006227F2">
        <w:rPr>
          <w:rFonts w:cstheme="minorHAnsi"/>
          <w:szCs w:val="24"/>
        </w:rPr>
        <w:t>six</w:t>
      </w:r>
      <w:r w:rsidR="00207344">
        <w:rPr>
          <w:rFonts w:cstheme="minorHAnsi"/>
          <w:szCs w:val="24"/>
        </w:rPr>
        <w:t xml:space="preserve"> regions and represent the Regional Priorities. Co-chairs </w:t>
      </w:r>
      <w:r w:rsidRPr="000914E9">
        <w:rPr>
          <w:rFonts w:cstheme="minorHAnsi"/>
          <w:szCs w:val="24"/>
        </w:rPr>
        <w:t>will</w:t>
      </w:r>
      <w:r w:rsidR="001D48AA" w:rsidRPr="000914E9">
        <w:rPr>
          <w:rFonts w:cstheme="minorHAnsi"/>
          <w:szCs w:val="24"/>
        </w:rPr>
        <w:t xml:space="preserve"> support the BDT to</w:t>
      </w:r>
      <w:r w:rsidRPr="000914E9">
        <w:rPr>
          <w:rFonts w:cstheme="minorHAnsi"/>
          <w:szCs w:val="24"/>
        </w:rPr>
        <w:t xml:space="preserve"> ensure</w:t>
      </w:r>
      <w:r w:rsidR="001D48AA" w:rsidRPr="000914E9">
        <w:rPr>
          <w:rFonts w:cstheme="minorHAnsi"/>
          <w:szCs w:val="24"/>
        </w:rPr>
        <w:t xml:space="preserve"> participation from new constituent groups,</w:t>
      </w:r>
      <w:r w:rsidRPr="000914E9">
        <w:rPr>
          <w:rFonts w:cstheme="minorHAnsi"/>
          <w:szCs w:val="24"/>
        </w:rPr>
        <w:t xml:space="preserve"> robust dialogue</w:t>
      </w:r>
      <w:r w:rsidR="001D48AA" w:rsidRPr="000914E9">
        <w:rPr>
          <w:rFonts w:cstheme="minorHAnsi"/>
          <w:szCs w:val="24"/>
        </w:rPr>
        <w:t xml:space="preserve"> with a broad set of stakeholders leading up to WTDC21, meaningful commitments at the Partner2Connect segment, and consistent follow-up and reporting after WTDC21.</w:t>
      </w:r>
      <w:r w:rsidR="003A3AFB" w:rsidRPr="000914E9">
        <w:rPr>
          <w:rFonts w:cstheme="minorHAnsi"/>
          <w:szCs w:val="24"/>
        </w:rPr>
        <w:t xml:space="preserve"> </w:t>
      </w:r>
    </w:p>
    <w:p w14:paraId="0D8C0DA3" w14:textId="65022034" w:rsidR="00876277" w:rsidRPr="00D93359" w:rsidRDefault="00D93359" w:rsidP="00D933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jc w:val="center"/>
        <w:textAlignment w:val="auto"/>
        <w:rPr>
          <w:rFonts w:cstheme="minorHAnsi"/>
          <w:szCs w:val="24"/>
        </w:rPr>
      </w:pPr>
      <w:r>
        <w:rPr>
          <w:rFonts w:cstheme="minorHAnsi"/>
          <w:szCs w:val="24"/>
        </w:rPr>
        <w:t>________________</w:t>
      </w:r>
      <w:bookmarkEnd w:id="0"/>
    </w:p>
    <w:sectPr w:rsidR="00876277" w:rsidRPr="00D93359" w:rsidSect="00473791">
      <w:headerReference w:type="default" r:id="rId18"/>
      <w:footerReference w:type="first" r:id="rId19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DC312" w14:textId="77777777" w:rsidR="006A38CA" w:rsidRDefault="006A38CA">
      <w:r>
        <w:separator/>
      </w:r>
    </w:p>
  </w:endnote>
  <w:endnote w:type="continuationSeparator" w:id="0">
    <w:p w14:paraId="1B73E1E5" w14:textId="77777777" w:rsidR="006A38CA" w:rsidRDefault="006A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4164C3" w:rsidRPr="004D495C" w14:paraId="695D1810" w14:textId="77777777" w:rsidTr="004164C3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4164C3" w:rsidRPr="004D495C" w:rsidRDefault="004164C3" w:rsidP="004164C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4164C3" w:rsidRPr="00D041B4" w:rsidRDefault="004164C3" w:rsidP="004164C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D041B4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507635D" w14:textId="4DF168A5" w:rsidR="004164C3" w:rsidRPr="00D041B4" w:rsidRDefault="004164C3" w:rsidP="004164C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041B4">
            <w:rPr>
              <w:sz w:val="18"/>
              <w:szCs w:val="18"/>
              <w:lang w:val="en-US"/>
            </w:rPr>
            <w:t>M</w:t>
          </w:r>
          <w:r w:rsidR="005B5A78" w:rsidRPr="00D041B4">
            <w:rPr>
              <w:sz w:val="18"/>
              <w:szCs w:val="18"/>
              <w:lang w:val="en-US"/>
            </w:rPr>
            <w:t>r</w:t>
          </w:r>
          <w:r w:rsidRPr="00D041B4">
            <w:rPr>
              <w:sz w:val="18"/>
              <w:szCs w:val="18"/>
              <w:lang w:val="en-US"/>
            </w:rPr>
            <w:t xml:space="preserve"> </w:t>
          </w:r>
          <w:r w:rsidR="005B5A78" w:rsidRPr="00D041B4">
            <w:rPr>
              <w:sz w:val="18"/>
              <w:szCs w:val="18"/>
              <w:lang w:val="en-US"/>
            </w:rPr>
            <w:t>Stephen Bereaux</w:t>
          </w:r>
          <w:r w:rsidRPr="00D041B4">
            <w:rPr>
              <w:sz w:val="18"/>
              <w:szCs w:val="18"/>
              <w:lang w:val="en-US"/>
            </w:rPr>
            <w:t xml:space="preserve">, </w:t>
          </w:r>
          <w:r w:rsidR="005B5A78" w:rsidRPr="00D041B4">
            <w:rPr>
              <w:sz w:val="18"/>
              <w:szCs w:val="18"/>
              <w:lang w:val="en-US"/>
            </w:rPr>
            <w:t>Deputy Director</w:t>
          </w:r>
          <w:r w:rsidRPr="00D041B4">
            <w:rPr>
              <w:sz w:val="18"/>
              <w:szCs w:val="18"/>
              <w:lang w:val="en-US"/>
            </w:rPr>
            <w:t>, Telecommunication Development Bureau</w:t>
          </w:r>
        </w:p>
      </w:tc>
      <w:bookmarkStart w:id="8" w:name="OrgName"/>
      <w:bookmarkEnd w:id="8"/>
    </w:tr>
    <w:tr w:rsidR="004164C3" w:rsidRPr="004D495C" w14:paraId="61167678" w14:textId="77777777" w:rsidTr="004164C3">
      <w:tc>
        <w:tcPr>
          <w:tcW w:w="1526" w:type="dxa"/>
          <w:shd w:val="clear" w:color="auto" w:fill="auto"/>
        </w:tcPr>
        <w:p w14:paraId="33710823" w14:textId="77777777" w:rsidR="004164C3" w:rsidRPr="004D495C" w:rsidRDefault="004164C3" w:rsidP="004164C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4164C3" w:rsidRPr="00D041B4" w:rsidRDefault="004164C3" w:rsidP="004164C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041B4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3D947A19" w14:textId="41486DFD" w:rsidR="004164C3" w:rsidRPr="00D041B4" w:rsidRDefault="005B5A78" w:rsidP="004164C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041B4">
            <w:rPr>
              <w:sz w:val="18"/>
              <w:szCs w:val="18"/>
              <w:lang w:val="en-US"/>
            </w:rPr>
            <w:t>+41 22 730 5131</w:t>
          </w:r>
        </w:p>
      </w:tc>
      <w:bookmarkStart w:id="9" w:name="PhoneNo"/>
      <w:bookmarkEnd w:id="9"/>
    </w:tr>
    <w:tr w:rsidR="004164C3" w:rsidRPr="004D495C" w14:paraId="0299A231" w14:textId="77777777" w:rsidTr="004164C3">
      <w:tc>
        <w:tcPr>
          <w:tcW w:w="1526" w:type="dxa"/>
          <w:shd w:val="clear" w:color="auto" w:fill="auto"/>
        </w:tcPr>
        <w:p w14:paraId="35CBC438" w14:textId="77777777" w:rsidR="004164C3" w:rsidRPr="004D495C" w:rsidRDefault="004164C3" w:rsidP="004164C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4164C3" w:rsidRPr="00D041B4" w:rsidRDefault="004164C3" w:rsidP="004164C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041B4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613CD622" w14:textId="3D799473" w:rsidR="004164C3" w:rsidRPr="00D041B4" w:rsidRDefault="008131EC" w:rsidP="004164C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D041B4" w:rsidRPr="00EA69C5">
              <w:rPr>
                <w:rStyle w:val="Hyperlink"/>
                <w:sz w:val="18"/>
                <w:szCs w:val="18"/>
                <w:lang w:val="en-US"/>
              </w:rPr>
              <w:t>stephen.bereaux@itu.int</w:t>
            </w:r>
          </w:hyperlink>
          <w:r w:rsidR="00D041B4">
            <w:rPr>
              <w:sz w:val="18"/>
              <w:szCs w:val="18"/>
              <w:lang w:val="en-US"/>
            </w:rPr>
            <w:t xml:space="preserve"> </w:t>
          </w:r>
        </w:p>
      </w:tc>
      <w:bookmarkStart w:id="10" w:name="Email"/>
      <w:bookmarkEnd w:id="10"/>
    </w:tr>
  </w:tbl>
  <w:p w14:paraId="5AEFE7F9" w14:textId="77777777" w:rsidR="0059420B" w:rsidRDefault="0059420B" w:rsidP="00B80157">
    <w:pPr>
      <w:pStyle w:val="Footer"/>
      <w:jc w:val="center"/>
      <w:rPr>
        <w:lang w:val="en-GB"/>
      </w:rPr>
    </w:pPr>
  </w:p>
  <w:p w14:paraId="40A321D0" w14:textId="77777777" w:rsidR="00721657" w:rsidRPr="0059420B" w:rsidRDefault="008131EC" w:rsidP="00B80157">
    <w:pPr>
      <w:pStyle w:val="Footer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020B0" w14:textId="77777777" w:rsidR="006A38CA" w:rsidRDefault="006A38CA">
      <w:r>
        <w:t>____________________</w:t>
      </w:r>
    </w:p>
  </w:footnote>
  <w:footnote w:type="continuationSeparator" w:id="0">
    <w:p w14:paraId="0D6559E0" w14:textId="77777777" w:rsidR="006A38CA" w:rsidRDefault="006A3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FE77" w14:textId="54AEC63F" w:rsidR="00721657" w:rsidRPr="0073285F" w:rsidRDefault="00A525CC" w:rsidP="0073285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AD4677">
      <w:rPr>
        <w:sz w:val="22"/>
        <w:szCs w:val="22"/>
        <w:lang w:val="de-CH"/>
      </w:rPr>
      <w:t>1</w:t>
    </w:r>
    <w:r w:rsidRPr="00A54E72">
      <w:rPr>
        <w:sz w:val="22"/>
        <w:szCs w:val="22"/>
        <w:lang w:val="de-CH"/>
      </w:rPr>
      <w:t>/</w:t>
    </w:r>
    <w:r w:rsidR="00D93359">
      <w:rPr>
        <w:sz w:val="22"/>
        <w:szCs w:val="22"/>
        <w:lang w:val="de-CH"/>
      </w:rPr>
      <w:t>1</w:t>
    </w:r>
    <w:r w:rsidR="00D041B4">
      <w:rPr>
        <w:sz w:val="22"/>
        <w:szCs w:val="22"/>
        <w:lang w:val="de-CH"/>
      </w:rPr>
      <w:t>9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014CC"/>
    <w:multiLevelType w:val="hybridMultilevel"/>
    <w:tmpl w:val="FB802B8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656D5"/>
    <w:multiLevelType w:val="hybridMultilevel"/>
    <w:tmpl w:val="CFB62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A618F"/>
    <w:multiLevelType w:val="hybridMultilevel"/>
    <w:tmpl w:val="0C522698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41DE3"/>
    <w:multiLevelType w:val="hybridMultilevel"/>
    <w:tmpl w:val="73027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F12C1"/>
    <w:multiLevelType w:val="hybridMultilevel"/>
    <w:tmpl w:val="5F28E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D34DE"/>
    <w:multiLevelType w:val="hybridMultilevel"/>
    <w:tmpl w:val="B3F087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9B416B"/>
    <w:multiLevelType w:val="hybridMultilevel"/>
    <w:tmpl w:val="BC42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61944613"/>
    <w:multiLevelType w:val="hybridMultilevel"/>
    <w:tmpl w:val="32729F66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A7AC0"/>
    <w:multiLevelType w:val="hybridMultilevel"/>
    <w:tmpl w:val="EC7CDB9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08A5"/>
    <w:rsid w:val="00002716"/>
    <w:rsid w:val="00003C43"/>
    <w:rsid w:val="00005254"/>
    <w:rsid w:val="00005791"/>
    <w:rsid w:val="00010827"/>
    <w:rsid w:val="0001322F"/>
    <w:rsid w:val="00015089"/>
    <w:rsid w:val="0002520B"/>
    <w:rsid w:val="00037A9E"/>
    <w:rsid w:val="00037F91"/>
    <w:rsid w:val="000460AA"/>
    <w:rsid w:val="00052DC1"/>
    <w:rsid w:val="000539F1"/>
    <w:rsid w:val="00054747"/>
    <w:rsid w:val="00054AF8"/>
    <w:rsid w:val="00055A2A"/>
    <w:rsid w:val="000615C1"/>
    <w:rsid w:val="00061675"/>
    <w:rsid w:val="00062435"/>
    <w:rsid w:val="00065600"/>
    <w:rsid w:val="00073FC8"/>
    <w:rsid w:val="000743AA"/>
    <w:rsid w:val="00075786"/>
    <w:rsid w:val="00075BBE"/>
    <w:rsid w:val="0008393C"/>
    <w:rsid w:val="0009076F"/>
    <w:rsid w:val="000914E9"/>
    <w:rsid w:val="0009225C"/>
    <w:rsid w:val="000A17C4"/>
    <w:rsid w:val="000A36A4"/>
    <w:rsid w:val="000B2352"/>
    <w:rsid w:val="000B467C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5E19"/>
    <w:rsid w:val="00107E85"/>
    <w:rsid w:val="00113EE8"/>
    <w:rsid w:val="0011455A"/>
    <w:rsid w:val="00114A65"/>
    <w:rsid w:val="00122002"/>
    <w:rsid w:val="001329C4"/>
    <w:rsid w:val="00132B40"/>
    <w:rsid w:val="00133061"/>
    <w:rsid w:val="00134BC8"/>
    <w:rsid w:val="00141699"/>
    <w:rsid w:val="00147000"/>
    <w:rsid w:val="00163091"/>
    <w:rsid w:val="001638F9"/>
    <w:rsid w:val="001645CB"/>
    <w:rsid w:val="00166305"/>
    <w:rsid w:val="00167545"/>
    <w:rsid w:val="00170121"/>
    <w:rsid w:val="001703C6"/>
    <w:rsid w:val="00173781"/>
    <w:rsid w:val="00174714"/>
    <w:rsid w:val="00175ADF"/>
    <w:rsid w:val="00175CAE"/>
    <w:rsid w:val="00177371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2AC0"/>
    <w:rsid w:val="001A441E"/>
    <w:rsid w:val="001A6733"/>
    <w:rsid w:val="001B357F"/>
    <w:rsid w:val="001C1C78"/>
    <w:rsid w:val="001C3444"/>
    <w:rsid w:val="001C3702"/>
    <w:rsid w:val="001C4656"/>
    <w:rsid w:val="001C46BC"/>
    <w:rsid w:val="001D1E06"/>
    <w:rsid w:val="001D32D5"/>
    <w:rsid w:val="001D48AA"/>
    <w:rsid w:val="001F23E6"/>
    <w:rsid w:val="001F3455"/>
    <w:rsid w:val="001F4238"/>
    <w:rsid w:val="00200A38"/>
    <w:rsid w:val="00200A46"/>
    <w:rsid w:val="00206224"/>
    <w:rsid w:val="00207344"/>
    <w:rsid w:val="00211B6F"/>
    <w:rsid w:val="00212C1B"/>
    <w:rsid w:val="00217CC3"/>
    <w:rsid w:val="00220AB6"/>
    <w:rsid w:val="0022120F"/>
    <w:rsid w:val="00221EAD"/>
    <w:rsid w:val="0022754A"/>
    <w:rsid w:val="00236560"/>
    <w:rsid w:val="0023662E"/>
    <w:rsid w:val="00245D0F"/>
    <w:rsid w:val="00247639"/>
    <w:rsid w:val="002548C3"/>
    <w:rsid w:val="00257ACD"/>
    <w:rsid w:val="00261541"/>
    <w:rsid w:val="00262908"/>
    <w:rsid w:val="002639D3"/>
    <w:rsid w:val="002640DA"/>
    <w:rsid w:val="002650F4"/>
    <w:rsid w:val="002715FD"/>
    <w:rsid w:val="00272299"/>
    <w:rsid w:val="002770B1"/>
    <w:rsid w:val="00281EEE"/>
    <w:rsid w:val="0028373E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0010"/>
    <w:rsid w:val="002E2104"/>
    <w:rsid w:val="002E2DAC"/>
    <w:rsid w:val="002E6963"/>
    <w:rsid w:val="002E6F8F"/>
    <w:rsid w:val="002F05D8"/>
    <w:rsid w:val="002F2DE0"/>
    <w:rsid w:val="002F5E25"/>
    <w:rsid w:val="0030353C"/>
    <w:rsid w:val="003125C3"/>
    <w:rsid w:val="00312AE6"/>
    <w:rsid w:val="00313560"/>
    <w:rsid w:val="00317D1A"/>
    <w:rsid w:val="003211FF"/>
    <w:rsid w:val="003242AB"/>
    <w:rsid w:val="00327247"/>
    <w:rsid w:val="00327A9D"/>
    <w:rsid w:val="0033130E"/>
    <w:rsid w:val="0033269C"/>
    <w:rsid w:val="00334E24"/>
    <w:rsid w:val="00336D65"/>
    <w:rsid w:val="00351C79"/>
    <w:rsid w:val="0035516C"/>
    <w:rsid w:val="00355A4C"/>
    <w:rsid w:val="003604FB"/>
    <w:rsid w:val="00360B73"/>
    <w:rsid w:val="00372054"/>
    <w:rsid w:val="00380B71"/>
    <w:rsid w:val="0038365A"/>
    <w:rsid w:val="00386A89"/>
    <w:rsid w:val="003909CC"/>
    <w:rsid w:val="003913F4"/>
    <w:rsid w:val="0039648E"/>
    <w:rsid w:val="003A3AFB"/>
    <w:rsid w:val="003A5AFE"/>
    <w:rsid w:val="003A5D5F"/>
    <w:rsid w:val="003A7FFE"/>
    <w:rsid w:val="003B0A63"/>
    <w:rsid w:val="003B50E1"/>
    <w:rsid w:val="003B5C3B"/>
    <w:rsid w:val="003B7709"/>
    <w:rsid w:val="003C1746"/>
    <w:rsid w:val="003C1878"/>
    <w:rsid w:val="003C2AA9"/>
    <w:rsid w:val="003C58BF"/>
    <w:rsid w:val="003C6A12"/>
    <w:rsid w:val="003D451D"/>
    <w:rsid w:val="003E695B"/>
    <w:rsid w:val="003F2DD8"/>
    <w:rsid w:val="003F3F2D"/>
    <w:rsid w:val="003F50B2"/>
    <w:rsid w:val="003F6B13"/>
    <w:rsid w:val="00400CCF"/>
    <w:rsid w:val="00401BFF"/>
    <w:rsid w:val="00404424"/>
    <w:rsid w:val="00405C78"/>
    <w:rsid w:val="0041156B"/>
    <w:rsid w:val="004122C5"/>
    <w:rsid w:val="00413B78"/>
    <w:rsid w:val="004164C3"/>
    <w:rsid w:val="00416DDE"/>
    <w:rsid w:val="004308AD"/>
    <w:rsid w:val="00430EEC"/>
    <w:rsid w:val="0044411E"/>
    <w:rsid w:val="00453435"/>
    <w:rsid w:val="00460089"/>
    <w:rsid w:val="00466398"/>
    <w:rsid w:val="004707EC"/>
    <w:rsid w:val="0047306D"/>
    <w:rsid w:val="00473791"/>
    <w:rsid w:val="00473AF3"/>
    <w:rsid w:val="00476E48"/>
    <w:rsid w:val="00481DE9"/>
    <w:rsid w:val="0049128B"/>
    <w:rsid w:val="00493B49"/>
    <w:rsid w:val="00495501"/>
    <w:rsid w:val="00497BC6"/>
    <w:rsid w:val="004A070A"/>
    <w:rsid w:val="004A320E"/>
    <w:rsid w:val="004A4E9C"/>
    <w:rsid w:val="004B1A3C"/>
    <w:rsid w:val="004C3FE2"/>
    <w:rsid w:val="004D0D62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3962"/>
    <w:rsid w:val="00504DB0"/>
    <w:rsid w:val="005074F8"/>
    <w:rsid w:val="00507C35"/>
    <w:rsid w:val="00510735"/>
    <w:rsid w:val="00514D2F"/>
    <w:rsid w:val="00534DFD"/>
    <w:rsid w:val="00541DAB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020F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5AB7"/>
    <w:rsid w:val="005974C2"/>
    <w:rsid w:val="005A1AC5"/>
    <w:rsid w:val="005A3200"/>
    <w:rsid w:val="005A33B0"/>
    <w:rsid w:val="005A5D2A"/>
    <w:rsid w:val="005B3A80"/>
    <w:rsid w:val="005B5A78"/>
    <w:rsid w:val="005C2DC2"/>
    <w:rsid w:val="005C304A"/>
    <w:rsid w:val="005C3D69"/>
    <w:rsid w:val="005C7C98"/>
    <w:rsid w:val="005D2C3A"/>
    <w:rsid w:val="005D55A4"/>
    <w:rsid w:val="005D57C8"/>
    <w:rsid w:val="005D7123"/>
    <w:rsid w:val="005D7761"/>
    <w:rsid w:val="005E0240"/>
    <w:rsid w:val="005E0278"/>
    <w:rsid w:val="005E090D"/>
    <w:rsid w:val="005E19E1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3EE4"/>
    <w:rsid w:val="00606B89"/>
    <w:rsid w:val="00611EAF"/>
    <w:rsid w:val="006227F2"/>
    <w:rsid w:val="00623F30"/>
    <w:rsid w:val="00624378"/>
    <w:rsid w:val="00625FB8"/>
    <w:rsid w:val="006261BD"/>
    <w:rsid w:val="00635EDB"/>
    <w:rsid w:val="00643B49"/>
    <w:rsid w:val="0064734E"/>
    <w:rsid w:val="00650137"/>
    <w:rsid w:val="006509D7"/>
    <w:rsid w:val="00651CE8"/>
    <w:rsid w:val="0065521B"/>
    <w:rsid w:val="00660C02"/>
    <w:rsid w:val="0067092E"/>
    <w:rsid w:val="00671EF6"/>
    <w:rsid w:val="0067205B"/>
    <w:rsid w:val="006748F8"/>
    <w:rsid w:val="00680489"/>
    <w:rsid w:val="00681A1E"/>
    <w:rsid w:val="00683C32"/>
    <w:rsid w:val="00690BB2"/>
    <w:rsid w:val="0069183B"/>
    <w:rsid w:val="00692264"/>
    <w:rsid w:val="00693D09"/>
    <w:rsid w:val="006A0459"/>
    <w:rsid w:val="006A37DC"/>
    <w:rsid w:val="006A38CA"/>
    <w:rsid w:val="006A6549"/>
    <w:rsid w:val="006A7710"/>
    <w:rsid w:val="006A7A61"/>
    <w:rsid w:val="006B1E59"/>
    <w:rsid w:val="006B2FFB"/>
    <w:rsid w:val="006B53FC"/>
    <w:rsid w:val="006C10A2"/>
    <w:rsid w:val="006C1F18"/>
    <w:rsid w:val="006D40D5"/>
    <w:rsid w:val="006E04FB"/>
    <w:rsid w:val="006E4610"/>
    <w:rsid w:val="006E5010"/>
    <w:rsid w:val="006F009A"/>
    <w:rsid w:val="006F3D93"/>
    <w:rsid w:val="007019B1"/>
    <w:rsid w:val="00702889"/>
    <w:rsid w:val="00710056"/>
    <w:rsid w:val="00721657"/>
    <w:rsid w:val="00724600"/>
    <w:rsid w:val="007279A8"/>
    <w:rsid w:val="00727B1A"/>
    <w:rsid w:val="00731933"/>
    <w:rsid w:val="00731A90"/>
    <w:rsid w:val="0073285F"/>
    <w:rsid w:val="00741337"/>
    <w:rsid w:val="00752258"/>
    <w:rsid w:val="007529E1"/>
    <w:rsid w:val="00755552"/>
    <w:rsid w:val="007622EF"/>
    <w:rsid w:val="00762880"/>
    <w:rsid w:val="00762AD6"/>
    <w:rsid w:val="00762E02"/>
    <w:rsid w:val="0076312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4629"/>
    <w:rsid w:val="007C51FF"/>
    <w:rsid w:val="007D50E4"/>
    <w:rsid w:val="007E20AA"/>
    <w:rsid w:val="007E2499"/>
    <w:rsid w:val="007E2DC5"/>
    <w:rsid w:val="007F1CC7"/>
    <w:rsid w:val="007F6E53"/>
    <w:rsid w:val="008027AC"/>
    <w:rsid w:val="008028CE"/>
    <w:rsid w:val="0080332E"/>
    <w:rsid w:val="00803EE6"/>
    <w:rsid w:val="008131EC"/>
    <w:rsid w:val="008141E0"/>
    <w:rsid w:val="00816EE1"/>
    <w:rsid w:val="00816F88"/>
    <w:rsid w:val="00821996"/>
    <w:rsid w:val="00822323"/>
    <w:rsid w:val="00827BC6"/>
    <w:rsid w:val="008300AD"/>
    <w:rsid w:val="00830D4C"/>
    <w:rsid w:val="00833024"/>
    <w:rsid w:val="00836E71"/>
    <w:rsid w:val="008419B1"/>
    <w:rsid w:val="00844A56"/>
    <w:rsid w:val="00845B11"/>
    <w:rsid w:val="008465E4"/>
    <w:rsid w:val="00852081"/>
    <w:rsid w:val="0086091F"/>
    <w:rsid w:val="00871831"/>
    <w:rsid w:val="00872B6E"/>
    <w:rsid w:val="00874DFD"/>
    <w:rsid w:val="00876277"/>
    <w:rsid w:val="008802F9"/>
    <w:rsid w:val="00880EE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370C"/>
    <w:rsid w:val="008B47C7"/>
    <w:rsid w:val="008B54CB"/>
    <w:rsid w:val="008B5A3D"/>
    <w:rsid w:val="008B71F2"/>
    <w:rsid w:val="008C4010"/>
    <w:rsid w:val="008C4FDF"/>
    <w:rsid w:val="008C6B1F"/>
    <w:rsid w:val="008D5E4F"/>
    <w:rsid w:val="008E34F0"/>
    <w:rsid w:val="008E42B1"/>
    <w:rsid w:val="008E5FB1"/>
    <w:rsid w:val="008F14F5"/>
    <w:rsid w:val="008F35DA"/>
    <w:rsid w:val="008F4DC8"/>
    <w:rsid w:val="008F71C1"/>
    <w:rsid w:val="00902D41"/>
    <w:rsid w:val="00902F49"/>
    <w:rsid w:val="00904230"/>
    <w:rsid w:val="009118A8"/>
    <w:rsid w:val="00914004"/>
    <w:rsid w:val="009205DD"/>
    <w:rsid w:val="00922EC1"/>
    <w:rsid w:val="00923CF1"/>
    <w:rsid w:val="00924045"/>
    <w:rsid w:val="009301F1"/>
    <w:rsid w:val="009307DF"/>
    <w:rsid w:val="009359B8"/>
    <w:rsid w:val="00935FF0"/>
    <w:rsid w:val="00941CDA"/>
    <w:rsid w:val="009431F8"/>
    <w:rsid w:val="0094656E"/>
    <w:rsid w:val="00947A35"/>
    <w:rsid w:val="0096201B"/>
    <w:rsid w:val="00962081"/>
    <w:rsid w:val="00966CB5"/>
    <w:rsid w:val="009677AA"/>
    <w:rsid w:val="00975786"/>
    <w:rsid w:val="00976A90"/>
    <w:rsid w:val="00981CB7"/>
    <w:rsid w:val="00983E1F"/>
    <w:rsid w:val="009851A4"/>
    <w:rsid w:val="00993B98"/>
    <w:rsid w:val="00993F46"/>
    <w:rsid w:val="00997358"/>
    <w:rsid w:val="009A007E"/>
    <w:rsid w:val="009A057E"/>
    <w:rsid w:val="009A452B"/>
    <w:rsid w:val="009B050C"/>
    <w:rsid w:val="009B087F"/>
    <w:rsid w:val="009B26FB"/>
    <w:rsid w:val="009B2AF4"/>
    <w:rsid w:val="009B48B6"/>
    <w:rsid w:val="009B4D65"/>
    <w:rsid w:val="009C110B"/>
    <w:rsid w:val="009C5441"/>
    <w:rsid w:val="009D119F"/>
    <w:rsid w:val="009D49A2"/>
    <w:rsid w:val="009D4B5D"/>
    <w:rsid w:val="009E23BC"/>
    <w:rsid w:val="009F3940"/>
    <w:rsid w:val="009F3EB2"/>
    <w:rsid w:val="009F4B7A"/>
    <w:rsid w:val="009F6EB1"/>
    <w:rsid w:val="00A11D05"/>
    <w:rsid w:val="00A13162"/>
    <w:rsid w:val="00A158A4"/>
    <w:rsid w:val="00A20267"/>
    <w:rsid w:val="00A258B1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1795"/>
    <w:rsid w:val="00A63F56"/>
    <w:rsid w:val="00A66071"/>
    <w:rsid w:val="00A705E8"/>
    <w:rsid w:val="00A721F4"/>
    <w:rsid w:val="00A83747"/>
    <w:rsid w:val="00A83F5E"/>
    <w:rsid w:val="00A916D5"/>
    <w:rsid w:val="00A9392C"/>
    <w:rsid w:val="00A9462B"/>
    <w:rsid w:val="00A96D4A"/>
    <w:rsid w:val="00A97D59"/>
    <w:rsid w:val="00AA3E09"/>
    <w:rsid w:val="00AA4BEF"/>
    <w:rsid w:val="00AA5D8F"/>
    <w:rsid w:val="00AB0C0D"/>
    <w:rsid w:val="00AB1461"/>
    <w:rsid w:val="00AB1659"/>
    <w:rsid w:val="00AB4962"/>
    <w:rsid w:val="00AB6717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13A9A"/>
    <w:rsid w:val="00B310F9"/>
    <w:rsid w:val="00B37866"/>
    <w:rsid w:val="00B412FB"/>
    <w:rsid w:val="00B4576B"/>
    <w:rsid w:val="00B46350"/>
    <w:rsid w:val="00B46DF3"/>
    <w:rsid w:val="00B6024A"/>
    <w:rsid w:val="00B648C7"/>
    <w:rsid w:val="00B65202"/>
    <w:rsid w:val="00B66E8F"/>
    <w:rsid w:val="00B728EB"/>
    <w:rsid w:val="00B80157"/>
    <w:rsid w:val="00B83D5E"/>
    <w:rsid w:val="00B8460A"/>
    <w:rsid w:val="00B854B1"/>
    <w:rsid w:val="00B8650D"/>
    <w:rsid w:val="00B879B4"/>
    <w:rsid w:val="00B90F07"/>
    <w:rsid w:val="00B97BB9"/>
    <w:rsid w:val="00B97CA2"/>
    <w:rsid w:val="00BA0009"/>
    <w:rsid w:val="00BA0279"/>
    <w:rsid w:val="00BA2392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21792"/>
    <w:rsid w:val="00C34EC3"/>
    <w:rsid w:val="00C4038C"/>
    <w:rsid w:val="00C42BA2"/>
    <w:rsid w:val="00C44066"/>
    <w:rsid w:val="00C44E13"/>
    <w:rsid w:val="00C51225"/>
    <w:rsid w:val="00C60A41"/>
    <w:rsid w:val="00C610AF"/>
    <w:rsid w:val="00C62DE8"/>
    <w:rsid w:val="00C62DFB"/>
    <w:rsid w:val="00C630E6"/>
    <w:rsid w:val="00C63812"/>
    <w:rsid w:val="00C64AF3"/>
    <w:rsid w:val="00C66F4D"/>
    <w:rsid w:val="00C67BB5"/>
    <w:rsid w:val="00C72713"/>
    <w:rsid w:val="00C73760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204D"/>
    <w:rsid w:val="00CE3764"/>
    <w:rsid w:val="00CE397F"/>
    <w:rsid w:val="00CE5E4D"/>
    <w:rsid w:val="00CF02C4"/>
    <w:rsid w:val="00CF167F"/>
    <w:rsid w:val="00CF72E5"/>
    <w:rsid w:val="00D013EE"/>
    <w:rsid w:val="00D01F54"/>
    <w:rsid w:val="00D040F7"/>
    <w:rsid w:val="00D041B4"/>
    <w:rsid w:val="00D04A76"/>
    <w:rsid w:val="00D0586C"/>
    <w:rsid w:val="00D10FC7"/>
    <w:rsid w:val="00D135AA"/>
    <w:rsid w:val="00D1519F"/>
    <w:rsid w:val="00D20E99"/>
    <w:rsid w:val="00D21C83"/>
    <w:rsid w:val="00D3287E"/>
    <w:rsid w:val="00D32C48"/>
    <w:rsid w:val="00D35BDD"/>
    <w:rsid w:val="00D61CBB"/>
    <w:rsid w:val="00D63006"/>
    <w:rsid w:val="00D7018C"/>
    <w:rsid w:val="00D72301"/>
    <w:rsid w:val="00D82840"/>
    <w:rsid w:val="00D911DE"/>
    <w:rsid w:val="00D91B97"/>
    <w:rsid w:val="00D93359"/>
    <w:rsid w:val="00D93ACC"/>
    <w:rsid w:val="00D93C08"/>
    <w:rsid w:val="00D95DAC"/>
    <w:rsid w:val="00DA0B53"/>
    <w:rsid w:val="00DA42DF"/>
    <w:rsid w:val="00DB1171"/>
    <w:rsid w:val="00DB1519"/>
    <w:rsid w:val="00DB2840"/>
    <w:rsid w:val="00DC1BD3"/>
    <w:rsid w:val="00DC2C1A"/>
    <w:rsid w:val="00DD3CE8"/>
    <w:rsid w:val="00DD66B4"/>
    <w:rsid w:val="00DE1972"/>
    <w:rsid w:val="00DE27AB"/>
    <w:rsid w:val="00DE3ED7"/>
    <w:rsid w:val="00DF2746"/>
    <w:rsid w:val="00DF2AB3"/>
    <w:rsid w:val="00DF7250"/>
    <w:rsid w:val="00E00CAA"/>
    <w:rsid w:val="00E03EBF"/>
    <w:rsid w:val="00E05209"/>
    <w:rsid w:val="00E05AC1"/>
    <w:rsid w:val="00E11BCF"/>
    <w:rsid w:val="00E175FD"/>
    <w:rsid w:val="00E17E09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39DE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1984"/>
    <w:rsid w:val="00EA34C0"/>
    <w:rsid w:val="00EA7DE7"/>
    <w:rsid w:val="00EB204B"/>
    <w:rsid w:val="00EB51B0"/>
    <w:rsid w:val="00EB5AE4"/>
    <w:rsid w:val="00EB7A8A"/>
    <w:rsid w:val="00EC447D"/>
    <w:rsid w:val="00EC6FED"/>
    <w:rsid w:val="00EC7F3B"/>
    <w:rsid w:val="00ED5299"/>
    <w:rsid w:val="00EE3A64"/>
    <w:rsid w:val="00EE50E5"/>
    <w:rsid w:val="00EE63C7"/>
    <w:rsid w:val="00EF01CF"/>
    <w:rsid w:val="00EF0E63"/>
    <w:rsid w:val="00F03590"/>
    <w:rsid w:val="00F03622"/>
    <w:rsid w:val="00F077FD"/>
    <w:rsid w:val="00F204F3"/>
    <w:rsid w:val="00F218AB"/>
    <w:rsid w:val="00F22F6D"/>
    <w:rsid w:val="00F238B3"/>
    <w:rsid w:val="00F24305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723A"/>
    <w:rsid w:val="00F626F7"/>
    <w:rsid w:val="00F63300"/>
    <w:rsid w:val="00F736F9"/>
    <w:rsid w:val="00F73833"/>
    <w:rsid w:val="00F778B2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5C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D0D6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D0D62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D0D6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D0D6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D0D62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0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0D62"/>
    <w:rPr>
      <w:rFonts w:asciiTheme="minorHAnsi" w:hAnsiTheme="minorHAns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A0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18-TDAG27-C-0005/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18-TDAG27-C-0005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D/Conferences/TDAG/Pages/TDAG_WG_WTDC_Prep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D/Conferences/WTDC/WTDC21/Pages/Web-Dialogues.asp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18-TDAG27-C-0007/e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4" ma:contentTypeDescription="Create a new document." ma:contentTypeScope="" ma:versionID="676e86ca681381ac488cae9981ed9d9a">
  <xsd:schema xmlns:xsd="http://www.w3.org/2001/XMLSchema" xmlns:xs="http://www.w3.org/2001/XMLSchema" xmlns:p="http://schemas.microsoft.com/office/2006/metadata/properties" xmlns:ns2="d4ea696a-cca3-460b-a983-57ac2621983a" targetNamespace="http://schemas.microsoft.com/office/2006/metadata/properties" ma:root="true" ma:fieldsID="22b671f61671e000d241c341587c1af1" ns2:_="">
    <xsd:import namespace="d4ea696a-cca3-460b-a983-57ac26219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A16BA-6831-4D9B-A73E-5D03B317C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4CBCA2-714F-48EB-A09C-3A8A2B70B7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2C8D47-0B5B-43C7-A342-39B54EBDDD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B94DFD-9E31-4F78-BFA2-64CCEA06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1079</Words>
  <Characters>6913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3</cp:revision>
  <cp:lastPrinted>2014-11-04T09:22:00Z</cp:lastPrinted>
  <dcterms:created xsi:type="dcterms:W3CDTF">2021-05-13T15:35:00Z</dcterms:created>
  <dcterms:modified xsi:type="dcterms:W3CDTF">2021-05-13T15:36:00Z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