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201566A7">
        <w:trPr>
          <w:cantSplit/>
          <w:trHeight w:val="1134"/>
        </w:trPr>
        <w:tc>
          <w:tcPr>
            <w:tcW w:w="2410" w:type="dxa"/>
          </w:tcPr>
          <w:p w14:paraId="5BB7E038" w14:textId="3389A8C7" w:rsidR="00AD4677" w:rsidRDefault="002474EC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431CAE5D" wp14:editId="3E59F7FB">
                  <wp:extent cx="1209895" cy="1047750"/>
                  <wp:effectExtent l="0" t="0" r="952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C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69"/>
                          <a:stretch/>
                        </pic:blipFill>
                        <pic:spPr bwMode="auto">
                          <a:xfrm>
                            <a:off x="0" y="0"/>
                            <a:ext cx="1210606" cy="104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3FAC47EA" w:rsidR="00AD4677" w:rsidRDefault="000764D8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="00AD4677">
              <w:rPr>
                <w:b/>
                <w:bCs/>
                <w:sz w:val="32"/>
                <w:szCs w:val="32"/>
                <w:lang w:eastAsia="zh-CN"/>
              </w:rPr>
              <w:t>TDAG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3BDB045D" w:rsidR="00AD4677" w:rsidRPr="00844A56" w:rsidRDefault="009C405D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第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28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次会议</w:t>
            </w:r>
            <w:r w:rsidR="00E9021D">
              <w:rPr>
                <w:rFonts w:hint="eastAsia"/>
                <w:b/>
                <w:bCs/>
                <w:sz w:val="26"/>
                <w:szCs w:val="26"/>
                <w:lang w:eastAsia="zh-CN"/>
              </w:rPr>
              <w:t>，虚拟形式，</w:t>
            </w:r>
            <w:r>
              <w:rPr>
                <w:b/>
                <w:bCs/>
                <w:sz w:val="26"/>
                <w:szCs w:val="26"/>
                <w:lang w:eastAsia="zh-CN"/>
              </w:rPr>
              <w:t>2021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cstheme="minorHAnsi" w:hint="eastAsia"/>
                <w:b/>
                <w:bCs/>
                <w:sz w:val="26"/>
                <w:szCs w:val="26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>
              <w:rPr>
                <w:b/>
                <w:bCs/>
                <w:sz w:val="26"/>
                <w:szCs w:val="26"/>
                <w:lang w:eastAsia="zh-CN"/>
              </w:rPr>
              <w:t>24-28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Pr="00844A56">
              <w:rPr>
                <w:rFonts w:ascii="Verdana" w:hAnsi="Verdan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0172F" wp14:editId="201566A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201566A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201566A7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7C420D08" w:rsidR="00683C32" w:rsidRPr="007F1CC7" w:rsidRDefault="00CC45A8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bookmarkStart w:id="0" w:name="DocRef1"/>
            <w:bookmarkEnd w:id="0"/>
            <w:proofErr w:type="spellStart"/>
            <w:r w:rsidRPr="00CC45A8">
              <w:rPr>
                <w:b/>
                <w:bCs/>
                <w:lang w:val="en-US"/>
              </w:rPr>
              <w:t>文件</w:t>
            </w:r>
            <w:proofErr w:type="spellEnd"/>
            <w:r w:rsidRPr="00CC45A8">
              <w:rPr>
                <w:b/>
                <w:bCs/>
                <w:lang w:val="en-US"/>
              </w:rPr>
              <w:t xml:space="preserve"> TDAG-2</w:t>
            </w:r>
            <w:bookmarkStart w:id="1" w:name="DocNo1"/>
            <w:bookmarkEnd w:id="1"/>
            <w:r w:rsidRPr="00CC45A8">
              <w:rPr>
                <w:b/>
                <w:bCs/>
                <w:lang w:val="en-US"/>
              </w:rPr>
              <w:t>1/</w:t>
            </w:r>
            <w:r>
              <w:rPr>
                <w:rFonts w:hint="eastAsia"/>
                <w:b/>
                <w:bCs/>
                <w:lang w:val="en-US" w:eastAsia="zh-CN"/>
              </w:rPr>
              <w:t>13</w:t>
            </w:r>
            <w:r w:rsidRPr="00CC45A8">
              <w:rPr>
                <w:b/>
                <w:bCs/>
                <w:lang w:val="en-US"/>
              </w:rPr>
              <w:t>-</w:t>
            </w:r>
            <w:r w:rsidRPr="00CC45A8">
              <w:rPr>
                <w:rFonts w:hint="eastAsia"/>
                <w:b/>
                <w:bCs/>
                <w:lang w:val="en-US"/>
              </w:rPr>
              <w:t>C</w:t>
            </w:r>
          </w:p>
        </w:tc>
      </w:tr>
      <w:tr w:rsidR="00683C32" w14:paraId="24D04936" w14:textId="77777777" w:rsidTr="201566A7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65DD58BD" w:rsidR="00683C32" w:rsidRPr="007F1CC7" w:rsidRDefault="0010370F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2021</w:t>
            </w:r>
            <w:r w:rsidR="00E9021D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E9021D">
              <w:rPr>
                <w:rFonts w:hint="eastAsia"/>
                <w:b/>
                <w:bCs/>
                <w:szCs w:val="28"/>
                <w:lang w:eastAsia="zh-CN"/>
              </w:rPr>
              <w:t>4</w:t>
            </w:r>
            <w:r w:rsidR="00E9021D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E9021D">
              <w:rPr>
                <w:rFonts w:hint="eastAsia"/>
                <w:b/>
                <w:bCs/>
                <w:szCs w:val="28"/>
                <w:lang w:eastAsia="zh-CN"/>
              </w:rPr>
              <w:t>13</w:t>
            </w:r>
            <w:r w:rsidR="00E9021D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7B96545F" w14:textId="77777777" w:rsidTr="201566A7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795565E9" w:rsidR="00514D2F" w:rsidRPr="007F1CC7" w:rsidRDefault="00E9021D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  <w:bookmarkStart w:id="3" w:name="Original"/>
            <w:bookmarkEnd w:id="3"/>
          </w:p>
        </w:tc>
      </w:tr>
      <w:tr w:rsidR="00A13162" w14:paraId="31656E31" w14:textId="77777777" w:rsidTr="201566A7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0545168" w:rsidR="00A13162" w:rsidRPr="0030353C" w:rsidRDefault="005E60F0" w:rsidP="0030353C">
            <w:pPr>
              <w:pStyle w:val="Source"/>
            </w:pPr>
            <w:bookmarkStart w:id="4" w:name="Source"/>
            <w:bookmarkEnd w:id="4"/>
            <w:r>
              <w:rPr>
                <w:rFonts w:hint="eastAsia"/>
                <w:lang w:eastAsia="zh-CN"/>
              </w:rPr>
              <w:t>跨部门协调组主席</w:t>
            </w:r>
          </w:p>
        </w:tc>
      </w:tr>
      <w:tr w:rsidR="00AC6F14" w:rsidRPr="002E6963" w14:paraId="2CBD3A36" w14:textId="77777777" w:rsidTr="201566A7">
        <w:trPr>
          <w:cantSplit/>
        </w:trPr>
        <w:tc>
          <w:tcPr>
            <w:tcW w:w="9888" w:type="dxa"/>
            <w:gridSpan w:val="4"/>
          </w:tcPr>
          <w:p w14:paraId="1B4121DF" w14:textId="0F1E987E" w:rsidR="00AC6F14" w:rsidRPr="0030353C" w:rsidRDefault="005E60F0" w:rsidP="001D10F2">
            <w:pPr>
              <w:pStyle w:val="Title1"/>
              <w:rPr>
                <w:lang w:eastAsia="zh-CN"/>
              </w:rPr>
            </w:pPr>
            <w:bookmarkStart w:id="5" w:name="Title"/>
            <w:bookmarkEnd w:id="5"/>
            <w:r>
              <w:rPr>
                <w:rFonts w:hint="eastAsia"/>
                <w:lang w:eastAsia="zh-CN"/>
              </w:rPr>
              <w:t>跨部门协调组（</w:t>
            </w:r>
            <w:r w:rsidR="0010370F" w:rsidRPr="0010370F">
              <w:rPr>
                <w:lang w:eastAsia="zh-CN"/>
              </w:rPr>
              <w:t>ISCG</w:t>
            </w:r>
            <w:r>
              <w:rPr>
                <w:rFonts w:hint="eastAsia"/>
                <w:lang w:eastAsia="zh-CN"/>
              </w:rPr>
              <w:t>）关于共同关</w:t>
            </w:r>
            <w:r w:rsidR="004A78AB">
              <w:rPr>
                <w:rFonts w:hint="eastAsia"/>
                <w:lang w:eastAsia="zh-CN"/>
              </w:rPr>
              <w:t>心</w:t>
            </w:r>
            <w:r>
              <w:rPr>
                <w:rFonts w:hint="eastAsia"/>
                <w:lang w:eastAsia="zh-CN"/>
              </w:rPr>
              <w:t>的问题进展报告</w:t>
            </w:r>
          </w:p>
        </w:tc>
      </w:tr>
      <w:tr w:rsidR="00A721F4" w:rsidRPr="002E6963" w14:paraId="23A30231" w14:textId="77777777" w:rsidTr="201566A7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590033C8" w14:textId="77777777" w:rsidTr="201566A7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5D9D0A41" w:rsidR="00A721F4" w:rsidRPr="00D9621A" w:rsidRDefault="005E60F0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摘要：</w:t>
            </w:r>
          </w:p>
          <w:p w14:paraId="4082D7E8" w14:textId="70DC4245" w:rsidR="00A721F4" w:rsidRPr="00D9621A" w:rsidRDefault="005E60F0" w:rsidP="005E60F0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本文件含有跨部门协调组（</w:t>
            </w:r>
            <w:r w:rsidRPr="001D10F2">
              <w:rPr>
                <w:lang w:eastAsia="zh-CN"/>
              </w:rPr>
              <w:t>ISCG</w:t>
            </w:r>
            <w:r>
              <w:rPr>
                <w:rFonts w:hint="eastAsia"/>
                <w:lang w:eastAsia="zh-CN"/>
              </w:rPr>
              <w:t>）关于共同关</w:t>
            </w:r>
            <w:r w:rsidR="004A78AB">
              <w:rPr>
                <w:rFonts w:hint="eastAsia"/>
                <w:lang w:eastAsia="zh-CN"/>
              </w:rPr>
              <w:t>心</w:t>
            </w:r>
            <w:r>
              <w:rPr>
                <w:rFonts w:hint="eastAsia"/>
                <w:lang w:eastAsia="zh-CN"/>
              </w:rPr>
              <w:t>的问题的进展报告，重点是本组于</w:t>
            </w:r>
            <w:r w:rsidRPr="001D10F2">
              <w:rPr>
                <w:lang w:eastAsia="zh-CN"/>
              </w:rPr>
              <w:t>20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日举行的最近一次虚拟会议所得出的结论。</w:t>
            </w:r>
          </w:p>
          <w:p w14:paraId="76A1C541" w14:textId="704CF38F" w:rsidR="00A721F4" w:rsidRPr="00D9621A" w:rsidRDefault="00B06A91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371956FC" w14:textId="1B0A2A99" w:rsidR="00A721F4" w:rsidRPr="00D9621A" w:rsidRDefault="004A78AB" w:rsidP="00B06A91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4A78AB">
              <w:rPr>
                <w:rFonts w:hint="eastAsia"/>
                <w:lang w:eastAsia="zh-CN"/>
              </w:rPr>
              <w:t>请</w:t>
            </w:r>
            <w:r w:rsidRPr="004A78AB">
              <w:rPr>
                <w:rFonts w:hint="eastAsia"/>
                <w:lang w:eastAsia="zh-CN"/>
              </w:rPr>
              <w:t>TDAG</w:t>
            </w:r>
            <w:r w:rsidRPr="004A78AB">
              <w:rPr>
                <w:rFonts w:hint="eastAsia"/>
                <w:lang w:eastAsia="zh-CN"/>
              </w:rPr>
              <w:t>将此文件记录在案并酌情提供适当指导。</w:t>
            </w:r>
          </w:p>
          <w:p w14:paraId="622ACB80" w14:textId="4C4682C2" w:rsidR="00A721F4" w:rsidRPr="00D9621A" w:rsidRDefault="00B06A91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1ECDD20E" w14:textId="79992EEF" w:rsidR="00A721F4" w:rsidRPr="00D9621A" w:rsidRDefault="00B628D7" w:rsidP="00EA0C51">
            <w:pPr>
              <w:spacing w:after="120"/>
              <w:rPr>
                <w:lang w:eastAsia="zh-CN"/>
              </w:rPr>
            </w:pPr>
            <w:hyperlink r:id="rId13" w:history="1">
              <w:r w:rsidR="00B06A91">
                <w:rPr>
                  <w:rStyle w:val="Hyperlink"/>
                  <w:lang w:eastAsia="zh-CN"/>
                </w:rPr>
                <w:t>第</w:t>
              </w:r>
              <w:r w:rsidR="00B06A91">
                <w:rPr>
                  <w:rStyle w:val="Hyperlink"/>
                  <w:lang w:eastAsia="zh-CN"/>
                </w:rPr>
                <w:t>191</w:t>
              </w:r>
              <w:r w:rsidR="00B06A91">
                <w:rPr>
                  <w:rStyle w:val="Hyperlink"/>
                  <w:lang w:eastAsia="zh-CN"/>
                </w:rPr>
                <w:t>号决议</w:t>
              </w:r>
            </w:hyperlink>
            <w:r w:rsidR="00B06A91">
              <w:rPr>
                <w:rFonts w:hint="eastAsia"/>
                <w:lang w:eastAsia="zh-CN"/>
              </w:rPr>
              <w:t>（</w:t>
            </w:r>
            <w:r w:rsidR="001F55DD">
              <w:rPr>
                <w:lang w:eastAsia="zh-CN"/>
              </w:rPr>
              <w:t>201</w:t>
            </w:r>
            <w:r w:rsidR="001F55DD">
              <w:rPr>
                <w:rFonts w:hint="eastAsia"/>
                <w:lang w:eastAsia="zh-CN"/>
              </w:rPr>
              <w:t>8</w:t>
            </w:r>
            <w:r w:rsidR="00B06A91">
              <w:rPr>
                <w:rFonts w:hint="eastAsia"/>
                <w:lang w:eastAsia="zh-CN"/>
              </w:rPr>
              <w:t>年，迪拜，修订版）</w:t>
            </w:r>
          </w:p>
        </w:tc>
      </w:tr>
    </w:tbl>
    <w:p w14:paraId="77CF718B" w14:textId="2790AFD7" w:rsidR="0010370F" w:rsidRPr="00B06A91" w:rsidRDefault="0010370F" w:rsidP="00EA0C51">
      <w:pPr>
        <w:spacing w:after="120"/>
        <w:rPr>
          <w:lang w:eastAsia="zh-CN"/>
        </w:rPr>
      </w:pPr>
    </w:p>
    <w:p w14:paraId="74B69CB3" w14:textId="77777777" w:rsidR="0010370F" w:rsidRDefault="001037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369FAE2" w14:textId="6646DEE4" w:rsidR="000A1354" w:rsidRPr="009C405D" w:rsidRDefault="009C405D" w:rsidP="009C405D">
      <w:pPr>
        <w:pStyle w:val="Heading1"/>
        <w:rPr>
          <w:sz w:val="24"/>
          <w:szCs w:val="24"/>
        </w:rPr>
      </w:pPr>
      <w:r w:rsidRPr="009C405D">
        <w:rPr>
          <w:rFonts w:hint="eastAsia"/>
          <w:sz w:val="24"/>
          <w:szCs w:val="24"/>
        </w:rPr>
        <w:lastRenderedPageBreak/>
        <w:t>1</w:t>
      </w:r>
      <w:r w:rsidRPr="009C405D">
        <w:rPr>
          <w:sz w:val="24"/>
          <w:szCs w:val="24"/>
        </w:rPr>
        <w:tab/>
      </w:r>
      <w:proofErr w:type="spellStart"/>
      <w:r w:rsidR="00E65E40" w:rsidRPr="009C405D">
        <w:rPr>
          <w:rFonts w:hint="eastAsia"/>
          <w:sz w:val="24"/>
          <w:szCs w:val="24"/>
        </w:rPr>
        <w:t>引言</w:t>
      </w:r>
      <w:proofErr w:type="spellEnd"/>
    </w:p>
    <w:p w14:paraId="2BDE56F1" w14:textId="534B30C6" w:rsidR="000A1354" w:rsidRPr="002E534C" w:rsidRDefault="0066119A" w:rsidP="00E65E40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rFonts w:ascii="Calibri" w:hAnsi="Calibri" w:cs="Calibri"/>
          <w:szCs w:val="24"/>
          <w:lang w:eastAsia="zh-CN"/>
        </w:rPr>
      </w:pPr>
      <w:r>
        <w:rPr>
          <w:rFonts w:hint="eastAsia"/>
          <w:szCs w:val="24"/>
          <w:lang w:eastAsia="zh-CN"/>
        </w:rPr>
        <w:t>涉及共同关心的问题的</w:t>
      </w:r>
      <w:r w:rsidR="001F55DD">
        <w:fldChar w:fldCharType="begin"/>
      </w:r>
      <w:r w:rsidR="001F55DD">
        <w:rPr>
          <w:lang w:eastAsia="zh-CN"/>
        </w:rPr>
        <w:instrText xml:space="preserve"> HYPERLINK "https://www.itu.int/en/general-secretariat/Pages/ISCG/default.aspx" </w:instrText>
      </w:r>
      <w:r w:rsidR="001F55DD">
        <w:fldChar w:fldCharType="separate"/>
      </w:r>
      <w:r w:rsidR="006B3723">
        <w:rPr>
          <w:rStyle w:val="Hyperlink"/>
          <w:szCs w:val="24"/>
          <w:lang w:eastAsia="zh-CN"/>
        </w:rPr>
        <w:t>跨部门协调组（</w:t>
      </w:r>
      <w:r w:rsidR="006B3723">
        <w:rPr>
          <w:rStyle w:val="Hyperlink"/>
          <w:szCs w:val="24"/>
          <w:lang w:eastAsia="zh-CN"/>
        </w:rPr>
        <w:t>ISCG</w:t>
      </w:r>
      <w:r w:rsidR="006B3723">
        <w:rPr>
          <w:rStyle w:val="Hyperlink"/>
          <w:szCs w:val="24"/>
          <w:lang w:eastAsia="zh-CN"/>
        </w:rPr>
        <w:t>）</w:t>
      </w:r>
      <w:r w:rsidR="001F55DD">
        <w:rPr>
          <w:rStyle w:val="Hyperlink"/>
          <w:szCs w:val="24"/>
          <w:lang w:eastAsia="zh-CN"/>
        </w:rPr>
        <w:fldChar w:fldCharType="end"/>
      </w:r>
      <w:r w:rsidR="006B3723" w:rsidRPr="00E65E40">
        <w:rPr>
          <w:rFonts w:hint="eastAsia"/>
          <w:szCs w:val="24"/>
          <w:lang w:eastAsia="zh-CN"/>
        </w:rPr>
        <w:t>由</w:t>
      </w:r>
      <w:r w:rsidR="006B3723" w:rsidRPr="004A78AB">
        <w:rPr>
          <w:rFonts w:hint="eastAsia"/>
          <w:szCs w:val="24"/>
          <w:lang w:eastAsia="zh-CN"/>
        </w:rPr>
        <w:t>无线电通信顾问组</w:t>
      </w:r>
      <w:r w:rsidR="006B3723" w:rsidRPr="00E65E40">
        <w:rPr>
          <w:rFonts w:hint="eastAsia"/>
          <w:szCs w:val="24"/>
          <w:lang w:eastAsia="zh-CN"/>
        </w:rPr>
        <w:t>（</w:t>
      </w:r>
      <w:r w:rsidR="006B3723" w:rsidRPr="00E65E40">
        <w:rPr>
          <w:rFonts w:hint="eastAsia"/>
          <w:szCs w:val="24"/>
          <w:lang w:eastAsia="zh-CN"/>
        </w:rPr>
        <w:t>RAG</w:t>
      </w:r>
      <w:r w:rsidR="006B3723" w:rsidRPr="00E65E40">
        <w:rPr>
          <w:rFonts w:hint="eastAsia"/>
          <w:szCs w:val="24"/>
          <w:lang w:eastAsia="zh-CN"/>
        </w:rPr>
        <w:t>）、</w:t>
      </w:r>
      <w:r w:rsidR="006B3723" w:rsidRPr="004A78AB">
        <w:rPr>
          <w:rFonts w:hint="eastAsia"/>
          <w:szCs w:val="24"/>
          <w:lang w:eastAsia="zh-CN"/>
        </w:rPr>
        <w:t>电信标准化顾问组（</w:t>
      </w:r>
      <w:r w:rsidR="006B3723" w:rsidRPr="004A78AB">
        <w:rPr>
          <w:rFonts w:hint="eastAsia"/>
          <w:szCs w:val="24"/>
          <w:lang w:eastAsia="zh-CN"/>
        </w:rPr>
        <w:t>TSAG</w:t>
      </w:r>
      <w:r w:rsidR="006B3723" w:rsidRPr="004A78AB">
        <w:rPr>
          <w:rFonts w:hint="eastAsia"/>
          <w:szCs w:val="24"/>
          <w:lang w:eastAsia="zh-CN"/>
        </w:rPr>
        <w:t>）</w:t>
      </w:r>
      <w:r w:rsidR="006B3723" w:rsidRPr="00E65E40">
        <w:rPr>
          <w:rFonts w:hint="eastAsia"/>
          <w:szCs w:val="24"/>
          <w:lang w:eastAsia="zh-CN"/>
        </w:rPr>
        <w:t>和</w:t>
      </w:r>
      <w:r w:rsidR="006B3723" w:rsidRPr="004A78AB">
        <w:rPr>
          <w:rFonts w:hint="eastAsia"/>
          <w:szCs w:val="24"/>
          <w:lang w:eastAsia="zh-CN"/>
        </w:rPr>
        <w:t>电信发展顾问组（</w:t>
      </w:r>
      <w:r w:rsidR="006B3723" w:rsidRPr="004A78AB">
        <w:rPr>
          <w:rFonts w:hint="eastAsia"/>
          <w:szCs w:val="24"/>
          <w:lang w:eastAsia="zh-CN"/>
        </w:rPr>
        <w:t>TDAG</w:t>
      </w:r>
      <w:r w:rsidR="006B3723" w:rsidRPr="004A78AB">
        <w:rPr>
          <w:rFonts w:hint="eastAsia"/>
          <w:szCs w:val="24"/>
          <w:lang w:eastAsia="zh-CN"/>
        </w:rPr>
        <w:t>）</w:t>
      </w:r>
      <w:r w:rsidR="006B3723" w:rsidRPr="00E65E40">
        <w:rPr>
          <w:rFonts w:hint="eastAsia"/>
          <w:szCs w:val="24"/>
          <w:lang w:eastAsia="zh-CN"/>
        </w:rPr>
        <w:t>的代表组成，致力于确定</w:t>
      </w:r>
      <w:r w:rsidR="006B3723">
        <w:rPr>
          <w:rFonts w:hint="eastAsia"/>
          <w:szCs w:val="24"/>
          <w:lang w:eastAsia="zh-CN"/>
        </w:rPr>
        <w:t>涉及</w:t>
      </w:r>
      <w:r w:rsidR="006B3723" w:rsidRPr="00E65E40">
        <w:rPr>
          <w:rFonts w:hint="eastAsia"/>
          <w:szCs w:val="24"/>
          <w:lang w:eastAsia="zh-CN"/>
        </w:rPr>
        <w:t>三个部门和总秘书处的共同议题，以及加强所有部门在共同感兴趣的事项上的合作和协作的机制，以避免重复工作，</w:t>
      </w:r>
      <w:r w:rsidR="006B3723">
        <w:rPr>
          <w:rFonts w:hint="eastAsia"/>
          <w:szCs w:val="24"/>
          <w:lang w:eastAsia="zh-CN"/>
        </w:rPr>
        <w:t>并根据</w:t>
      </w:r>
      <w:hyperlink r:id="rId14" w:history="1">
        <w:r w:rsidR="006B3723">
          <w:rPr>
            <w:rStyle w:val="Hyperlink"/>
            <w:szCs w:val="24"/>
            <w:lang w:eastAsia="zh-CN"/>
          </w:rPr>
          <w:t>第</w:t>
        </w:r>
        <w:r w:rsidR="006B3723">
          <w:rPr>
            <w:rStyle w:val="Hyperlink"/>
            <w:szCs w:val="24"/>
            <w:lang w:eastAsia="zh-CN"/>
          </w:rPr>
          <w:t>191</w:t>
        </w:r>
        <w:r w:rsidR="006B3723">
          <w:rPr>
            <w:rStyle w:val="Hyperlink"/>
            <w:szCs w:val="24"/>
            <w:lang w:eastAsia="zh-CN"/>
          </w:rPr>
          <w:t>号决议（</w:t>
        </w:r>
        <w:r w:rsidR="006B3723">
          <w:rPr>
            <w:rStyle w:val="Hyperlink"/>
            <w:szCs w:val="24"/>
            <w:lang w:eastAsia="zh-CN"/>
          </w:rPr>
          <w:t>2018</w:t>
        </w:r>
        <w:r w:rsidR="006B3723">
          <w:rPr>
            <w:rStyle w:val="Hyperlink"/>
            <w:szCs w:val="24"/>
            <w:lang w:eastAsia="zh-CN"/>
          </w:rPr>
          <w:t>年，迪拜，修订版）</w:t>
        </w:r>
      </w:hyperlink>
      <w:r w:rsidR="006B3723" w:rsidRPr="00E65E40">
        <w:rPr>
          <w:rFonts w:hint="eastAsia"/>
          <w:szCs w:val="24"/>
          <w:lang w:eastAsia="zh-CN"/>
        </w:rPr>
        <w:t>优化</w:t>
      </w:r>
      <w:r w:rsidR="006B3723">
        <w:rPr>
          <w:rFonts w:hint="eastAsia"/>
          <w:szCs w:val="24"/>
          <w:lang w:eastAsia="zh-CN"/>
        </w:rPr>
        <w:t>国际电联</w:t>
      </w:r>
      <w:r w:rsidR="006B3723" w:rsidRPr="00E65E40">
        <w:rPr>
          <w:rFonts w:hint="eastAsia"/>
          <w:szCs w:val="24"/>
          <w:lang w:eastAsia="zh-CN"/>
        </w:rPr>
        <w:t>的资源</w:t>
      </w:r>
      <w:r w:rsidR="006B3723">
        <w:rPr>
          <w:rFonts w:hint="eastAsia"/>
          <w:szCs w:val="24"/>
          <w:lang w:eastAsia="zh-CN"/>
        </w:rPr>
        <w:t>利用。</w:t>
      </w:r>
    </w:p>
    <w:p w14:paraId="0BBA1865" w14:textId="27C46954" w:rsidR="000A1354" w:rsidRDefault="00E65E40" w:rsidP="0084219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65E40">
        <w:rPr>
          <w:rFonts w:hint="eastAsia"/>
          <w:szCs w:val="24"/>
          <w:lang w:eastAsia="zh-CN"/>
        </w:rPr>
        <w:t>ISCG</w:t>
      </w:r>
      <w:r w:rsidRPr="00E65E40">
        <w:rPr>
          <w:rFonts w:hint="eastAsia"/>
          <w:szCs w:val="24"/>
          <w:lang w:eastAsia="zh-CN"/>
        </w:rPr>
        <w:t>审议当前和新的活动及其在</w:t>
      </w:r>
      <w:r w:rsidRPr="00E65E40">
        <w:rPr>
          <w:rFonts w:hint="eastAsia"/>
          <w:szCs w:val="24"/>
          <w:lang w:eastAsia="zh-CN"/>
        </w:rPr>
        <w:t>ITU-R</w:t>
      </w:r>
      <w:r w:rsidRPr="00E65E40">
        <w:rPr>
          <w:rFonts w:hint="eastAsia"/>
          <w:szCs w:val="24"/>
          <w:lang w:eastAsia="zh-CN"/>
        </w:rPr>
        <w:t>、</w:t>
      </w:r>
      <w:r w:rsidRPr="00E65E40">
        <w:rPr>
          <w:rFonts w:hint="eastAsia"/>
          <w:szCs w:val="24"/>
          <w:lang w:eastAsia="zh-CN"/>
        </w:rPr>
        <w:t>ITU-T</w:t>
      </w:r>
      <w:r w:rsidRPr="00E65E40">
        <w:rPr>
          <w:rFonts w:hint="eastAsia"/>
          <w:szCs w:val="24"/>
          <w:lang w:eastAsia="zh-CN"/>
        </w:rPr>
        <w:t>和</w:t>
      </w:r>
      <w:r w:rsidRPr="00E65E40">
        <w:rPr>
          <w:rFonts w:hint="eastAsia"/>
          <w:szCs w:val="24"/>
          <w:lang w:eastAsia="zh-CN"/>
        </w:rPr>
        <w:t>ITU-D</w:t>
      </w:r>
      <w:r w:rsidRPr="00E65E40">
        <w:rPr>
          <w:rFonts w:hint="eastAsia"/>
          <w:szCs w:val="24"/>
          <w:lang w:eastAsia="zh-CN"/>
        </w:rPr>
        <w:t>之间的分配情况，供</w:t>
      </w:r>
      <w:r w:rsidR="00C32F05">
        <w:rPr>
          <w:rFonts w:hint="eastAsia"/>
          <w:szCs w:val="24"/>
          <w:lang w:eastAsia="zh-CN"/>
        </w:rPr>
        <w:t>国际电联</w:t>
      </w:r>
      <w:r w:rsidRPr="00E65E40">
        <w:rPr>
          <w:rFonts w:hint="eastAsia"/>
          <w:szCs w:val="24"/>
          <w:lang w:eastAsia="zh-CN"/>
        </w:rPr>
        <w:t>成员国</w:t>
      </w:r>
      <w:r w:rsidR="00C32F05">
        <w:rPr>
          <w:rFonts w:hint="eastAsia"/>
          <w:szCs w:val="24"/>
          <w:lang w:eastAsia="zh-CN"/>
        </w:rPr>
        <w:t>根据批准</w:t>
      </w:r>
      <w:r w:rsidRPr="00E65E40">
        <w:rPr>
          <w:rFonts w:hint="eastAsia"/>
          <w:szCs w:val="24"/>
          <w:lang w:eastAsia="zh-CN"/>
        </w:rPr>
        <w:t>新</w:t>
      </w:r>
      <w:r w:rsidR="00C32F05">
        <w:rPr>
          <w:rFonts w:hint="eastAsia"/>
          <w:szCs w:val="24"/>
          <w:lang w:eastAsia="zh-CN"/>
        </w:rPr>
        <w:t>课题</w:t>
      </w:r>
      <w:r w:rsidRPr="00E65E40">
        <w:rPr>
          <w:rFonts w:hint="eastAsia"/>
          <w:szCs w:val="24"/>
          <w:lang w:eastAsia="zh-CN"/>
        </w:rPr>
        <w:t>和</w:t>
      </w:r>
      <w:r w:rsidR="00C32F05">
        <w:rPr>
          <w:rFonts w:hint="eastAsia"/>
          <w:szCs w:val="24"/>
          <w:lang w:eastAsia="zh-CN"/>
        </w:rPr>
        <w:t>经</w:t>
      </w:r>
      <w:r w:rsidRPr="00E65E40">
        <w:rPr>
          <w:rFonts w:hint="eastAsia"/>
          <w:szCs w:val="24"/>
          <w:lang w:eastAsia="zh-CN"/>
        </w:rPr>
        <w:t>修订</w:t>
      </w:r>
      <w:r w:rsidR="00C32F05">
        <w:rPr>
          <w:rFonts w:hint="eastAsia"/>
          <w:szCs w:val="24"/>
          <w:lang w:eastAsia="zh-CN"/>
        </w:rPr>
        <w:t>的课题</w:t>
      </w:r>
      <w:r w:rsidRPr="00E65E40">
        <w:rPr>
          <w:rFonts w:hint="eastAsia"/>
          <w:szCs w:val="24"/>
          <w:lang w:eastAsia="zh-CN"/>
        </w:rPr>
        <w:t>的批准程序进行批准。它还审议三位主任</w:t>
      </w:r>
      <w:r w:rsidR="0084219A">
        <w:rPr>
          <w:rFonts w:hint="eastAsia"/>
          <w:szCs w:val="24"/>
          <w:lang w:eastAsia="zh-CN"/>
        </w:rPr>
        <w:t>的报告以及</w:t>
      </w:r>
      <w:r w:rsidR="0084219A" w:rsidRPr="0084219A">
        <w:rPr>
          <w:rFonts w:hint="eastAsia"/>
          <w:szCs w:val="24"/>
          <w:lang w:eastAsia="zh-CN"/>
        </w:rPr>
        <w:t>跨部门协调任务组（</w:t>
      </w:r>
      <w:r w:rsidR="0084219A" w:rsidRPr="0084219A">
        <w:rPr>
          <w:rFonts w:hint="eastAsia"/>
          <w:szCs w:val="24"/>
          <w:lang w:eastAsia="zh-CN"/>
        </w:rPr>
        <w:t>ISC-TF</w:t>
      </w:r>
      <w:r w:rsidR="0084219A" w:rsidRPr="0084219A">
        <w:rPr>
          <w:rFonts w:hint="eastAsia"/>
          <w:szCs w:val="24"/>
          <w:lang w:eastAsia="zh-CN"/>
        </w:rPr>
        <w:t>）</w:t>
      </w:r>
      <w:r w:rsidRPr="00E65E40">
        <w:rPr>
          <w:rFonts w:hint="eastAsia"/>
          <w:szCs w:val="24"/>
          <w:lang w:eastAsia="zh-CN"/>
        </w:rPr>
        <w:t>关于改进秘书处一级合作的方案，以确保最大限度地密切协调。</w:t>
      </w:r>
    </w:p>
    <w:p w14:paraId="6CAE80F2" w14:textId="24FC053E" w:rsidR="000A1354" w:rsidRDefault="00E65E40" w:rsidP="007C0328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65E40">
        <w:rPr>
          <w:rFonts w:hint="eastAsia"/>
          <w:szCs w:val="24"/>
          <w:lang w:eastAsia="zh-CN"/>
        </w:rPr>
        <w:t>自上次向</w:t>
      </w:r>
      <w:r w:rsidRPr="00E65E40">
        <w:rPr>
          <w:rFonts w:hint="eastAsia"/>
          <w:szCs w:val="24"/>
          <w:lang w:eastAsia="zh-CN"/>
        </w:rPr>
        <w:t>TDAG</w:t>
      </w:r>
      <w:r w:rsidRPr="00E65E40">
        <w:rPr>
          <w:rFonts w:hint="eastAsia"/>
          <w:szCs w:val="24"/>
          <w:lang w:eastAsia="zh-CN"/>
        </w:rPr>
        <w:t>提交报告以来，</w:t>
      </w:r>
      <w:r w:rsidRPr="00E65E40">
        <w:rPr>
          <w:rFonts w:hint="eastAsia"/>
          <w:szCs w:val="24"/>
          <w:lang w:eastAsia="zh-CN"/>
        </w:rPr>
        <w:t>ISCG</w:t>
      </w:r>
      <w:r w:rsidRPr="00E65E40">
        <w:rPr>
          <w:rFonts w:hint="eastAsia"/>
          <w:szCs w:val="24"/>
          <w:lang w:eastAsia="zh-CN"/>
        </w:rPr>
        <w:t>在</w:t>
      </w:r>
      <w:r w:rsidRPr="00E65E40">
        <w:rPr>
          <w:rFonts w:hint="eastAsia"/>
          <w:szCs w:val="24"/>
          <w:lang w:eastAsia="zh-CN"/>
        </w:rPr>
        <w:t>2020</w:t>
      </w:r>
      <w:r w:rsidRPr="00E65E40">
        <w:rPr>
          <w:rFonts w:hint="eastAsia"/>
          <w:szCs w:val="24"/>
          <w:lang w:eastAsia="zh-CN"/>
        </w:rPr>
        <w:t>年</w:t>
      </w:r>
      <w:r w:rsidRPr="00E65E40">
        <w:rPr>
          <w:rFonts w:hint="eastAsia"/>
          <w:szCs w:val="24"/>
          <w:lang w:eastAsia="zh-CN"/>
        </w:rPr>
        <w:t>6</w:t>
      </w:r>
      <w:r w:rsidRPr="00E65E40">
        <w:rPr>
          <w:rFonts w:hint="eastAsia"/>
          <w:szCs w:val="24"/>
          <w:lang w:eastAsia="zh-CN"/>
        </w:rPr>
        <w:t>月和</w:t>
      </w:r>
      <w:r w:rsidRPr="00E65E40">
        <w:rPr>
          <w:rFonts w:hint="eastAsia"/>
          <w:szCs w:val="24"/>
          <w:lang w:eastAsia="zh-CN"/>
        </w:rPr>
        <w:t>2021</w:t>
      </w:r>
      <w:r w:rsidRPr="00E65E40">
        <w:rPr>
          <w:rFonts w:hint="eastAsia"/>
          <w:szCs w:val="24"/>
          <w:lang w:eastAsia="zh-CN"/>
        </w:rPr>
        <w:t>年</w:t>
      </w:r>
      <w:r w:rsidR="001F55DD">
        <w:rPr>
          <w:rFonts w:hint="eastAsia"/>
          <w:szCs w:val="24"/>
          <w:lang w:eastAsia="zh-CN"/>
        </w:rPr>
        <w:t>3</w:t>
      </w:r>
      <w:r w:rsidRPr="00E65E40">
        <w:rPr>
          <w:rFonts w:hint="eastAsia"/>
          <w:szCs w:val="24"/>
          <w:lang w:eastAsia="zh-CN"/>
        </w:rPr>
        <w:t>月</w:t>
      </w:r>
      <w:r w:rsidR="002C11B9">
        <w:rPr>
          <w:rFonts w:hint="eastAsia"/>
          <w:szCs w:val="24"/>
          <w:lang w:eastAsia="zh-CN"/>
        </w:rPr>
        <w:t>举行</w:t>
      </w:r>
      <w:r w:rsidRPr="00E65E40">
        <w:rPr>
          <w:rFonts w:hint="eastAsia"/>
          <w:szCs w:val="24"/>
          <w:lang w:eastAsia="zh-CN"/>
        </w:rPr>
        <w:t>了两次会议。</w:t>
      </w:r>
      <w:r w:rsidRPr="00E65E40">
        <w:rPr>
          <w:rFonts w:hint="eastAsia"/>
          <w:szCs w:val="24"/>
          <w:lang w:eastAsia="zh-CN"/>
        </w:rPr>
        <w:t>ISCG</w:t>
      </w:r>
      <w:r w:rsidRPr="00E65E40">
        <w:rPr>
          <w:rFonts w:hint="eastAsia"/>
          <w:szCs w:val="24"/>
          <w:lang w:eastAsia="zh-CN"/>
        </w:rPr>
        <w:t>的下一次会议定于</w:t>
      </w:r>
      <w:r w:rsidRPr="00E65E40">
        <w:rPr>
          <w:rFonts w:hint="eastAsia"/>
          <w:szCs w:val="24"/>
          <w:lang w:eastAsia="zh-CN"/>
        </w:rPr>
        <w:t>2021</w:t>
      </w:r>
      <w:r w:rsidRPr="00E65E40">
        <w:rPr>
          <w:rFonts w:hint="eastAsia"/>
          <w:szCs w:val="24"/>
          <w:lang w:eastAsia="zh-CN"/>
        </w:rPr>
        <w:t>年</w:t>
      </w:r>
      <w:r w:rsidRPr="00E65E40">
        <w:rPr>
          <w:rFonts w:hint="eastAsia"/>
          <w:szCs w:val="24"/>
          <w:lang w:eastAsia="zh-CN"/>
        </w:rPr>
        <w:t>9</w:t>
      </w:r>
      <w:r w:rsidRPr="00E65E40">
        <w:rPr>
          <w:rFonts w:hint="eastAsia"/>
          <w:szCs w:val="24"/>
          <w:lang w:eastAsia="zh-CN"/>
        </w:rPr>
        <w:t>月</w:t>
      </w:r>
      <w:r w:rsidR="001F55DD">
        <w:rPr>
          <w:rFonts w:hint="eastAsia"/>
          <w:szCs w:val="24"/>
          <w:lang w:eastAsia="zh-CN"/>
        </w:rPr>
        <w:t>1</w:t>
      </w:r>
      <w:r w:rsidRPr="00E65E40">
        <w:rPr>
          <w:rFonts w:hint="eastAsia"/>
          <w:szCs w:val="24"/>
          <w:lang w:eastAsia="zh-CN"/>
        </w:rPr>
        <w:t>日举行。</w:t>
      </w:r>
    </w:p>
    <w:p w14:paraId="5EEB543C" w14:textId="0B72D6C1" w:rsidR="00B36030" w:rsidRPr="00B36030" w:rsidRDefault="00E65E40" w:rsidP="007C0328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65E40">
        <w:rPr>
          <w:rFonts w:hint="eastAsia"/>
          <w:szCs w:val="24"/>
          <w:lang w:eastAsia="zh-CN"/>
        </w:rPr>
        <w:t>在上次会议上，</w:t>
      </w:r>
      <w:r w:rsidRPr="00E65E40">
        <w:rPr>
          <w:rFonts w:hint="eastAsia"/>
          <w:szCs w:val="24"/>
          <w:lang w:eastAsia="zh-CN"/>
        </w:rPr>
        <w:t>ISCG</w:t>
      </w:r>
      <w:r w:rsidRPr="00E65E40">
        <w:rPr>
          <w:rFonts w:hint="eastAsia"/>
          <w:szCs w:val="24"/>
          <w:lang w:eastAsia="zh-CN"/>
        </w:rPr>
        <w:t>秘书处介绍了</w:t>
      </w:r>
      <w:r w:rsidR="002C11B9" w:rsidRPr="00E65E40">
        <w:rPr>
          <w:rFonts w:hint="eastAsia"/>
          <w:szCs w:val="24"/>
          <w:lang w:eastAsia="zh-CN"/>
        </w:rPr>
        <w:t>国际电联</w:t>
      </w:r>
      <w:r w:rsidR="002C11B9">
        <w:rPr>
          <w:rFonts w:hint="eastAsia"/>
          <w:szCs w:val="24"/>
          <w:lang w:eastAsia="zh-CN"/>
        </w:rPr>
        <w:t>与</w:t>
      </w:r>
      <w:hyperlink r:id="rId15" w:history="1">
        <w:r w:rsidR="002C11B9">
          <w:rPr>
            <w:rStyle w:val="Hyperlink"/>
            <w:szCs w:val="24"/>
            <w:lang w:eastAsia="zh-CN"/>
          </w:rPr>
          <w:t>跨部门协调</w:t>
        </w:r>
      </w:hyperlink>
      <w:r w:rsidR="002C11B9">
        <w:rPr>
          <w:rFonts w:hint="eastAsia"/>
          <w:szCs w:val="24"/>
          <w:lang w:eastAsia="zh-CN"/>
        </w:rPr>
        <w:t>有关的网站的更新。</w:t>
      </w:r>
      <w:r w:rsidR="002C11B9" w:rsidRPr="00E65E40">
        <w:rPr>
          <w:rFonts w:hint="eastAsia"/>
          <w:szCs w:val="24"/>
          <w:lang w:eastAsia="zh-CN"/>
        </w:rPr>
        <w:t>主要变化如下</w:t>
      </w:r>
      <w:r w:rsidR="002C11B9">
        <w:rPr>
          <w:rFonts w:hint="eastAsia"/>
          <w:szCs w:val="24"/>
          <w:lang w:eastAsia="zh-CN"/>
        </w:rPr>
        <w:t>：</w:t>
      </w:r>
    </w:p>
    <w:p w14:paraId="050B598B" w14:textId="674940D6" w:rsidR="00B36030" w:rsidRDefault="009C405D" w:rsidP="009C405D">
      <w:pPr>
        <w:pStyle w:val="enumlev1"/>
        <w:rPr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hyperlink r:id="rId16" w:history="1">
        <w:r w:rsidR="001523B4">
          <w:rPr>
            <w:rStyle w:val="Hyperlink"/>
            <w:szCs w:val="24"/>
            <w:lang w:eastAsia="zh-CN"/>
          </w:rPr>
          <w:t>国际电联总秘书处登录页面</w:t>
        </w:r>
      </w:hyperlink>
      <w:proofErr w:type="gramStart"/>
      <w:r w:rsidR="00E65E40" w:rsidRPr="00E65E40">
        <w:rPr>
          <w:rFonts w:hint="eastAsia"/>
          <w:szCs w:val="24"/>
          <w:lang w:eastAsia="zh-CN"/>
        </w:rPr>
        <w:t>中的</w:t>
      </w:r>
      <w:r w:rsidR="00E0799B">
        <w:rPr>
          <w:rFonts w:hint="eastAsia"/>
          <w:szCs w:val="24"/>
          <w:lang w:eastAsia="zh-CN"/>
        </w:rPr>
        <w:t>“</w:t>
      </w:r>
      <w:proofErr w:type="gramEnd"/>
      <w:r w:rsidR="0025213A">
        <w:rPr>
          <w:rFonts w:hint="eastAsia"/>
          <w:szCs w:val="24"/>
          <w:lang w:eastAsia="zh-CN"/>
        </w:rPr>
        <w:t>跨部门</w:t>
      </w:r>
      <w:r w:rsidR="00E65E40" w:rsidRPr="00E65E40">
        <w:rPr>
          <w:rFonts w:hint="eastAsia"/>
          <w:szCs w:val="24"/>
          <w:lang w:eastAsia="zh-CN"/>
        </w:rPr>
        <w:t>协调</w:t>
      </w:r>
      <w:r w:rsidR="00E0799B">
        <w:rPr>
          <w:rFonts w:hint="eastAsia"/>
          <w:szCs w:val="24"/>
          <w:lang w:eastAsia="zh-CN"/>
        </w:rPr>
        <w:t>活动”</w:t>
      </w:r>
      <w:r w:rsidR="00E65E40" w:rsidRPr="00E65E40">
        <w:rPr>
          <w:rFonts w:hint="eastAsia"/>
          <w:szCs w:val="24"/>
          <w:lang w:eastAsia="zh-CN"/>
        </w:rPr>
        <w:t>链接已经以</w:t>
      </w:r>
      <w:r w:rsidR="001523B4" w:rsidRPr="00E65E40">
        <w:rPr>
          <w:rFonts w:hint="eastAsia"/>
          <w:szCs w:val="24"/>
          <w:lang w:eastAsia="zh-CN"/>
        </w:rPr>
        <w:t>联合国</w:t>
      </w:r>
      <w:r w:rsidR="00E65E40" w:rsidRPr="00E65E40">
        <w:rPr>
          <w:rFonts w:hint="eastAsia"/>
          <w:szCs w:val="24"/>
          <w:lang w:eastAsia="zh-CN"/>
        </w:rPr>
        <w:t>所有</w:t>
      </w:r>
      <w:r w:rsidR="00E65E40" w:rsidRPr="00E65E40">
        <w:rPr>
          <w:rFonts w:hint="eastAsia"/>
          <w:szCs w:val="24"/>
          <w:lang w:eastAsia="zh-CN"/>
        </w:rPr>
        <w:t>6</w:t>
      </w:r>
      <w:r w:rsidR="00E65E40" w:rsidRPr="00E65E40">
        <w:rPr>
          <w:rFonts w:hint="eastAsia"/>
          <w:szCs w:val="24"/>
          <w:lang w:eastAsia="zh-CN"/>
        </w:rPr>
        <w:t>种</w:t>
      </w:r>
      <w:r w:rsidR="001523B4">
        <w:rPr>
          <w:rFonts w:hint="eastAsia"/>
          <w:szCs w:val="24"/>
          <w:lang w:eastAsia="zh-CN"/>
        </w:rPr>
        <w:t>正式</w:t>
      </w:r>
      <w:r w:rsidR="00E65E40" w:rsidRPr="00E65E40">
        <w:rPr>
          <w:rFonts w:hint="eastAsia"/>
          <w:szCs w:val="24"/>
          <w:lang w:eastAsia="zh-CN"/>
        </w:rPr>
        <w:t>语</w:t>
      </w:r>
      <w:r w:rsidR="001523B4">
        <w:rPr>
          <w:rFonts w:hint="eastAsia"/>
          <w:szCs w:val="24"/>
          <w:lang w:eastAsia="zh-CN"/>
        </w:rPr>
        <w:t>文</w:t>
      </w:r>
      <w:r w:rsidR="00E65E40" w:rsidRPr="00E65E40">
        <w:rPr>
          <w:rFonts w:hint="eastAsia"/>
          <w:szCs w:val="24"/>
          <w:lang w:eastAsia="zh-CN"/>
        </w:rPr>
        <w:t>启动。</w:t>
      </w:r>
    </w:p>
    <w:p w14:paraId="1F76D183" w14:textId="16DF6DD7" w:rsidR="00B36030" w:rsidRDefault="009C405D" w:rsidP="009C405D">
      <w:pPr>
        <w:pStyle w:val="enumlev1"/>
        <w:rPr>
          <w:szCs w:val="24"/>
          <w:lang w:eastAsia="zh-CN"/>
        </w:rPr>
      </w:pPr>
      <w:r w:rsidRPr="009C405D">
        <w:rPr>
          <w:szCs w:val="24"/>
          <w:lang w:eastAsia="zh-CN"/>
        </w:rPr>
        <w:t>–</w:t>
      </w:r>
      <w:r>
        <w:rPr>
          <w:szCs w:val="24"/>
          <w:lang w:eastAsia="zh-CN"/>
        </w:rPr>
        <w:tab/>
      </w:r>
      <w:r w:rsidR="00E65E40" w:rsidRPr="00E65E40">
        <w:rPr>
          <w:rFonts w:hint="eastAsia"/>
          <w:szCs w:val="24"/>
          <w:lang w:eastAsia="zh-CN"/>
        </w:rPr>
        <w:t>ISC-TF</w:t>
      </w:r>
      <w:r w:rsidR="00E65E40" w:rsidRPr="00E65E40">
        <w:rPr>
          <w:rFonts w:hint="eastAsia"/>
          <w:szCs w:val="24"/>
          <w:lang w:eastAsia="zh-CN"/>
        </w:rPr>
        <w:t>的报告将在</w:t>
      </w:r>
      <w:r w:rsidR="0025213A">
        <w:rPr>
          <w:rFonts w:hint="eastAsia"/>
          <w:szCs w:val="24"/>
          <w:lang w:eastAsia="zh-CN"/>
        </w:rPr>
        <w:t>跨部门</w:t>
      </w:r>
      <w:r w:rsidR="00E65E40" w:rsidRPr="00E65E40">
        <w:rPr>
          <w:rFonts w:hint="eastAsia"/>
          <w:szCs w:val="24"/>
          <w:lang w:eastAsia="zh-CN"/>
        </w:rPr>
        <w:t>协调网页上公布。</w:t>
      </w:r>
    </w:p>
    <w:p w14:paraId="2C5041EB" w14:textId="13124E8D" w:rsidR="00B36030" w:rsidRPr="00B36030" w:rsidRDefault="009C405D" w:rsidP="009C405D">
      <w:pPr>
        <w:pStyle w:val="enumlev1"/>
        <w:rPr>
          <w:szCs w:val="24"/>
          <w:lang w:eastAsia="zh-CN"/>
        </w:rPr>
      </w:pPr>
      <w:r>
        <w:t>–</w:t>
      </w:r>
      <w:r>
        <w:tab/>
      </w:r>
      <w:hyperlink r:id="rId17" w:history="1">
        <w:r w:rsidRPr="00A60B74">
          <w:rPr>
            <w:rStyle w:val="Hyperlink"/>
            <w:szCs w:val="24"/>
          </w:rPr>
          <w:t>ISCG</w:t>
        </w:r>
        <w:r w:rsidRPr="00A60B74">
          <w:rPr>
            <w:rStyle w:val="Hyperlink"/>
            <w:szCs w:val="24"/>
          </w:rPr>
          <w:t>网页</w:t>
        </w:r>
      </w:hyperlink>
      <w:r w:rsidR="00F85F15" w:rsidRPr="00E65E40">
        <w:rPr>
          <w:rFonts w:hint="eastAsia"/>
          <w:szCs w:val="24"/>
          <w:lang w:eastAsia="zh-CN"/>
        </w:rPr>
        <w:t>已经更新，增加了新的联系方式（电子邮件：</w:t>
      </w:r>
      <w:r w:rsidR="00203168">
        <w:fldChar w:fldCharType="begin"/>
      </w:r>
      <w:r w:rsidR="00203168">
        <w:instrText xml:space="preserve"> HYPERLINK "mailto:iscg@itu.int" </w:instrText>
      </w:r>
      <w:r w:rsidR="00203168">
        <w:fldChar w:fldCharType="separate"/>
      </w:r>
      <w:r w:rsidR="00B36030" w:rsidRPr="003316D1">
        <w:rPr>
          <w:rStyle w:val="Hyperlink"/>
          <w:szCs w:val="24"/>
        </w:rPr>
        <w:t>iscg@itu.int</w:t>
      </w:r>
      <w:r w:rsidR="00203168">
        <w:rPr>
          <w:rStyle w:val="Hyperlink"/>
          <w:szCs w:val="24"/>
        </w:rPr>
        <w:fldChar w:fldCharType="end"/>
      </w:r>
      <w:r w:rsidR="00F85F15">
        <w:rPr>
          <w:rFonts w:hint="eastAsia"/>
          <w:szCs w:val="24"/>
          <w:lang w:eastAsia="zh-CN"/>
        </w:rPr>
        <w:t>和</w:t>
      </w:r>
      <w:hyperlink r:id="rId18" w:history="1">
        <w:r w:rsidR="00F85F15">
          <w:rPr>
            <w:rStyle w:val="Hyperlink"/>
            <w:szCs w:val="24"/>
          </w:rPr>
          <w:t>邮件列表</w:t>
        </w:r>
      </w:hyperlink>
      <w:r w:rsidR="00F85F15" w:rsidRPr="00E65E40">
        <w:rPr>
          <w:rFonts w:hint="eastAsia"/>
          <w:szCs w:val="24"/>
          <w:lang w:eastAsia="zh-CN"/>
        </w:rPr>
        <w:t>）；</w:t>
      </w:r>
      <w:r w:rsidR="00E65E40" w:rsidRPr="00E65E40">
        <w:rPr>
          <w:rFonts w:hint="eastAsia"/>
          <w:szCs w:val="24"/>
          <w:lang w:eastAsia="zh-CN"/>
        </w:rPr>
        <w:t>现在可以通过</w:t>
      </w:r>
      <w:r w:rsidR="00E65E40" w:rsidRPr="00E65E40">
        <w:rPr>
          <w:rFonts w:hint="eastAsia"/>
          <w:szCs w:val="24"/>
          <w:lang w:eastAsia="zh-CN"/>
        </w:rPr>
        <w:t>TIES</w:t>
      </w:r>
      <w:r w:rsidR="00E65E40" w:rsidRPr="00E65E40">
        <w:rPr>
          <w:rFonts w:hint="eastAsia"/>
          <w:szCs w:val="24"/>
          <w:lang w:eastAsia="zh-CN"/>
        </w:rPr>
        <w:t>账户获取文件，任何国际电联成员，无论与哪个部门</w:t>
      </w:r>
      <w:r w:rsidR="00F85F15">
        <w:rPr>
          <w:rFonts w:hint="eastAsia"/>
          <w:szCs w:val="24"/>
          <w:lang w:eastAsia="zh-CN"/>
        </w:rPr>
        <w:t>相关</w:t>
      </w:r>
      <w:r w:rsidR="00E65E40" w:rsidRPr="00E65E40">
        <w:rPr>
          <w:rFonts w:hint="eastAsia"/>
          <w:szCs w:val="24"/>
          <w:lang w:eastAsia="zh-CN"/>
        </w:rPr>
        <w:t>联，都可以获取</w:t>
      </w:r>
      <w:r w:rsidR="00F85F15">
        <w:rPr>
          <w:rFonts w:hint="eastAsia"/>
          <w:szCs w:val="24"/>
          <w:lang w:eastAsia="zh-CN"/>
        </w:rPr>
        <w:t>公布</w:t>
      </w:r>
      <w:r w:rsidR="00E65E40" w:rsidRPr="00E65E40">
        <w:rPr>
          <w:rFonts w:hint="eastAsia"/>
          <w:szCs w:val="24"/>
          <w:lang w:eastAsia="zh-CN"/>
        </w:rPr>
        <w:t>在该网页</w:t>
      </w:r>
      <w:r w:rsidR="00F85F15">
        <w:rPr>
          <w:rFonts w:hint="eastAsia"/>
          <w:szCs w:val="24"/>
          <w:lang w:eastAsia="zh-CN"/>
        </w:rPr>
        <w:t>上与</w:t>
      </w:r>
      <w:r w:rsidR="0025213A">
        <w:rPr>
          <w:rFonts w:hint="eastAsia"/>
          <w:szCs w:val="24"/>
          <w:lang w:eastAsia="zh-CN"/>
        </w:rPr>
        <w:t>跨部门</w:t>
      </w:r>
      <w:r w:rsidR="00E65E40" w:rsidRPr="00E65E40">
        <w:rPr>
          <w:rFonts w:hint="eastAsia"/>
          <w:szCs w:val="24"/>
          <w:lang w:eastAsia="zh-CN"/>
        </w:rPr>
        <w:t>协调相关</w:t>
      </w:r>
      <w:r w:rsidR="00F85F15">
        <w:rPr>
          <w:rFonts w:hint="eastAsia"/>
          <w:szCs w:val="24"/>
          <w:lang w:eastAsia="zh-CN"/>
        </w:rPr>
        <w:t>的</w:t>
      </w:r>
      <w:r w:rsidR="00E65E40" w:rsidRPr="00E65E40">
        <w:rPr>
          <w:rFonts w:hint="eastAsia"/>
          <w:szCs w:val="24"/>
          <w:lang w:eastAsia="zh-CN"/>
        </w:rPr>
        <w:t>文件。</w:t>
      </w:r>
    </w:p>
    <w:p w14:paraId="1DFD981C" w14:textId="1661510D" w:rsidR="00B36030" w:rsidRPr="00B36030" w:rsidRDefault="00E65E40" w:rsidP="004F64C9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65E40">
        <w:rPr>
          <w:rFonts w:hint="eastAsia"/>
          <w:szCs w:val="24"/>
          <w:lang w:eastAsia="zh-CN"/>
        </w:rPr>
        <w:t>ISCG</w:t>
      </w:r>
      <w:r w:rsidRPr="00E65E40">
        <w:rPr>
          <w:rFonts w:hint="eastAsia"/>
          <w:szCs w:val="24"/>
          <w:lang w:eastAsia="zh-CN"/>
        </w:rPr>
        <w:t>成员要求将</w:t>
      </w:r>
      <w:r w:rsidRPr="00E65E40">
        <w:rPr>
          <w:rFonts w:hint="eastAsia"/>
          <w:szCs w:val="24"/>
          <w:lang w:eastAsia="zh-CN"/>
        </w:rPr>
        <w:t>ISCG</w:t>
      </w:r>
      <w:r w:rsidRPr="00E65E40">
        <w:rPr>
          <w:rFonts w:hint="eastAsia"/>
          <w:szCs w:val="24"/>
          <w:lang w:eastAsia="zh-CN"/>
        </w:rPr>
        <w:t>网页的链接添加到</w:t>
      </w:r>
      <w:r w:rsidRPr="00E65E40">
        <w:rPr>
          <w:rFonts w:hint="eastAsia"/>
          <w:szCs w:val="24"/>
          <w:lang w:eastAsia="zh-CN"/>
        </w:rPr>
        <w:t>3</w:t>
      </w:r>
      <w:r w:rsidRPr="00E65E40">
        <w:rPr>
          <w:rFonts w:hint="eastAsia"/>
          <w:szCs w:val="24"/>
          <w:lang w:eastAsia="zh-CN"/>
        </w:rPr>
        <w:t>个</w:t>
      </w:r>
      <w:r w:rsidR="00452727">
        <w:rPr>
          <w:rFonts w:hint="eastAsia"/>
          <w:szCs w:val="24"/>
          <w:lang w:eastAsia="zh-CN"/>
        </w:rPr>
        <w:t>顾问</w:t>
      </w:r>
      <w:r w:rsidR="0025213A">
        <w:rPr>
          <w:rFonts w:hint="eastAsia"/>
          <w:szCs w:val="24"/>
          <w:lang w:eastAsia="zh-CN"/>
        </w:rPr>
        <w:t>组</w:t>
      </w:r>
      <w:r w:rsidRPr="00E65E40">
        <w:rPr>
          <w:rFonts w:hint="eastAsia"/>
          <w:szCs w:val="24"/>
          <w:lang w:eastAsia="zh-CN"/>
        </w:rPr>
        <w:t>的网站上，并采取</w:t>
      </w:r>
      <w:r w:rsidR="004F64C9">
        <w:rPr>
          <w:rFonts w:hint="eastAsia"/>
          <w:szCs w:val="24"/>
          <w:lang w:eastAsia="zh-CN"/>
        </w:rPr>
        <w:t>协调一致</w:t>
      </w:r>
      <w:r w:rsidRPr="00E65E40">
        <w:rPr>
          <w:rFonts w:hint="eastAsia"/>
          <w:szCs w:val="24"/>
          <w:lang w:eastAsia="zh-CN"/>
        </w:rPr>
        <w:t>的</w:t>
      </w:r>
      <w:r w:rsidR="004F64C9">
        <w:rPr>
          <w:rFonts w:hint="eastAsia"/>
          <w:szCs w:val="24"/>
          <w:lang w:eastAsia="zh-CN"/>
        </w:rPr>
        <w:t>格</w:t>
      </w:r>
      <w:r w:rsidRPr="00E65E40">
        <w:rPr>
          <w:rFonts w:hint="eastAsia"/>
          <w:szCs w:val="24"/>
          <w:lang w:eastAsia="zh-CN"/>
        </w:rPr>
        <w:t>式。</w:t>
      </w:r>
    </w:p>
    <w:p w14:paraId="5367F57D" w14:textId="058BA5B6" w:rsidR="00B36030" w:rsidRDefault="00E65E40" w:rsidP="004F64C9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65E40">
        <w:rPr>
          <w:rFonts w:hint="eastAsia"/>
          <w:szCs w:val="24"/>
          <w:lang w:eastAsia="zh-CN"/>
        </w:rPr>
        <w:t>ISCG</w:t>
      </w:r>
      <w:r w:rsidRPr="00E65E40">
        <w:rPr>
          <w:rFonts w:hint="eastAsia"/>
          <w:szCs w:val="24"/>
          <w:lang w:eastAsia="zh-CN"/>
        </w:rPr>
        <w:t>秘书处将继续努力改善网站的</w:t>
      </w:r>
      <w:r w:rsidR="00647180">
        <w:rPr>
          <w:rFonts w:hint="eastAsia"/>
          <w:szCs w:val="24"/>
          <w:lang w:eastAsia="zh-CN"/>
        </w:rPr>
        <w:t>体验</w:t>
      </w:r>
      <w:r w:rsidRPr="00E65E40">
        <w:rPr>
          <w:rFonts w:hint="eastAsia"/>
          <w:szCs w:val="24"/>
          <w:lang w:eastAsia="zh-CN"/>
        </w:rPr>
        <w:t>，以及与会议相关的信息，因此请各成员告知他们可能遇到的任何不便。与网站设计和协调</w:t>
      </w:r>
      <w:r w:rsidR="00647180">
        <w:rPr>
          <w:rFonts w:hint="eastAsia"/>
          <w:szCs w:val="24"/>
          <w:lang w:eastAsia="zh-CN"/>
        </w:rPr>
        <w:t>一致</w:t>
      </w:r>
      <w:r w:rsidRPr="00E65E40">
        <w:rPr>
          <w:rFonts w:hint="eastAsia"/>
          <w:szCs w:val="24"/>
          <w:lang w:eastAsia="zh-CN"/>
        </w:rPr>
        <w:t>有关的问题，将在国际电联新的网站项目中加以考虑。</w:t>
      </w:r>
    </w:p>
    <w:p w14:paraId="199D38B5" w14:textId="2E09823B" w:rsidR="000A1354" w:rsidRPr="009C405D" w:rsidRDefault="009C405D" w:rsidP="009C405D">
      <w:pPr>
        <w:pStyle w:val="Heading1"/>
        <w:rPr>
          <w:b w:val="0"/>
          <w:sz w:val="24"/>
          <w:szCs w:val="24"/>
          <w:lang w:eastAsia="zh-CN"/>
        </w:rPr>
      </w:pPr>
      <w:r w:rsidRPr="009C405D">
        <w:rPr>
          <w:rFonts w:hint="eastAsia"/>
          <w:sz w:val="24"/>
          <w:szCs w:val="24"/>
          <w:lang w:eastAsia="zh-CN"/>
        </w:rPr>
        <w:t>2</w:t>
      </w:r>
      <w:r w:rsidRPr="009C405D">
        <w:rPr>
          <w:sz w:val="24"/>
          <w:szCs w:val="24"/>
          <w:lang w:eastAsia="zh-CN"/>
        </w:rPr>
        <w:tab/>
      </w:r>
      <w:r w:rsidR="00E65E40" w:rsidRPr="009C405D">
        <w:rPr>
          <w:rFonts w:hint="eastAsia"/>
          <w:sz w:val="24"/>
          <w:szCs w:val="24"/>
          <w:lang w:eastAsia="zh-CN"/>
        </w:rPr>
        <w:t>在共同关心的问题上加强合作和联合活动</w:t>
      </w:r>
    </w:p>
    <w:p w14:paraId="6526BF19" w14:textId="1AF51CD7" w:rsidR="00646331" w:rsidRDefault="0007367B" w:rsidP="00647180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07367B">
        <w:rPr>
          <w:rFonts w:hint="eastAsia"/>
          <w:szCs w:val="24"/>
          <w:lang w:eastAsia="zh-CN"/>
        </w:rPr>
        <w:t>在</w:t>
      </w:r>
      <w:r w:rsidRPr="0007367B">
        <w:rPr>
          <w:rFonts w:hint="eastAsia"/>
          <w:szCs w:val="24"/>
          <w:lang w:eastAsia="zh-CN"/>
        </w:rPr>
        <w:t>ISCG</w:t>
      </w:r>
      <w:r w:rsidRPr="0007367B">
        <w:rPr>
          <w:rFonts w:hint="eastAsia"/>
          <w:szCs w:val="24"/>
          <w:lang w:eastAsia="zh-CN"/>
        </w:rPr>
        <w:t>的最</w:t>
      </w:r>
      <w:r w:rsidR="00647180">
        <w:rPr>
          <w:rFonts w:hint="eastAsia"/>
          <w:szCs w:val="24"/>
          <w:lang w:eastAsia="zh-CN"/>
        </w:rPr>
        <w:t>近</w:t>
      </w:r>
      <w:r w:rsidRPr="0007367B">
        <w:rPr>
          <w:rFonts w:hint="eastAsia"/>
          <w:szCs w:val="24"/>
          <w:lang w:eastAsia="zh-CN"/>
        </w:rPr>
        <w:t>一次会议上，秘书处提交了一个新的</w:t>
      </w:r>
      <w:r w:rsidR="00647180" w:rsidRPr="00647180">
        <w:rPr>
          <w:rFonts w:hint="eastAsia"/>
          <w:szCs w:val="24"/>
          <w:lang w:eastAsia="zh-CN"/>
        </w:rPr>
        <w:t>对照表</w:t>
      </w:r>
      <w:r w:rsidRPr="0007367B">
        <w:rPr>
          <w:rFonts w:hint="eastAsia"/>
          <w:szCs w:val="24"/>
          <w:lang w:eastAsia="zh-CN"/>
        </w:rPr>
        <w:t>模板，包括</w:t>
      </w:r>
      <w:r w:rsidR="002862D8">
        <w:rPr>
          <w:rFonts w:hint="eastAsia"/>
          <w:szCs w:val="24"/>
          <w:lang w:eastAsia="zh-CN"/>
        </w:rPr>
        <w:t>了从</w:t>
      </w:r>
      <w:r w:rsidR="002862D8" w:rsidRPr="0007367B">
        <w:rPr>
          <w:rFonts w:hint="eastAsia"/>
          <w:szCs w:val="24"/>
          <w:lang w:eastAsia="zh-CN"/>
        </w:rPr>
        <w:t>TSAG</w:t>
      </w:r>
      <w:r w:rsidR="002862D8" w:rsidRPr="0007367B">
        <w:rPr>
          <w:rFonts w:hint="eastAsia"/>
          <w:szCs w:val="24"/>
          <w:lang w:eastAsia="zh-CN"/>
        </w:rPr>
        <w:t>收到</w:t>
      </w:r>
      <w:r w:rsidR="003F4E32">
        <w:rPr>
          <w:rFonts w:hint="eastAsia"/>
          <w:szCs w:val="24"/>
          <w:lang w:eastAsia="zh-CN"/>
        </w:rPr>
        <w:t>的其在</w:t>
      </w:r>
      <w:r w:rsidRPr="0007367B">
        <w:rPr>
          <w:rFonts w:hint="eastAsia"/>
          <w:szCs w:val="24"/>
          <w:lang w:eastAsia="zh-CN"/>
        </w:rPr>
        <w:t>2021</w:t>
      </w:r>
      <w:r w:rsidRPr="0007367B">
        <w:rPr>
          <w:rFonts w:hint="eastAsia"/>
          <w:szCs w:val="24"/>
          <w:lang w:eastAsia="zh-CN"/>
        </w:rPr>
        <w:t>年</w:t>
      </w:r>
      <w:r w:rsidRPr="0007367B">
        <w:rPr>
          <w:rFonts w:hint="eastAsia"/>
          <w:szCs w:val="24"/>
          <w:lang w:eastAsia="zh-CN"/>
        </w:rPr>
        <w:t>1</w:t>
      </w:r>
      <w:r w:rsidRPr="0007367B">
        <w:rPr>
          <w:rFonts w:hint="eastAsia"/>
          <w:szCs w:val="24"/>
          <w:lang w:eastAsia="zh-CN"/>
        </w:rPr>
        <w:t>月举行的</w:t>
      </w:r>
      <w:r w:rsidR="002862D8">
        <w:rPr>
          <w:rFonts w:hint="eastAsia"/>
          <w:szCs w:val="24"/>
          <w:lang w:eastAsia="zh-CN"/>
        </w:rPr>
        <w:t>顾问组</w:t>
      </w:r>
      <w:r w:rsidRPr="0007367B">
        <w:rPr>
          <w:rFonts w:hint="eastAsia"/>
          <w:szCs w:val="24"/>
          <w:lang w:eastAsia="zh-CN"/>
        </w:rPr>
        <w:t>会议上接受的</w:t>
      </w:r>
      <w:r w:rsidRPr="0007367B">
        <w:rPr>
          <w:rFonts w:hint="eastAsia"/>
          <w:szCs w:val="24"/>
          <w:lang w:eastAsia="zh-CN"/>
        </w:rPr>
        <w:t>ITU-T</w:t>
      </w:r>
      <w:r w:rsidRPr="0007367B">
        <w:rPr>
          <w:rFonts w:hint="eastAsia"/>
          <w:szCs w:val="24"/>
          <w:lang w:eastAsia="zh-CN"/>
        </w:rPr>
        <w:t>结构变化</w:t>
      </w:r>
      <w:r w:rsidR="002862D8">
        <w:rPr>
          <w:rFonts w:hint="eastAsia"/>
          <w:szCs w:val="24"/>
          <w:lang w:eastAsia="zh-CN"/>
        </w:rPr>
        <w:t>的信息</w:t>
      </w:r>
      <w:r w:rsidRPr="0007367B">
        <w:rPr>
          <w:rFonts w:hint="eastAsia"/>
          <w:szCs w:val="24"/>
          <w:lang w:eastAsia="zh-CN"/>
        </w:rPr>
        <w:t>。</w:t>
      </w:r>
    </w:p>
    <w:p w14:paraId="3E272DF7" w14:textId="1164AC33" w:rsidR="00646331" w:rsidRDefault="003F4E32" w:rsidP="00647180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07367B">
        <w:rPr>
          <w:rFonts w:hint="eastAsia"/>
          <w:szCs w:val="24"/>
          <w:lang w:eastAsia="zh-CN"/>
        </w:rPr>
        <w:t>该文件</w:t>
      </w:r>
      <w:r>
        <w:rPr>
          <w:rFonts w:hint="eastAsia"/>
          <w:szCs w:val="24"/>
          <w:lang w:eastAsia="zh-CN"/>
        </w:rPr>
        <w:t>载于</w:t>
      </w:r>
      <w:hyperlink r:id="rId19" w:history="1">
        <w:r w:rsidR="001F5242" w:rsidRPr="001F5242">
          <w:rPr>
            <w:rStyle w:val="Hyperlink"/>
            <w:szCs w:val="24"/>
            <w:lang w:eastAsia="zh-CN"/>
          </w:rPr>
          <w:t>ISCG/21-4/05-E</w:t>
        </w:r>
      </w:hyperlink>
      <w:r w:rsidRPr="0007367B">
        <w:rPr>
          <w:rFonts w:hint="eastAsia"/>
          <w:szCs w:val="24"/>
          <w:lang w:eastAsia="zh-CN"/>
        </w:rPr>
        <w:t>。</w:t>
      </w:r>
      <w:r w:rsidRPr="0007367B">
        <w:rPr>
          <w:rFonts w:hint="eastAsia"/>
          <w:szCs w:val="24"/>
          <w:lang w:eastAsia="zh-CN"/>
        </w:rPr>
        <w:t>ISCG</w:t>
      </w:r>
      <w:r w:rsidRPr="0007367B">
        <w:rPr>
          <w:rFonts w:hint="eastAsia"/>
          <w:szCs w:val="24"/>
          <w:lang w:eastAsia="zh-CN"/>
        </w:rPr>
        <w:t>主席要求三个</w:t>
      </w:r>
      <w:r>
        <w:rPr>
          <w:rFonts w:hint="eastAsia"/>
          <w:szCs w:val="24"/>
          <w:lang w:eastAsia="zh-CN"/>
        </w:rPr>
        <w:t>顾问组</w:t>
      </w:r>
      <w:r w:rsidRPr="0007367B">
        <w:rPr>
          <w:rFonts w:hint="eastAsia"/>
          <w:szCs w:val="24"/>
          <w:lang w:eastAsia="zh-CN"/>
        </w:rPr>
        <w:t>对</w:t>
      </w:r>
      <w:r>
        <w:rPr>
          <w:rFonts w:hint="eastAsia"/>
          <w:szCs w:val="24"/>
          <w:lang w:eastAsia="zh-CN"/>
        </w:rPr>
        <w:t>对照</w:t>
      </w:r>
      <w:r w:rsidRPr="0007367B">
        <w:rPr>
          <w:rFonts w:hint="eastAsia"/>
          <w:szCs w:val="24"/>
          <w:lang w:eastAsia="zh-CN"/>
        </w:rPr>
        <w:t>表进行相应的</w:t>
      </w:r>
      <w:r>
        <w:rPr>
          <w:rFonts w:hint="eastAsia"/>
          <w:szCs w:val="24"/>
          <w:lang w:eastAsia="zh-CN"/>
        </w:rPr>
        <w:t>审议</w:t>
      </w:r>
      <w:r w:rsidRPr="0007367B">
        <w:rPr>
          <w:rFonts w:hint="eastAsia"/>
          <w:szCs w:val="24"/>
          <w:lang w:eastAsia="zh-CN"/>
        </w:rPr>
        <w:t>和更新，并将最</w:t>
      </w:r>
      <w:r>
        <w:rPr>
          <w:rFonts w:hint="eastAsia"/>
          <w:szCs w:val="24"/>
          <w:lang w:eastAsia="zh-CN"/>
        </w:rPr>
        <w:t>后</w:t>
      </w:r>
      <w:r w:rsidRPr="0007367B">
        <w:rPr>
          <w:rFonts w:hint="eastAsia"/>
          <w:szCs w:val="24"/>
          <w:lang w:eastAsia="zh-CN"/>
        </w:rPr>
        <w:t>文件提交给</w:t>
      </w:r>
      <w:r w:rsidRPr="0007367B">
        <w:rPr>
          <w:rFonts w:hint="eastAsia"/>
          <w:szCs w:val="24"/>
          <w:lang w:eastAsia="zh-CN"/>
        </w:rPr>
        <w:t>ISCG</w:t>
      </w:r>
      <w:r w:rsidRPr="0007367B">
        <w:rPr>
          <w:rFonts w:hint="eastAsia"/>
          <w:szCs w:val="24"/>
          <w:lang w:eastAsia="zh-CN"/>
        </w:rPr>
        <w:t>秘书处（</w:t>
      </w:r>
      <w:r w:rsidR="00B628D7">
        <w:fldChar w:fldCharType="begin"/>
      </w:r>
      <w:r w:rsidR="00B628D7">
        <w:rPr>
          <w:lang w:eastAsia="zh-CN"/>
        </w:rPr>
        <w:instrText xml:space="preserve"> HYPERLINK "mailto:iscg@itu.int" </w:instrText>
      </w:r>
      <w:r w:rsidR="00B628D7">
        <w:fldChar w:fldCharType="separate"/>
      </w:r>
      <w:r w:rsidR="00CF62F6" w:rsidRPr="000E1EF1">
        <w:rPr>
          <w:rStyle w:val="Hyperlink"/>
          <w:szCs w:val="24"/>
          <w:lang w:eastAsia="zh-CN"/>
        </w:rPr>
        <w:t>iscg@itu.int</w:t>
      </w:r>
      <w:r w:rsidR="00B628D7">
        <w:rPr>
          <w:rStyle w:val="Hyperlink"/>
          <w:szCs w:val="24"/>
        </w:rPr>
        <w:fldChar w:fldCharType="end"/>
      </w:r>
      <w:r w:rsidR="0007367B" w:rsidRPr="0007367B">
        <w:rPr>
          <w:rFonts w:hint="eastAsia"/>
          <w:szCs w:val="24"/>
          <w:lang w:eastAsia="zh-CN"/>
        </w:rPr>
        <w:t>），以便在</w:t>
      </w:r>
      <w:r w:rsidR="0007367B" w:rsidRPr="0007367B">
        <w:rPr>
          <w:rFonts w:hint="eastAsia"/>
          <w:szCs w:val="24"/>
          <w:lang w:eastAsia="zh-CN"/>
        </w:rPr>
        <w:t>ISCG</w:t>
      </w:r>
      <w:r w:rsidR="0007367B" w:rsidRPr="0007367B">
        <w:rPr>
          <w:rFonts w:hint="eastAsia"/>
          <w:szCs w:val="24"/>
          <w:lang w:eastAsia="zh-CN"/>
        </w:rPr>
        <w:t>网站上公布。</w:t>
      </w:r>
    </w:p>
    <w:p w14:paraId="3E1821AA" w14:textId="21307707" w:rsidR="00C330EF" w:rsidRDefault="003F4E32" w:rsidP="00647180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lang w:eastAsia="zh-CN"/>
        </w:rPr>
      </w:pPr>
      <w:r w:rsidRPr="0007367B">
        <w:rPr>
          <w:rFonts w:hint="eastAsia"/>
          <w:lang w:eastAsia="zh-CN"/>
        </w:rPr>
        <w:t>ISCG</w:t>
      </w:r>
      <w:r w:rsidRPr="0007367B">
        <w:rPr>
          <w:rFonts w:hint="eastAsia"/>
          <w:lang w:eastAsia="zh-CN"/>
        </w:rPr>
        <w:t>主席还希望提请</w:t>
      </w:r>
      <w:r w:rsidRPr="0007367B">
        <w:rPr>
          <w:rFonts w:hint="eastAsia"/>
          <w:lang w:eastAsia="zh-CN"/>
        </w:rPr>
        <w:t>TDAG</w:t>
      </w:r>
      <w:r w:rsidRPr="0007367B">
        <w:rPr>
          <w:rFonts w:hint="eastAsia"/>
          <w:lang w:eastAsia="zh-CN"/>
        </w:rPr>
        <w:t>注意，考虑到世界电信发展大会（</w:t>
      </w:r>
      <w:r w:rsidRPr="0007367B">
        <w:rPr>
          <w:rFonts w:hint="eastAsia"/>
          <w:lang w:eastAsia="zh-CN"/>
        </w:rPr>
        <w:t>WTDC-21</w:t>
      </w:r>
      <w:r w:rsidRPr="0007367B">
        <w:rPr>
          <w:rFonts w:hint="eastAsia"/>
          <w:lang w:eastAsia="zh-CN"/>
        </w:rPr>
        <w:t>）的筹备工作，可以对决议</w:t>
      </w:r>
      <w:r>
        <w:rPr>
          <w:rFonts w:hint="eastAsia"/>
          <w:lang w:eastAsia="zh-CN"/>
        </w:rPr>
        <w:t>对照</w:t>
      </w:r>
      <w:r w:rsidRPr="0007367B">
        <w:rPr>
          <w:rFonts w:hint="eastAsia"/>
          <w:lang w:eastAsia="zh-CN"/>
        </w:rPr>
        <w:t>表（</w:t>
      </w:r>
      <w:hyperlink r:id="rId20">
        <w:r>
          <w:rPr>
            <w:rStyle w:val="Hyperlink"/>
            <w:lang w:eastAsia="zh-CN"/>
          </w:rPr>
          <w:t>见此</w:t>
        </w:r>
      </w:hyperlink>
      <w:r w:rsidR="0007367B" w:rsidRPr="0007367B">
        <w:rPr>
          <w:rFonts w:hint="eastAsia"/>
          <w:lang w:eastAsia="zh-CN"/>
        </w:rPr>
        <w:t>）进行审</w:t>
      </w:r>
      <w:r w:rsidR="00476673">
        <w:rPr>
          <w:rFonts w:hint="eastAsia"/>
          <w:lang w:eastAsia="zh-CN"/>
        </w:rPr>
        <w:t>议</w:t>
      </w:r>
      <w:r w:rsidR="0007367B" w:rsidRPr="0007367B">
        <w:rPr>
          <w:rFonts w:hint="eastAsia"/>
          <w:lang w:eastAsia="zh-CN"/>
        </w:rPr>
        <w:t>和更新。</w:t>
      </w:r>
    </w:p>
    <w:p w14:paraId="639B6332" w14:textId="45BA771D" w:rsidR="00646331" w:rsidRDefault="0007367B" w:rsidP="00476673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07367B">
        <w:rPr>
          <w:rFonts w:hint="eastAsia"/>
          <w:szCs w:val="24"/>
          <w:lang w:eastAsia="zh-CN"/>
        </w:rPr>
        <w:t>ISCG</w:t>
      </w:r>
      <w:r w:rsidRPr="0007367B">
        <w:rPr>
          <w:rFonts w:hint="eastAsia"/>
          <w:szCs w:val="24"/>
          <w:lang w:eastAsia="zh-CN"/>
        </w:rPr>
        <w:t>秘书处还提交了一份关于试点主题</w:t>
      </w:r>
      <w:r w:rsidR="00476673">
        <w:rPr>
          <w:rFonts w:hint="eastAsia"/>
          <w:szCs w:val="24"/>
          <w:lang w:eastAsia="zh-CN"/>
        </w:rPr>
        <w:t>“</w:t>
      </w:r>
      <w:r w:rsidRPr="0007367B">
        <w:rPr>
          <w:rFonts w:hint="eastAsia"/>
          <w:szCs w:val="24"/>
          <w:lang w:eastAsia="zh-CN"/>
        </w:rPr>
        <w:t>气候变化</w:t>
      </w:r>
      <w:r w:rsidR="00476673">
        <w:rPr>
          <w:rFonts w:hint="eastAsia"/>
          <w:szCs w:val="24"/>
          <w:lang w:eastAsia="zh-CN"/>
        </w:rPr>
        <w:t>”</w:t>
      </w:r>
      <w:r w:rsidRPr="0007367B">
        <w:rPr>
          <w:rFonts w:hint="eastAsia"/>
          <w:szCs w:val="24"/>
          <w:lang w:eastAsia="zh-CN"/>
        </w:rPr>
        <w:t>的进展报告，可</w:t>
      </w:r>
      <w:r w:rsidR="00476673">
        <w:rPr>
          <w:rFonts w:hint="eastAsia"/>
          <w:szCs w:val="24"/>
          <w:lang w:eastAsia="zh-CN"/>
        </w:rPr>
        <w:t>见</w:t>
      </w:r>
      <w:hyperlink r:id="rId21" w:history="1">
        <w:r w:rsidR="00646331" w:rsidRPr="00646331">
          <w:rPr>
            <w:rStyle w:val="Hyperlink"/>
            <w:szCs w:val="24"/>
            <w:lang w:eastAsia="zh-CN"/>
          </w:rPr>
          <w:t>ISCG/21-1/05</w:t>
        </w:r>
      </w:hyperlink>
      <w:r w:rsidR="00476673" w:rsidRPr="0007367B">
        <w:rPr>
          <w:rFonts w:hint="eastAsia"/>
          <w:szCs w:val="24"/>
          <w:lang w:eastAsia="zh-CN"/>
        </w:rPr>
        <w:t>号文件。</w:t>
      </w:r>
    </w:p>
    <w:p w14:paraId="3D9DA438" w14:textId="21ABF150" w:rsidR="00646331" w:rsidRDefault="00476673" w:rsidP="00476673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07367B">
        <w:rPr>
          <w:rFonts w:hint="eastAsia"/>
          <w:szCs w:val="24"/>
          <w:lang w:eastAsia="zh-CN"/>
        </w:rPr>
        <w:t>TSAG</w:t>
      </w:r>
      <w:r w:rsidRPr="0007367B">
        <w:rPr>
          <w:rFonts w:hint="eastAsia"/>
          <w:szCs w:val="24"/>
          <w:lang w:eastAsia="zh-CN"/>
        </w:rPr>
        <w:t>提交了一份关于</w:t>
      </w:r>
      <w:r>
        <w:rPr>
          <w:rFonts w:hint="eastAsia"/>
          <w:szCs w:val="24"/>
          <w:lang w:eastAsia="zh-CN"/>
        </w:rPr>
        <w:t>“</w:t>
      </w:r>
      <w:r w:rsidRPr="0007367B">
        <w:rPr>
          <w:rFonts w:hint="eastAsia"/>
          <w:szCs w:val="24"/>
          <w:lang w:eastAsia="zh-CN"/>
        </w:rPr>
        <w:t>增强国际电联</w:t>
      </w:r>
      <w:r>
        <w:rPr>
          <w:rFonts w:hint="eastAsia"/>
          <w:szCs w:val="24"/>
          <w:lang w:eastAsia="zh-CN"/>
        </w:rPr>
        <w:t>内</w:t>
      </w:r>
      <w:r w:rsidRPr="0007367B">
        <w:rPr>
          <w:rFonts w:hint="eastAsia"/>
          <w:szCs w:val="24"/>
          <w:lang w:eastAsia="zh-CN"/>
        </w:rPr>
        <w:t>的无障碍</w:t>
      </w:r>
      <w:r>
        <w:rPr>
          <w:rFonts w:hint="eastAsia"/>
          <w:szCs w:val="24"/>
          <w:lang w:eastAsia="zh-CN"/>
        </w:rPr>
        <w:t>获取</w:t>
      </w:r>
      <w:r w:rsidR="006B31CD">
        <w:rPr>
          <w:rFonts w:hint="eastAsia"/>
          <w:szCs w:val="24"/>
          <w:lang w:eastAsia="zh-CN"/>
        </w:rPr>
        <w:t>认</w:t>
      </w:r>
      <w:r w:rsidRPr="0007367B">
        <w:rPr>
          <w:rFonts w:hint="eastAsia"/>
          <w:szCs w:val="24"/>
          <w:lang w:eastAsia="zh-CN"/>
        </w:rPr>
        <w:t>识</w:t>
      </w:r>
      <w:r>
        <w:rPr>
          <w:rFonts w:hint="eastAsia"/>
          <w:szCs w:val="24"/>
          <w:lang w:eastAsia="zh-CN"/>
        </w:rPr>
        <w:t>”</w:t>
      </w:r>
      <w:r w:rsidRPr="0007367B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文稿</w:t>
      </w:r>
      <w:r w:rsidRPr="0007367B">
        <w:rPr>
          <w:rFonts w:hint="eastAsia"/>
          <w:szCs w:val="24"/>
          <w:lang w:eastAsia="zh-CN"/>
        </w:rPr>
        <w:t>，建议根据国际电联的经验进行无障碍</w:t>
      </w:r>
      <w:r>
        <w:rPr>
          <w:rFonts w:hint="eastAsia"/>
          <w:szCs w:val="24"/>
          <w:lang w:eastAsia="zh-CN"/>
        </w:rPr>
        <w:t>获取</w:t>
      </w:r>
      <w:r w:rsidRPr="0007367B">
        <w:rPr>
          <w:rFonts w:hint="eastAsia"/>
          <w:szCs w:val="24"/>
          <w:lang w:eastAsia="zh-CN"/>
        </w:rPr>
        <w:t>试点（见</w:t>
      </w:r>
      <w:r w:rsidR="00203168">
        <w:fldChar w:fldCharType="begin"/>
      </w:r>
      <w:r w:rsidR="00203168">
        <w:rPr>
          <w:lang w:eastAsia="zh-CN"/>
        </w:rPr>
        <w:instrText xml:space="preserve"> HYPERLINK "file://C:\\Users\\sukenik\\AppData\\Local\\Microsoft\\Windows\\INetCache\\Content.Outlook\\VM18KGGB\\A%20contribution%20from%20TSAG%20was%20presented%20on%20" </w:instrText>
      </w:r>
      <w:r w:rsidR="00203168">
        <w:fldChar w:fldCharType="separate"/>
      </w:r>
      <w:r w:rsidR="00646331" w:rsidRPr="00646331">
        <w:rPr>
          <w:rStyle w:val="Hyperlink"/>
          <w:szCs w:val="24"/>
          <w:lang w:eastAsia="zh-CN"/>
        </w:rPr>
        <w:t>TSAG-TD1014</w:t>
      </w:r>
      <w:r w:rsidR="00203168">
        <w:rPr>
          <w:rStyle w:val="Hyperlink"/>
          <w:szCs w:val="24"/>
        </w:rPr>
        <w:fldChar w:fldCharType="end"/>
      </w:r>
      <w:r w:rsidRPr="0007367B">
        <w:rPr>
          <w:rFonts w:hint="eastAsia"/>
          <w:szCs w:val="24"/>
          <w:lang w:eastAsia="zh-CN"/>
        </w:rPr>
        <w:t>）</w:t>
      </w:r>
      <w:r w:rsidR="0007367B" w:rsidRPr="0007367B">
        <w:rPr>
          <w:rFonts w:hint="eastAsia"/>
          <w:szCs w:val="24"/>
          <w:lang w:eastAsia="zh-CN"/>
        </w:rPr>
        <w:t>。这一主题将在</w:t>
      </w:r>
      <w:r w:rsidR="0007367B" w:rsidRPr="0007367B">
        <w:rPr>
          <w:rFonts w:hint="eastAsia"/>
          <w:szCs w:val="24"/>
          <w:lang w:eastAsia="zh-CN"/>
        </w:rPr>
        <w:t>ISC-TF</w:t>
      </w:r>
      <w:r w:rsidR="0007367B" w:rsidRPr="0007367B">
        <w:rPr>
          <w:rFonts w:hint="eastAsia"/>
          <w:szCs w:val="24"/>
          <w:lang w:eastAsia="zh-CN"/>
        </w:rPr>
        <w:t>内</w:t>
      </w:r>
      <w:r>
        <w:rPr>
          <w:rFonts w:hint="eastAsia"/>
          <w:szCs w:val="24"/>
          <w:lang w:eastAsia="zh-CN"/>
        </w:rPr>
        <w:t>进行</w:t>
      </w:r>
      <w:r w:rsidR="00940C7A">
        <w:rPr>
          <w:rFonts w:hint="eastAsia"/>
          <w:szCs w:val="24"/>
          <w:lang w:eastAsia="zh-CN"/>
        </w:rPr>
        <w:t>处理</w:t>
      </w:r>
      <w:r w:rsidR="0007367B" w:rsidRPr="0007367B">
        <w:rPr>
          <w:rFonts w:hint="eastAsia"/>
          <w:szCs w:val="24"/>
          <w:lang w:eastAsia="zh-CN"/>
        </w:rPr>
        <w:t>和协调，因此</w:t>
      </w:r>
      <w:r w:rsidR="0007367B" w:rsidRPr="0007367B">
        <w:rPr>
          <w:rFonts w:hint="eastAsia"/>
          <w:szCs w:val="24"/>
          <w:lang w:eastAsia="zh-CN"/>
        </w:rPr>
        <w:t>ISCG</w:t>
      </w:r>
      <w:r w:rsidR="0007367B" w:rsidRPr="0007367B">
        <w:rPr>
          <w:rFonts w:hint="eastAsia"/>
          <w:szCs w:val="24"/>
          <w:lang w:eastAsia="zh-CN"/>
        </w:rPr>
        <w:t>成员也同意将</w:t>
      </w:r>
      <w:r>
        <w:rPr>
          <w:rFonts w:hint="eastAsia"/>
          <w:szCs w:val="24"/>
          <w:lang w:eastAsia="zh-CN"/>
        </w:rPr>
        <w:t>“</w:t>
      </w:r>
      <w:r w:rsidR="0007367B" w:rsidRPr="0007367B">
        <w:rPr>
          <w:rFonts w:hint="eastAsia"/>
          <w:szCs w:val="24"/>
          <w:lang w:eastAsia="zh-CN"/>
        </w:rPr>
        <w:t>无障碍</w:t>
      </w:r>
      <w:r>
        <w:rPr>
          <w:rFonts w:hint="eastAsia"/>
          <w:szCs w:val="24"/>
          <w:lang w:eastAsia="zh-CN"/>
        </w:rPr>
        <w:t>获取”</w:t>
      </w:r>
      <w:r w:rsidR="0007367B" w:rsidRPr="0007367B">
        <w:rPr>
          <w:rFonts w:hint="eastAsia"/>
          <w:szCs w:val="24"/>
          <w:lang w:eastAsia="zh-CN"/>
        </w:rPr>
        <w:t>作为一个具体的主题，并要求</w:t>
      </w:r>
      <w:r>
        <w:rPr>
          <w:rFonts w:hint="eastAsia"/>
          <w:szCs w:val="24"/>
          <w:lang w:eastAsia="zh-CN"/>
        </w:rPr>
        <w:t>任务组在</w:t>
      </w:r>
      <w:r w:rsidR="0007367B" w:rsidRPr="0007367B">
        <w:rPr>
          <w:rFonts w:hint="eastAsia"/>
          <w:szCs w:val="24"/>
          <w:lang w:eastAsia="zh-CN"/>
        </w:rPr>
        <w:t>2021</w:t>
      </w:r>
      <w:r w:rsidR="0007367B" w:rsidRPr="0007367B">
        <w:rPr>
          <w:rFonts w:hint="eastAsia"/>
          <w:szCs w:val="24"/>
          <w:lang w:eastAsia="zh-CN"/>
        </w:rPr>
        <w:t>年</w:t>
      </w:r>
      <w:r w:rsidR="0007367B" w:rsidRPr="0007367B">
        <w:rPr>
          <w:rFonts w:hint="eastAsia"/>
          <w:szCs w:val="24"/>
          <w:lang w:eastAsia="zh-CN"/>
        </w:rPr>
        <w:t>9</w:t>
      </w:r>
      <w:r w:rsidR="0007367B" w:rsidRPr="0007367B">
        <w:rPr>
          <w:rFonts w:hint="eastAsia"/>
          <w:szCs w:val="24"/>
          <w:lang w:eastAsia="zh-CN"/>
        </w:rPr>
        <w:t>月举行的下一次会议</w:t>
      </w:r>
      <w:r>
        <w:rPr>
          <w:rFonts w:hint="eastAsia"/>
          <w:szCs w:val="24"/>
          <w:lang w:eastAsia="zh-CN"/>
        </w:rPr>
        <w:t>上</w:t>
      </w:r>
      <w:r w:rsidR="0007367B" w:rsidRPr="0007367B">
        <w:rPr>
          <w:rFonts w:hint="eastAsia"/>
          <w:szCs w:val="24"/>
          <w:lang w:eastAsia="zh-CN"/>
        </w:rPr>
        <w:t>提交一份报告。</w:t>
      </w:r>
    </w:p>
    <w:p w14:paraId="5624AF83" w14:textId="2F7D0384" w:rsidR="00CF62F6" w:rsidRPr="00CF62F6" w:rsidRDefault="00940C7A" w:rsidP="00940C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07367B">
        <w:rPr>
          <w:rFonts w:hint="eastAsia"/>
          <w:szCs w:val="24"/>
          <w:lang w:eastAsia="zh-CN"/>
        </w:rPr>
        <w:t>俄罗斯联邦提交了一份关于</w:t>
      </w:r>
      <w:r>
        <w:rPr>
          <w:rFonts w:hint="eastAsia"/>
          <w:szCs w:val="24"/>
          <w:lang w:eastAsia="zh-CN"/>
        </w:rPr>
        <w:t>“</w:t>
      </w:r>
      <w:r w:rsidRPr="0007367B">
        <w:rPr>
          <w:rFonts w:hint="eastAsia"/>
          <w:szCs w:val="24"/>
          <w:lang w:eastAsia="zh-CN"/>
        </w:rPr>
        <w:t>国际电联网站</w:t>
      </w:r>
      <w:r>
        <w:rPr>
          <w:rFonts w:hint="eastAsia"/>
          <w:szCs w:val="24"/>
          <w:lang w:eastAsia="zh-CN"/>
        </w:rPr>
        <w:t>协调一致”</w:t>
      </w:r>
      <w:r w:rsidRPr="0007367B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文稿</w:t>
      </w:r>
      <w:r w:rsidRPr="0007367B">
        <w:rPr>
          <w:rFonts w:hint="eastAsia"/>
          <w:szCs w:val="24"/>
          <w:lang w:eastAsia="zh-CN"/>
        </w:rPr>
        <w:t>（见</w:t>
      </w:r>
      <w:r w:rsidR="00203168">
        <w:fldChar w:fldCharType="begin"/>
      </w:r>
      <w:r w:rsidR="00203168">
        <w:rPr>
          <w:lang w:eastAsia="zh-CN"/>
        </w:rPr>
        <w:instrText xml:space="preserve"> HYPERLINK "https://www.itu.int/en/general-secretariat/ties/ISCGDocumentLibrary/1st%20Meeting%202021/ISCG-21-1-06-Harmonisation%20of%20the%20ITU%20websites%20(Russia%20Fed.).docx" </w:instrText>
      </w:r>
      <w:r w:rsidR="00203168">
        <w:fldChar w:fldCharType="separate"/>
      </w:r>
      <w:r w:rsidR="00CF62F6" w:rsidRPr="00CF62F6">
        <w:rPr>
          <w:rStyle w:val="Hyperlink"/>
          <w:szCs w:val="24"/>
          <w:lang w:eastAsia="zh-CN"/>
        </w:rPr>
        <w:t>ISCG/21-1/06</w:t>
      </w:r>
      <w:r w:rsidR="00203168">
        <w:rPr>
          <w:rStyle w:val="Hyperlink"/>
          <w:szCs w:val="24"/>
        </w:rPr>
        <w:fldChar w:fldCharType="end"/>
      </w:r>
      <w:r w:rsidR="0007367B" w:rsidRPr="0007367B">
        <w:rPr>
          <w:rFonts w:hint="eastAsia"/>
          <w:szCs w:val="24"/>
          <w:lang w:eastAsia="zh-CN"/>
        </w:rPr>
        <w:t>），解释了在访问</w:t>
      </w:r>
      <w:r w:rsidR="00816A63">
        <w:rPr>
          <w:rFonts w:hint="eastAsia"/>
          <w:szCs w:val="24"/>
          <w:lang w:eastAsia="zh-CN"/>
        </w:rPr>
        <w:t>电</w:t>
      </w:r>
      <w:proofErr w:type="gramStart"/>
      <w:r w:rsidR="00816A63">
        <w:rPr>
          <w:rFonts w:hint="eastAsia"/>
          <w:szCs w:val="24"/>
          <w:lang w:eastAsia="zh-CN"/>
        </w:rPr>
        <w:t>联</w:t>
      </w:r>
      <w:r w:rsidR="0007367B" w:rsidRPr="0007367B">
        <w:rPr>
          <w:rFonts w:hint="eastAsia"/>
          <w:szCs w:val="24"/>
          <w:lang w:eastAsia="zh-CN"/>
        </w:rPr>
        <w:t>网站</w:t>
      </w:r>
      <w:proofErr w:type="gramEnd"/>
      <w:r w:rsidR="0007367B" w:rsidRPr="0007367B">
        <w:rPr>
          <w:rFonts w:hint="eastAsia"/>
          <w:szCs w:val="24"/>
          <w:lang w:eastAsia="zh-CN"/>
        </w:rPr>
        <w:t>时发现的一些挑战，以及加快</w:t>
      </w:r>
      <w:r w:rsidR="00816A63">
        <w:rPr>
          <w:rFonts w:hint="eastAsia"/>
          <w:szCs w:val="24"/>
          <w:lang w:eastAsia="zh-CN"/>
        </w:rPr>
        <w:t>协调一致三</w:t>
      </w:r>
      <w:r w:rsidR="0007367B" w:rsidRPr="0007367B">
        <w:rPr>
          <w:rFonts w:hint="eastAsia"/>
          <w:szCs w:val="24"/>
          <w:lang w:eastAsia="zh-CN"/>
        </w:rPr>
        <w:t>个部门网站</w:t>
      </w:r>
      <w:r w:rsidR="00816A63">
        <w:rPr>
          <w:rFonts w:hint="eastAsia"/>
          <w:szCs w:val="24"/>
          <w:lang w:eastAsia="zh-CN"/>
        </w:rPr>
        <w:t>的</w:t>
      </w:r>
      <w:r w:rsidR="0007367B" w:rsidRPr="0007367B">
        <w:rPr>
          <w:rFonts w:hint="eastAsia"/>
          <w:szCs w:val="24"/>
          <w:lang w:eastAsia="zh-CN"/>
        </w:rPr>
        <w:t>进程的必要性。</w:t>
      </w:r>
    </w:p>
    <w:p w14:paraId="586E098F" w14:textId="40C89EC7" w:rsidR="00CF62F6" w:rsidRPr="00CF62F6" w:rsidRDefault="00604177" w:rsidP="00940C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604177">
        <w:rPr>
          <w:rFonts w:hint="eastAsia"/>
          <w:szCs w:val="24"/>
          <w:lang w:eastAsia="zh-CN"/>
        </w:rPr>
        <w:lastRenderedPageBreak/>
        <w:t>战略宣传处处长</w:t>
      </w:r>
      <w:r w:rsidR="0007367B" w:rsidRPr="0007367B">
        <w:rPr>
          <w:rFonts w:hint="eastAsia"/>
          <w:szCs w:val="24"/>
          <w:lang w:eastAsia="zh-CN"/>
        </w:rPr>
        <w:t>出席了</w:t>
      </w:r>
      <w:r w:rsidR="0007367B" w:rsidRPr="0007367B">
        <w:rPr>
          <w:rFonts w:hint="eastAsia"/>
          <w:szCs w:val="24"/>
          <w:lang w:eastAsia="zh-CN"/>
        </w:rPr>
        <w:t>ISCG</w:t>
      </w:r>
      <w:r w:rsidR="0007367B" w:rsidRPr="0007367B">
        <w:rPr>
          <w:rFonts w:hint="eastAsia"/>
          <w:szCs w:val="24"/>
          <w:lang w:eastAsia="zh-CN"/>
        </w:rPr>
        <w:t>会议，因此对这一</w:t>
      </w:r>
      <w:r>
        <w:rPr>
          <w:rFonts w:hint="eastAsia"/>
          <w:szCs w:val="24"/>
          <w:lang w:eastAsia="zh-CN"/>
        </w:rPr>
        <w:t>文稿</w:t>
      </w:r>
      <w:r w:rsidR="0007367B" w:rsidRPr="0007367B">
        <w:rPr>
          <w:rFonts w:hint="eastAsia"/>
          <w:szCs w:val="24"/>
          <w:lang w:eastAsia="zh-CN"/>
        </w:rPr>
        <w:t>表示欢迎，并解释了正在进行的改进网站的工作以及将提交给</w:t>
      </w:r>
      <w:r w:rsidR="009C7E30" w:rsidRPr="009C7E30">
        <w:rPr>
          <w:rFonts w:hint="eastAsia"/>
          <w:szCs w:val="24"/>
          <w:lang w:eastAsia="zh-CN"/>
        </w:rPr>
        <w:t>理事会</w:t>
      </w:r>
      <w:r w:rsidR="009C7E30" w:rsidRPr="009C7E30">
        <w:rPr>
          <w:rFonts w:hint="eastAsia"/>
          <w:szCs w:val="24"/>
          <w:lang w:eastAsia="zh-CN"/>
        </w:rPr>
        <w:t>2021</w:t>
      </w:r>
      <w:r w:rsidR="009C7E30" w:rsidRPr="009C7E30">
        <w:rPr>
          <w:rFonts w:hint="eastAsia"/>
          <w:szCs w:val="24"/>
          <w:lang w:eastAsia="zh-CN"/>
        </w:rPr>
        <w:t>年会议</w:t>
      </w:r>
      <w:r w:rsidR="0007367B" w:rsidRPr="0007367B">
        <w:rPr>
          <w:rFonts w:hint="eastAsia"/>
          <w:szCs w:val="24"/>
          <w:lang w:eastAsia="zh-CN"/>
        </w:rPr>
        <w:t>的</w:t>
      </w:r>
      <w:r w:rsidR="00557669">
        <w:rPr>
          <w:rFonts w:hint="eastAsia"/>
          <w:szCs w:val="24"/>
          <w:lang w:eastAsia="zh-CN"/>
        </w:rPr>
        <w:t>国际电联</w:t>
      </w:r>
      <w:r w:rsidR="0007367B" w:rsidRPr="0007367B">
        <w:rPr>
          <w:rFonts w:hint="eastAsia"/>
          <w:szCs w:val="24"/>
          <w:lang w:eastAsia="zh-CN"/>
        </w:rPr>
        <w:t>新网站项目（见</w:t>
      </w:r>
      <w:r w:rsidR="00203168">
        <w:fldChar w:fldCharType="begin"/>
      </w:r>
      <w:r w:rsidR="00203168">
        <w:rPr>
          <w:lang w:eastAsia="zh-CN"/>
        </w:rPr>
        <w:instrText xml:space="preserve"> HYPERLINK "https://www.itu.int/en/general-secretariat/ties/ISCGDocumentLibrary/1st%20Meeting%202021/ISCG-21-1-INF%201-Progress%20report%20on%20the%20New%20ITU%20Website.docx" </w:instrText>
      </w:r>
      <w:r w:rsidR="00203168">
        <w:fldChar w:fldCharType="separate"/>
      </w:r>
      <w:r w:rsidR="00CF62F6" w:rsidRPr="00CF62F6">
        <w:rPr>
          <w:rStyle w:val="Hyperlink"/>
          <w:szCs w:val="24"/>
          <w:lang w:eastAsia="zh-CN"/>
        </w:rPr>
        <w:t>ISCG/21-1/INF/1-E</w:t>
      </w:r>
      <w:r w:rsidR="00203168">
        <w:rPr>
          <w:rStyle w:val="Hyperlink"/>
          <w:szCs w:val="24"/>
        </w:rPr>
        <w:fldChar w:fldCharType="end"/>
      </w:r>
      <w:r w:rsidR="009C7E30">
        <w:rPr>
          <w:rFonts w:hint="eastAsia"/>
          <w:szCs w:val="24"/>
          <w:lang w:eastAsia="zh-CN"/>
        </w:rPr>
        <w:t>）。</w:t>
      </w:r>
    </w:p>
    <w:p w14:paraId="1C9AE3A3" w14:textId="070F4208" w:rsidR="00CF62F6" w:rsidRDefault="008F4070" w:rsidP="00940C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除了</w:t>
      </w:r>
      <w:r w:rsidR="0007367B" w:rsidRPr="0007367B">
        <w:rPr>
          <w:rFonts w:hint="eastAsia"/>
          <w:szCs w:val="24"/>
          <w:lang w:eastAsia="zh-CN"/>
        </w:rPr>
        <w:t>其他主题</w:t>
      </w:r>
      <w:r>
        <w:rPr>
          <w:rFonts w:hint="eastAsia"/>
          <w:szCs w:val="24"/>
          <w:lang w:eastAsia="zh-CN"/>
        </w:rPr>
        <w:t>之外</w:t>
      </w:r>
      <w:r w:rsidR="0007367B" w:rsidRPr="0007367B">
        <w:rPr>
          <w:rFonts w:hint="eastAsia"/>
          <w:szCs w:val="24"/>
          <w:lang w:eastAsia="zh-CN"/>
        </w:rPr>
        <w:t>，</w:t>
      </w:r>
      <w:r w:rsidR="0007367B" w:rsidRPr="0007367B">
        <w:rPr>
          <w:rFonts w:hint="eastAsia"/>
          <w:szCs w:val="24"/>
          <w:lang w:eastAsia="zh-CN"/>
        </w:rPr>
        <w:t>ISCG</w:t>
      </w:r>
      <w:r w:rsidR="0007367B" w:rsidRPr="0007367B">
        <w:rPr>
          <w:rFonts w:hint="eastAsia"/>
          <w:szCs w:val="24"/>
          <w:lang w:eastAsia="zh-CN"/>
        </w:rPr>
        <w:t>成员还</w:t>
      </w:r>
      <w:r>
        <w:rPr>
          <w:rFonts w:hint="eastAsia"/>
          <w:szCs w:val="24"/>
          <w:lang w:eastAsia="zh-CN"/>
        </w:rPr>
        <w:t>对</w:t>
      </w:r>
      <w:r w:rsidR="0007367B" w:rsidRPr="0007367B">
        <w:rPr>
          <w:rFonts w:hint="eastAsia"/>
          <w:szCs w:val="24"/>
          <w:lang w:eastAsia="zh-CN"/>
        </w:rPr>
        <w:t>协调远程参与程序的必要性</w:t>
      </w:r>
      <w:r>
        <w:rPr>
          <w:rFonts w:hint="eastAsia"/>
          <w:szCs w:val="24"/>
          <w:lang w:eastAsia="zh-CN"/>
        </w:rPr>
        <w:t>进行了评论</w:t>
      </w:r>
      <w:r w:rsidR="0007367B" w:rsidRPr="0007367B">
        <w:rPr>
          <w:rFonts w:hint="eastAsia"/>
          <w:szCs w:val="24"/>
          <w:lang w:eastAsia="zh-CN"/>
        </w:rPr>
        <w:t>，因为各部门正在使用许多不同的平台。</w:t>
      </w:r>
      <w:r w:rsidR="0007367B" w:rsidRPr="0007367B">
        <w:rPr>
          <w:rFonts w:hint="eastAsia"/>
          <w:szCs w:val="24"/>
          <w:lang w:eastAsia="zh-CN"/>
        </w:rPr>
        <w:t>ISCG</w:t>
      </w:r>
      <w:r w:rsidR="0007367B" w:rsidRPr="0007367B">
        <w:rPr>
          <w:rFonts w:hint="eastAsia"/>
          <w:szCs w:val="24"/>
          <w:lang w:eastAsia="zh-CN"/>
        </w:rPr>
        <w:t>主席要求将这一主题也</w:t>
      </w:r>
      <w:r>
        <w:rPr>
          <w:rFonts w:hint="eastAsia"/>
          <w:szCs w:val="24"/>
          <w:lang w:eastAsia="zh-CN"/>
        </w:rPr>
        <w:t>在</w:t>
      </w:r>
      <w:r w:rsidR="0007367B" w:rsidRPr="0007367B">
        <w:rPr>
          <w:rFonts w:hint="eastAsia"/>
          <w:szCs w:val="24"/>
          <w:lang w:eastAsia="zh-CN"/>
        </w:rPr>
        <w:t>下次会议</w:t>
      </w:r>
      <w:r>
        <w:rPr>
          <w:rFonts w:hint="eastAsia"/>
          <w:szCs w:val="24"/>
          <w:lang w:eastAsia="zh-CN"/>
        </w:rPr>
        <w:t>上进行报告</w:t>
      </w:r>
      <w:r w:rsidR="0007367B" w:rsidRPr="0007367B">
        <w:rPr>
          <w:rFonts w:hint="eastAsia"/>
          <w:szCs w:val="24"/>
          <w:lang w:eastAsia="zh-CN"/>
        </w:rPr>
        <w:t>。</w:t>
      </w:r>
    </w:p>
    <w:p w14:paraId="68B3AFE8" w14:textId="2557F483" w:rsidR="004D41D1" w:rsidRDefault="0007367B" w:rsidP="00940C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07367B">
        <w:rPr>
          <w:rFonts w:hint="eastAsia"/>
          <w:szCs w:val="24"/>
          <w:lang w:eastAsia="zh-CN"/>
        </w:rPr>
        <w:t>最后，</w:t>
      </w:r>
      <w:r w:rsidRPr="0007367B">
        <w:rPr>
          <w:rFonts w:hint="eastAsia"/>
          <w:szCs w:val="24"/>
          <w:lang w:eastAsia="zh-CN"/>
        </w:rPr>
        <w:t>ISCG</w:t>
      </w:r>
      <w:r w:rsidRPr="0007367B">
        <w:rPr>
          <w:rFonts w:hint="eastAsia"/>
          <w:szCs w:val="24"/>
          <w:lang w:eastAsia="zh-CN"/>
        </w:rPr>
        <w:t>向</w:t>
      </w:r>
      <w:r w:rsidRPr="0007367B">
        <w:rPr>
          <w:rFonts w:hint="eastAsia"/>
          <w:szCs w:val="24"/>
          <w:lang w:eastAsia="zh-CN"/>
        </w:rPr>
        <w:t>3</w:t>
      </w:r>
      <w:r w:rsidRPr="0007367B">
        <w:rPr>
          <w:rFonts w:hint="eastAsia"/>
          <w:szCs w:val="24"/>
          <w:lang w:eastAsia="zh-CN"/>
        </w:rPr>
        <w:t>月份召开的</w:t>
      </w:r>
      <w:r w:rsidRPr="0007367B">
        <w:rPr>
          <w:rFonts w:hint="eastAsia"/>
          <w:szCs w:val="24"/>
          <w:lang w:eastAsia="zh-CN"/>
        </w:rPr>
        <w:t>RAG</w:t>
      </w:r>
      <w:r w:rsidRPr="0007367B">
        <w:rPr>
          <w:rFonts w:hint="eastAsia"/>
          <w:szCs w:val="24"/>
          <w:lang w:eastAsia="zh-CN"/>
        </w:rPr>
        <w:t>会议提交了一份联络声明。</w:t>
      </w:r>
      <w:r w:rsidR="008F4070">
        <w:rPr>
          <w:rFonts w:hint="eastAsia"/>
          <w:szCs w:val="24"/>
          <w:lang w:eastAsia="zh-CN"/>
        </w:rPr>
        <w:t>在该</w:t>
      </w:r>
      <w:r w:rsidRPr="0007367B">
        <w:rPr>
          <w:rFonts w:hint="eastAsia"/>
          <w:szCs w:val="24"/>
          <w:lang w:eastAsia="zh-CN"/>
        </w:rPr>
        <w:t>会议期间，</w:t>
      </w:r>
      <w:r w:rsidRPr="0007367B">
        <w:rPr>
          <w:rFonts w:hint="eastAsia"/>
          <w:szCs w:val="24"/>
          <w:lang w:eastAsia="zh-CN"/>
        </w:rPr>
        <w:t>RAG</w:t>
      </w:r>
      <w:r w:rsidRPr="0007367B">
        <w:rPr>
          <w:rFonts w:hint="eastAsia"/>
          <w:szCs w:val="24"/>
          <w:lang w:eastAsia="zh-CN"/>
        </w:rPr>
        <w:t>成员同意继续由</w:t>
      </w:r>
      <w:r w:rsidR="008F4070" w:rsidRPr="0007367B">
        <w:rPr>
          <w:rFonts w:hint="eastAsia"/>
          <w:szCs w:val="24"/>
          <w:lang w:eastAsia="zh-CN"/>
        </w:rPr>
        <w:t>BDT</w:t>
      </w:r>
      <w:r w:rsidR="008F4070" w:rsidRPr="0007367B">
        <w:rPr>
          <w:rFonts w:hint="eastAsia"/>
          <w:szCs w:val="24"/>
          <w:lang w:eastAsia="zh-CN"/>
        </w:rPr>
        <w:t>、</w:t>
      </w:r>
      <w:r w:rsidR="008F4070" w:rsidRPr="0007367B">
        <w:rPr>
          <w:rFonts w:hint="eastAsia"/>
          <w:szCs w:val="24"/>
          <w:lang w:eastAsia="zh-CN"/>
        </w:rPr>
        <w:t>BR</w:t>
      </w:r>
      <w:r w:rsidR="008F4070" w:rsidRPr="0007367B">
        <w:rPr>
          <w:rFonts w:hint="eastAsia"/>
          <w:szCs w:val="24"/>
          <w:lang w:eastAsia="zh-CN"/>
        </w:rPr>
        <w:t>和</w:t>
      </w:r>
      <w:r w:rsidR="008F4070" w:rsidRPr="0007367B">
        <w:rPr>
          <w:rFonts w:hint="eastAsia"/>
          <w:szCs w:val="24"/>
          <w:lang w:eastAsia="zh-CN"/>
        </w:rPr>
        <w:t>TSB</w:t>
      </w:r>
      <w:r w:rsidRPr="0007367B">
        <w:rPr>
          <w:rFonts w:hint="eastAsia"/>
          <w:szCs w:val="24"/>
          <w:lang w:eastAsia="zh-CN"/>
        </w:rPr>
        <w:t>三个局负责更新</w:t>
      </w:r>
      <w:r w:rsidR="008F4070">
        <w:rPr>
          <w:rFonts w:hint="eastAsia"/>
          <w:szCs w:val="24"/>
          <w:lang w:eastAsia="zh-CN"/>
        </w:rPr>
        <w:t>对照</w:t>
      </w:r>
      <w:r w:rsidRPr="0007367B">
        <w:rPr>
          <w:rFonts w:hint="eastAsia"/>
          <w:szCs w:val="24"/>
          <w:lang w:eastAsia="zh-CN"/>
        </w:rPr>
        <w:t>表。并由</w:t>
      </w:r>
      <w:r w:rsidR="008F4070" w:rsidRPr="008F4070">
        <w:rPr>
          <w:rFonts w:hint="eastAsia"/>
          <w:szCs w:val="24"/>
          <w:lang w:eastAsia="zh-CN"/>
        </w:rPr>
        <w:t>无线电通信局</w:t>
      </w:r>
      <w:proofErr w:type="gramStart"/>
      <w:r w:rsidR="008F4070" w:rsidRPr="008F4070">
        <w:rPr>
          <w:rFonts w:hint="eastAsia"/>
          <w:szCs w:val="24"/>
          <w:lang w:eastAsia="zh-CN"/>
        </w:rPr>
        <w:t>研究组部</w:t>
      </w:r>
      <w:r w:rsidRPr="0007367B">
        <w:rPr>
          <w:rFonts w:hint="eastAsia"/>
          <w:szCs w:val="24"/>
          <w:lang w:eastAsia="zh-CN"/>
        </w:rPr>
        <w:t>定期</w:t>
      </w:r>
      <w:proofErr w:type="gramEnd"/>
      <w:r w:rsidRPr="0007367B">
        <w:rPr>
          <w:rFonts w:hint="eastAsia"/>
          <w:szCs w:val="24"/>
          <w:lang w:eastAsia="zh-CN"/>
        </w:rPr>
        <w:t>审</w:t>
      </w:r>
      <w:r w:rsidR="008F4070">
        <w:rPr>
          <w:rFonts w:hint="eastAsia"/>
          <w:szCs w:val="24"/>
          <w:lang w:eastAsia="zh-CN"/>
        </w:rPr>
        <w:t>议</w:t>
      </w:r>
      <w:r w:rsidRPr="0007367B">
        <w:rPr>
          <w:rFonts w:hint="eastAsia"/>
          <w:szCs w:val="24"/>
          <w:lang w:eastAsia="zh-CN"/>
        </w:rPr>
        <w:t>。</w:t>
      </w:r>
    </w:p>
    <w:p w14:paraId="62CA1884" w14:textId="77777777" w:rsidR="009C405D" w:rsidRDefault="0007367B" w:rsidP="009C405D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07367B">
        <w:rPr>
          <w:rFonts w:hint="eastAsia"/>
          <w:szCs w:val="24"/>
          <w:lang w:eastAsia="zh-CN"/>
        </w:rPr>
        <w:t>RAG</w:t>
      </w:r>
      <w:r w:rsidRPr="0007367B">
        <w:rPr>
          <w:rFonts w:hint="eastAsia"/>
          <w:szCs w:val="24"/>
          <w:lang w:eastAsia="zh-CN"/>
        </w:rPr>
        <w:t>还邀请</w:t>
      </w:r>
      <w:r w:rsidRPr="0007367B">
        <w:rPr>
          <w:rFonts w:hint="eastAsia"/>
          <w:szCs w:val="24"/>
          <w:lang w:eastAsia="zh-CN"/>
        </w:rPr>
        <w:t>ISCG</w:t>
      </w:r>
      <w:r w:rsidRPr="0007367B">
        <w:rPr>
          <w:rFonts w:hint="eastAsia"/>
          <w:szCs w:val="24"/>
          <w:lang w:eastAsia="zh-CN"/>
        </w:rPr>
        <w:t>审议会议期间提出的建议，包括</w:t>
      </w:r>
      <w:r w:rsidR="00557669">
        <w:rPr>
          <w:rFonts w:hint="eastAsia"/>
          <w:szCs w:val="24"/>
          <w:lang w:eastAsia="zh-CN"/>
        </w:rPr>
        <w:t>协调一致</w:t>
      </w:r>
      <w:r w:rsidRPr="0007367B">
        <w:rPr>
          <w:rFonts w:hint="eastAsia"/>
          <w:szCs w:val="24"/>
          <w:lang w:eastAsia="zh-CN"/>
        </w:rPr>
        <w:t>关于如何说明</w:t>
      </w:r>
      <w:r w:rsidRPr="0007367B">
        <w:rPr>
          <w:rFonts w:hint="eastAsia"/>
          <w:szCs w:val="24"/>
          <w:lang w:eastAsia="zh-CN"/>
        </w:rPr>
        <w:t>ITU-R</w:t>
      </w:r>
      <w:r w:rsidRPr="0007367B">
        <w:rPr>
          <w:rFonts w:hint="eastAsia"/>
          <w:szCs w:val="24"/>
          <w:lang w:eastAsia="zh-CN"/>
        </w:rPr>
        <w:t>和</w:t>
      </w:r>
      <w:r w:rsidRPr="0007367B">
        <w:rPr>
          <w:rFonts w:hint="eastAsia"/>
          <w:szCs w:val="24"/>
          <w:lang w:eastAsia="zh-CN"/>
        </w:rPr>
        <w:t>ITU-T</w:t>
      </w:r>
      <w:r w:rsidRPr="0007367B">
        <w:rPr>
          <w:rFonts w:hint="eastAsia"/>
          <w:szCs w:val="24"/>
          <w:lang w:eastAsia="zh-CN"/>
        </w:rPr>
        <w:t>部门为支持其活动而向</w:t>
      </w:r>
      <w:r w:rsidRPr="0007367B">
        <w:rPr>
          <w:rFonts w:hint="eastAsia"/>
          <w:szCs w:val="24"/>
          <w:lang w:eastAsia="zh-CN"/>
        </w:rPr>
        <w:t>ITU-D</w:t>
      </w:r>
      <w:r w:rsidRPr="0007367B">
        <w:rPr>
          <w:rFonts w:hint="eastAsia"/>
          <w:szCs w:val="24"/>
          <w:lang w:eastAsia="zh-CN"/>
        </w:rPr>
        <w:t>提出的主要成就</w:t>
      </w:r>
      <w:r w:rsidRPr="0007367B">
        <w:rPr>
          <w:rFonts w:hint="eastAsia"/>
          <w:szCs w:val="24"/>
          <w:lang w:eastAsia="zh-CN"/>
        </w:rPr>
        <w:t>/</w:t>
      </w:r>
      <w:r w:rsidR="008F4070">
        <w:rPr>
          <w:rFonts w:hint="eastAsia"/>
          <w:szCs w:val="24"/>
          <w:lang w:eastAsia="zh-CN"/>
        </w:rPr>
        <w:t>实际</w:t>
      </w:r>
      <w:r w:rsidRPr="0007367B">
        <w:rPr>
          <w:rFonts w:hint="eastAsia"/>
          <w:szCs w:val="24"/>
          <w:lang w:eastAsia="zh-CN"/>
        </w:rPr>
        <w:t>成果的导</w:t>
      </w:r>
      <w:r w:rsidR="008F4070">
        <w:rPr>
          <w:rFonts w:hint="eastAsia"/>
          <w:szCs w:val="24"/>
          <w:lang w:eastAsia="zh-CN"/>
        </w:rPr>
        <w:t>则</w:t>
      </w:r>
      <w:r w:rsidRPr="0007367B">
        <w:rPr>
          <w:rFonts w:hint="eastAsia"/>
          <w:szCs w:val="24"/>
          <w:lang w:eastAsia="zh-CN"/>
        </w:rPr>
        <w:t>，特别是关于发展中国家</w:t>
      </w:r>
      <w:r w:rsidR="00557669">
        <w:rPr>
          <w:rFonts w:hint="eastAsia"/>
          <w:szCs w:val="24"/>
          <w:lang w:eastAsia="zh-CN"/>
        </w:rPr>
        <w:t>非常</w:t>
      </w:r>
      <w:r w:rsidRPr="0007367B">
        <w:rPr>
          <w:rFonts w:hint="eastAsia"/>
          <w:szCs w:val="24"/>
          <w:lang w:eastAsia="zh-CN"/>
        </w:rPr>
        <w:t>感兴趣的主题。</w:t>
      </w:r>
    </w:p>
    <w:p w14:paraId="2AA5FE93" w14:textId="12305218" w:rsidR="000A1354" w:rsidRPr="009C405D" w:rsidRDefault="009C405D" w:rsidP="009C405D">
      <w:pPr>
        <w:pStyle w:val="Heading1"/>
        <w:spacing w:after="120"/>
        <w:rPr>
          <w:b w:val="0"/>
          <w:szCs w:val="24"/>
          <w:lang w:eastAsia="zh-CN"/>
        </w:rPr>
      </w:pPr>
      <w:r w:rsidRPr="009C405D">
        <w:rPr>
          <w:rFonts w:hint="eastAsia"/>
          <w:sz w:val="24"/>
          <w:szCs w:val="24"/>
          <w:lang w:eastAsia="zh-CN"/>
        </w:rPr>
        <w:t>3</w:t>
      </w:r>
      <w:r w:rsidRPr="009C405D">
        <w:rPr>
          <w:sz w:val="24"/>
          <w:szCs w:val="24"/>
          <w:lang w:eastAsia="zh-CN"/>
        </w:rPr>
        <w:tab/>
      </w:r>
      <w:proofErr w:type="spellStart"/>
      <w:r w:rsidR="0007367B" w:rsidRPr="009C405D">
        <w:rPr>
          <w:rFonts w:hint="eastAsia"/>
          <w:sz w:val="24"/>
          <w:szCs w:val="24"/>
          <w:lang w:eastAsia="zh-CN"/>
        </w:rPr>
        <w:t>结论</w:t>
      </w:r>
      <w:proofErr w:type="spellEnd"/>
    </w:p>
    <w:p w14:paraId="0572228F" w14:textId="740D0FCA" w:rsidR="000A1354" w:rsidRDefault="0007367B" w:rsidP="008F4070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07367B">
        <w:rPr>
          <w:rFonts w:hint="eastAsia"/>
          <w:szCs w:val="24"/>
          <w:lang w:eastAsia="zh-CN"/>
        </w:rPr>
        <w:t>请</w:t>
      </w:r>
      <w:r w:rsidRPr="0007367B">
        <w:rPr>
          <w:rFonts w:hint="eastAsia"/>
          <w:szCs w:val="24"/>
          <w:lang w:eastAsia="zh-CN"/>
        </w:rPr>
        <w:t>TDAG</w:t>
      </w:r>
      <w:r w:rsidRPr="0007367B">
        <w:rPr>
          <w:rFonts w:hint="eastAsia"/>
          <w:szCs w:val="24"/>
          <w:lang w:eastAsia="zh-CN"/>
        </w:rPr>
        <w:t>讨论本文件，并就所提出的主题、所有部门之间和</w:t>
      </w:r>
      <w:r w:rsidRPr="0007367B">
        <w:rPr>
          <w:rFonts w:hint="eastAsia"/>
          <w:szCs w:val="24"/>
          <w:lang w:eastAsia="zh-CN"/>
        </w:rPr>
        <w:t>/</w:t>
      </w:r>
      <w:r w:rsidRPr="0007367B">
        <w:rPr>
          <w:rFonts w:hint="eastAsia"/>
          <w:szCs w:val="24"/>
          <w:lang w:eastAsia="zh-CN"/>
        </w:rPr>
        <w:t>或双边的其他可能的联合活动以及加强合作的机制向</w:t>
      </w:r>
      <w:r w:rsidRPr="0007367B">
        <w:rPr>
          <w:rFonts w:hint="eastAsia"/>
          <w:szCs w:val="24"/>
          <w:lang w:eastAsia="zh-CN"/>
        </w:rPr>
        <w:t>ISCG</w:t>
      </w:r>
      <w:r w:rsidRPr="0007367B">
        <w:rPr>
          <w:rFonts w:hint="eastAsia"/>
          <w:szCs w:val="24"/>
          <w:lang w:eastAsia="zh-CN"/>
        </w:rPr>
        <w:t>提出意见和建议。</w:t>
      </w:r>
    </w:p>
    <w:p w14:paraId="49DA4808" w14:textId="23CCE381" w:rsidR="00713B78" w:rsidRDefault="00557669" w:rsidP="008F4070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07367B">
        <w:rPr>
          <w:rFonts w:hint="eastAsia"/>
          <w:szCs w:val="24"/>
          <w:lang w:eastAsia="zh-CN"/>
        </w:rPr>
        <w:t>将于</w:t>
      </w:r>
      <w:r w:rsidRPr="0007367B">
        <w:rPr>
          <w:rFonts w:hint="eastAsia"/>
          <w:szCs w:val="24"/>
          <w:lang w:eastAsia="zh-CN"/>
        </w:rPr>
        <w:t>2021</w:t>
      </w:r>
      <w:r w:rsidRPr="0007367B">
        <w:rPr>
          <w:rFonts w:hint="eastAsia"/>
          <w:szCs w:val="24"/>
          <w:lang w:eastAsia="zh-CN"/>
        </w:rPr>
        <w:t>年</w:t>
      </w:r>
      <w:r w:rsidRPr="0007367B">
        <w:rPr>
          <w:rFonts w:hint="eastAsia"/>
          <w:szCs w:val="24"/>
          <w:lang w:eastAsia="zh-CN"/>
        </w:rPr>
        <w:t>9</w:t>
      </w:r>
      <w:r w:rsidRPr="0007367B">
        <w:rPr>
          <w:rFonts w:hint="eastAsia"/>
          <w:szCs w:val="24"/>
          <w:lang w:eastAsia="zh-CN"/>
        </w:rPr>
        <w:t>月</w:t>
      </w:r>
      <w:r w:rsidR="001F55DD">
        <w:rPr>
          <w:rFonts w:hint="eastAsia"/>
          <w:szCs w:val="24"/>
          <w:lang w:eastAsia="zh-CN"/>
        </w:rPr>
        <w:t>1</w:t>
      </w:r>
      <w:r w:rsidRPr="0007367B">
        <w:rPr>
          <w:rFonts w:hint="eastAsia"/>
          <w:szCs w:val="24"/>
          <w:lang w:eastAsia="zh-CN"/>
        </w:rPr>
        <w:t>日举行</w:t>
      </w:r>
      <w:r w:rsidR="0007367B" w:rsidRPr="0007367B">
        <w:rPr>
          <w:rFonts w:hint="eastAsia"/>
          <w:szCs w:val="24"/>
          <w:lang w:eastAsia="zh-CN"/>
        </w:rPr>
        <w:t>下一次</w:t>
      </w:r>
      <w:r w:rsidR="0007367B" w:rsidRPr="0007367B">
        <w:rPr>
          <w:rFonts w:hint="eastAsia"/>
          <w:szCs w:val="24"/>
          <w:lang w:eastAsia="zh-CN"/>
        </w:rPr>
        <w:t>ISCG</w:t>
      </w:r>
      <w:r>
        <w:rPr>
          <w:rFonts w:hint="eastAsia"/>
          <w:szCs w:val="24"/>
          <w:lang w:eastAsia="zh-CN"/>
        </w:rPr>
        <w:t>虚拟</w:t>
      </w:r>
      <w:r w:rsidR="0007367B" w:rsidRPr="0007367B">
        <w:rPr>
          <w:rFonts w:hint="eastAsia"/>
          <w:szCs w:val="24"/>
          <w:lang w:eastAsia="zh-CN"/>
        </w:rPr>
        <w:t>会议。详细信息将</w:t>
      </w:r>
      <w:r>
        <w:rPr>
          <w:rFonts w:hint="eastAsia"/>
          <w:szCs w:val="24"/>
          <w:lang w:eastAsia="zh-CN"/>
        </w:rPr>
        <w:t>在</w:t>
      </w:r>
      <w:hyperlink r:id="rId22" w:history="1">
        <w:r>
          <w:rPr>
            <w:rStyle w:val="Hyperlink"/>
            <w:szCs w:val="24"/>
            <w:lang w:eastAsia="zh-CN"/>
          </w:rPr>
          <w:t>国际电联活动</w:t>
        </w:r>
        <w:proofErr w:type="gramStart"/>
        <w:r>
          <w:rPr>
            <w:rStyle w:val="Hyperlink"/>
            <w:szCs w:val="24"/>
            <w:lang w:eastAsia="zh-CN"/>
          </w:rPr>
          <w:t>门户网</w:t>
        </w:r>
        <w:proofErr w:type="gramEnd"/>
      </w:hyperlink>
      <w:r>
        <w:rPr>
          <w:rFonts w:hint="eastAsia"/>
          <w:szCs w:val="24"/>
          <w:lang w:eastAsia="zh-CN"/>
        </w:rPr>
        <w:t>上</w:t>
      </w:r>
      <w:r w:rsidRPr="0007367B">
        <w:rPr>
          <w:rFonts w:hint="eastAsia"/>
          <w:szCs w:val="24"/>
          <w:lang w:eastAsia="zh-CN"/>
        </w:rPr>
        <w:t>公布。</w:t>
      </w:r>
    </w:p>
    <w:p w14:paraId="06409B84" w14:textId="77777777" w:rsidR="00CC45A8" w:rsidRPr="002E534C" w:rsidRDefault="00CC45A8" w:rsidP="008F4070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rFonts w:hint="eastAsia"/>
          <w:szCs w:val="24"/>
          <w:lang w:eastAsia="zh-CN"/>
        </w:rPr>
      </w:pPr>
    </w:p>
    <w:p w14:paraId="7759C759" w14:textId="102DA87E" w:rsidR="00821996" w:rsidRDefault="003C58BF" w:rsidP="0010370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eastAsia="zh-CN"/>
        </w:rPr>
      </w:pPr>
      <w:bookmarkStart w:id="6" w:name="Proposal"/>
      <w:bookmarkEnd w:id="6"/>
      <w:r>
        <w:rPr>
          <w:lang w:eastAsia="zh-CN"/>
        </w:rPr>
        <w:t>_____________</w:t>
      </w:r>
      <w:r w:rsidR="004122C5">
        <w:rPr>
          <w:lang w:eastAsia="zh-CN"/>
        </w:rPr>
        <w:t>_</w:t>
      </w:r>
      <w:r w:rsidR="00922EC1">
        <w:rPr>
          <w:lang w:eastAsia="zh-CN"/>
        </w:rPr>
        <w:t>_</w:t>
      </w:r>
    </w:p>
    <w:sectPr w:rsidR="00821996" w:rsidSect="00473791">
      <w:headerReference w:type="default" r:id="rId23"/>
      <w:footerReference w:type="default" r:id="rId24"/>
      <w:footerReference w:type="first" r:id="rId2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D5EA" w14:textId="77777777" w:rsidR="00203168" w:rsidRDefault="00203168">
      <w:r>
        <w:separator/>
      </w:r>
    </w:p>
  </w:endnote>
  <w:endnote w:type="continuationSeparator" w:id="0">
    <w:p w14:paraId="4718BBD7" w14:textId="77777777" w:rsidR="00203168" w:rsidRDefault="002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F925" w14:textId="707E4097" w:rsidR="009C405D" w:rsidRDefault="009C405D" w:rsidP="009C405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P:\CHI\ITU-D\CONF-D\TDAG21\000\013C.docx</w:t>
    </w:r>
    <w:r>
      <w:fldChar w:fldCharType="end"/>
    </w:r>
    <w:r>
      <w:t xml:space="preserve"> (48</w:t>
    </w:r>
    <w:r>
      <w:rPr>
        <w:rFonts w:hint="eastAsia"/>
        <w:lang w:eastAsia="zh-CN"/>
      </w:rPr>
      <w:t>6969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042D2" w:rsidRPr="004D495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4F9B194" w:rsidR="00D042D2" w:rsidRPr="004D495C" w:rsidRDefault="00B06A91" w:rsidP="00D042D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联系方式：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98DBE24" w:rsidR="00D042D2" w:rsidRPr="004D495C" w:rsidRDefault="00B06A91" w:rsidP="00D042D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名字</w:t>
          </w:r>
          <w:r w:rsidR="00D042D2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D042D2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6C411E2C" w:rsidR="00D042D2" w:rsidRPr="00AF7A97" w:rsidRDefault="00D042D2" w:rsidP="00D042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B6232A">
            <w:rPr>
              <w:sz w:val="18"/>
              <w:szCs w:val="18"/>
              <w:lang w:val="en-US"/>
            </w:rPr>
            <w:t xml:space="preserve">Fabio </w:t>
          </w:r>
          <w:proofErr w:type="spellStart"/>
          <w:r w:rsidRPr="00B6232A">
            <w:rPr>
              <w:sz w:val="18"/>
              <w:szCs w:val="18"/>
              <w:lang w:val="en-US"/>
            </w:rPr>
            <w:t>Bigi</w:t>
          </w:r>
          <w:proofErr w:type="spellEnd"/>
          <w:r w:rsidR="00B06A91">
            <w:rPr>
              <w:rFonts w:hint="eastAsia"/>
              <w:sz w:val="18"/>
              <w:szCs w:val="18"/>
              <w:lang w:val="en-US" w:eastAsia="zh-CN"/>
            </w:rPr>
            <w:t>先生，</w:t>
          </w:r>
          <w:r w:rsidRPr="00D042D2">
            <w:rPr>
              <w:sz w:val="18"/>
              <w:szCs w:val="18"/>
              <w:lang w:val="en-US"/>
            </w:rPr>
            <w:t>ISCG</w:t>
          </w:r>
          <w:r w:rsidR="00B06A91">
            <w:rPr>
              <w:rFonts w:hint="eastAsia"/>
              <w:sz w:val="18"/>
              <w:szCs w:val="18"/>
              <w:lang w:val="en-US" w:eastAsia="zh-CN"/>
            </w:rPr>
            <w:t>主席，</w:t>
          </w:r>
          <w:r w:rsidR="00E65E40">
            <w:rPr>
              <w:rFonts w:hint="eastAsia"/>
              <w:sz w:val="18"/>
              <w:szCs w:val="18"/>
              <w:lang w:val="en-US" w:eastAsia="zh-CN"/>
            </w:rPr>
            <w:t>意大利经济发展部</w:t>
          </w:r>
        </w:p>
      </w:tc>
      <w:bookmarkStart w:id="7" w:name="OrgName"/>
      <w:bookmarkEnd w:id="7"/>
    </w:tr>
    <w:tr w:rsidR="00D042D2" w:rsidRPr="004D495C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D042D2" w:rsidRPr="004D495C" w:rsidRDefault="00D042D2" w:rsidP="00D042D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4105455A" w:rsidR="00D042D2" w:rsidRPr="004D495C" w:rsidRDefault="00B06A91" w:rsidP="00D042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6D7949F0" w14:textId="61A472BB" w:rsidR="00D042D2" w:rsidRPr="00AF7A97" w:rsidRDefault="00E65E40" w:rsidP="00D042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不适用</w:t>
          </w:r>
        </w:p>
      </w:tc>
      <w:bookmarkStart w:id="8" w:name="PhoneNo"/>
      <w:bookmarkEnd w:id="8"/>
    </w:tr>
    <w:tr w:rsidR="0059420B" w:rsidRPr="004D495C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1A07559B" w:rsidR="0059420B" w:rsidRPr="004D495C" w:rsidRDefault="00B06A91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电子邮箱：</w:t>
          </w:r>
        </w:p>
      </w:tc>
      <w:tc>
        <w:tcPr>
          <w:tcW w:w="5987" w:type="dxa"/>
        </w:tcPr>
        <w:p w14:paraId="7EAB0988" w14:textId="50116C0E" w:rsidR="0059420B" w:rsidRPr="00AF7A97" w:rsidRDefault="00B628D7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042D2" w:rsidRPr="00B6232A">
              <w:rPr>
                <w:rStyle w:val="Hyperlink"/>
                <w:sz w:val="18"/>
                <w:szCs w:val="18"/>
              </w:rPr>
              <w:t>fabio.bigi@virgilio.it</w:t>
            </w:r>
          </w:hyperlink>
        </w:p>
      </w:tc>
      <w:bookmarkStart w:id="9" w:name="Email"/>
      <w:bookmarkEnd w:id="9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B628D7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2A19" w14:textId="77777777" w:rsidR="00203168" w:rsidRDefault="00203168">
      <w:r>
        <w:t>____________________</w:t>
      </w:r>
    </w:p>
  </w:footnote>
  <w:footnote w:type="continuationSeparator" w:id="0">
    <w:p w14:paraId="132C50B0" w14:textId="77777777" w:rsidR="00203168" w:rsidRDefault="00203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146DE2F0" w:rsidR="00721657" w:rsidRPr="00B767C2" w:rsidRDefault="00A525CC" w:rsidP="00B767C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10370F">
      <w:rPr>
        <w:sz w:val="22"/>
        <w:szCs w:val="22"/>
        <w:lang w:val="de-CH"/>
      </w:rPr>
      <w:t>13</w:t>
    </w:r>
    <w:r w:rsidRPr="006D271A">
      <w:rPr>
        <w:sz w:val="22"/>
        <w:szCs w:val="22"/>
        <w:lang w:val="de-CH"/>
      </w:rPr>
      <w:t>-</w:t>
    </w:r>
    <w:r w:rsidR="009C405D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1F55DD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4FA"/>
    <w:multiLevelType w:val="hybridMultilevel"/>
    <w:tmpl w:val="BEF2C17E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D40DA"/>
    <w:multiLevelType w:val="hybridMultilevel"/>
    <w:tmpl w:val="60447AA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16489F"/>
    <w:multiLevelType w:val="hybridMultilevel"/>
    <w:tmpl w:val="7108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617F"/>
    <w:multiLevelType w:val="hybridMultilevel"/>
    <w:tmpl w:val="45F669EE"/>
    <w:lvl w:ilvl="0" w:tplc="D5BAE0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D3E3443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07F0D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367B"/>
    <w:rsid w:val="000743AA"/>
    <w:rsid w:val="000764D8"/>
    <w:rsid w:val="0009076F"/>
    <w:rsid w:val="0009225C"/>
    <w:rsid w:val="000A1354"/>
    <w:rsid w:val="000A17C4"/>
    <w:rsid w:val="000A36A4"/>
    <w:rsid w:val="000A6119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370F"/>
    <w:rsid w:val="00107E85"/>
    <w:rsid w:val="00113EE8"/>
    <w:rsid w:val="0011455A"/>
    <w:rsid w:val="00114A65"/>
    <w:rsid w:val="00133061"/>
    <w:rsid w:val="00141699"/>
    <w:rsid w:val="00147000"/>
    <w:rsid w:val="001523B4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2D60"/>
    <w:rsid w:val="001C3444"/>
    <w:rsid w:val="001C3702"/>
    <w:rsid w:val="001C4656"/>
    <w:rsid w:val="001C46BC"/>
    <w:rsid w:val="001D10F2"/>
    <w:rsid w:val="001D1E06"/>
    <w:rsid w:val="001F23E6"/>
    <w:rsid w:val="001F4238"/>
    <w:rsid w:val="001F5242"/>
    <w:rsid w:val="001F55DD"/>
    <w:rsid w:val="00200A38"/>
    <w:rsid w:val="00200A46"/>
    <w:rsid w:val="00203168"/>
    <w:rsid w:val="00211B6F"/>
    <w:rsid w:val="00217CC3"/>
    <w:rsid w:val="00220AB6"/>
    <w:rsid w:val="0022120F"/>
    <w:rsid w:val="0022754A"/>
    <w:rsid w:val="00236560"/>
    <w:rsid w:val="0023662E"/>
    <w:rsid w:val="00245D0F"/>
    <w:rsid w:val="002474EC"/>
    <w:rsid w:val="0025213A"/>
    <w:rsid w:val="002548C3"/>
    <w:rsid w:val="00257ACD"/>
    <w:rsid w:val="00262908"/>
    <w:rsid w:val="002650F4"/>
    <w:rsid w:val="002715FD"/>
    <w:rsid w:val="002770B1"/>
    <w:rsid w:val="00285B33"/>
    <w:rsid w:val="002862D8"/>
    <w:rsid w:val="00287A3C"/>
    <w:rsid w:val="002A2FC6"/>
    <w:rsid w:val="002C11B9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4E32"/>
    <w:rsid w:val="003F50B2"/>
    <w:rsid w:val="003F729B"/>
    <w:rsid w:val="00400CCF"/>
    <w:rsid w:val="00401BFF"/>
    <w:rsid w:val="00404424"/>
    <w:rsid w:val="0041156B"/>
    <w:rsid w:val="004122C5"/>
    <w:rsid w:val="00413B78"/>
    <w:rsid w:val="00416DDE"/>
    <w:rsid w:val="0044411E"/>
    <w:rsid w:val="00452727"/>
    <w:rsid w:val="00453435"/>
    <w:rsid w:val="00460089"/>
    <w:rsid w:val="00466398"/>
    <w:rsid w:val="0047306D"/>
    <w:rsid w:val="00473791"/>
    <w:rsid w:val="00476673"/>
    <w:rsid w:val="00476E48"/>
    <w:rsid w:val="00481DE9"/>
    <w:rsid w:val="0049128B"/>
    <w:rsid w:val="00493B49"/>
    <w:rsid w:val="00495501"/>
    <w:rsid w:val="004A070A"/>
    <w:rsid w:val="004A320E"/>
    <w:rsid w:val="004A4E9C"/>
    <w:rsid w:val="004A78AB"/>
    <w:rsid w:val="004B1A3C"/>
    <w:rsid w:val="004D2CC3"/>
    <w:rsid w:val="004D35CB"/>
    <w:rsid w:val="004D41D1"/>
    <w:rsid w:val="004D7DAB"/>
    <w:rsid w:val="004E20E5"/>
    <w:rsid w:val="004E64EA"/>
    <w:rsid w:val="004E7828"/>
    <w:rsid w:val="004F46AA"/>
    <w:rsid w:val="004F64C9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57669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0F0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177"/>
    <w:rsid w:val="00606B89"/>
    <w:rsid w:val="00611EAF"/>
    <w:rsid w:val="006147F8"/>
    <w:rsid w:val="00623F30"/>
    <w:rsid w:val="00625FB8"/>
    <w:rsid w:val="006261BD"/>
    <w:rsid w:val="00635EDB"/>
    <w:rsid w:val="00646331"/>
    <w:rsid w:val="00647180"/>
    <w:rsid w:val="0064734E"/>
    <w:rsid w:val="00650137"/>
    <w:rsid w:val="006509D7"/>
    <w:rsid w:val="00651CE8"/>
    <w:rsid w:val="0065521B"/>
    <w:rsid w:val="00657C25"/>
    <w:rsid w:val="0066119A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31CD"/>
    <w:rsid w:val="006B3723"/>
    <w:rsid w:val="006C10A2"/>
    <w:rsid w:val="006C1F18"/>
    <w:rsid w:val="006D40D5"/>
    <w:rsid w:val="006D47D0"/>
    <w:rsid w:val="006F009A"/>
    <w:rsid w:val="006F3D93"/>
    <w:rsid w:val="007019B1"/>
    <w:rsid w:val="00713B78"/>
    <w:rsid w:val="00721657"/>
    <w:rsid w:val="0072246F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B68C0"/>
    <w:rsid w:val="007C0328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A63"/>
    <w:rsid w:val="00816EE1"/>
    <w:rsid w:val="00816F88"/>
    <w:rsid w:val="00821996"/>
    <w:rsid w:val="00822323"/>
    <w:rsid w:val="00827BC6"/>
    <w:rsid w:val="008300AD"/>
    <w:rsid w:val="00833024"/>
    <w:rsid w:val="008419B1"/>
    <w:rsid w:val="0084219A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4070"/>
    <w:rsid w:val="008F4DC8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0C7A"/>
    <w:rsid w:val="009431F8"/>
    <w:rsid w:val="00947A35"/>
    <w:rsid w:val="0096201B"/>
    <w:rsid w:val="00962081"/>
    <w:rsid w:val="00966CB5"/>
    <w:rsid w:val="00972BE4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405D"/>
    <w:rsid w:val="009C5441"/>
    <w:rsid w:val="009C7E30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1628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4CF8"/>
    <w:rsid w:val="00AF5276"/>
    <w:rsid w:val="00AF7C86"/>
    <w:rsid w:val="00B01046"/>
    <w:rsid w:val="00B06A91"/>
    <w:rsid w:val="00B310F9"/>
    <w:rsid w:val="00B36030"/>
    <w:rsid w:val="00B37866"/>
    <w:rsid w:val="00B412FB"/>
    <w:rsid w:val="00B4576B"/>
    <w:rsid w:val="00B46350"/>
    <w:rsid w:val="00B46DF3"/>
    <w:rsid w:val="00B53CDD"/>
    <w:rsid w:val="00B628D7"/>
    <w:rsid w:val="00B648C7"/>
    <w:rsid w:val="00B66E8F"/>
    <w:rsid w:val="00B767C2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2F05"/>
    <w:rsid w:val="00C330EF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123"/>
    <w:rsid w:val="00C848EF"/>
    <w:rsid w:val="00C86600"/>
    <w:rsid w:val="00C87BCA"/>
    <w:rsid w:val="00C87EED"/>
    <w:rsid w:val="00C94506"/>
    <w:rsid w:val="00C954BC"/>
    <w:rsid w:val="00CA1F0B"/>
    <w:rsid w:val="00CB110F"/>
    <w:rsid w:val="00CB140C"/>
    <w:rsid w:val="00CB2A2E"/>
    <w:rsid w:val="00CB338A"/>
    <w:rsid w:val="00CB79C5"/>
    <w:rsid w:val="00CC411F"/>
    <w:rsid w:val="00CC45A8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2F6"/>
    <w:rsid w:val="00CF72E5"/>
    <w:rsid w:val="00D013EE"/>
    <w:rsid w:val="00D01F54"/>
    <w:rsid w:val="00D040F7"/>
    <w:rsid w:val="00D042D2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A42DF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0799B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65E40"/>
    <w:rsid w:val="00E70D9F"/>
    <w:rsid w:val="00E83810"/>
    <w:rsid w:val="00E86933"/>
    <w:rsid w:val="00E9021D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1016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1DEF"/>
    <w:rsid w:val="00F52741"/>
    <w:rsid w:val="00F53D8A"/>
    <w:rsid w:val="00F626F7"/>
    <w:rsid w:val="00F736F9"/>
    <w:rsid w:val="00F73833"/>
    <w:rsid w:val="00F74534"/>
    <w:rsid w:val="00F85F15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201566A7"/>
    <w:rsid w:val="6907C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超链接1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354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1354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/RES-191-E.pdf" TargetMode="External"/><Relationship Id="rId18" Type="http://schemas.openxmlformats.org/officeDocument/2006/relationships/hyperlink" Target="https://www.itu.int/CookieAuth.dll?GetLogon?curl=Z2Fnet4Z2FiwmZ2FZ3Fp0Z3D0Z26p11Z3DITUZ26p12Z3DITU-SEP-Cross-sector-SEP-SG&amp;reason=0&amp;formdir=1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general-secretariat/ties/ISCGDocumentLibrary/1st%20Meeting%202021/ISCG-21-1-05-E-ClimateChange.doc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ISCG&#32593;&#39029;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general-secretariat/Pages/default.aspx" TargetMode="External"/><Relationship Id="rId20" Type="http://schemas.openxmlformats.org/officeDocument/2006/relationships/hyperlink" Target="https://www.itu.int/en/general-secretariat/ISCT_Mapping_Tables/Mapping-Resolution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general-secretariat/Pages/intersectoral-coordination.aspx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general-secretariat/ties/ISCGDocumentLibrary/1st%20Meeting%202021/ISCG-21-1-04-E-MappingTablesTemplate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Documents/basic-texts/RES-191-E.pdf" TargetMode="External"/><Relationship Id="rId22" Type="http://schemas.openxmlformats.org/officeDocument/2006/relationships/hyperlink" Target="https://www.itu.int/en/events/Pages/default.aspx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abio.bigi@virgil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4" ma:contentTypeDescription="Create a new document." ma:contentTypeScope="" ma:versionID="676e86ca681381ac488cae9981ed9d9a">
  <xsd:schema xmlns:xsd="http://www.w3.org/2001/XMLSchema" xmlns:xs="http://www.w3.org/2001/XMLSchema" xmlns:p="http://schemas.microsoft.com/office/2006/metadata/properties" xmlns:ns2="d4ea696a-cca3-460b-a983-57ac2621983a" targetNamespace="http://schemas.microsoft.com/office/2006/metadata/properties" ma:root="true" ma:fieldsID="22b671f61671e000d241c341587c1af1" ns2:_="">
    <xsd:import namespace="d4ea696a-cca3-460b-a983-57ac26219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C5C40-6CD0-4A0E-8B58-EBA5EC58E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8AEBC-D8B3-4230-9508-C549816F52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1AE4E8-E011-48C3-BB1C-FC13373BABFB}">
  <ds:schemaRefs>
    <ds:schemaRef ds:uri="http://schemas.microsoft.com/office/2006/metadata/properties"/>
    <ds:schemaRef ds:uri="http://purl.org/dc/elements/1.1/"/>
    <ds:schemaRef ds:uri="d4ea696a-cca3-460b-a983-57ac2621983a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AF45FB-3D52-4E68-932A-48FB02724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1611</Words>
  <Characters>2073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Tianxiang Yuan</cp:lastModifiedBy>
  <cp:revision>4</cp:revision>
  <cp:lastPrinted>2014-11-04T09:22:00Z</cp:lastPrinted>
  <dcterms:created xsi:type="dcterms:W3CDTF">2021-04-27T12:18:00Z</dcterms:created>
  <dcterms:modified xsi:type="dcterms:W3CDTF">2021-04-27T12:32:00Z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