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3137CED4" w14:textId="77777777" w:rsidTr="00AC127D">
        <w:trPr>
          <w:cantSplit/>
          <w:trHeight w:val="853"/>
        </w:trPr>
        <w:tc>
          <w:tcPr>
            <w:tcW w:w="1030" w:type="pct"/>
            <w:tcBorders>
              <w:bottom w:val="single" w:sz="12" w:space="0" w:color="auto"/>
            </w:tcBorders>
          </w:tcPr>
          <w:p w14:paraId="0CB52A13"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2FEA6DC0" wp14:editId="4F8121A9">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1D1BC59D"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D78E00A" w14:textId="77777777" w:rsidR="00D43388" w:rsidRPr="00D43388" w:rsidRDefault="00D43388" w:rsidP="00D43388">
            <w:pPr>
              <w:spacing w:before="360"/>
              <w:jc w:val="left"/>
              <w:rPr>
                <w:b/>
                <w:bCs/>
                <w:position w:val="2"/>
                <w:sz w:val="32"/>
                <w:szCs w:val="32"/>
                <w:lang w:bidi="ar-EG"/>
              </w:rPr>
            </w:pPr>
            <w:r w:rsidRPr="00D43388">
              <w:rPr>
                <w:b/>
                <w:bCs/>
                <w:noProof/>
                <w:position w:val="2"/>
                <w:sz w:val="32"/>
                <w:szCs w:val="32"/>
                <w:lang w:val="fr-FR" w:bidi="ar-EG"/>
              </w:rPr>
              <w:drawing>
                <wp:inline distT="0" distB="0" distL="0" distR="0" wp14:anchorId="27F5321A" wp14:editId="048FE3E5">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0BDAACC1" w14:textId="77777777" w:rsidTr="00254C2D">
        <w:trPr>
          <w:cantSplit/>
        </w:trPr>
        <w:tc>
          <w:tcPr>
            <w:tcW w:w="3458" w:type="pct"/>
            <w:gridSpan w:val="2"/>
            <w:tcBorders>
              <w:top w:val="single" w:sz="8" w:space="0" w:color="auto"/>
            </w:tcBorders>
          </w:tcPr>
          <w:p w14:paraId="450663C5"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212E64B8" w14:textId="77777777" w:rsidR="008E62E0" w:rsidRPr="00254C2D" w:rsidRDefault="008E62E0" w:rsidP="008E62E0">
            <w:pPr>
              <w:tabs>
                <w:tab w:val="clear" w:pos="794"/>
              </w:tabs>
              <w:spacing w:before="0"/>
              <w:rPr>
                <w:b/>
                <w:bCs/>
                <w:position w:val="2"/>
                <w:lang w:bidi="ar-SY"/>
              </w:rPr>
            </w:pPr>
          </w:p>
        </w:tc>
      </w:tr>
      <w:tr w:rsidR="006958D6" w:rsidRPr="00254C2D" w14:paraId="0EED6116" w14:textId="77777777" w:rsidTr="002261A9">
        <w:trPr>
          <w:cantSplit/>
        </w:trPr>
        <w:tc>
          <w:tcPr>
            <w:tcW w:w="3458" w:type="pct"/>
            <w:gridSpan w:val="2"/>
          </w:tcPr>
          <w:p w14:paraId="5F222DA5" w14:textId="77777777" w:rsidR="006958D6" w:rsidRPr="00254C2D" w:rsidRDefault="006958D6" w:rsidP="006958D6">
            <w:pPr>
              <w:tabs>
                <w:tab w:val="clear" w:pos="794"/>
              </w:tabs>
              <w:spacing w:before="60" w:after="60" w:line="260" w:lineRule="exact"/>
              <w:rPr>
                <w:b/>
                <w:bCs/>
                <w:position w:val="2"/>
                <w:rtl/>
                <w:lang w:bidi="ar-EG"/>
              </w:rPr>
            </w:pPr>
          </w:p>
        </w:tc>
        <w:tc>
          <w:tcPr>
            <w:tcW w:w="1542" w:type="pct"/>
            <w:gridSpan w:val="2"/>
            <w:vAlign w:val="center"/>
          </w:tcPr>
          <w:p w14:paraId="3D3E025C" w14:textId="5C72102C" w:rsidR="006958D6" w:rsidRPr="00254C2D" w:rsidRDefault="006958D6" w:rsidP="006958D6">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sidR="006218FD">
              <w:rPr>
                <w:b/>
                <w:bCs/>
                <w:position w:val="2"/>
                <w:lang w:val="en-US" w:bidi="ar-SY"/>
              </w:rPr>
              <w:t>-</w:t>
            </w:r>
            <w:r>
              <w:rPr>
                <w:b/>
                <w:bCs/>
                <w:position w:val="2"/>
                <w:lang w:bidi="ar-SY"/>
              </w:rPr>
              <w:t>21</w:t>
            </w:r>
            <w:r w:rsidRPr="00254C2D">
              <w:rPr>
                <w:b/>
                <w:bCs/>
                <w:position w:val="2"/>
                <w:lang w:bidi="ar-SY"/>
              </w:rPr>
              <w:t>/</w:t>
            </w:r>
            <w:r>
              <w:rPr>
                <w:b/>
                <w:bCs/>
                <w:position w:val="2"/>
                <w:lang w:bidi="ar-SY"/>
              </w:rPr>
              <w:t>13</w:t>
            </w:r>
            <w:r w:rsidRPr="00254C2D">
              <w:rPr>
                <w:b/>
                <w:bCs/>
                <w:position w:val="2"/>
                <w:lang w:bidi="ar-SY"/>
              </w:rPr>
              <w:t xml:space="preserve">-A </w:t>
            </w:r>
          </w:p>
        </w:tc>
      </w:tr>
      <w:tr w:rsidR="006958D6" w:rsidRPr="00254C2D" w14:paraId="3C196040" w14:textId="77777777" w:rsidTr="002261A9">
        <w:trPr>
          <w:cantSplit/>
        </w:trPr>
        <w:tc>
          <w:tcPr>
            <w:tcW w:w="3458" w:type="pct"/>
            <w:gridSpan w:val="2"/>
          </w:tcPr>
          <w:p w14:paraId="43B23E6B" w14:textId="77777777" w:rsidR="006958D6" w:rsidRPr="00254C2D" w:rsidRDefault="006958D6" w:rsidP="006958D6">
            <w:pPr>
              <w:tabs>
                <w:tab w:val="clear" w:pos="794"/>
              </w:tabs>
              <w:spacing w:before="60" w:after="60" w:line="260" w:lineRule="exact"/>
              <w:rPr>
                <w:b/>
                <w:bCs/>
                <w:position w:val="2"/>
                <w:lang w:bidi="ar-SY"/>
              </w:rPr>
            </w:pPr>
          </w:p>
        </w:tc>
        <w:tc>
          <w:tcPr>
            <w:tcW w:w="1542" w:type="pct"/>
            <w:gridSpan w:val="2"/>
            <w:vAlign w:val="center"/>
          </w:tcPr>
          <w:p w14:paraId="281155E8" w14:textId="390CA632" w:rsidR="006958D6" w:rsidRPr="00254C2D" w:rsidRDefault="006958D6" w:rsidP="006958D6">
            <w:pPr>
              <w:tabs>
                <w:tab w:val="clear" w:pos="794"/>
              </w:tabs>
              <w:spacing w:before="60" w:after="60" w:line="260" w:lineRule="exact"/>
              <w:rPr>
                <w:b/>
                <w:bCs/>
                <w:position w:val="2"/>
                <w:rtl/>
                <w:lang w:val="en-US" w:bidi="ar-EG"/>
              </w:rPr>
            </w:pPr>
            <w:r>
              <w:rPr>
                <w:b/>
                <w:bCs/>
                <w:position w:val="2"/>
                <w:lang w:val="en-US" w:bidi="ar-SY"/>
              </w:rPr>
              <w:t>13</w:t>
            </w:r>
            <w:r>
              <w:rPr>
                <w:rFonts w:hint="cs"/>
                <w:b/>
                <w:bCs/>
                <w:position w:val="2"/>
                <w:rtl/>
                <w:lang w:val="en-US" w:bidi="ar-EG"/>
              </w:rPr>
              <w:t xml:space="preserve"> أبريل 2021</w:t>
            </w:r>
          </w:p>
        </w:tc>
      </w:tr>
      <w:tr w:rsidR="006958D6" w:rsidRPr="00254C2D" w14:paraId="59B8DBAA" w14:textId="77777777" w:rsidTr="002261A9">
        <w:trPr>
          <w:cantSplit/>
        </w:trPr>
        <w:tc>
          <w:tcPr>
            <w:tcW w:w="3458" w:type="pct"/>
            <w:gridSpan w:val="2"/>
          </w:tcPr>
          <w:p w14:paraId="348E4F38" w14:textId="77777777" w:rsidR="006958D6" w:rsidRPr="00254C2D" w:rsidRDefault="006958D6" w:rsidP="006958D6">
            <w:pPr>
              <w:tabs>
                <w:tab w:val="clear" w:pos="794"/>
              </w:tabs>
              <w:spacing w:before="60" w:after="60" w:line="260" w:lineRule="exact"/>
              <w:rPr>
                <w:b/>
                <w:bCs/>
                <w:position w:val="2"/>
                <w:lang w:bidi="ar-SY"/>
              </w:rPr>
            </w:pPr>
          </w:p>
        </w:tc>
        <w:tc>
          <w:tcPr>
            <w:tcW w:w="1542" w:type="pct"/>
            <w:gridSpan w:val="2"/>
            <w:vAlign w:val="center"/>
          </w:tcPr>
          <w:p w14:paraId="5281D442" w14:textId="72DA9C13" w:rsidR="006958D6" w:rsidRPr="00254C2D" w:rsidRDefault="006958D6" w:rsidP="006958D6">
            <w:pPr>
              <w:tabs>
                <w:tab w:val="clear" w:pos="794"/>
              </w:tabs>
              <w:spacing w:before="60" w:after="60" w:line="260" w:lineRule="exact"/>
              <w:rPr>
                <w:b/>
                <w:bCs/>
                <w:position w:val="2"/>
                <w:rtl/>
                <w:lang w:bidi="ar-EG"/>
              </w:rPr>
            </w:pPr>
            <w:r w:rsidRPr="00254C2D">
              <w:rPr>
                <w:b/>
                <w:bCs/>
                <w:position w:val="2"/>
                <w:rtl/>
                <w:lang w:bidi="ar-EG"/>
              </w:rPr>
              <w:t xml:space="preserve">الأصل: </w:t>
            </w:r>
            <w:r w:rsidRPr="00EA5035">
              <w:rPr>
                <w:b/>
                <w:bCs/>
                <w:position w:val="2"/>
                <w:rtl/>
                <w:lang w:bidi="ar-EG"/>
              </w:rPr>
              <w:t>بالإنكليزية</w:t>
            </w:r>
          </w:p>
        </w:tc>
      </w:tr>
      <w:tr w:rsidR="00EA5035" w:rsidRPr="00254C2D" w14:paraId="7BCFBB3F" w14:textId="77777777" w:rsidTr="008E62E0">
        <w:trPr>
          <w:cantSplit/>
        </w:trPr>
        <w:tc>
          <w:tcPr>
            <w:tcW w:w="5000" w:type="pct"/>
            <w:gridSpan w:val="4"/>
          </w:tcPr>
          <w:p w14:paraId="23CFF3FB" w14:textId="4641EA21" w:rsidR="00EA5035" w:rsidRPr="00254C2D" w:rsidRDefault="00EA5035" w:rsidP="00EA5035">
            <w:pPr>
              <w:pStyle w:val="Source"/>
              <w:rPr>
                <w:b w:val="0"/>
                <w:bCs w:val="0"/>
                <w:position w:val="2"/>
                <w:sz w:val="32"/>
                <w:szCs w:val="32"/>
                <w:lang w:bidi="ar-SY"/>
              </w:rPr>
            </w:pPr>
            <w:r>
              <w:rPr>
                <w:rFonts w:hint="cs"/>
                <w:rtl/>
                <w:lang w:bidi="ar-EG"/>
              </w:rPr>
              <w:t xml:space="preserve">رئيس </w:t>
            </w:r>
            <w:r>
              <w:rPr>
                <w:rFonts w:hint="cs"/>
                <w:rtl/>
                <w:lang w:bidi="ar"/>
              </w:rPr>
              <w:t>فريق التنسيق بين القطاعات</w:t>
            </w:r>
          </w:p>
        </w:tc>
      </w:tr>
      <w:tr w:rsidR="00EA5035" w:rsidRPr="00254C2D" w14:paraId="5F87DFB4" w14:textId="77777777" w:rsidTr="008E62E0">
        <w:trPr>
          <w:cantSplit/>
        </w:trPr>
        <w:tc>
          <w:tcPr>
            <w:tcW w:w="5000" w:type="pct"/>
            <w:gridSpan w:val="4"/>
          </w:tcPr>
          <w:p w14:paraId="6B4F62A2" w14:textId="6544F165" w:rsidR="00EA5035" w:rsidRPr="00254C2D" w:rsidRDefault="00671CE3" w:rsidP="00EA5035">
            <w:pPr>
              <w:pStyle w:val="Title1"/>
              <w:spacing w:before="120"/>
              <w:rPr>
                <w:position w:val="2"/>
                <w:sz w:val="32"/>
                <w:szCs w:val="32"/>
                <w:rtl/>
                <w:lang w:bidi="ar-EG"/>
              </w:rPr>
            </w:pPr>
            <w:r>
              <w:rPr>
                <w:rFonts w:hint="cs"/>
                <w:rtl/>
                <w:lang w:bidi="ar"/>
              </w:rPr>
              <w:t>التقرير المرحلي ل</w:t>
            </w:r>
            <w:r w:rsidR="00EA5035">
              <w:rPr>
                <w:rFonts w:hint="cs"/>
                <w:rtl/>
                <w:lang w:bidi="ar"/>
              </w:rPr>
              <w:t xml:space="preserve">فريق التنسيق بين القطاعات </w:t>
            </w:r>
            <w:r w:rsidR="00EA5035">
              <w:rPr>
                <w:lang w:bidi="ar"/>
              </w:rPr>
              <w:t>(ISCG)</w:t>
            </w:r>
            <w:r w:rsidR="00EA5035">
              <w:rPr>
                <w:lang w:bidi="ar"/>
              </w:rPr>
              <w:br/>
            </w:r>
            <w:r w:rsidR="00EA5035">
              <w:rPr>
                <w:rFonts w:hint="cs"/>
                <w:rtl/>
                <w:lang w:bidi="ar"/>
              </w:rPr>
              <w:t>المعني بالقضايا ذات الاهتمام المشترك</w:t>
            </w:r>
          </w:p>
        </w:tc>
      </w:tr>
      <w:tr w:rsidR="008E62E0" w:rsidRPr="00254C2D" w14:paraId="172D04B5" w14:textId="77777777" w:rsidTr="002937C8">
        <w:trPr>
          <w:cantSplit/>
        </w:trPr>
        <w:tc>
          <w:tcPr>
            <w:tcW w:w="5000" w:type="pct"/>
            <w:gridSpan w:val="4"/>
            <w:tcBorders>
              <w:bottom w:val="single" w:sz="4" w:space="0" w:color="auto"/>
            </w:tcBorders>
          </w:tcPr>
          <w:p w14:paraId="7A9DEA28" w14:textId="77777777" w:rsidR="008E62E0" w:rsidRPr="00254C2D" w:rsidRDefault="008E62E0" w:rsidP="008E62E0">
            <w:pPr>
              <w:pStyle w:val="Title1"/>
              <w:rPr>
                <w:position w:val="2"/>
                <w:rtl/>
                <w:lang w:bidi="ar-EG"/>
              </w:rPr>
            </w:pPr>
          </w:p>
        </w:tc>
      </w:tr>
      <w:tr w:rsidR="008E62E0" w:rsidRPr="00254C2D" w14:paraId="151CA5AC"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0C61BA06"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7547E5B5" w14:textId="76FB8BAC" w:rsidR="00EA5035" w:rsidRDefault="00EA5035" w:rsidP="00010801">
            <w:pPr>
              <w:rPr>
                <w:lang w:eastAsia="zh-CN"/>
              </w:rPr>
            </w:pPr>
            <w:r>
              <w:rPr>
                <w:rFonts w:hint="cs"/>
                <w:rtl/>
              </w:rPr>
              <w:t xml:space="preserve">تتضمن هذه الوثيقة تقريراً مرحلياً </w:t>
            </w:r>
            <w:r w:rsidR="000B35CD">
              <w:rPr>
                <w:rFonts w:hint="cs"/>
                <w:rtl/>
              </w:rPr>
              <w:t>ل</w:t>
            </w:r>
            <w:r w:rsidR="00671CE3">
              <w:rPr>
                <w:rFonts w:hint="cs"/>
                <w:rtl/>
              </w:rPr>
              <w:t>فريق</w:t>
            </w:r>
            <w:r>
              <w:rPr>
                <w:rFonts w:hint="cs"/>
                <w:rtl/>
              </w:rPr>
              <w:t xml:space="preserve"> التنسيق بين القطاعات </w:t>
            </w:r>
            <w:r>
              <w:t>(ISCG)</w:t>
            </w:r>
            <w:r>
              <w:rPr>
                <w:rtl/>
              </w:rPr>
              <w:t xml:space="preserve"> </w:t>
            </w:r>
            <w:r>
              <w:rPr>
                <w:rFonts w:hint="cs"/>
                <w:rtl/>
              </w:rPr>
              <w:t>المعني بالقضايا ذات الاهتمام المشترك</w:t>
            </w:r>
            <w:r w:rsidR="00010801">
              <w:rPr>
                <w:rFonts w:hint="cs"/>
                <w:rtl/>
              </w:rPr>
              <w:t>،</w:t>
            </w:r>
            <w:r>
              <w:rPr>
                <w:rFonts w:hint="cs"/>
                <w:rtl/>
              </w:rPr>
              <w:t xml:space="preserve"> يسلط الضوء على </w:t>
            </w:r>
            <w:r w:rsidR="00010801">
              <w:rPr>
                <w:rFonts w:hint="cs"/>
                <w:rtl/>
              </w:rPr>
              <w:t>الاستنتاجات التي خلص إليها اجتماعه الأخير</w:t>
            </w:r>
            <w:r w:rsidR="00A0417E">
              <w:rPr>
                <w:rFonts w:hint="cs"/>
                <w:rtl/>
              </w:rPr>
              <w:t>،</w:t>
            </w:r>
            <w:r w:rsidR="00AC4A13">
              <w:t xml:space="preserve"> </w:t>
            </w:r>
            <w:r>
              <w:rPr>
                <w:rFonts w:hint="cs"/>
                <w:rtl/>
              </w:rPr>
              <w:t>الذي عُقد</w:t>
            </w:r>
            <w:r w:rsidR="00A0417E">
              <w:rPr>
                <w:rFonts w:hint="cs"/>
                <w:rtl/>
              </w:rPr>
              <w:t xml:space="preserve"> افتراضياً،</w:t>
            </w:r>
            <w:r w:rsidR="0030472C">
              <w:rPr>
                <w:rFonts w:hint="cs"/>
                <w:rtl/>
              </w:rPr>
              <w:t xml:space="preserve"> </w:t>
            </w:r>
            <w:r w:rsidR="004C2049">
              <w:rPr>
                <w:rFonts w:hint="cs"/>
                <w:rtl/>
              </w:rPr>
              <w:t xml:space="preserve">في </w:t>
            </w:r>
            <w:r w:rsidR="004C2049">
              <w:rPr>
                <w:lang w:val="en-US"/>
              </w:rPr>
              <w:t>12</w:t>
            </w:r>
            <w:r w:rsidR="004C2049">
              <w:rPr>
                <w:rFonts w:hint="cs"/>
                <w:rtl/>
                <w:lang w:val="en-US" w:bidi="ar-EG"/>
              </w:rPr>
              <w:t xml:space="preserve"> مارس </w:t>
            </w:r>
            <w:r w:rsidR="004C2049">
              <w:rPr>
                <w:lang w:val="en-US" w:bidi="ar-EG"/>
              </w:rPr>
              <w:t>2021</w:t>
            </w:r>
            <w:r w:rsidR="00A0417E">
              <w:rPr>
                <w:rFonts w:hint="cs"/>
                <w:rtl/>
              </w:rPr>
              <w:t>.</w:t>
            </w:r>
            <w:r>
              <w:rPr>
                <w:rtl/>
              </w:rPr>
              <w:t xml:space="preserve"> </w:t>
            </w:r>
          </w:p>
          <w:p w14:paraId="624457EC" w14:textId="77777777" w:rsidR="00EA5035" w:rsidRDefault="00EA5035" w:rsidP="00EA5035">
            <w:pPr>
              <w:rPr>
                <w:rFonts w:hint="cs"/>
                <w:b/>
                <w:bCs/>
                <w:rtl/>
                <w:lang w:bidi="ar-EG"/>
              </w:rPr>
            </w:pPr>
            <w:r>
              <w:rPr>
                <w:rFonts w:hint="cs"/>
                <w:b/>
                <w:bCs/>
                <w:rtl/>
                <w:lang w:bidi="ar-SY"/>
              </w:rPr>
              <w:t>الإجراء المطلوب:</w:t>
            </w:r>
          </w:p>
          <w:p w14:paraId="72EDECA5" w14:textId="2FB86F7D" w:rsidR="00EA5035" w:rsidRDefault="003F6A92" w:rsidP="00EA5035">
            <w:pPr>
              <w:tabs>
                <w:tab w:val="left" w:pos="418"/>
              </w:tabs>
              <w:rPr>
                <w:rtl/>
                <w:lang w:bidi="ar-EG"/>
              </w:rPr>
            </w:pPr>
            <w:r>
              <w:rPr>
                <w:rFonts w:hint="cs"/>
                <w:rtl/>
                <w:lang w:bidi="ar"/>
              </w:rPr>
              <w:t>يُدعى</w:t>
            </w:r>
            <w:r w:rsidR="00EA5035">
              <w:rPr>
                <w:rFonts w:hint="cs"/>
                <w:rtl/>
                <w:lang w:bidi="ar"/>
              </w:rPr>
              <w:t xml:space="preserve"> الفريق الاستشاري لتنمية الاتصالات</w:t>
            </w:r>
            <w:r w:rsidR="00F207A8">
              <w:rPr>
                <w:rFonts w:hint="cs"/>
                <w:rtl/>
                <w:lang w:bidi="ar"/>
              </w:rPr>
              <w:t xml:space="preserve"> </w:t>
            </w:r>
            <w:r w:rsidR="00F207A8">
              <w:rPr>
                <w:lang w:val="en-US" w:bidi="ar"/>
              </w:rPr>
              <w:t>(TDAG)</w:t>
            </w:r>
            <w:r>
              <w:rPr>
                <w:rFonts w:hint="cs"/>
                <w:rtl/>
                <w:lang w:bidi="ar"/>
              </w:rPr>
              <w:t xml:space="preserve"> إلى</w:t>
            </w:r>
            <w:r w:rsidR="00EA5035">
              <w:rPr>
                <w:rFonts w:hint="cs"/>
                <w:rtl/>
                <w:lang w:bidi="ar"/>
              </w:rPr>
              <w:t xml:space="preserve"> </w:t>
            </w:r>
            <w:r w:rsidR="00504707">
              <w:rPr>
                <w:rFonts w:hint="cs"/>
                <w:rtl/>
                <w:lang w:bidi="ar"/>
              </w:rPr>
              <w:t xml:space="preserve">الإحاطة علماً بهذه الوثيقة وتقديم </w:t>
            </w:r>
            <w:proofErr w:type="spellStart"/>
            <w:r w:rsidR="00504707">
              <w:rPr>
                <w:rFonts w:hint="cs"/>
                <w:rtl/>
                <w:lang w:bidi="ar"/>
              </w:rPr>
              <w:t>التوج</w:t>
            </w:r>
            <w:proofErr w:type="spellEnd"/>
            <w:r w:rsidR="000B35CD">
              <w:rPr>
                <w:rFonts w:hint="cs"/>
                <w:rtl/>
              </w:rPr>
              <w:t>يهات التي يراها مناسبة</w:t>
            </w:r>
            <w:r w:rsidR="00504707">
              <w:rPr>
                <w:rFonts w:hint="cs"/>
                <w:rtl/>
                <w:lang w:bidi="ar"/>
              </w:rPr>
              <w:t>.</w:t>
            </w:r>
          </w:p>
          <w:p w14:paraId="2C9C7612" w14:textId="064E24DC" w:rsidR="00EA5035" w:rsidRDefault="00EA5035" w:rsidP="00EA5035">
            <w:pPr>
              <w:rPr>
                <w:b/>
                <w:bCs/>
                <w:rtl/>
                <w:lang w:bidi="ar-SY"/>
              </w:rPr>
            </w:pPr>
            <w:r>
              <w:rPr>
                <w:rFonts w:hint="cs"/>
                <w:b/>
                <w:bCs/>
                <w:rtl/>
                <w:lang w:bidi="ar-SY"/>
              </w:rPr>
              <w:t>المراج</w:t>
            </w:r>
            <w:r w:rsidR="00504707">
              <w:rPr>
                <w:rFonts w:hint="cs"/>
                <w:b/>
                <w:bCs/>
                <w:rtl/>
                <w:lang w:bidi="ar-SY"/>
              </w:rPr>
              <w:t>ِ</w:t>
            </w:r>
            <w:r>
              <w:rPr>
                <w:rFonts w:hint="cs"/>
                <w:b/>
                <w:bCs/>
                <w:rtl/>
                <w:lang w:bidi="ar-SY"/>
              </w:rPr>
              <w:t>ع:</w:t>
            </w:r>
          </w:p>
          <w:p w14:paraId="0A8E6DF2" w14:textId="4676F3C1" w:rsidR="008E62E0" w:rsidRPr="00254C2D" w:rsidRDefault="006218FD" w:rsidP="00EA5035">
            <w:pPr>
              <w:spacing w:after="120"/>
              <w:rPr>
                <w:position w:val="2"/>
                <w:rtl/>
                <w:lang w:bidi="ar-EG"/>
              </w:rPr>
            </w:pPr>
            <w:hyperlink r:id="rId10" w:history="1">
              <w:r w:rsidR="00EA5035" w:rsidRPr="006218FD">
                <w:rPr>
                  <w:rStyle w:val="Hyperlink"/>
                  <w:rtl/>
                </w:rPr>
                <w:t xml:space="preserve">القرار </w:t>
              </w:r>
              <w:r w:rsidR="00EA5035" w:rsidRPr="006218FD">
                <w:rPr>
                  <w:rStyle w:val="Hyperlink"/>
                  <w:lang w:val="fr-CH"/>
                </w:rPr>
                <w:t>191</w:t>
              </w:r>
            </w:hyperlink>
            <w:r w:rsidR="00EA5035">
              <w:rPr>
                <w:rtl/>
                <w:lang w:bidi="ar-EG"/>
              </w:rPr>
              <w:t xml:space="preserve"> </w:t>
            </w:r>
            <w:r w:rsidR="00EA5035">
              <w:rPr>
                <w:rtl/>
              </w:rPr>
              <w:t xml:space="preserve">(المراجَع في دبي، </w:t>
            </w:r>
            <w:r w:rsidR="00EA5035">
              <w:rPr>
                <w:lang w:val="fr-CH"/>
              </w:rPr>
              <w:t>2018</w:t>
            </w:r>
            <w:r w:rsidR="00EA5035">
              <w:rPr>
                <w:rtl/>
                <w:lang w:bidi="ar-EG"/>
              </w:rPr>
              <w:t>) لمؤتمر المندوبين المفوضين.</w:t>
            </w:r>
          </w:p>
        </w:tc>
      </w:tr>
    </w:tbl>
    <w:p w14:paraId="070C7946" w14:textId="77777777" w:rsidR="002937C8" w:rsidRPr="002937C8" w:rsidRDefault="002937C8" w:rsidP="002937C8">
      <w:pPr>
        <w:rPr>
          <w:lang w:bidi="ar-SY"/>
        </w:rPr>
      </w:pPr>
    </w:p>
    <w:p w14:paraId="04953857" w14:textId="77777777" w:rsidR="008E62E0" w:rsidRPr="002937C8" w:rsidRDefault="008E62E0" w:rsidP="002937C8">
      <w:pPr>
        <w:rPr>
          <w:rtl/>
          <w:lang w:bidi="ar-EG"/>
        </w:rPr>
      </w:pPr>
      <w:r w:rsidRPr="002937C8">
        <w:rPr>
          <w:rtl/>
          <w:lang w:bidi="ar-SY"/>
        </w:rPr>
        <w:br w:type="page"/>
      </w:r>
    </w:p>
    <w:p w14:paraId="0017F39E" w14:textId="762CA076" w:rsidR="00EA5035" w:rsidRDefault="00EA5035" w:rsidP="00EA5035">
      <w:pPr>
        <w:pStyle w:val="Heading1"/>
        <w:rPr>
          <w:rFonts w:hint="cs"/>
          <w:rtl/>
          <w:lang w:eastAsia="zh-CN" w:bidi="ar-EG"/>
        </w:rPr>
      </w:pPr>
      <w:r>
        <w:lastRenderedPageBreak/>
        <w:t>1</w:t>
      </w:r>
      <w:r>
        <w:rPr>
          <w:rFonts w:hint="cs"/>
          <w:rtl/>
        </w:rPr>
        <w:tab/>
      </w:r>
      <w:r w:rsidRPr="00C4354E">
        <w:rPr>
          <w:rFonts w:hint="cs"/>
          <w:rtl/>
        </w:rPr>
        <w:t>م</w:t>
      </w:r>
      <w:r w:rsidR="0084631C" w:rsidRPr="00C4354E">
        <w:rPr>
          <w:rFonts w:hint="cs"/>
          <w:rtl/>
          <w:lang w:bidi="ar-EG"/>
        </w:rPr>
        <w:t>قدمة</w:t>
      </w:r>
    </w:p>
    <w:p w14:paraId="31E9B729" w14:textId="5A12EAA2" w:rsidR="00EA5035" w:rsidRPr="004C2049" w:rsidRDefault="005A6E06" w:rsidP="00EA50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val="en-US" w:bidi="ar-EG"/>
        </w:rPr>
      </w:pPr>
      <w:r w:rsidRPr="004C2049">
        <w:rPr>
          <w:rFonts w:hint="cs"/>
          <w:rtl/>
          <w:lang w:bidi="ar-EG"/>
        </w:rPr>
        <w:t>يتألف</w:t>
      </w:r>
      <w:r w:rsidR="00EA5035" w:rsidRPr="004C2049">
        <w:rPr>
          <w:rFonts w:hint="cs"/>
          <w:rtl/>
        </w:rPr>
        <w:t xml:space="preserve"> </w:t>
      </w:r>
      <w:hyperlink r:id="rId11" w:history="1">
        <w:r w:rsidR="00EA5035" w:rsidRPr="004C2049">
          <w:rPr>
            <w:rStyle w:val="Hyperlink"/>
            <w:rFonts w:hint="cs"/>
            <w:rtl/>
          </w:rPr>
          <w:t xml:space="preserve">فريق التنسيق بين القطاعات </w:t>
        </w:r>
        <w:r w:rsidR="00EA5035" w:rsidRPr="004C2049">
          <w:rPr>
            <w:rStyle w:val="Hyperlink"/>
          </w:rPr>
          <w:t>(ISCG)</w:t>
        </w:r>
      </w:hyperlink>
      <w:r w:rsidR="00EA5035" w:rsidRPr="004C2049">
        <w:rPr>
          <w:rtl/>
        </w:rPr>
        <w:t xml:space="preserve"> </w:t>
      </w:r>
      <w:r w:rsidR="00EA5035" w:rsidRPr="004C2049">
        <w:rPr>
          <w:rFonts w:hint="cs"/>
          <w:rtl/>
        </w:rPr>
        <w:t xml:space="preserve">المعني بالقضايا ذات الاهتمام المشترك </w:t>
      </w:r>
      <w:r w:rsidRPr="004C2049">
        <w:rPr>
          <w:rFonts w:hint="cs"/>
          <w:rtl/>
        </w:rPr>
        <w:t>من ممثلين</w:t>
      </w:r>
      <w:r w:rsidR="00EA5035" w:rsidRPr="004C2049">
        <w:rPr>
          <w:rFonts w:hint="cs"/>
          <w:rtl/>
        </w:rPr>
        <w:t xml:space="preserve"> </w:t>
      </w:r>
      <w:r w:rsidRPr="004C2049">
        <w:rPr>
          <w:rFonts w:hint="cs"/>
          <w:rtl/>
        </w:rPr>
        <w:t>لكل من ا</w:t>
      </w:r>
      <w:r w:rsidR="00EA5035" w:rsidRPr="004C2049">
        <w:rPr>
          <w:rFonts w:hint="cs"/>
          <w:rtl/>
        </w:rPr>
        <w:t>لفريق الاستشاري</w:t>
      </w:r>
      <w:r w:rsidRPr="004C2049">
        <w:rPr>
          <w:rFonts w:hint="cs"/>
          <w:rtl/>
        </w:rPr>
        <w:t xml:space="preserve"> للاتصالات </w:t>
      </w:r>
      <w:r w:rsidR="00EA5035" w:rsidRPr="004C2049">
        <w:rPr>
          <w:rFonts w:hint="cs"/>
          <w:rtl/>
        </w:rPr>
        <w:t>الراديوية </w:t>
      </w:r>
      <w:r w:rsidR="00EA5035" w:rsidRPr="004C2049">
        <w:t>(RAG)</w:t>
      </w:r>
      <w:r w:rsidR="00EA5035" w:rsidRPr="004C2049">
        <w:rPr>
          <w:rFonts w:hint="cs"/>
          <w:rtl/>
        </w:rPr>
        <w:t xml:space="preserve"> والفريق الاستشاري </w:t>
      </w:r>
      <w:r w:rsidRPr="004C2049">
        <w:rPr>
          <w:rFonts w:hint="cs"/>
          <w:rtl/>
        </w:rPr>
        <w:t xml:space="preserve">لتقييس </w:t>
      </w:r>
      <w:r w:rsidR="00EA5035" w:rsidRPr="004C2049">
        <w:rPr>
          <w:rFonts w:hint="cs"/>
          <w:rtl/>
        </w:rPr>
        <w:t>الاتصالات </w:t>
      </w:r>
      <w:r w:rsidR="00EA5035" w:rsidRPr="004C2049">
        <w:t>(TSAG)</w:t>
      </w:r>
      <w:r w:rsidR="00EA5035" w:rsidRPr="004C2049">
        <w:rPr>
          <w:rFonts w:hint="cs"/>
          <w:rtl/>
        </w:rPr>
        <w:t xml:space="preserve"> والفريق الاستشاري لتنمية الاتصالات </w:t>
      </w:r>
      <w:r w:rsidR="00EA5035" w:rsidRPr="004C2049">
        <w:t>(TDAG)</w:t>
      </w:r>
      <w:r w:rsidRPr="004C2049">
        <w:rPr>
          <w:rFonts w:hint="cs"/>
          <w:rtl/>
        </w:rPr>
        <w:t xml:space="preserve">، ويختص بتحديد المواضيع المشتركة بين قطاعات الاتحاد الثلاثة </w:t>
      </w:r>
      <w:r w:rsidR="00337FFB" w:rsidRPr="004C2049">
        <w:rPr>
          <w:rFonts w:hint="cs"/>
          <w:rtl/>
        </w:rPr>
        <w:t>و</w:t>
      </w:r>
      <w:r w:rsidRPr="004C2049">
        <w:rPr>
          <w:rFonts w:hint="cs"/>
          <w:rtl/>
        </w:rPr>
        <w:t>الأمانة العامة</w:t>
      </w:r>
      <w:r w:rsidR="001F0D6B" w:rsidRPr="004C2049">
        <w:rPr>
          <w:rFonts w:hint="cs"/>
          <w:rtl/>
        </w:rPr>
        <w:t xml:space="preserve">، </w:t>
      </w:r>
      <w:r w:rsidRPr="004C2049">
        <w:rPr>
          <w:rFonts w:hint="cs"/>
          <w:rtl/>
        </w:rPr>
        <w:t xml:space="preserve">وآليات تعزيز التعاون </w:t>
      </w:r>
      <w:r w:rsidR="000B35CD" w:rsidRPr="004C2049">
        <w:rPr>
          <w:rFonts w:hint="cs"/>
          <w:rtl/>
        </w:rPr>
        <w:t>والتنسيق</w:t>
      </w:r>
      <w:r w:rsidRPr="004C2049">
        <w:rPr>
          <w:rFonts w:hint="cs"/>
          <w:rtl/>
        </w:rPr>
        <w:t xml:space="preserve"> في جميع القطاعات بشأن القضايا التي تحظى باهتمام مشترك، تلافياً </w:t>
      </w:r>
      <w:r w:rsidR="00F101CC" w:rsidRPr="004C2049">
        <w:rPr>
          <w:rFonts w:hint="cs"/>
          <w:rtl/>
        </w:rPr>
        <w:t xml:space="preserve">لازدواج الجهود وتحقيقاً للاستخدام الأمثل لموارد الاتحاد، </w:t>
      </w:r>
      <w:r w:rsidR="006C3946" w:rsidRPr="004C2049">
        <w:rPr>
          <w:rFonts w:hint="cs"/>
          <w:rtl/>
        </w:rPr>
        <w:t xml:space="preserve">وفقاً لأحكام </w:t>
      </w:r>
      <w:hyperlink r:id="rId12" w:history="1">
        <w:r w:rsidR="006C3946" w:rsidRPr="004C2049">
          <w:rPr>
            <w:rStyle w:val="Hyperlink"/>
            <w:rFonts w:hint="cs"/>
            <w:rtl/>
          </w:rPr>
          <w:t xml:space="preserve">القرار </w:t>
        </w:r>
        <w:r w:rsidR="006C3946" w:rsidRPr="004C2049">
          <w:rPr>
            <w:rStyle w:val="Hyperlink"/>
          </w:rPr>
          <w:t>191</w:t>
        </w:r>
        <w:r w:rsidR="006C3946" w:rsidRPr="004C2049">
          <w:rPr>
            <w:rStyle w:val="Hyperlink"/>
            <w:rFonts w:hint="cs"/>
            <w:rtl/>
          </w:rPr>
          <w:t xml:space="preserve"> (المراجَع في دبي، </w:t>
        </w:r>
        <w:r w:rsidR="006C3946" w:rsidRPr="004C2049">
          <w:rPr>
            <w:rStyle w:val="Hyperlink"/>
          </w:rPr>
          <w:t>2018</w:t>
        </w:r>
        <w:r w:rsidR="006C3946" w:rsidRPr="004C2049">
          <w:rPr>
            <w:rStyle w:val="Hyperlink"/>
            <w:rFonts w:hint="cs"/>
            <w:rtl/>
          </w:rPr>
          <w:t>)</w:t>
        </w:r>
      </w:hyperlink>
      <w:r w:rsidR="006C3946" w:rsidRPr="004C2049">
        <w:rPr>
          <w:rFonts w:hint="cs"/>
          <w:rtl/>
        </w:rPr>
        <w:t xml:space="preserve"> </w:t>
      </w:r>
      <w:r w:rsidR="006C3946" w:rsidRPr="004C2049">
        <w:rPr>
          <w:rFonts w:hint="cs"/>
          <w:rtl/>
          <w:lang w:val="en-US" w:bidi="ar-EG"/>
        </w:rPr>
        <w:t>الصادر عن مؤتمر المندوبين المفوضين.</w:t>
      </w:r>
    </w:p>
    <w:p w14:paraId="6E2473AA" w14:textId="2D637314" w:rsidR="00EA5035" w:rsidRPr="00F9510F" w:rsidRDefault="001F0D6B" w:rsidP="00EA5035">
      <w:pPr>
        <w:rPr>
          <w:rtl/>
          <w:lang w:val="en-US" w:bidi="ar-EG"/>
        </w:rPr>
      </w:pPr>
      <w:r>
        <w:rPr>
          <w:rFonts w:hint="cs"/>
          <w:rtl/>
        </w:rPr>
        <w:t xml:space="preserve">وينظر فريق التنسيق بين القطاعات في الأنشطة </w:t>
      </w:r>
      <w:r w:rsidR="00F9510F">
        <w:rPr>
          <w:rFonts w:hint="cs"/>
          <w:rtl/>
        </w:rPr>
        <w:t>الحالية والجديدة</w:t>
      </w:r>
      <w:r>
        <w:rPr>
          <w:rFonts w:hint="cs"/>
          <w:rtl/>
        </w:rPr>
        <w:t xml:space="preserve"> وتوزيعها </w:t>
      </w:r>
      <w:r w:rsidR="00A0417E">
        <w:rPr>
          <w:rFonts w:hint="cs"/>
          <w:rtl/>
        </w:rPr>
        <w:t>على</w:t>
      </w:r>
      <w:r>
        <w:rPr>
          <w:rFonts w:hint="cs"/>
          <w:rtl/>
        </w:rPr>
        <w:t xml:space="preserve"> قطاع الاتصالات الراديوية </w:t>
      </w:r>
      <w:r>
        <w:t>(ITU-R)</w:t>
      </w:r>
      <w:r>
        <w:rPr>
          <w:rtl/>
        </w:rPr>
        <w:t xml:space="preserve"> </w:t>
      </w:r>
      <w:r>
        <w:rPr>
          <w:rFonts w:hint="cs"/>
          <w:rtl/>
        </w:rPr>
        <w:t xml:space="preserve">وقطاع تقييس الاتصالات </w:t>
      </w:r>
      <w:r>
        <w:t>(ITU-T)</w:t>
      </w:r>
      <w:r>
        <w:rPr>
          <w:rFonts w:hint="cs"/>
          <w:rtl/>
        </w:rPr>
        <w:t xml:space="preserve"> وقطاع تنمية الاتصالات </w:t>
      </w:r>
      <w:r>
        <w:t>(ITU-D)</w:t>
      </w:r>
      <w:r>
        <w:rPr>
          <w:rFonts w:hint="cs"/>
          <w:rtl/>
        </w:rPr>
        <w:t xml:space="preserve"> بالاتحاد</w:t>
      </w:r>
      <w:r w:rsidR="00F9510F">
        <w:rPr>
          <w:rFonts w:hint="cs"/>
          <w:rtl/>
        </w:rPr>
        <w:t xml:space="preserve"> الدولي للاتصالات</w:t>
      </w:r>
      <w:r w:rsidR="00EA5035">
        <w:rPr>
          <w:rFonts w:hint="cs"/>
          <w:rtl/>
        </w:rPr>
        <w:t xml:space="preserve">، </w:t>
      </w:r>
      <w:r w:rsidR="00CD22AF">
        <w:rPr>
          <w:rFonts w:hint="cs"/>
          <w:rtl/>
        </w:rPr>
        <w:t>ل</w:t>
      </w:r>
      <w:r w:rsidR="00EA5035">
        <w:rPr>
          <w:rFonts w:hint="cs"/>
          <w:rtl/>
        </w:rPr>
        <w:t xml:space="preserve">توافق عليها الدول الأعضاء في الاتحاد وفقاً لإجراءات الموافقة على المسائل </w:t>
      </w:r>
      <w:r>
        <w:rPr>
          <w:rFonts w:hint="cs"/>
          <w:rtl/>
        </w:rPr>
        <w:t xml:space="preserve">الدراسية </w:t>
      </w:r>
      <w:r w:rsidR="00EA5035">
        <w:rPr>
          <w:rFonts w:hint="cs"/>
          <w:rtl/>
        </w:rPr>
        <w:t>الجديدة والمراجَعة</w:t>
      </w:r>
      <w:r w:rsidR="004B4119">
        <w:rPr>
          <w:rFonts w:hint="cs"/>
          <w:rtl/>
        </w:rPr>
        <w:t xml:space="preserve">. </w:t>
      </w:r>
      <w:r w:rsidR="00F9510F">
        <w:rPr>
          <w:rFonts w:hint="cs"/>
          <w:rtl/>
        </w:rPr>
        <w:t>كما ينظر الفريق في التقارير المقدمة من مديري مكاتب</w:t>
      </w:r>
      <w:r w:rsidR="00CD22AF">
        <w:rPr>
          <w:rFonts w:hint="cs"/>
          <w:rtl/>
        </w:rPr>
        <w:t xml:space="preserve"> الاتحاد</w:t>
      </w:r>
      <w:r w:rsidR="00F9510F">
        <w:rPr>
          <w:rFonts w:hint="cs"/>
          <w:rtl/>
        </w:rPr>
        <w:t xml:space="preserve"> الثلاثة ومن فريق المهام المعني بالتنسيق بين القطاعات </w:t>
      </w:r>
      <w:r w:rsidR="00F9510F">
        <w:rPr>
          <w:lang w:val="en-US"/>
        </w:rPr>
        <w:t>(ISC-TF)</w:t>
      </w:r>
      <w:r w:rsidR="00F9510F">
        <w:rPr>
          <w:rFonts w:hint="cs"/>
          <w:rtl/>
          <w:lang w:val="en-US" w:bidi="ar-EG"/>
        </w:rPr>
        <w:t xml:space="preserve"> بشأن خيارات تحسين التعاون على مستوى الأمانة لضمان </w:t>
      </w:r>
      <w:r w:rsidR="00CD22AF">
        <w:rPr>
          <w:rFonts w:hint="cs"/>
          <w:rtl/>
          <w:lang w:val="en-US" w:bidi="ar-EG"/>
        </w:rPr>
        <w:t>أوثق تنسيق ممكن</w:t>
      </w:r>
      <w:r w:rsidR="00F9510F">
        <w:rPr>
          <w:rFonts w:hint="cs"/>
          <w:rtl/>
          <w:lang w:val="en-US" w:bidi="ar-EG"/>
        </w:rPr>
        <w:t xml:space="preserve">. </w:t>
      </w:r>
    </w:p>
    <w:p w14:paraId="6B9F2723" w14:textId="6FE61D1F" w:rsidR="008835F9" w:rsidRPr="00CF4C8B" w:rsidRDefault="00871FB5" w:rsidP="00CF4C8B">
      <w:pPr>
        <w:rPr>
          <w:rtl/>
          <w:lang w:val="en-US" w:bidi="ar-EG"/>
        </w:rPr>
      </w:pPr>
      <w:r>
        <w:rPr>
          <w:rFonts w:hint="cs"/>
          <w:rtl/>
        </w:rPr>
        <w:t>و</w:t>
      </w:r>
      <w:r w:rsidR="00CF4C8B">
        <w:rPr>
          <w:rFonts w:hint="cs"/>
          <w:rtl/>
        </w:rPr>
        <w:t xml:space="preserve">قد اجتمع </w:t>
      </w:r>
      <w:r>
        <w:rPr>
          <w:rFonts w:hint="cs"/>
          <w:rtl/>
        </w:rPr>
        <w:t>فريق التنسيق بين القطاعات</w:t>
      </w:r>
      <w:r w:rsidR="00CF4C8B">
        <w:rPr>
          <w:rFonts w:hint="cs"/>
          <w:rtl/>
        </w:rPr>
        <w:t xml:space="preserve"> مرتين، في يونيو </w:t>
      </w:r>
      <w:r w:rsidR="00CF4C8B">
        <w:rPr>
          <w:lang w:val="en-US"/>
        </w:rPr>
        <w:t>2020</w:t>
      </w:r>
      <w:r w:rsidR="00582BF9">
        <w:rPr>
          <w:rFonts w:hint="cs"/>
          <w:rtl/>
          <w:lang w:val="en-US"/>
        </w:rPr>
        <w:t xml:space="preserve">، </w:t>
      </w:r>
      <w:r w:rsidR="00CF4C8B">
        <w:rPr>
          <w:rFonts w:hint="cs"/>
          <w:rtl/>
          <w:lang w:val="en-US"/>
        </w:rPr>
        <w:t xml:space="preserve">ومارس </w:t>
      </w:r>
      <w:r w:rsidR="00CF4C8B">
        <w:rPr>
          <w:lang w:val="en-US"/>
        </w:rPr>
        <w:t>2021</w:t>
      </w:r>
      <w:r w:rsidR="00CF4C8B">
        <w:rPr>
          <w:rFonts w:hint="cs"/>
          <w:rtl/>
          <w:lang w:val="en-US" w:bidi="ar-EG"/>
        </w:rPr>
        <w:t xml:space="preserve">، منذ أن قدم </w:t>
      </w:r>
      <w:r>
        <w:rPr>
          <w:rFonts w:hint="cs"/>
          <w:rtl/>
        </w:rPr>
        <w:t>تقريره الأخير إلى الفريق الاستشاري لتنمية الاتصالات</w:t>
      </w:r>
      <w:r w:rsidR="00CF4C8B">
        <w:rPr>
          <w:rFonts w:hint="cs"/>
          <w:rtl/>
        </w:rPr>
        <w:t xml:space="preserve">. ومن المقرر أن يعقد اجتماعه المقبل في </w:t>
      </w:r>
      <w:r w:rsidR="00CF4C8B">
        <w:rPr>
          <w:lang w:val="en-US"/>
        </w:rPr>
        <w:t>1</w:t>
      </w:r>
      <w:r w:rsidR="00CF4C8B">
        <w:rPr>
          <w:rFonts w:hint="cs"/>
          <w:rtl/>
          <w:lang w:val="en-US" w:bidi="ar-EG"/>
        </w:rPr>
        <w:t xml:space="preserve"> سبتمبر </w:t>
      </w:r>
      <w:r w:rsidR="00CF4C8B">
        <w:rPr>
          <w:lang w:val="en-US" w:bidi="ar-EG"/>
        </w:rPr>
        <w:t>2021</w:t>
      </w:r>
      <w:r w:rsidR="00CF4C8B">
        <w:rPr>
          <w:rFonts w:hint="cs"/>
          <w:rtl/>
          <w:lang w:val="en-US" w:bidi="ar-EG"/>
        </w:rPr>
        <w:t>.</w:t>
      </w:r>
    </w:p>
    <w:p w14:paraId="5FF9EB19" w14:textId="2FFE59DA" w:rsidR="00EA5035" w:rsidRDefault="003D0F44" w:rsidP="003D0F44">
      <w:pPr>
        <w:rPr>
          <w:rtl/>
          <w:lang w:bidi="ar-EG"/>
        </w:rPr>
      </w:pPr>
      <w:r>
        <w:rPr>
          <w:rFonts w:hint="cs"/>
          <w:rtl/>
          <w:lang w:bidi="ar-EG"/>
        </w:rPr>
        <w:t xml:space="preserve">وخلال الاجتماع الأخير لفريق التنسيق بين القطاعات، عرضت أمانة الفريق النسخة المحدّثة من الموقع الإلكتروني للاتحاد </w:t>
      </w:r>
      <w:hyperlink r:id="rId13" w:history="1">
        <w:r w:rsidRPr="003D0F44">
          <w:rPr>
            <w:rStyle w:val="Hyperlink"/>
            <w:rFonts w:hint="cs"/>
            <w:rtl/>
            <w:lang w:bidi="ar-EG"/>
          </w:rPr>
          <w:t>للتنسيق بين القطاعات</w:t>
        </w:r>
      </w:hyperlink>
      <w:r>
        <w:rPr>
          <w:rFonts w:hint="cs"/>
          <w:rtl/>
          <w:lang w:bidi="ar-EG"/>
        </w:rPr>
        <w:t>. وفيما يلي التغييرات الرئيسية التي طرأت عليه:</w:t>
      </w:r>
    </w:p>
    <w:p w14:paraId="08456C20" w14:textId="15F68652" w:rsidR="00EA5035" w:rsidRPr="00337FFB" w:rsidRDefault="00EA5035" w:rsidP="00EA5035">
      <w:pPr>
        <w:pStyle w:val="enumlev1"/>
        <w:rPr>
          <w:lang w:val="en-US" w:bidi="ar-EG"/>
        </w:rPr>
      </w:pPr>
      <w:r>
        <w:rPr>
          <w:rFonts w:hint="cs"/>
          <w:rtl/>
        </w:rPr>
        <w:t>-</w:t>
      </w:r>
      <w:r>
        <w:rPr>
          <w:rtl/>
        </w:rPr>
        <w:tab/>
      </w:r>
      <w:r w:rsidR="00337FFB">
        <w:rPr>
          <w:rFonts w:hint="cs"/>
          <w:rtl/>
          <w:lang w:bidi="ar-EG"/>
        </w:rPr>
        <w:t xml:space="preserve">فُعّل الرابط إلى "تنسيق الأنشطة بين القطاعات" في </w:t>
      </w:r>
      <w:hyperlink r:id="rId14" w:history="1">
        <w:r w:rsidR="00494978">
          <w:rPr>
            <w:rStyle w:val="Hyperlink"/>
            <w:rFonts w:hint="cs"/>
            <w:rtl/>
            <w:lang w:bidi="ar-EG"/>
          </w:rPr>
          <w:t>الصفحة الرئيسية</w:t>
        </w:r>
        <w:r w:rsidR="00CB4EFB">
          <w:rPr>
            <w:rStyle w:val="Hyperlink"/>
            <w:rFonts w:hint="cs"/>
            <w:rtl/>
            <w:lang w:bidi="ar-EG"/>
          </w:rPr>
          <w:t xml:space="preserve"> </w:t>
        </w:r>
        <w:r w:rsidR="00494978">
          <w:rPr>
            <w:rStyle w:val="Hyperlink"/>
            <w:rFonts w:hint="cs"/>
            <w:rtl/>
            <w:lang w:bidi="ar-EG"/>
          </w:rPr>
          <w:t>ل</w:t>
        </w:r>
        <w:r w:rsidR="00CB4EFB">
          <w:rPr>
            <w:rStyle w:val="Hyperlink"/>
            <w:rFonts w:hint="cs"/>
            <w:rtl/>
            <w:lang w:bidi="ar-EG"/>
          </w:rPr>
          <w:t>لأمانة</w:t>
        </w:r>
        <w:r w:rsidR="00337FFB" w:rsidRPr="00337FFB">
          <w:rPr>
            <w:rStyle w:val="Hyperlink"/>
            <w:rFonts w:hint="cs"/>
            <w:rtl/>
            <w:lang w:bidi="ar-EG"/>
          </w:rPr>
          <w:t xml:space="preserve"> العامة للاتحاد</w:t>
        </w:r>
      </w:hyperlink>
      <w:r w:rsidR="00337FFB">
        <w:rPr>
          <w:rFonts w:hint="cs"/>
          <w:rtl/>
          <w:lang w:bidi="ar-EG"/>
        </w:rPr>
        <w:t xml:space="preserve"> بجميع اللغات الرسمية الست للأمم المتحدة.</w:t>
      </w:r>
    </w:p>
    <w:p w14:paraId="4D83C04C" w14:textId="46B96EA6" w:rsidR="00EA5035" w:rsidRPr="002C3479" w:rsidRDefault="00EA5035" w:rsidP="00EA5035">
      <w:pPr>
        <w:pStyle w:val="enumlev1"/>
        <w:rPr>
          <w:spacing w:val="-4"/>
          <w:rtl/>
        </w:rPr>
      </w:pPr>
      <w:r>
        <w:rPr>
          <w:rFonts w:hint="cs"/>
          <w:rtl/>
        </w:rPr>
        <w:t>-</w:t>
      </w:r>
      <w:r>
        <w:rPr>
          <w:rtl/>
        </w:rPr>
        <w:tab/>
      </w:r>
      <w:r w:rsidR="00337FFB" w:rsidRPr="002C3479">
        <w:rPr>
          <w:rFonts w:hint="cs"/>
          <w:spacing w:val="-4"/>
          <w:rtl/>
        </w:rPr>
        <w:t>ستُنشر التقارير المقدمة من فريق المهام المعني بالتنسيق بين القطاعات في الصفحة الإلكترونية للتنسيق بين القطاعات.</w:t>
      </w:r>
    </w:p>
    <w:p w14:paraId="7A72E447" w14:textId="63FB870D" w:rsidR="00555B44" w:rsidRPr="00BC1A64" w:rsidRDefault="00EA5035" w:rsidP="00555B44">
      <w:pPr>
        <w:pStyle w:val="enumlev1"/>
        <w:rPr>
          <w:rFonts w:hint="cs"/>
          <w:rtl/>
          <w:lang w:val="en-US" w:bidi="ar-EG"/>
        </w:rPr>
      </w:pPr>
      <w:r>
        <w:rPr>
          <w:rFonts w:hint="cs"/>
          <w:rtl/>
        </w:rPr>
        <w:t>-</w:t>
      </w:r>
      <w:r>
        <w:rPr>
          <w:rtl/>
        </w:rPr>
        <w:tab/>
      </w:r>
      <w:r w:rsidR="00337FFB">
        <w:rPr>
          <w:rFonts w:hint="cs"/>
          <w:rtl/>
        </w:rPr>
        <w:t>حُدّث</w:t>
      </w:r>
      <w:r w:rsidR="00555B44">
        <w:rPr>
          <w:rFonts w:hint="cs"/>
          <w:rtl/>
        </w:rPr>
        <w:t>ت</w:t>
      </w:r>
      <w:r w:rsidR="00337FFB">
        <w:rPr>
          <w:rFonts w:hint="cs"/>
          <w:rtl/>
        </w:rPr>
        <w:t xml:space="preserve"> </w:t>
      </w:r>
      <w:hyperlink r:id="rId15" w:history="1">
        <w:r w:rsidR="00555B44" w:rsidRPr="00341ADD">
          <w:rPr>
            <w:rStyle w:val="Hyperlink"/>
            <w:rFonts w:hint="cs"/>
            <w:rtl/>
          </w:rPr>
          <w:t>الصفحة الإلكترونية لفريق التنسيق بين القطاعات</w:t>
        </w:r>
      </w:hyperlink>
      <w:r w:rsidR="00337FFB">
        <w:rPr>
          <w:rFonts w:hint="cs"/>
          <w:rtl/>
        </w:rPr>
        <w:t xml:space="preserve"> ببيانات اتصال جديدة (البريد الإلكتروني: </w:t>
      </w:r>
      <w:hyperlink r:id="rId16" w:history="1">
        <w:r w:rsidR="00337FFB" w:rsidRPr="003316D1">
          <w:rPr>
            <w:rStyle w:val="Hyperlink"/>
            <w:szCs w:val="24"/>
          </w:rPr>
          <w:t>iscg@itu.int</w:t>
        </w:r>
      </w:hyperlink>
      <w:r w:rsidR="00337FFB">
        <w:rPr>
          <w:rFonts w:hint="cs"/>
          <w:rtl/>
        </w:rPr>
        <w:t xml:space="preserve"> وقائمة العناوين البريدية)</w:t>
      </w:r>
      <w:r w:rsidR="00555B44">
        <w:rPr>
          <w:rFonts w:hint="cs"/>
          <w:rtl/>
        </w:rPr>
        <w:t xml:space="preserve">؛ </w:t>
      </w:r>
      <w:r w:rsidR="00E50420">
        <w:rPr>
          <w:rFonts w:hint="cs"/>
          <w:rtl/>
        </w:rPr>
        <w:t>ويُتاح حالياً النفاذ إلى</w:t>
      </w:r>
      <w:r w:rsidR="00555B44">
        <w:rPr>
          <w:rFonts w:hint="cs"/>
          <w:rtl/>
        </w:rPr>
        <w:t xml:space="preserve"> الوثائق </w:t>
      </w:r>
      <w:r w:rsidR="00E50420">
        <w:rPr>
          <w:rFonts w:hint="cs"/>
          <w:rtl/>
        </w:rPr>
        <w:t>ب</w:t>
      </w:r>
      <w:r w:rsidR="00555B44">
        <w:rPr>
          <w:rFonts w:hint="cs"/>
          <w:rtl/>
        </w:rPr>
        <w:t>حيازة حساب في خدمة</w:t>
      </w:r>
      <w:r w:rsidR="00E50420">
        <w:rPr>
          <w:rFonts w:hint="cs"/>
          <w:rtl/>
          <w:lang w:bidi="ar-EG"/>
        </w:rPr>
        <w:t xml:space="preserve"> تبادل معلومات </w:t>
      </w:r>
      <w:r w:rsidR="00E50420">
        <w:rPr>
          <w:rFonts w:hint="cs"/>
          <w:rtl/>
          <w:lang w:val="en-US" w:bidi="ar-EG"/>
        </w:rPr>
        <w:t>الاتصالات</w:t>
      </w:r>
      <w:r w:rsidR="00555B44">
        <w:rPr>
          <w:rFonts w:hint="cs"/>
          <w:rtl/>
        </w:rPr>
        <w:t xml:space="preserve"> </w:t>
      </w:r>
      <w:r w:rsidR="00555B44">
        <w:rPr>
          <w:lang w:val="en-US"/>
        </w:rPr>
        <w:t>(TIES)</w:t>
      </w:r>
      <w:r w:rsidR="00555B44">
        <w:rPr>
          <w:rFonts w:hint="cs"/>
          <w:rtl/>
          <w:lang w:val="en-US" w:bidi="ar-EG"/>
        </w:rPr>
        <w:t>؛ وسيتمكن كل عضو في الاتحاد، أيا كان القطاع الذي ينتمي إليه، من النفاذ إلى الوثائق المتعلقة بالتنسيق بين القطاعات التي ستُنشر على هذه الصفحة الإلكترونية.</w:t>
      </w:r>
    </w:p>
    <w:p w14:paraId="1EF0C4E6" w14:textId="41D1E73E" w:rsidR="00EA5035" w:rsidRDefault="00E50420" w:rsidP="00B54FCA">
      <w:pPr>
        <w:rPr>
          <w:rtl/>
        </w:rPr>
      </w:pPr>
      <w:r>
        <w:rPr>
          <w:rFonts w:hint="cs"/>
          <w:rtl/>
        </w:rPr>
        <w:t>وطلب أعضاء فريق التنسيق بين القطاعات إضافة رابط صفحة الفريق الإلكترونية إلى المواقع الإلكترونية للأفرقة الاستشارية الثلاثة على نحو منسّق.</w:t>
      </w:r>
    </w:p>
    <w:p w14:paraId="72FFCE93" w14:textId="3F30BB49" w:rsidR="00EA5035" w:rsidRDefault="004735C2" w:rsidP="00B54FCA">
      <w:pPr>
        <w:rPr>
          <w:rtl/>
        </w:rPr>
      </w:pPr>
      <w:r>
        <w:rPr>
          <w:rFonts w:hint="cs"/>
          <w:rtl/>
        </w:rPr>
        <w:t xml:space="preserve">وستواصل أمانة </w:t>
      </w:r>
      <w:r w:rsidR="00671CE3">
        <w:rPr>
          <w:rFonts w:hint="cs"/>
          <w:rtl/>
        </w:rPr>
        <w:t>ال</w:t>
      </w:r>
      <w:r>
        <w:rPr>
          <w:rFonts w:hint="cs"/>
          <w:rtl/>
        </w:rPr>
        <w:t xml:space="preserve">فريق العمل من أجل تحسين مستوى النفاذ إلى الموقع الإلكتروني، وكذلك إلى المعلومات المتعلقة بالاجتماعات، فترجو من الأعضاء إبلاغها </w:t>
      </w:r>
      <w:r w:rsidR="00D83506">
        <w:rPr>
          <w:rFonts w:hint="cs"/>
          <w:rtl/>
        </w:rPr>
        <w:t xml:space="preserve">بما قد </w:t>
      </w:r>
      <w:proofErr w:type="spellStart"/>
      <w:r w:rsidR="00D83506">
        <w:rPr>
          <w:rFonts w:hint="cs"/>
          <w:rtl/>
        </w:rPr>
        <w:t>يواجههم</w:t>
      </w:r>
      <w:proofErr w:type="spellEnd"/>
      <w:r w:rsidR="00D83506">
        <w:rPr>
          <w:rFonts w:hint="cs"/>
          <w:rtl/>
        </w:rPr>
        <w:t xml:space="preserve"> من صعوبات في النفاذ</w:t>
      </w:r>
      <w:r>
        <w:rPr>
          <w:rFonts w:hint="cs"/>
          <w:rtl/>
        </w:rPr>
        <w:t>. وفيما يخص تصميم الموقع و</w:t>
      </w:r>
      <w:r w:rsidR="00BC1A64">
        <w:rPr>
          <w:rFonts w:hint="cs"/>
          <w:rtl/>
          <w:lang w:bidi="ar-EG"/>
        </w:rPr>
        <w:t>تنسيقه</w:t>
      </w:r>
      <w:r>
        <w:rPr>
          <w:rFonts w:hint="cs"/>
          <w:rtl/>
        </w:rPr>
        <w:t>، ستؤخذ الشواغل المتصلة بهما في الاعتبار في مشروع الموقع الإلكتروني الجديد للاتحاد.</w:t>
      </w:r>
    </w:p>
    <w:p w14:paraId="4C742B49" w14:textId="54100774" w:rsidR="00EA5035" w:rsidRDefault="00EA5035" w:rsidP="00EA5035">
      <w:pPr>
        <w:pStyle w:val="Heading1"/>
        <w:rPr>
          <w:rtl/>
          <w:lang w:bidi="ar-EG"/>
        </w:rPr>
      </w:pPr>
      <w:r>
        <w:rPr>
          <w:rFonts w:hint="cs"/>
          <w:rtl/>
        </w:rPr>
        <w:t>2</w:t>
      </w:r>
      <w:r>
        <w:rPr>
          <w:rtl/>
        </w:rPr>
        <w:tab/>
      </w:r>
      <w:r w:rsidR="00BC1A64">
        <w:rPr>
          <w:rFonts w:hint="cs"/>
          <w:rtl/>
        </w:rPr>
        <w:t xml:space="preserve">تعزيز التعاون والأنشطة المشتركة </w:t>
      </w:r>
      <w:r w:rsidR="00D83506">
        <w:rPr>
          <w:rFonts w:hint="cs"/>
          <w:rtl/>
        </w:rPr>
        <w:t>بشأن</w:t>
      </w:r>
      <w:r w:rsidR="00BC1A64">
        <w:rPr>
          <w:rFonts w:hint="cs"/>
          <w:rtl/>
        </w:rPr>
        <w:t xml:space="preserve"> القضايا ذات الاهتمام </w:t>
      </w:r>
      <w:r w:rsidR="00D83506">
        <w:rPr>
          <w:rFonts w:hint="cs"/>
          <w:rtl/>
        </w:rPr>
        <w:t>المشترك</w:t>
      </w:r>
    </w:p>
    <w:p w14:paraId="53AD5922" w14:textId="4195A9D2" w:rsidR="004A090A" w:rsidRPr="00D90101" w:rsidRDefault="00D83506" w:rsidP="008E62E0">
      <w:pPr>
        <w:rPr>
          <w:rtl/>
          <w:lang w:val="en-US" w:bidi="ar-EG"/>
        </w:rPr>
      </w:pPr>
      <w:r>
        <w:rPr>
          <w:rFonts w:hint="cs"/>
          <w:rtl/>
        </w:rPr>
        <w:t xml:space="preserve">خلال الاجتماع الأخير لفريق التنسيق بين القطاعات، عرضت الأمانة نموذجاً جديداً </w:t>
      </w:r>
      <w:r w:rsidR="00CA7702">
        <w:rPr>
          <w:rFonts w:hint="cs"/>
          <w:rtl/>
        </w:rPr>
        <w:t>لجداول التقابل يتضمن المعلومات الواردة من الفريق الاستشاري لتقييس الاتصالات وفقاً ل</w:t>
      </w:r>
      <w:r w:rsidR="005A0AFF">
        <w:rPr>
          <w:rFonts w:hint="cs"/>
          <w:rtl/>
        </w:rPr>
        <w:t>ل</w:t>
      </w:r>
      <w:r w:rsidR="00CA7702">
        <w:rPr>
          <w:rFonts w:hint="cs"/>
          <w:rtl/>
        </w:rPr>
        <w:t xml:space="preserve">تغييرات </w:t>
      </w:r>
      <w:r w:rsidR="005A0AFF">
        <w:rPr>
          <w:rFonts w:hint="cs"/>
          <w:rtl/>
        </w:rPr>
        <w:t>ال</w:t>
      </w:r>
      <w:r w:rsidR="00CA7702">
        <w:rPr>
          <w:rFonts w:hint="cs"/>
          <w:rtl/>
        </w:rPr>
        <w:t>هيكل</w:t>
      </w:r>
      <w:r w:rsidR="005A0AFF">
        <w:rPr>
          <w:rFonts w:hint="cs"/>
          <w:rtl/>
        </w:rPr>
        <w:t>ية</w:t>
      </w:r>
      <w:r w:rsidR="00CA7702">
        <w:rPr>
          <w:rFonts w:hint="cs"/>
          <w:rtl/>
        </w:rPr>
        <w:t xml:space="preserve"> </w:t>
      </w:r>
      <w:r w:rsidR="005A0AFF">
        <w:rPr>
          <w:rFonts w:hint="cs"/>
          <w:rtl/>
        </w:rPr>
        <w:t xml:space="preserve">الطارئة على </w:t>
      </w:r>
      <w:r w:rsidR="00CA7702">
        <w:rPr>
          <w:rFonts w:hint="cs"/>
          <w:rtl/>
        </w:rPr>
        <w:t>قطاع تقييس الات</w:t>
      </w:r>
      <w:r w:rsidR="004A6EE9">
        <w:rPr>
          <w:rFonts w:hint="cs"/>
          <w:rtl/>
        </w:rPr>
        <w:t xml:space="preserve">صالات بالاتحاد التي جرت الموافقة عليها خلال اجتماع </w:t>
      </w:r>
      <w:r w:rsidR="005A0AFF">
        <w:rPr>
          <w:rFonts w:hint="cs"/>
          <w:rtl/>
        </w:rPr>
        <w:t xml:space="preserve">هذا </w:t>
      </w:r>
      <w:r w:rsidR="004A6EE9">
        <w:rPr>
          <w:rFonts w:hint="cs"/>
          <w:rtl/>
        </w:rPr>
        <w:t>الفريق الاستشاري</w:t>
      </w:r>
      <w:r w:rsidR="00244F83">
        <w:rPr>
          <w:rFonts w:hint="cs"/>
          <w:rtl/>
        </w:rPr>
        <w:t>،</w:t>
      </w:r>
      <w:r w:rsidR="004A6EE9">
        <w:rPr>
          <w:rFonts w:hint="cs"/>
          <w:rtl/>
        </w:rPr>
        <w:t xml:space="preserve"> </w:t>
      </w:r>
      <w:r w:rsidR="00D90101">
        <w:rPr>
          <w:rFonts w:hint="cs"/>
          <w:rtl/>
        </w:rPr>
        <w:t xml:space="preserve">الذي عُقد في يناير </w:t>
      </w:r>
      <w:r w:rsidR="00D90101">
        <w:rPr>
          <w:lang w:val="en-US"/>
        </w:rPr>
        <w:t>2021</w:t>
      </w:r>
      <w:r w:rsidR="00D90101">
        <w:rPr>
          <w:rFonts w:hint="cs"/>
          <w:rtl/>
          <w:lang w:val="en-US" w:bidi="ar-EG"/>
        </w:rPr>
        <w:t>.</w:t>
      </w:r>
      <w:r w:rsidR="005A0AFF">
        <w:rPr>
          <w:rFonts w:hint="cs"/>
          <w:rtl/>
          <w:lang w:val="en-US" w:bidi="ar-EG"/>
        </w:rPr>
        <w:t xml:space="preserve"> </w:t>
      </w:r>
    </w:p>
    <w:p w14:paraId="7F925454" w14:textId="320BABE7" w:rsidR="00EA5035" w:rsidRDefault="005A0AFF" w:rsidP="008E62E0">
      <w:pPr>
        <w:rPr>
          <w:rtl/>
        </w:rPr>
      </w:pPr>
      <w:r>
        <w:rPr>
          <w:rFonts w:hint="cs"/>
          <w:rtl/>
        </w:rPr>
        <w:t xml:space="preserve">ويمكن الاطلاع على هذه الوثيقة بالرمز </w:t>
      </w:r>
      <w:hyperlink r:id="rId17" w:history="1">
        <w:r w:rsidRPr="00DE2FBE">
          <w:rPr>
            <w:rStyle w:val="Hyperlink"/>
            <w:szCs w:val="24"/>
          </w:rPr>
          <w:t>ISCG/21-4/05-E</w:t>
        </w:r>
      </w:hyperlink>
      <w:r>
        <w:rPr>
          <w:rFonts w:hint="cs"/>
          <w:rtl/>
        </w:rPr>
        <w:t xml:space="preserve">. وطلب رئيس فريق التنسيق إلى الأفرقة الاستشارية الثلاثة استعراض جداول التقابل وتحديثها بناءً على ذلك، وتقديم الوثيقة النهائية إلى أمانة فريق التنسيق </w:t>
      </w:r>
      <w:r w:rsidR="00244F83">
        <w:rPr>
          <w:rFonts w:hint="cs"/>
          <w:rtl/>
        </w:rPr>
        <w:t>(</w:t>
      </w:r>
      <w:hyperlink r:id="rId18" w:history="1">
        <w:r w:rsidR="00CB7F28" w:rsidRPr="000E1EF1">
          <w:rPr>
            <w:rStyle w:val="Hyperlink"/>
            <w:szCs w:val="24"/>
          </w:rPr>
          <w:t>iscg@itu.int</w:t>
        </w:r>
      </w:hyperlink>
      <w:r w:rsidR="00244F83">
        <w:rPr>
          <w:rFonts w:hint="cs"/>
          <w:rtl/>
        </w:rPr>
        <w:t>) لتُنشر في</w:t>
      </w:r>
      <w:r w:rsidR="00494978">
        <w:rPr>
          <w:rFonts w:hint="eastAsia"/>
          <w:rtl/>
        </w:rPr>
        <w:t> </w:t>
      </w:r>
      <w:r w:rsidR="00683003">
        <w:rPr>
          <w:rFonts w:hint="cs"/>
          <w:rtl/>
        </w:rPr>
        <w:t>ال</w:t>
      </w:r>
      <w:r w:rsidR="00244F83">
        <w:rPr>
          <w:rFonts w:hint="cs"/>
          <w:rtl/>
        </w:rPr>
        <w:t>موقع</w:t>
      </w:r>
      <w:r w:rsidR="00683003">
        <w:rPr>
          <w:rFonts w:hint="cs"/>
          <w:rtl/>
        </w:rPr>
        <w:t xml:space="preserve"> </w:t>
      </w:r>
      <w:r w:rsidR="00244F83">
        <w:rPr>
          <w:rFonts w:hint="cs"/>
          <w:rtl/>
        </w:rPr>
        <w:t>الإلكتروني</w:t>
      </w:r>
      <w:r w:rsidR="00683003">
        <w:rPr>
          <w:rFonts w:hint="cs"/>
          <w:rtl/>
        </w:rPr>
        <w:t xml:space="preserve"> للفريق</w:t>
      </w:r>
      <w:r w:rsidR="00244F83">
        <w:rPr>
          <w:rFonts w:hint="cs"/>
          <w:rtl/>
        </w:rPr>
        <w:t>.</w:t>
      </w:r>
    </w:p>
    <w:p w14:paraId="58AD7708" w14:textId="04C9DF8C" w:rsidR="00EA5035" w:rsidRPr="00671CE3" w:rsidRDefault="00CB7F28" w:rsidP="008E62E0">
      <w:pPr>
        <w:rPr>
          <w:rtl/>
          <w:lang w:val="en-US" w:bidi="ar-EG"/>
        </w:rPr>
      </w:pPr>
      <w:r>
        <w:rPr>
          <w:rFonts w:hint="cs"/>
          <w:rtl/>
        </w:rPr>
        <w:t>وأعرب رئيس فريق التنسيق بين القطاعات أيضاً عن رغبته في رفع جدول التقابل المتعلق بالقرارات</w:t>
      </w:r>
      <w:r w:rsidR="00671CE3">
        <w:rPr>
          <w:rFonts w:hint="cs"/>
          <w:rtl/>
        </w:rPr>
        <w:t xml:space="preserve"> (انظر </w:t>
      </w:r>
      <w:hyperlink r:id="rId19" w:history="1">
        <w:r w:rsidR="00671CE3" w:rsidRPr="00671CE3">
          <w:rPr>
            <w:rStyle w:val="Hyperlink"/>
            <w:rFonts w:hint="cs"/>
            <w:rtl/>
          </w:rPr>
          <w:t>هنا</w:t>
        </w:r>
      </w:hyperlink>
      <w:r w:rsidR="00671CE3">
        <w:rPr>
          <w:rFonts w:hint="cs"/>
          <w:rtl/>
        </w:rPr>
        <w:t>)</w:t>
      </w:r>
      <w:r>
        <w:rPr>
          <w:rFonts w:hint="cs"/>
          <w:rtl/>
        </w:rPr>
        <w:t xml:space="preserve"> إلى عناية الفريق الاستشاري لتنمية الاتصالات</w:t>
      </w:r>
      <w:r w:rsidR="00671CE3">
        <w:rPr>
          <w:rFonts w:hint="cs"/>
          <w:rtl/>
        </w:rPr>
        <w:t xml:space="preserve">، إذ يمكن استعراضه وتحديثه مع مراعاة الأعمال التحضيرية للمؤتمر العالمي لتنمية الاتصالات لعام </w:t>
      </w:r>
      <w:r w:rsidR="00671CE3">
        <w:rPr>
          <w:lang w:val="en-US"/>
        </w:rPr>
        <w:t>2021</w:t>
      </w:r>
      <w:r w:rsidR="00671CE3">
        <w:rPr>
          <w:rFonts w:hint="cs"/>
          <w:rtl/>
          <w:lang w:val="en-US" w:bidi="ar-EG"/>
        </w:rPr>
        <w:t xml:space="preserve"> </w:t>
      </w:r>
      <w:r w:rsidR="00671CE3">
        <w:rPr>
          <w:lang w:val="en-US" w:bidi="ar-EG"/>
        </w:rPr>
        <w:t>(WTDC-21)</w:t>
      </w:r>
      <w:r w:rsidR="00671CE3">
        <w:rPr>
          <w:rFonts w:hint="cs"/>
          <w:rtl/>
          <w:lang w:val="en-US" w:bidi="ar-EG"/>
        </w:rPr>
        <w:t xml:space="preserve">. </w:t>
      </w:r>
    </w:p>
    <w:p w14:paraId="471556DF" w14:textId="1D6B8D69" w:rsidR="00EA5035" w:rsidRDefault="00671CE3" w:rsidP="008E62E0">
      <w:pPr>
        <w:rPr>
          <w:rtl/>
        </w:rPr>
      </w:pPr>
      <w:r>
        <w:rPr>
          <w:rFonts w:hint="cs"/>
          <w:rtl/>
        </w:rPr>
        <w:t xml:space="preserve">كما عرضت أمانة الفريق تقريراً مرحلياً </w:t>
      </w:r>
      <w:r w:rsidR="00FF414E">
        <w:rPr>
          <w:rFonts w:hint="cs"/>
          <w:rtl/>
        </w:rPr>
        <w:t xml:space="preserve">عن موضوع "تغير المناخ" </w:t>
      </w:r>
      <w:r w:rsidR="00C64466">
        <w:rPr>
          <w:rFonts w:hint="cs"/>
          <w:rtl/>
        </w:rPr>
        <w:t>الرئيسي</w:t>
      </w:r>
      <w:r w:rsidR="00FF414E">
        <w:rPr>
          <w:rFonts w:hint="cs"/>
          <w:rtl/>
        </w:rPr>
        <w:t xml:space="preserve"> الذي يمكن الاطلاع عليه في الوثيقة </w:t>
      </w:r>
      <w:hyperlink r:id="rId20" w:history="1">
        <w:r w:rsidR="00FF414E" w:rsidRPr="00646331">
          <w:rPr>
            <w:rStyle w:val="Hyperlink"/>
            <w:szCs w:val="24"/>
          </w:rPr>
          <w:t>ISCG/21-1/05</w:t>
        </w:r>
      </w:hyperlink>
      <w:r w:rsidR="00FF414E">
        <w:rPr>
          <w:rFonts w:hint="cs"/>
          <w:rtl/>
        </w:rPr>
        <w:t>.</w:t>
      </w:r>
    </w:p>
    <w:p w14:paraId="55A3C309" w14:textId="00589C95" w:rsidR="00EA5035" w:rsidRPr="005F5162" w:rsidRDefault="001E517E" w:rsidP="00347227">
      <w:pPr>
        <w:keepNext/>
        <w:keepLines/>
        <w:rPr>
          <w:rtl/>
          <w:lang w:val="en-US" w:bidi="ar-EG"/>
        </w:rPr>
      </w:pPr>
      <w:r>
        <w:rPr>
          <w:rFonts w:hint="cs"/>
          <w:rtl/>
        </w:rPr>
        <w:lastRenderedPageBreak/>
        <w:t xml:space="preserve">وعُرضت </w:t>
      </w:r>
      <w:r w:rsidR="00B258DC">
        <w:rPr>
          <w:rFonts w:hint="cs"/>
          <w:rtl/>
        </w:rPr>
        <w:t xml:space="preserve">في الاجتماع </w:t>
      </w:r>
      <w:r>
        <w:rPr>
          <w:rFonts w:hint="cs"/>
          <w:rtl/>
        </w:rPr>
        <w:t xml:space="preserve">مساهمة مقدمة من الفريق الاستشاري لتقييس الاتصالات </w:t>
      </w:r>
      <w:r w:rsidR="00B258DC">
        <w:rPr>
          <w:lang w:val="en-US"/>
        </w:rPr>
        <w:t>(TSAG)</w:t>
      </w:r>
      <w:r w:rsidR="00B258DC">
        <w:rPr>
          <w:rFonts w:hint="cs"/>
          <w:rtl/>
          <w:lang w:val="en-US" w:bidi="ar-EG"/>
        </w:rPr>
        <w:t xml:space="preserve"> </w:t>
      </w:r>
      <w:r w:rsidR="00B258DC">
        <w:rPr>
          <w:rFonts w:hint="cs"/>
          <w:rtl/>
          <w:lang w:bidi="ar-EG"/>
        </w:rPr>
        <w:t>بشأن</w:t>
      </w:r>
      <w:r>
        <w:rPr>
          <w:rFonts w:hint="cs"/>
          <w:rtl/>
        </w:rPr>
        <w:t xml:space="preserve"> "التوعية بإمكانية النفاذ في</w:t>
      </w:r>
      <w:r w:rsidR="00BE232D">
        <w:rPr>
          <w:rFonts w:hint="eastAsia"/>
          <w:rtl/>
        </w:rPr>
        <w:t> </w:t>
      </w:r>
      <w:r>
        <w:rPr>
          <w:rFonts w:hint="cs"/>
          <w:rtl/>
        </w:rPr>
        <w:t>الاتحاد الدولي للاتصالات"، تقترح</w:t>
      </w:r>
      <w:r w:rsidR="005F5162">
        <w:rPr>
          <w:rFonts w:hint="cs"/>
          <w:rtl/>
          <w:lang w:bidi="ar-EG"/>
        </w:rPr>
        <w:t xml:space="preserve"> إجراء اختبار تجريبي</w:t>
      </w:r>
      <w:r>
        <w:rPr>
          <w:rFonts w:hint="cs"/>
          <w:rtl/>
        </w:rPr>
        <w:t xml:space="preserve"> لإمكانية النفاذ، بناءً على خبرة قطاع تقييس الاتصالات بالاتحاد (انظر</w:t>
      </w:r>
      <w:r w:rsidR="00BE232D">
        <w:rPr>
          <w:rFonts w:hint="eastAsia"/>
          <w:rtl/>
        </w:rPr>
        <w:t> </w:t>
      </w:r>
      <w:hyperlink r:id="rId21" w:history="1">
        <w:r w:rsidRPr="00646331">
          <w:rPr>
            <w:rStyle w:val="Hyperlink"/>
            <w:szCs w:val="24"/>
          </w:rPr>
          <w:t>TSAG-TD1014</w:t>
        </w:r>
      </w:hyperlink>
      <w:r>
        <w:rPr>
          <w:rFonts w:hint="cs"/>
          <w:rtl/>
        </w:rPr>
        <w:t xml:space="preserve">). </w:t>
      </w:r>
      <w:r w:rsidR="005F5162">
        <w:rPr>
          <w:rFonts w:hint="cs"/>
          <w:rtl/>
          <w:lang w:val="en-US" w:bidi="ar-EG"/>
        </w:rPr>
        <w:t xml:space="preserve">وسيُبحث هذا الموضوع وينسَّق في إطار فريق المهام المعني بالتنسيق بين القطاعات </w:t>
      </w:r>
      <w:r w:rsidR="005F5162">
        <w:rPr>
          <w:lang w:val="en-US" w:bidi="ar-EG"/>
        </w:rPr>
        <w:t>(ISC-TF)</w:t>
      </w:r>
      <w:r w:rsidR="005F5162">
        <w:rPr>
          <w:rFonts w:hint="cs"/>
          <w:rtl/>
          <w:lang w:val="en-US" w:bidi="ar-EG"/>
        </w:rPr>
        <w:t xml:space="preserve">، فاتفق أعضاء فريق التنسيق بين القطاعات </w:t>
      </w:r>
      <w:r w:rsidR="005F5162">
        <w:rPr>
          <w:lang w:val="en-US" w:bidi="ar-EG"/>
        </w:rPr>
        <w:t>(ISCG)</w:t>
      </w:r>
      <w:r w:rsidR="005F5162">
        <w:rPr>
          <w:rFonts w:hint="cs"/>
          <w:rtl/>
          <w:lang w:val="en-US" w:bidi="ar-EG"/>
        </w:rPr>
        <w:t xml:space="preserve"> أيضاً على بحث موضوع "إمكانية النفاذ" كموضوع محدد</w:t>
      </w:r>
      <w:r w:rsidR="00B258DC">
        <w:rPr>
          <w:rFonts w:hint="cs"/>
          <w:rtl/>
          <w:lang w:val="en-US" w:bidi="ar-EG"/>
        </w:rPr>
        <w:t>،</w:t>
      </w:r>
      <w:r w:rsidR="005F5162">
        <w:rPr>
          <w:rFonts w:hint="cs"/>
          <w:rtl/>
          <w:lang w:val="en-US" w:bidi="ar-EG"/>
        </w:rPr>
        <w:t xml:space="preserve"> وطلب إلى فريق المهام أن يقدم إليه تقريراً عن هذا الموضوع في الاجتماع المقبل لفريق التنسيق الذي سيُعقد في سبتمبر </w:t>
      </w:r>
      <w:r w:rsidR="005F5162">
        <w:rPr>
          <w:lang w:val="en-US" w:bidi="ar-EG"/>
        </w:rPr>
        <w:t>2021</w:t>
      </w:r>
      <w:r w:rsidR="005F5162">
        <w:rPr>
          <w:rFonts w:hint="cs"/>
          <w:rtl/>
          <w:lang w:val="en-US" w:bidi="ar-EG"/>
        </w:rPr>
        <w:t xml:space="preserve">. </w:t>
      </w:r>
    </w:p>
    <w:p w14:paraId="035276D1" w14:textId="3F55D243" w:rsidR="00EA5035" w:rsidRDefault="00B258DC" w:rsidP="008E62E0">
      <w:pPr>
        <w:rPr>
          <w:rtl/>
        </w:rPr>
      </w:pPr>
      <w:r>
        <w:rPr>
          <w:rFonts w:hint="cs"/>
          <w:rtl/>
        </w:rPr>
        <w:t xml:space="preserve">وقدم الاتحاد الروسي مساهمة بشأن "تنسيق المواقع الإلكترونية للاتحاد الدولي للاتصالات" (انظر </w:t>
      </w:r>
      <w:hyperlink r:id="rId22" w:history="1">
        <w:r w:rsidR="007D1E98" w:rsidRPr="00CF62F6">
          <w:rPr>
            <w:rStyle w:val="Hyperlink"/>
            <w:szCs w:val="24"/>
          </w:rPr>
          <w:t>ISCG/21-1/06</w:t>
        </w:r>
      </w:hyperlink>
      <w:r>
        <w:rPr>
          <w:rFonts w:hint="cs"/>
          <w:rtl/>
        </w:rPr>
        <w:t>) توضح عدة تحديات يواجهها المستخدِم عند النفاذ إلى الموقع الإلكتروني،</w:t>
      </w:r>
      <w:r w:rsidR="007D1E98">
        <w:rPr>
          <w:rFonts w:hint="cs"/>
          <w:rtl/>
        </w:rPr>
        <w:t xml:space="preserve"> فضلاً عن ضرورة تسريع عملية</w:t>
      </w:r>
      <w:r w:rsidR="00FC6134">
        <w:rPr>
          <w:rFonts w:hint="cs"/>
          <w:rtl/>
        </w:rPr>
        <w:t xml:space="preserve"> تنسيق المواقع الإلكترونية لقطاعات الاتحاد الثلاثة.</w:t>
      </w:r>
      <w:r w:rsidR="007D1E98">
        <w:rPr>
          <w:rFonts w:hint="cs"/>
          <w:rtl/>
        </w:rPr>
        <w:t xml:space="preserve"> </w:t>
      </w:r>
    </w:p>
    <w:p w14:paraId="6147A377" w14:textId="75B5A117" w:rsidR="00EA5035" w:rsidRPr="001E3688" w:rsidRDefault="00A30912" w:rsidP="008E62E0">
      <w:pPr>
        <w:rPr>
          <w:rtl/>
          <w:lang w:val="en-US" w:bidi="ar-EG"/>
        </w:rPr>
      </w:pPr>
      <w:r>
        <w:rPr>
          <w:rFonts w:hint="cs"/>
          <w:rtl/>
        </w:rPr>
        <w:t xml:space="preserve">وكان رئيس شعبة الاتصالات الاستراتيجية من بين الحاضرين في اجتماع فريق التنسيق بين القطاعات، فرحب بمساهمة الاتحاد الروسي وأوضح </w:t>
      </w:r>
      <w:r w:rsidR="001E3688">
        <w:rPr>
          <w:rFonts w:hint="cs"/>
          <w:rtl/>
        </w:rPr>
        <w:t>ال</w:t>
      </w:r>
      <w:r>
        <w:rPr>
          <w:rFonts w:hint="cs"/>
          <w:rtl/>
        </w:rPr>
        <w:t>أعمال</w:t>
      </w:r>
      <w:r w:rsidR="001E3688">
        <w:rPr>
          <w:rFonts w:hint="cs"/>
          <w:rtl/>
        </w:rPr>
        <w:t xml:space="preserve"> الجاري تنفيذها فعلياً</w:t>
      </w:r>
      <w:r>
        <w:rPr>
          <w:rFonts w:hint="cs"/>
          <w:rtl/>
        </w:rPr>
        <w:t xml:space="preserve"> لتحسين الموقع الإلكتروني</w:t>
      </w:r>
      <w:r w:rsidR="001E3688">
        <w:rPr>
          <w:rFonts w:hint="cs"/>
          <w:rtl/>
        </w:rPr>
        <w:t xml:space="preserve">، ومشروع الموقع الإلكتروني الجديد للاتحاد، الذي سيُعرض على المجلس في دورته لعام </w:t>
      </w:r>
      <w:r w:rsidR="001E3688">
        <w:rPr>
          <w:lang w:val="en-US"/>
        </w:rPr>
        <w:t>2021</w:t>
      </w:r>
      <w:r w:rsidR="00EB28BC">
        <w:rPr>
          <w:rFonts w:hint="cs"/>
          <w:rtl/>
          <w:lang w:val="en-US" w:bidi="ar-EG"/>
        </w:rPr>
        <w:t xml:space="preserve"> (انظر </w:t>
      </w:r>
      <w:hyperlink r:id="rId23" w:history="1">
        <w:r w:rsidR="00EB28BC" w:rsidRPr="00CF62F6">
          <w:rPr>
            <w:rStyle w:val="Hyperlink"/>
            <w:szCs w:val="24"/>
          </w:rPr>
          <w:t>ISCG/21-1/INF/1-E</w:t>
        </w:r>
      </w:hyperlink>
      <w:r w:rsidR="00EB28BC">
        <w:rPr>
          <w:rFonts w:hint="cs"/>
          <w:rtl/>
          <w:lang w:val="en-US" w:bidi="ar-EG"/>
        </w:rPr>
        <w:t>).</w:t>
      </w:r>
    </w:p>
    <w:p w14:paraId="3D8424CE" w14:textId="627BA897" w:rsidR="00EA5035" w:rsidRDefault="00132A8D" w:rsidP="008E62E0">
      <w:pPr>
        <w:rPr>
          <w:rtl/>
        </w:rPr>
      </w:pPr>
      <w:r>
        <w:rPr>
          <w:rFonts w:hint="cs"/>
          <w:rtl/>
          <w:lang w:bidi="ar-EG"/>
        </w:rPr>
        <w:t xml:space="preserve">كما </w:t>
      </w:r>
      <w:r w:rsidR="00654065">
        <w:rPr>
          <w:rFonts w:hint="cs"/>
          <w:rtl/>
        </w:rPr>
        <w:t>أبدى</w:t>
      </w:r>
      <w:r w:rsidR="00646EAE">
        <w:rPr>
          <w:rFonts w:hint="cs"/>
          <w:rtl/>
        </w:rPr>
        <w:t xml:space="preserve"> أعضاء فريق </w:t>
      </w:r>
      <w:r w:rsidR="00654065">
        <w:rPr>
          <w:rFonts w:hint="cs"/>
          <w:rtl/>
        </w:rPr>
        <w:t>التنسيق</w:t>
      </w:r>
      <w:r w:rsidR="00AC7494">
        <w:rPr>
          <w:rFonts w:hint="cs"/>
          <w:rtl/>
        </w:rPr>
        <w:t xml:space="preserve"> بين القطاع</w:t>
      </w:r>
      <w:r w:rsidR="00BE232D">
        <w:rPr>
          <w:rFonts w:hint="cs"/>
          <w:rtl/>
        </w:rPr>
        <w:t>ا</w:t>
      </w:r>
      <w:r w:rsidR="00AC7494">
        <w:rPr>
          <w:rFonts w:hint="cs"/>
          <w:rtl/>
        </w:rPr>
        <w:t>ت</w:t>
      </w:r>
      <w:r w:rsidR="00654065">
        <w:rPr>
          <w:rFonts w:hint="cs"/>
          <w:rtl/>
        </w:rPr>
        <w:t xml:space="preserve"> تعليقات بشأن جملة مواضيع منها ضرورة تنسيق إجراءات المشاركة عن بُعد لتعدد المنصات المختلفة التي تستخدمها القطاعات حالياً. وطلب رئيس فريق التنسيق تقديم تقرير عن هذا الموضوع كذلك إلى الاجتماع المقبل للفريق.</w:t>
      </w:r>
    </w:p>
    <w:p w14:paraId="1F310D8F" w14:textId="7D6D1ED4" w:rsidR="00EA5035" w:rsidRPr="00132A8D" w:rsidRDefault="00AC7494" w:rsidP="008E62E0">
      <w:pPr>
        <w:rPr>
          <w:rtl/>
        </w:rPr>
      </w:pPr>
      <w:r>
        <w:rPr>
          <w:rFonts w:hint="cs"/>
          <w:rtl/>
        </w:rPr>
        <w:t xml:space="preserve">وأخيراً، عرض فريق التنسيق بين القطاعات بيان اتصال صادر إلى اجتماع الفريق الاستشاري للاتصالات الراديوية </w:t>
      </w:r>
      <w:r>
        <w:rPr>
          <w:lang w:val="en-US"/>
        </w:rPr>
        <w:t>(RAG)</w:t>
      </w:r>
      <w:r>
        <w:rPr>
          <w:rFonts w:hint="cs"/>
          <w:rtl/>
          <w:lang w:val="en-US" w:bidi="ar-EG"/>
        </w:rPr>
        <w:t xml:space="preserve">، الذي عُقد في مارس. </w:t>
      </w:r>
      <w:r w:rsidR="00A23777">
        <w:rPr>
          <w:rFonts w:hint="cs"/>
          <w:rtl/>
          <w:lang w:val="en-US" w:bidi="ar-EG"/>
        </w:rPr>
        <w:t>ف</w:t>
      </w:r>
      <w:r>
        <w:rPr>
          <w:rFonts w:hint="cs"/>
          <w:rtl/>
          <w:lang w:val="en-US" w:bidi="ar-EG"/>
        </w:rPr>
        <w:t xml:space="preserve">خلال ذلك الاجتماع، اتفق أعضاء الفريق الاستشاري على ضرورة أن تواصل المكاتب الثلاثة، مكتب تنمية الاتصالات </w:t>
      </w:r>
      <w:r>
        <w:rPr>
          <w:lang w:val="en-US" w:bidi="ar-EG"/>
        </w:rPr>
        <w:t>(BDT)</w:t>
      </w:r>
      <w:r>
        <w:rPr>
          <w:rFonts w:hint="cs"/>
          <w:rtl/>
          <w:lang w:val="en-US" w:bidi="ar-EG"/>
        </w:rPr>
        <w:t xml:space="preserve"> ومكتب الاتصالات </w:t>
      </w:r>
      <w:r w:rsidR="00FF7BE8">
        <w:rPr>
          <w:rFonts w:hint="cs"/>
          <w:rtl/>
          <w:lang w:val="en-US" w:bidi="ar-EG"/>
        </w:rPr>
        <w:t xml:space="preserve">الراديوية </w:t>
      </w:r>
      <w:r>
        <w:rPr>
          <w:lang w:val="en-US" w:bidi="ar-EG"/>
        </w:rPr>
        <w:t>(BR)</w:t>
      </w:r>
      <w:r>
        <w:rPr>
          <w:rFonts w:hint="cs"/>
          <w:rtl/>
          <w:lang w:val="en-US" w:bidi="ar-EG"/>
        </w:rPr>
        <w:t xml:space="preserve"> ومكتب تقييس الاتصالات </w:t>
      </w:r>
      <w:r>
        <w:rPr>
          <w:lang w:val="en-US" w:bidi="ar-EG"/>
        </w:rPr>
        <w:t>(TSB)</w:t>
      </w:r>
      <w:r>
        <w:rPr>
          <w:rFonts w:hint="cs"/>
          <w:rtl/>
          <w:lang w:val="en-US" w:bidi="ar-EG"/>
        </w:rPr>
        <w:t>، أداء مهمة تحديث جداول التقابل</w:t>
      </w:r>
      <w:r w:rsidR="00E10F37">
        <w:rPr>
          <w:rFonts w:hint="cs"/>
          <w:rtl/>
          <w:lang w:val="en-US" w:bidi="ar-EG"/>
        </w:rPr>
        <w:t>. وتتولى دائرة لجان الدراسات بمكتب الاتصالات الراديوية استعراض هذه الجداول بانتظام.</w:t>
      </w:r>
      <w:r>
        <w:rPr>
          <w:rFonts w:hint="cs"/>
          <w:rtl/>
        </w:rPr>
        <w:t xml:space="preserve"> </w:t>
      </w:r>
    </w:p>
    <w:p w14:paraId="712523B4" w14:textId="1724A805" w:rsidR="00EA5035" w:rsidRPr="00132A8D" w:rsidRDefault="00654065" w:rsidP="008E62E0">
      <w:pPr>
        <w:rPr>
          <w:rtl/>
          <w:lang w:eastAsia="en-GB"/>
        </w:rPr>
      </w:pPr>
      <w:r w:rsidRPr="00132A8D">
        <w:rPr>
          <w:rFonts w:hint="cs"/>
          <w:rtl/>
          <w:lang w:eastAsia="en-GB"/>
        </w:rPr>
        <w:t>ودعا</w:t>
      </w:r>
      <w:r w:rsidR="00EA5035" w:rsidRPr="00132A8D">
        <w:rPr>
          <w:rFonts w:hint="cs"/>
          <w:rtl/>
          <w:lang w:eastAsia="en-GB"/>
        </w:rPr>
        <w:t xml:space="preserve"> الفريق الاستشاري</w:t>
      </w:r>
      <w:r w:rsidRPr="00132A8D">
        <w:rPr>
          <w:rFonts w:hint="cs"/>
          <w:rtl/>
          <w:lang w:eastAsia="en-GB"/>
        </w:rPr>
        <w:t xml:space="preserve"> </w:t>
      </w:r>
      <w:r w:rsidRPr="00132A8D">
        <w:rPr>
          <w:rFonts w:hint="cs"/>
          <w:rtl/>
          <w:lang w:eastAsia="en-GB" w:bidi="ar-EG"/>
        </w:rPr>
        <w:t xml:space="preserve">للاتصالات الراديوية أيضاً </w:t>
      </w:r>
      <w:r w:rsidR="00EA5035" w:rsidRPr="00132A8D">
        <w:rPr>
          <w:rFonts w:hint="cs"/>
          <w:rtl/>
          <w:lang w:eastAsia="en-GB"/>
        </w:rPr>
        <w:t xml:space="preserve">فريق التنسيق بين القطاعات إلى النظر في المقترحات المقدمة خلال اجتماع الفريق الاستشاري، </w:t>
      </w:r>
      <w:r w:rsidRPr="00132A8D">
        <w:rPr>
          <w:rFonts w:hint="cs"/>
          <w:rtl/>
          <w:lang w:eastAsia="en-GB"/>
        </w:rPr>
        <w:t>ومن</w:t>
      </w:r>
      <w:r w:rsidR="003F6A92" w:rsidRPr="00132A8D">
        <w:rPr>
          <w:rFonts w:hint="cs"/>
          <w:rtl/>
          <w:lang w:eastAsia="en-GB"/>
        </w:rPr>
        <w:t>ها</w:t>
      </w:r>
      <w:r w:rsidR="00EA5035" w:rsidRPr="00132A8D">
        <w:rPr>
          <w:rFonts w:hint="cs"/>
          <w:rtl/>
          <w:lang w:eastAsia="en-GB"/>
        </w:rPr>
        <w:t xml:space="preserve"> تنسيق المبادئ التوجيهية المتعلقة بكيفية </w:t>
      </w:r>
      <w:r w:rsidR="003F6A92" w:rsidRPr="00132A8D">
        <w:rPr>
          <w:rFonts w:hint="cs"/>
          <w:rtl/>
          <w:lang w:eastAsia="en-GB"/>
        </w:rPr>
        <w:t>تحديد</w:t>
      </w:r>
      <w:r w:rsidR="00EA5035" w:rsidRPr="00132A8D">
        <w:rPr>
          <w:rFonts w:hint="cs"/>
          <w:rtl/>
          <w:lang w:eastAsia="en-GB"/>
        </w:rPr>
        <w:t xml:space="preserve"> </w:t>
      </w:r>
      <w:r w:rsidRPr="00132A8D">
        <w:rPr>
          <w:rFonts w:hint="cs"/>
          <w:rtl/>
          <w:lang w:eastAsia="en-GB"/>
        </w:rPr>
        <w:t>ال</w:t>
      </w:r>
      <w:r w:rsidR="00EA5035" w:rsidRPr="00132A8D">
        <w:rPr>
          <w:rFonts w:hint="cs"/>
          <w:rtl/>
          <w:lang w:eastAsia="en-GB"/>
        </w:rPr>
        <w:t>إنجازات/</w:t>
      </w:r>
      <w:r w:rsidRPr="00132A8D">
        <w:rPr>
          <w:rFonts w:hint="cs"/>
          <w:rtl/>
          <w:lang w:eastAsia="en-GB"/>
        </w:rPr>
        <w:t>ال</w:t>
      </w:r>
      <w:r w:rsidR="00EA5035" w:rsidRPr="00132A8D">
        <w:rPr>
          <w:rFonts w:hint="cs"/>
          <w:rtl/>
          <w:lang w:eastAsia="en-GB"/>
        </w:rPr>
        <w:t>نواتج</w:t>
      </w:r>
      <w:r w:rsidRPr="00132A8D">
        <w:rPr>
          <w:rFonts w:hint="cs"/>
          <w:rtl/>
          <w:lang w:eastAsia="en-GB"/>
        </w:rPr>
        <w:t xml:space="preserve"> الرئيسية </w:t>
      </w:r>
      <w:r w:rsidR="003F6A92" w:rsidRPr="00132A8D">
        <w:rPr>
          <w:rFonts w:hint="cs"/>
          <w:rtl/>
          <w:lang w:eastAsia="en-GB"/>
        </w:rPr>
        <w:t xml:space="preserve">لقطاعي </w:t>
      </w:r>
      <w:r w:rsidR="00EA5035" w:rsidRPr="00132A8D">
        <w:rPr>
          <w:rFonts w:hint="cs"/>
          <w:rtl/>
          <w:lang w:eastAsia="en-GB"/>
        </w:rPr>
        <w:t xml:space="preserve">الاتصالات الراديوية وتقييس الاتصالات التي ينبغي توجيهها إلى قطاع تنمية الاتصالات لدعم أنشطته، </w:t>
      </w:r>
      <w:r w:rsidR="003F6A92" w:rsidRPr="00132A8D">
        <w:rPr>
          <w:rFonts w:hint="cs"/>
          <w:rtl/>
          <w:lang w:eastAsia="en-GB"/>
        </w:rPr>
        <w:t xml:space="preserve">ولا سيما المتعلقة منها </w:t>
      </w:r>
      <w:r w:rsidR="00EA5035" w:rsidRPr="00132A8D">
        <w:rPr>
          <w:rFonts w:hint="cs"/>
          <w:rtl/>
          <w:lang w:eastAsia="en-GB"/>
        </w:rPr>
        <w:t xml:space="preserve">بالمواضيع </w:t>
      </w:r>
      <w:r w:rsidR="00182D11">
        <w:rPr>
          <w:rFonts w:hint="cs"/>
          <w:rtl/>
          <w:lang w:eastAsia="en-GB"/>
        </w:rPr>
        <w:t>البالغة الأهمية ل</w:t>
      </w:r>
      <w:r w:rsidR="00EA5035" w:rsidRPr="00132A8D">
        <w:rPr>
          <w:rFonts w:hint="cs"/>
          <w:rtl/>
          <w:lang w:eastAsia="en-GB"/>
        </w:rPr>
        <w:t>لبلدان النامية</w:t>
      </w:r>
      <w:r w:rsidR="003F6A92" w:rsidRPr="00132A8D">
        <w:rPr>
          <w:rFonts w:hint="cs"/>
          <w:rtl/>
          <w:lang w:eastAsia="en-GB"/>
        </w:rPr>
        <w:t>.</w:t>
      </w:r>
    </w:p>
    <w:p w14:paraId="68F43814" w14:textId="77777777" w:rsidR="00EA5035" w:rsidRPr="00EA5035" w:rsidRDefault="00EA5035" w:rsidP="00EA5035">
      <w:pPr>
        <w:pStyle w:val="Heading1"/>
        <w:rPr>
          <w:lang w:val="en-US" w:bidi="ar-EG"/>
        </w:rPr>
      </w:pPr>
      <w:r>
        <w:rPr>
          <w:rFonts w:hint="cs"/>
          <w:rtl/>
          <w:lang w:eastAsia="en-GB"/>
        </w:rPr>
        <w:t>3</w:t>
      </w:r>
      <w:r>
        <w:rPr>
          <w:rtl/>
          <w:lang w:eastAsia="en-GB"/>
        </w:rPr>
        <w:tab/>
      </w:r>
      <w:r>
        <w:rPr>
          <w:rFonts w:hint="cs"/>
          <w:rtl/>
          <w:lang w:bidi="ar-EG"/>
        </w:rPr>
        <w:t>الخلاصة</w:t>
      </w:r>
    </w:p>
    <w:p w14:paraId="7C183C6A" w14:textId="7648B66D" w:rsidR="00EA5035" w:rsidRDefault="00D06395" w:rsidP="00EA5035">
      <w:pPr>
        <w:rPr>
          <w:spacing w:val="6"/>
          <w:lang w:bidi="ar-EG"/>
        </w:rPr>
      </w:pPr>
      <w:r>
        <w:rPr>
          <w:rFonts w:hint="cs"/>
          <w:spacing w:val="6"/>
          <w:rtl/>
          <w:lang w:bidi="ar-EG"/>
        </w:rPr>
        <w:t xml:space="preserve">يُدعى </w:t>
      </w:r>
      <w:r w:rsidR="00EA5035" w:rsidRPr="00070012">
        <w:rPr>
          <w:rFonts w:hint="cs"/>
          <w:spacing w:val="6"/>
          <w:rtl/>
          <w:lang w:bidi="ar-EG"/>
        </w:rPr>
        <w:t>الفريق الاستشاري لتنمية الاتصالات</w:t>
      </w:r>
      <w:r>
        <w:rPr>
          <w:rFonts w:hint="cs"/>
          <w:spacing w:val="6"/>
          <w:rtl/>
          <w:lang w:bidi="ar-EG"/>
        </w:rPr>
        <w:t xml:space="preserve"> إلى</w:t>
      </w:r>
      <w:r w:rsidR="00EA5035" w:rsidRPr="00070012">
        <w:rPr>
          <w:rFonts w:hint="cs"/>
          <w:spacing w:val="6"/>
          <w:rtl/>
          <w:lang w:bidi="ar-EG"/>
        </w:rPr>
        <w:t xml:space="preserve"> مناقشة هذه الوثيقة </w:t>
      </w:r>
      <w:r w:rsidR="004A6BE4">
        <w:rPr>
          <w:rFonts w:hint="cs"/>
          <w:spacing w:val="6"/>
          <w:rtl/>
          <w:lang w:bidi="ar-EG"/>
        </w:rPr>
        <w:t>وتقديم تعليقات ومقترحات إلى فريق التنسيق بين القطاعات بشأن المواضيع التي عُرضت في اجتماع فريق التنسيق</w:t>
      </w:r>
      <w:r>
        <w:rPr>
          <w:rFonts w:hint="cs"/>
          <w:spacing w:val="6"/>
          <w:rtl/>
          <w:lang w:bidi="ar-EG"/>
        </w:rPr>
        <w:t>،</w:t>
      </w:r>
      <w:r w:rsidR="004A6BE4">
        <w:rPr>
          <w:rFonts w:hint="cs"/>
          <w:spacing w:val="6"/>
          <w:rtl/>
          <w:lang w:bidi="ar-EG"/>
        </w:rPr>
        <w:t xml:space="preserve"> وما يمكن الاضطلاع به من أنشطة أخرى مشتركة فيما بين جميع القطاعات و/أو </w:t>
      </w:r>
      <w:r>
        <w:rPr>
          <w:rFonts w:hint="cs"/>
          <w:spacing w:val="6"/>
          <w:rtl/>
          <w:lang w:bidi="ar-EG"/>
        </w:rPr>
        <w:t>على المستوى الثنائي، و</w:t>
      </w:r>
      <w:r w:rsidR="00EA5035" w:rsidRPr="00070012">
        <w:rPr>
          <w:rFonts w:hint="cs"/>
          <w:spacing w:val="6"/>
          <w:rtl/>
          <w:lang w:bidi="ar-EG"/>
        </w:rPr>
        <w:t>الآليات الكفيلة بتعزيز التعاون.</w:t>
      </w:r>
    </w:p>
    <w:p w14:paraId="55780B0B" w14:textId="7F03CA2A" w:rsidR="00EA5035" w:rsidRPr="00D06395" w:rsidRDefault="00D06395" w:rsidP="00EA5035">
      <w:pPr>
        <w:rPr>
          <w:spacing w:val="6"/>
          <w:rtl/>
          <w:lang w:val="en-US" w:bidi="ar-EG"/>
        </w:rPr>
      </w:pPr>
      <w:r>
        <w:rPr>
          <w:rFonts w:hint="cs"/>
          <w:spacing w:val="6"/>
          <w:rtl/>
          <w:lang w:bidi="ar-EG"/>
        </w:rPr>
        <w:t xml:space="preserve">وسيعقد فريق التنسيق بين القطاعات اجتماعه المقبل، افتراضياً، في </w:t>
      </w:r>
      <w:r>
        <w:rPr>
          <w:spacing w:val="6"/>
          <w:lang w:val="en-US" w:bidi="ar-EG"/>
        </w:rPr>
        <w:t>1</w:t>
      </w:r>
      <w:r w:rsidR="00D17495">
        <w:rPr>
          <w:rFonts w:hint="cs"/>
          <w:spacing w:val="6"/>
          <w:rtl/>
          <w:lang w:val="en-US" w:bidi="ar-EG"/>
        </w:rPr>
        <w:t xml:space="preserve"> </w:t>
      </w:r>
      <w:r>
        <w:rPr>
          <w:rFonts w:hint="cs"/>
          <w:spacing w:val="6"/>
          <w:rtl/>
          <w:lang w:val="en-US" w:bidi="ar-EG"/>
        </w:rPr>
        <w:t xml:space="preserve">سبتمبر </w:t>
      </w:r>
      <w:r>
        <w:rPr>
          <w:spacing w:val="6"/>
          <w:lang w:val="en-US" w:bidi="ar-EG"/>
        </w:rPr>
        <w:t>2021</w:t>
      </w:r>
      <w:r>
        <w:rPr>
          <w:rFonts w:hint="cs"/>
          <w:spacing w:val="6"/>
          <w:rtl/>
          <w:lang w:val="en-US" w:bidi="ar-EG"/>
        </w:rPr>
        <w:t xml:space="preserve">. وستُنشر معلومات مفصّلة عن الاجتماع في </w:t>
      </w:r>
      <w:hyperlink r:id="rId24" w:history="1">
        <w:r w:rsidRPr="00D06395">
          <w:rPr>
            <w:rStyle w:val="Hyperlink"/>
            <w:rFonts w:hint="cs"/>
            <w:spacing w:val="6"/>
            <w:rtl/>
            <w:lang w:val="en-US" w:bidi="ar-EG"/>
          </w:rPr>
          <w:t>بوابة أحداث الاتحاد الدولي للاتصالات</w:t>
        </w:r>
      </w:hyperlink>
      <w:r>
        <w:rPr>
          <w:rFonts w:hint="cs"/>
          <w:spacing w:val="6"/>
          <w:rtl/>
          <w:lang w:val="en-US" w:bidi="ar-EG"/>
        </w:rPr>
        <w:t>.</w:t>
      </w:r>
    </w:p>
    <w:p w14:paraId="3C414B16" w14:textId="0977AAE4"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25"/>
      <w:footerReference w:type="default" r:id="rId26"/>
      <w:footerReference w:type="first" r:id="rId2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6190" w14:textId="77777777" w:rsidR="00011A38" w:rsidRDefault="00011A38">
      <w:r>
        <w:separator/>
      </w:r>
    </w:p>
  </w:endnote>
  <w:endnote w:type="continuationSeparator" w:id="0">
    <w:p w14:paraId="572AC3AA" w14:textId="77777777" w:rsidR="00011A38" w:rsidRDefault="0001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B54E" w14:textId="15271FC3" w:rsidR="008835F9" w:rsidRPr="00744252" w:rsidRDefault="008835F9" w:rsidP="00177CCF">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744252">
      <w:rPr>
        <w:sz w:val="16"/>
        <w:szCs w:val="16"/>
      </w:rPr>
      <w:instrText xml:space="preserve"> FILENAME \p \* MERGEFORMAT </w:instrText>
    </w:r>
    <w:r w:rsidRPr="008835F9">
      <w:rPr>
        <w:sz w:val="16"/>
        <w:szCs w:val="16"/>
        <w:lang w:val="fr-FR"/>
      </w:rPr>
      <w:fldChar w:fldCharType="separate"/>
    </w:r>
    <w:r w:rsidR="00C76B14">
      <w:rPr>
        <w:noProof/>
        <w:sz w:val="16"/>
        <w:szCs w:val="16"/>
      </w:rPr>
      <w:t>P:\ARA\ITU-D\CONF-D\TDAG21\000\013A.docx</w:t>
    </w:r>
    <w:r w:rsidRPr="008835F9">
      <w:rPr>
        <w:sz w:val="16"/>
        <w:szCs w:val="16"/>
        <w:lang w:val="en-US"/>
      </w:rPr>
      <w:fldChar w:fldCharType="end"/>
    </w:r>
    <w:proofErr w:type="gramStart"/>
    <w:r w:rsidRPr="008835F9">
      <w:rPr>
        <w:sz w:val="16"/>
        <w:szCs w:val="16"/>
        <w:lang w:val="en-US"/>
      </w:rPr>
      <w:t xml:space="preserve">  </w:t>
    </w:r>
    <w:r w:rsidRPr="00744252">
      <w:rPr>
        <w:sz w:val="16"/>
        <w:szCs w:val="16"/>
      </w:rPr>
      <w:t xml:space="preserve"> (</w:t>
    </w:r>
    <w:proofErr w:type="gramEnd"/>
    <w:r w:rsidR="00177CCF" w:rsidRPr="00177CCF">
      <w:rPr>
        <w:sz w:val="16"/>
        <w:szCs w:val="16"/>
      </w:rPr>
      <w:t>486969</w:t>
    </w:r>
    <w:r w:rsidRPr="00744252">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EA5035" w:rsidRPr="00D10C01" w14:paraId="1CADD934" w14:textId="77777777" w:rsidTr="00FB1951">
      <w:tc>
        <w:tcPr>
          <w:tcW w:w="1299" w:type="dxa"/>
          <w:tcBorders>
            <w:top w:val="single" w:sz="4" w:space="0" w:color="auto"/>
            <w:left w:val="nil"/>
            <w:bottom w:val="nil"/>
            <w:right w:val="nil"/>
          </w:tcBorders>
          <w:shd w:val="clear" w:color="auto" w:fill="FFFFFF" w:themeFill="background1"/>
          <w:hideMark/>
        </w:tcPr>
        <w:p w14:paraId="3F68C0BE" w14:textId="77777777" w:rsidR="00EA5035" w:rsidRPr="008E62E0" w:rsidRDefault="00EA5035" w:rsidP="00EA5035">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30B70AC5" w14:textId="77777777" w:rsidR="00EA5035" w:rsidRPr="008E62E0" w:rsidRDefault="00EA5035" w:rsidP="00EA5035">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792507EC" w14:textId="21F076EE" w:rsidR="00EA5035" w:rsidRPr="008E62E0" w:rsidRDefault="00EA5035" w:rsidP="00EA5035">
          <w:pPr>
            <w:pStyle w:val="FirstFooter"/>
            <w:spacing w:before="120"/>
          </w:pPr>
          <w:r>
            <w:rPr>
              <w:rFonts w:hint="cs"/>
              <w:position w:val="2"/>
              <w:rtl/>
              <w:lang w:val="en-GB"/>
            </w:rPr>
            <w:t>السيد فابيو بيجي</w:t>
          </w:r>
          <w:r w:rsidR="00DC3F5A">
            <w:rPr>
              <w:rFonts w:hint="cs"/>
              <w:position w:val="2"/>
              <w:rtl/>
              <w:lang w:val="en-GB"/>
            </w:rPr>
            <w:t>، رئيس فريق التنسيق بين القطاعات، وزارة التنمية الاقتصادية بإيطاليا.</w:t>
          </w:r>
        </w:p>
      </w:tc>
    </w:tr>
    <w:tr w:rsidR="00EA5035" w:rsidRPr="00D10C01" w14:paraId="2C63AF5A" w14:textId="77777777" w:rsidTr="00FB1951">
      <w:tc>
        <w:tcPr>
          <w:tcW w:w="1299" w:type="dxa"/>
        </w:tcPr>
        <w:p w14:paraId="54726C17" w14:textId="77777777" w:rsidR="00EA5035" w:rsidRPr="008E62E0" w:rsidRDefault="00EA5035" w:rsidP="00EA5035">
          <w:pPr>
            <w:pStyle w:val="FirstFooter"/>
          </w:pPr>
        </w:p>
      </w:tc>
      <w:tc>
        <w:tcPr>
          <w:tcW w:w="2104" w:type="dxa"/>
          <w:hideMark/>
        </w:tcPr>
        <w:p w14:paraId="44A9A425" w14:textId="77777777" w:rsidR="00EA5035" w:rsidRPr="008E62E0" w:rsidRDefault="00EA5035" w:rsidP="00EA5035">
          <w:pPr>
            <w:pStyle w:val="FirstFooter"/>
          </w:pPr>
          <w:r w:rsidRPr="008E62E0">
            <w:rPr>
              <w:rtl/>
              <w:lang w:bidi="ar-EG"/>
            </w:rPr>
            <w:t>رقم الهاتف:</w:t>
          </w:r>
        </w:p>
      </w:tc>
      <w:tc>
        <w:tcPr>
          <w:tcW w:w="6238" w:type="dxa"/>
        </w:tcPr>
        <w:p w14:paraId="3B0AE799" w14:textId="068053CB" w:rsidR="00EA5035" w:rsidRPr="008E62E0" w:rsidRDefault="00DC3F5A" w:rsidP="00EA5035">
          <w:pPr>
            <w:pStyle w:val="FirstFooter"/>
          </w:pPr>
          <w:r>
            <w:rPr>
              <w:rFonts w:hint="cs"/>
              <w:rtl/>
            </w:rPr>
            <w:t>لا يوجد</w:t>
          </w:r>
        </w:p>
      </w:tc>
    </w:tr>
    <w:tr w:rsidR="008E62E0" w:rsidRPr="00D10C01" w14:paraId="0E3FEEBF" w14:textId="77777777" w:rsidTr="00FB1951">
      <w:tc>
        <w:tcPr>
          <w:tcW w:w="1299" w:type="dxa"/>
        </w:tcPr>
        <w:p w14:paraId="074AD036" w14:textId="77777777" w:rsidR="008E62E0" w:rsidRPr="008E62E0" w:rsidRDefault="008E62E0" w:rsidP="008835F9">
          <w:pPr>
            <w:pStyle w:val="FirstFooter"/>
          </w:pPr>
        </w:p>
      </w:tc>
      <w:tc>
        <w:tcPr>
          <w:tcW w:w="2104" w:type="dxa"/>
          <w:hideMark/>
        </w:tcPr>
        <w:p w14:paraId="5C226A27" w14:textId="77777777" w:rsidR="008E62E0" w:rsidRPr="008E62E0" w:rsidRDefault="008E62E0" w:rsidP="008835F9">
          <w:pPr>
            <w:pStyle w:val="FirstFooter"/>
          </w:pPr>
          <w:r w:rsidRPr="008E62E0">
            <w:rPr>
              <w:rtl/>
              <w:lang w:bidi="ar-EG"/>
            </w:rPr>
            <w:t>البريد الإلكتروني:</w:t>
          </w:r>
        </w:p>
      </w:tc>
      <w:tc>
        <w:tcPr>
          <w:tcW w:w="6238" w:type="dxa"/>
        </w:tcPr>
        <w:p w14:paraId="2F4F3F66" w14:textId="5026C6FB" w:rsidR="008E62E0" w:rsidRPr="008E62E0" w:rsidRDefault="00C76B14" w:rsidP="008835F9">
          <w:pPr>
            <w:pStyle w:val="FirstFooter"/>
            <w:rPr>
              <w:rtl/>
              <w:lang w:bidi="ar-EG"/>
            </w:rPr>
          </w:pPr>
          <w:hyperlink r:id="rId1" w:history="1">
            <w:r w:rsidR="00EA5035" w:rsidRPr="00DC05C6">
              <w:rPr>
                <w:rStyle w:val="Hyperlink"/>
              </w:rPr>
              <w:t>fabio.bigi@virgilio.it</w:t>
            </w:r>
          </w:hyperlink>
          <w:r w:rsidR="00EA5035" w:rsidRPr="00DC05C6">
            <w:t xml:space="preserve">  </w:t>
          </w:r>
        </w:p>
      </w:tc>
    </w:tr>
  </w:tbl>
  <w:p w14:paraId="45B6BBD3" w14:textId="77777777" w:rsidR="00864BDD" w:rsidRPr="00D43388" w:rsidRDefault="00C76B14"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7E7B" w14:textId="77777777" w:rsidR="00011A38" w:rsidRDefault="00011A38">
      <w:r>
        <w:separator/>
      </w:r>
    </w:p>
  </w:footnote>
  <w:footnote w:type="continuationSeparator" w:id="0">
    <w:p w14:paraId="22848840" w14:textId="77777777" w:rsidR="00011A38" w:rsidRDefault="0001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B64" w14:textId="4AEC951D"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6218FD">
      <w:rPr>
        <w:sz w:val="20"/>
        <w:szCs w:val="20"/>
        <w:lang w:val="es-ES_tradnl"/>
      </w:rPr>
      <w:t>-</w:t>
    </w:r>
    <w:r w:rsidR="00D43388">
      <w:rPr>
        <w:sz w:val="20"/>
        <w:szCs w:val="20"/>
        <w:lang w:val="es-ES_tradnl"/>
      </w:rPr>
      <w:t>21</w:t>
    </w:r>
    <w:r w:rsidRPr="008835F9">
      <w:rPr>
        <w:sz w:val="20"/>
        <w:szCs w:val="20"/>
        <w:lang w:val="es-ES_tradnl"/>
      </w:rPr>
      <w:t>/</w:t>
    </w:r>
    <w:bookmarkStart w:id="0" w:name="DocNo2"/>
    <w:bookmarkEnd w:id="0"/>
    <w:r w:rsidR="00EA5035">
      <w:rPr>
        <w:sz w:val="20"/>
        <w:szCs w:val="20"/>
        <w:lang w:val="es-ES_tradnl"/>
      </w:rPr>
      <w:t>13</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08" type="#_x0000_t75" style="width:8.15pt;height:8.1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2306EF"/>
    <w:multiLevelType w:val="multilevel"/>
    <w:tmpl w:val="5142D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A440A5"/>
    <w:multiLevelType w:val="multilevel"/>
    <w:tmpl w:val="5D560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1"/>
  </w:num>
  <w:num w:numId="32">
    <w:abstractNumId w:val="24"/>
  </w:num>
  <w:num w:numId="33">
    <w:abstractNumId w:val="3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35"/>
    <w:rsid w:val="00003125"/>
    <w:rsid w:val="00005245"/>
    <w:rsid w:val="00006684"/>
    <w:rsid w:val="00010801"/>
    <w:rsid w:val="00011A38"/>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B35CD"/>
    <w:rsid w:val="000D0403"/>
    <w:rsid w:val="000D15A5"/>
    <w:rsid w:val="000D61A2"/>
    <w:rsid w:val="000D7961"/>
    <w:rsid w:val="000E1D4D"/>
    <w:rsid w:val="000E397B"/>
    <w:rsid w:val="000F1580"/>
    <w:rsid w:val="000F1895"/>
    <w:rsid w:val="00115F0A"/>
    <w:rsid w:val="001229F6"/>
    <w:rsid w:val="00132A8D"/>
    <w:rsid w:val="00142E5C"/>
    <w:rsid w:val="00151478"/>
    <w:rsid w:val="0015200D"/>
    <w:rsid w:val="0015553B"/>
    <w:rsid w:val="00161A5A"/>
    <w:rsid w:val="00170AB9"/>
    <w:rsid w:val="00177CCF"/>
    <w:rsid w:val="00181928"/>
    <w:rsid w:val="00182D11"/>
    <w:rsid w:val="001856D7"/>
    <w:rsid w:val="00187E51"/>
    <w:rsid w:val="00192DBD"/>
    <w:rsid w:val="0019399A"/>
    <w:rsid w:val="001A52E9"/>
    <w:rsid w:val="001B4B9B"/>
    <w:rsid w:val="001D3694"/>
    <w:rsid w:val="001E33AB"/>
    <w:rsid w:val="001E3688"/>
    <w:rsid w:val="001E3BCF"/>
    <w:rsid w:val="001E517E"/>
    <w:rsid w:val="001F0D6B"/>
    <w:rsid w:val="002066B3"/>
    <w:rsid w:val="0021427F"/>
    <w:rsid w:val="002261A9"/>
    <w:rsid w:val="00235915"/>
    <w:rsid w:val="00244F83"/>
    <w:rsid w:val="00252877"/>
    <w:rsid w:val="00254C2D"/>
    <w:rsid w:val="00262B06"/>
    <w:rsid w:val="00270C45"/>
    <w:rsid w:val="002748B0"/>
    <w:rsid w:val="00275198"/>
    <w:rsid w:val="0028054C"/>
    <w:rsid w:val="002869AF"/>
    <w:rsid w:val="00286A28"/>
    <w:rsid w:val="002900F9"/>
    <w:rsid w:val="002937C8"/>
    <w:rsid w:val="00295878"/>
    <w:rsid w:val="002A3A4E"/>
    <w:rsid w:val="002B02FE"/>
    <w:rsid w:val="002B1A8F"/>
    <w:rsid w:val="002B2265"/>
    <w:rsid w:val="002C3479"/>
    <w:rsid w:val="002C67D8"/>
    <w:rsid w:val="002D0049"/>
    <w:rsid w:val="002F4176"/>
    <w:rsid w:val="0030472C"/>
    <w:rsid w:val="003058DA"/>
    <w:rsid w:val="00305F95"/>
    <w:rsid w:val="00306BE0"/>
    <w:rsid w:val="0030762F"/>
    <w:rsid w:val="00311BD3"/>
    <w:rsid w:val="00312685"/>
    <w:rsid w:val="0032378D"/>
    <w:rsid w:val="00334C18"/>
    <w:rsid w:val="00337FFB"/>
    <w:rsid w:val="00347227"/>
    <w:rsid w:val="003513DB"/>
    <w:rsid w:val="0036243F"/>
    <w:rsid w:val="00385ABF"/>
    <w:rsid w:val="00392AF3"/>
    <w:rsid w:val="003A6A11"/>
    <w:rsid w:val="003B75F4"/>
    <w:rsid w:val="003C29E2"/>
    <w:rsid w:val="003C78E4"/>
    <w:rsid w:val="003D0F44"/>
    <w:rsid w:val="003E20FF"/>
    <w:rsid w:val="003F6A92"/>
    <w:rsid w:val="00406F1F"/>
    <w:rsid w:val="004077C9"/>
    <w:rsid w:val="00414E6F"/>
    <w:rsid w:val="00415F06"/>
    <w:rsid w:val="00416D38"/>
    <w:rsid w:val="00421F93"/>
    <w:rsid w:val="004311ED"/>
    <w:rsid w:val="004331DF"/>
    <w:rsid w:val="0043566B"/>
    <w:rsid w:val="004430CE"/>
    <w:rsid w:val="00457453"/>
    <w:rsid w:val="0046327F"/>
    <w:rsid w:val="00472A03"/>
    <w:rsid w:val="004735C2"/>
    <w:rsid w:val="00475A24"/>
    <w:rsid w:val="00483313"/>
    <w:rsid w:val="00487A55"/>
    <w:rsid w:val="00494978"/>
    <w:rsid w:val="00496015"/>
    <w:rsid w:val="004A0340"/>
    <w:rsid w:val="004A090A"/>
    <w:rsid w:val="004A28F0"/>
    <w:rsid w:val="004A34DD"/>
    <w:rsid w:val="004A564F"/>
    <w:rsid w:val="004A6BE4"/>
    <w:rsid w:val="004A6EE9"/>
    <w:rsid w:val="004B4119"/>
    <w:rsid w:val="004C2049"/>
    <w:rsid w:val="004C4C2E"/>
    <w:rsid w:val="004C4E14"/>
    <w:rsid w:val="004D0AC9"/>
    <w:rsid w:val="004D2D58"/>
    <w:rsid w:val="004D3DC4"/>
    <w:rsid w:val="004D495C"/>
    <w:rsid w:val="004E3824"/>
    <w:rsid w:val="004F09F8"/>
    <w:rsid w:val="00502BFC"/>
    <w:rsid w:val="00504609"/>
    <w:rsid w:val="00504707"/>
    <w:rsid w:val="00511EDF"/>
    <w:rsid w:val="00523237"/>
    <w:rsid w:val="00523E05"/>
    <w:rsid w:val="005302F6"/>
    <w:rsid w:val="00542D84"/>
    <w:rsid w:val="00546F06"/>
    <w:rsid w:val="005543B5"/>
    <w:rsid w:val="00555B44"/>
    <w:rsid w:val="00582BF9"/>
    <w:rsid w:val="0058604B"/>
    <w:rsid w:val="005A0AFF"/>
    <w:rsid w:val="005A6E06"/>
    <w:rsid w:val="005B01AF"/>
    <w:rsid w:val="005B37AF"/>
    <w:rsid w:val="005B45E9"/>
    <w:rsid w:val="005B5914"/>
    <w:rsid w:val="005C0E75"/>
    <w:rsid w:val="005C33BC"/>
    <w:rsid w:val="005D12FD"/>
    <w:rsid w:val="005E07F1"/>
    <w:rsid w:val="005F5162"/>
    <w:rsid w:val="006218FD"/>
    <w:rsid w:val="00622A8F"/>
    <w:rsid w:val="006354E9"/>
    <w:rsid w:val="0064011F"/>
    <w:rsid w:val="00641CA0"/>
    <w:rsid w:val="006444D5"/>
    <w:rsid w:val="00646EAE"/>
    <w:rsid w:val="0065094C"/>
    <w:rsid w:val="006527BD"/>
    <w:rsid w:val="00654065"/>
    <w:rsid w:val="00663234"/>
    <w:rsid w:val="00667E12"/>
    <w:rsid w:val="00671CE3"/>
    <w:rsid w:val="00676C62"/>
    <w:rsid w:val="00677A58"/>
    <w:rsid w:val="00683003"/>
    <w:rsid w:val="0068331F"/>
    <w:rsid w:val="00685848"/>
    <w:rsid w:val="006958D6"/>
    <w:rsid w:val="006A6F8F"/>
    <w:rsid w:val="006B3F94"/>
    <w:rsid w:val="006C0E12"/>
    <w:rsid w:val="006C3946"/>
    <w:rsid w:val="006C7A7B"/>
    <w:rsid w:val="006D0B95"/>
    <w:rsid w:val="006D1217"/>
    <w:rsid w:val="006F1CE9"/>
    <w:rsid w:val="0070090A"/>
    <w:rsid w:val="0070796E"/>
    <w:rsid w:val="007274B6"/>
    <w:rsid w:val="00735AC3"/>
    <w:rsid w:val="00735B54"/>
    <w:rsid w:val="00744252"/>
    <w:rsid w:val="00752E20"/>
    <w:rsid w:val="00755605"/>
    <w:rsid w:val="00762A1E"/>
    <w:rsid w:val="007679D2"/>
    <w:rsid w:val="00770299"/>
    <w:rsid w:val="00781933"/>
    <w:rsid w:val="00785979"/>
    <w:rsid w:val="00791D56"/>
    <w:rsid w:val="0079383E"/>
    <w:rsid w:val="00794FF3"/>
    <w:rsid w:val="00795647"/>
    <w:rsid w:val="00797056"/>
    <w:rsid w:val="007B145B"/>
    <w:rsid w:val="007B5E61"/>
    <w:rsid w:val="007B7C19"/>
    <w:rsid w:val="007D1E98"/>
    <w:rsid w:val="00800D40"/>
    <w:rsid w:val="00810A21"/>
    <w:rsid w:val="00811068"/>
    <w:rsid w:val="00813980"/>
    <w:rsid w:val="00817846"/>
    <w:rsid w:val="00831C97"/>
    <w:rsid w:val="00833A72"/>
    <w:rsid w:val="00833F2B"/>
    <w:rsid w:val="008340D6"/>
    <w:rsid w:val="0083540C"/>
    <w:rsid w:val="00835BBF"/>
    <w:rsid w:val="0084631C"/>
    <w:rsid w:val="0084734D"/>
    <w:rsid w:val="00852CC6"/>
    <w:rsid w:val="00864BDD"/>
    <w:rsid w:val="00870D98"/>
    <w:rsid w:val="00871FB5"/>
    <w:rsid w:val="008740CF"/>
    <w:rsid w:val="00882AA1"/>
    <w:rsid w:val="008835F9"/>
    <w:rsid w:val="00883EFF"/>
    <w:rsid w:val="00885734"/>
    <w:rsid w:val="00891809"/>
    <w:rsid w:val="008A357D"/>
    <w:rsid w:val="008E62E0"/>
    <w:rsid w:val="008F2196"/>
    <w:rsid w:val="009043C2"/>
    <w:rsid w:val="009074FD"/>
    <w:rsid w:val="00912887"/>
    <w:rsid w:val="00915921"/>
    <w:rsid w:val="009170B7"/>
    <w:rsid w:val="0092342C"/>
    <w:rsid w:val="00923456"/>
    <w:rsid w:val="0093043A"/>
    <w:rsid w:val="00930F7E"/>
    <w:rsid w:val="00941145"/>
    <w:rsid w:val="0094145C"/>
    <w:rsid w:val="00942ED4"/>
    <w:rsid w:val="00946835"/>
    <w:rsid w:val="00947092"/>
    <w:rsid w:val="00951378"/>
    <w:rsid w:val="00953C7D"/>
    <w:rsid w:val="00954CDD"/>
    <w:rsid w:val="0096235E"/>
    <w:rsid w:val="0097038C"/>
    <w:rsid w:val="00985F2B"/>
    <w:rsid w:val="009A110B"/>
    <w:rsid w:val="009A6FD6"/>
    <w:rsid w:val="009A7184"/>
    <w:rsid w:val="009B17EA"/>
    <w:rsid w:val="009B6F98"/>
    <w:rsid w:val="009D7B40"/>
    <w:rsid w:val="009E3FEB"/>
    <w:rsid w:val="009E50D3"/>
    <w:rsid w:val="009F680F"/>
    <w:rsid w:val="00A01249"/>
    <w:rsid w:val="00A0417E"/>
    <w:rsid w:val="00A13179"/>
    <w:rsid w:val="00A140EB"/>
    <w:rsid w:val="00A1458B"/>
    <w:rsid w:val="00A16064"/>
    <w:rsid w:val="00A23777"/>
    <w:rsid w:val="00A30912"/>
    <w:rsid w:val="00A36824"/>
    <w:rsid w:val="00A54CA6"/>
    <w:rsid w:val="00A65745"/>
    <w:rsid w:val="00A824E0"/>
    <w:rsid w:val="00A840C6"/>
    <w:rsid w:val="00AB4706"/>
    <w:rsid w:val="00AC3A1D"/>
    <w:rsid w:val="00AC4A13"/>
    <w:rsid w:val="00AC7494"/>
    <w:rsid w:val="00AC7AC6"/>
    <w:rsid w:val="00AD2FB3"/>
    <w:rsid w:val="00AD799C"/>
    <w:rsid w:val="00AE1C97"/>
    <w:rsid w:val="00AE2BCA"/>
    <w:rsid w:val="00AF0A2E"/>
    <w:rsid w:val="00AF4619"/>
    <w:rsid w:val="00AF68C0"/>
    <w:rsid w:val="00B055E8"/>
    <w:rsid w:val="00B110C3"/>
    <w:rsid w:val="00B13550"/>
    <w:rsid w:val="00B154AD"/>
    <w:rsid w:val="00B2033A"/>
    <w:rsid w:val="00B20B08"/>
    <w:rsid w:val="00B24401"/>
    <w:rsid w:val="00B258DC"/>
    <w:rsid w:val="00B34B6C"/>
    <w:rsid w:val="00B402E3"/>
    <w:rsid w:val="00B4143C"/>
    <w:rsid w:val="00B41935"/>
    <w:rsid w:val="00B46EC5"/>
    <w:rsid w:val="00B50E11"/>
    <w:rsid w:val="00B528E2"/>
    <w:rsid w:val="00B532C0"/>
    <w:rsid w:val="00B53C8D"/>
    <w:rsid w:val="00B54FCA"/>
    <w:rsid w:val="00B57932"/>
    <w:rsid w:val="00B60B80"/>
    <w:rsid w:val="00B674DC"/>
    <w:rsid w:val="00B830A9"/>
    <w:rsid w:val="00B8577A"/>
    <w:rsid w:val="00B8609C"/>
    <w:rsid w:val="00BA2A7B"/>
    <w:rsid w:val="00BB67AF"/>
    <w:rsid w:val="00BC1350"/>
    <w:rsid w:val="00BC1A64"/>
    <w:rsid w:val="00BC6A2F"/>
    <w:rsid w:val="00BD632D"/>
    <w:rsid w:val="00BE232D"/>
    <w:rsid w:val="00BE77DE"/>
    <w:rsid w:val="00BF1682"/>
    <w:rsid w:val="00C224A8"/>
    <w:rsid w:val="00C26729"/>
    <w:rsid w:val="00C37B27"/>
    <w:rsid w:val="00C4354E"/>
    <w:rsid w:val="00C53CE6"/>
    <w:rsid w:val="00C551FC"/>
    <w:rsid w:val="00C62651"/>
    <w:rsid w:val="00C64466"/>
    <w:rsid w:val="00C648E4"/>
    <w:rsid w:val="00C75DBB"/>
    <w:rsid w:val="00C76B14"/>
    <w:rsid w:val="00C837F9"/>
    <w:rsid w:val="00C84158"/>
    <w:rsid w:val="00C84E60"/>
    <w:rsid w:val="00C95673"/>
    <w:rsid w:val="00CA7702"/>
    <w:rsid w:val="00CB4EFB"/>
    <w:rsid w:val="00CB7F28"/>
    <w:rsid w:val="00CD22AF"/>
    <w:rsid w:val="00CF4C8B"/>
    <w:rsid w:val="00CF63E1"/>
    <w:rsid w:val="00D00614"/>
    <w:rsid w:val="00D06395"/>
    <w:rsid w:val="00D17495"/>
    <w:rsid w:val="00D17DC5"/>
    <w:rsid w:val="00D27001"/>
    <w:rsid w:val="00D35307"/>
    <w:rsid w:val="00D43388"/>
    <w:rsid w:val="00D4563B"/>
    <w:rsid w:val="00D46858"/>
    <w:rsid w:val="00D56C37"/>
    <w:rsid w:val="00D80072"/>
    <w:rsid w:val="00D83506"/>
    <w:rsid w:val="00D839D8"/>
    <w:rsid w:val="00D90101"/>
    <w:rsid w:val="00D92439"/>
    <w:rsid w:val="00DA1664"/>
    <w:rsid w:val="00DA2F6F"/>
    <w:rsid w:val="00DA3130"/>
    <w:rsid w:val="00DB2E0A"/>
    <w:rsid w:val="00DB5B1B"/>
    <w:rsid w:val="00DB6C98"/>
    <w:rsid w:val="00DC3F5A"/>
    <w:rsid w:val="00DD05EF"/>
    <w:rsid w:val="00DD5A07"/>
    <w:rsid w:val="00DE3F2D"/>
    <w:rsid w:val="00DE460C"/>
    <w:rsid w:val="00DF418D"/>
    <w:rsid w:val="00E10F37"/>
    <w:rsid w:val="00E207C7"/>
    <w:rsid w:val="00E2379D"/>
    <w:rsid w:val="00E244D1"/>
    <w:rsid w:val="00E45EB4"/>
    <w:rsid w:val="00E50420"/>
    <w:rsid w:val="00E7476B"/>
    <w:rsid w:val="00E74841"/>
    <w:rsid w:val="00E77EF2"/>
    <w:rsid w:val="00E84413"/>
    <w:rsid w:val="00E97390"/>
    <w:rsid w:val="00E97800"/>
    <w:rsid w:val="00EA3797"/>
    <w:rsid w:val="00EA467D"/>
    <w:rsid w:val="00EA5035"/>
    <w:rsid w:val="00EA6520"/>
    <w:rsid w:val="00EA72D0"/>
    <w:rsid w:val="00EB28BC"/>
    <w:rsid w:val="00EC30D6"/>
    <w:rsid w:val="00EF62C8"/>
    <w:rsid w:val="00F101CC"/>
    <w:rsid w:val="00F207A8"/>
    <w:rsid w:val="00F2422E"/>
    <w:rsid w:val="00F35A0C"/>
    <w:rsid w:val="00F40E2E"/>
    <w:rsid w:val="00F620CA"/>
    <w:rsid w:val="00F74154"/>
    <w:rsid w:val="00F842D3"/>
    <w:rsid w:val="00F87092"/>
    <w:rsid w:val="00F9510F"/>
    <w:rsid w:val="00FB1951"/>
    <w:rsid w:val="00FC045D"/>
    <w:rsid w:val="00FC31A9"/>
    <w:rsid w:val="00FC6134"/>
    <w:rsid w:val="00FD281F"/>
    <w:rsid w:val="00FE3EEC"/>
    <w:rsid w:val="00FE64B2"/>
    <w:rsid w:val="00FF089C"/>
    <w:rsid w:val="00FF2B4D"/>
    <w:rsid w:val="00FF414E"/>
    <w:rsid w:val="00FF4BC0"/>
    <w:rsid w:val="00FF7B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CD3EB"/>
  <w15:chartTrackingRefBased/>
  <w15:docId w15:val="{2CA355FD-2F6E-43EB-BF87-A728968A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超链接1,하이퍼링크2"/>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Heading1Char">
    <w:name w:val="Heading 1 Char"/>
    <w:basedOn w:val="DefaultParagraphFont"/>
    <w:link w:val="Heading1"/>
    <w:uiPriority w:val="9"/>
    <w:rsid w:val="00EA5035"/>
    <w:rPr>
      <w:rFonts w:ascii="Dubai" w:eastAsia="Times New Roman" w:hAnsi="Dubai" w:cs="Dubai"/>
      <w:b/>
      <w:bCs/>
      <w:sz w:val="26"/>
      <w:szCs w:val="26"/>
      <w:lang w:eastAsia="en-US"/>
    </w:rPr>
  </w:style>
  <w:style w:type="paragraph" w:customStyle="1" w:styleId="Headingb0">
    <w:name w:val="Heading b"/>
    <w:basedOn w:val="Normal"/>
    <w:qFormat/>
    <w:rsid w:val="00EA5035"/>
    <w:pPr>
      <w:keepNext/>
      <w:tabs>
        <w:tab w:val="clear" w:pos="1191"/>
        <w:tab w:val="clear" w:pos="1588"/>
        <w:tab w:val="clear" w:pos="1985"/>
      </w:tabs>
      <w:overflowPunct/>
      <w:autoSpaceDE/>
      <w:autoSpaceDN/>
      <w:adjustRightInd/>
      <w:spacing w:before="240"/>
      <w:ind w:left="1134" w:hanging="1134"/>
      <w:textAlignment w:val="auto"/>
    </w:pPr>
    <w:rPr>
      <w:rFonts w:eastAsiaTheme="minorEastAsia"/>
      <w:b/>
      <w:bCs/>
      <w:lang w:val="en-US" w:eastAsia="zh-CN"/>
    </w:rPr>
  </w:style>
  <w:style w:type="paragraph" w:customStyle="1" w:styleId="more">
    <w:name w:val="more"/>
    <w:basedOn w:val="Normal"/>
    <w:rsid w:val="00B57932"/>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paragraph" w:customStyle="1" w:styleId="small">
    <w:name w:val="small"/>
    <w:basedOn w:val="Normal"/>
    <w:rsid w:val="001F0D6B"/>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9031">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81391727">
      <w:bodyDiv w:val="1"/>
      <w:marLeft w:val="0"/>
      <w:marRight w:val="0"/>
      <w:marTop w:val="0"/>
      <w:marBottom w:val="0"/>
      <w:divBdr>
        <w:top w:val="none" w:sz="0" w:space="0" w:color="auto"/>
        <w:left w:val="none" w:sz="0" w:space="0" w:color="auto"/>
        <w:bottom w:val="none" w:sz="0" w:space="0" w:color="auto"/>
        <w:right w:val="none" w:sz="0" w:space="0" w:color="auto"/>
      </w:divBdr>
    </w:div>
    <w:div w:id="1014310530">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8571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en/general-secretariat/Pages/intersectoral-coordination.aspx" TargetMode="External"/><Relationship Id="rId18" Type="http://schemas.openxmlformats.org/officeDocument/2006/relationships/hyperlink" Target="mailto:isc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sukenik\AppData\Local\Microsoft\Windows\INetCache\Content.Outlook\VM18KGGB\A%20contribution%20from%20TSAG%20was%20presented%20on%20" TargetMode="External"/><Relationship Id="rId7" Type="http://schemas.openxmlformats.org/officeDocument/2006/relationships/endnotes" Target="endnotes.xml"/><Relationship Id="rId12" Type="http://schemas.openxmlformats.org/officeDocument/2006/relationships/hyperlink" Target="https://www.itu.int/en/council/Documents/basic-texts/RES-191-E.pdf" TargetMode="External"/><Relationship Id="rId17" Type="http://schemas.openxmlformats.org/officeDocument/2006/relationships/hyperlink" Target="https://www.itu.int/en/general-secretariat/ties/ISCGDocumentLibrary/1st%20Meeting%202021/ISCG-21-1-04-E-MappingTablesTempla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scg@itu.int" TargetMode="External"/><Relationship Id="rId20" Type="http://schemas.openxmlformats.org/officeDocument/2006/relationships/hyperlink" Target="https://www.itu.int/en/general-secretariat/ties/ISCGDocumentLibrary/1st%20Meeting%202021/ISCG-21-1-05-E-ClimateChang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24" Type="http://schemas.openxmlformats.org/officeDocument/2006/relationships/hyperlink" Target="https://www.itu.int/en/events/Pages/default.aspx" TargetMode="External"/><Relationship Id="rId5" Type="http://schemas.openxmlformats.org/officeDocument/2006/relationships/webSettings" Target="webSettings.xml"/><Relationship Id="rId15" Type="http://schemas.openxmlformats.org/officeDocument/2006/relationships/hyperlink" Target="https://www.itu.int/en/general-secretariat/Pages/ISCG/default.aspx" TargetMode="External"/><Relationship Id="rId23" Type="http://schemas.openxmlformats.org/officeDocument/2006/relationships/hyperlink" Target="https://www.itu.int/en/general-secretariat/ties/ISCGDocumentLibrary/1st%20Meeting%202021/ISCG-21-1-INF%201-Progress%20report%20on%20the%20New%20ITU%20Website.docx" TargetMode="External"/><Relationship Id="rId28" Type="http://schemas.openxmlformats.org/officeDocument/2006/relationships/fontTable" Target="fontTable.xml"/><Relationship Id="rId10" Type="http://schemas.openxmlformats.org/officeDocument/2006/relationships/hyperlink" Target="https://www.itu.int/en/council/Documents/basic-texts/RES-191-E.pdf" TargetMode="External"/><Relationship Id="rId19" Type="http://schemas.openxmlformats.org/officeDocument/2006/relationships/hyperlink" Target="https://www.itu.int/en/general-secretariat/ISCT_Mapping_Tables/Mapping-Resolutions.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en/general-secretariat/Pages/default.aspx" TargetMode="External"/><Relationship Id="rId22" Type="http://schemas.openxmlformats.org/officeDocument/2006/relationships/hyperlink" Target="https://www.itu.int/en/general-secretariat/ties/ISCGDocumentLibrary/1st%20Meeting%202021/ISCG-21-1-06-Harmonisation%20of%20the%20ITU%20websites%20(Russia%20Fed.).docx"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983</Words>
  <Characters>7409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19</cp:revision>
  <cp:lastPrinted>2016-05-13T07:33:00Z</cp:lastPrinted>
  <dcterms:created xsi:type="dcterms:W3CDTF">2021-05-19T14:20:00Z</dcterms:created>
  <dcterms:modified xsi:type="dcterms:W3CDTF">2021-05-19T15:36:00Z</dcterms:modified>
</cp:coreProperties>
</file>