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53"/>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4253"/>
        <w:gridCol w:w="1134"/>
        <w:gridCol w:w="2091"/>
      </w:tblGrid>
      <w:tr w:rsidR="00C85582" w:rsidRPr="00511058" w14:paraId="2288E1BC" w14:textId="77777777" w:rsidTr="00C85582">
        <w:trPr>
          <w:cantSplit/>
          <w:trHeight w:val="1134"/>
        </w:trPr>
        <w:tc>
          <w:tcPr>
            <w:tcW w:w="2410" w:type="dxa"/>
            <w:tcBorders>
              <w:bottom w:val="single" w:sz="12" w:space="0" w:color="auto"/>
            </w:tcBorders>
          </w:tcPr>
          <w:p w14:paraId="406D4318" w14:textId="77777777" w:rsidR="00C85582" w:rsidRPr="00511058" w:rsidRDefault="00C85582" w:rsidP="00C85582">
            <w:pPr>
              <w:spacing w:after="120"/>
              <w:rPr>
                <w:b/>
                <w:bCs/>
                <w:sz w:val="32"/>
                <w:szCs w:val="32"/>
                <w:lang w:val="es-ES_tradnl"/>
              </w:rPr>
            </w:pPr>
            <w:r w:rsidRPr="00511058">
              <w:rPr>
                <w:noProof/>
                <w:lang w:val="es-ES_tradnl"/>
              </w:rPr>
              <w:drawing>
                <wp:inline distT="0" distB="0" distL="0" distR="0" wp14:anchorId="6F57E3F4" wp14:editId="19D0ECF2">
                  <wp:extent cx="1219200" cy="1036320"/>
                  <wp:effectExtent l="0" t="0" r="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8" cstate="print">
                            <a:extLst>
                              <a:ext uri="{28A0092B-C50C-407E-A947-70E740481C1C}">
                                <a14:useLocalDpi xmlns:a14="http://schemas.microsoft.com/office/drawing/2010/main" val="0"/>
                              </a:ext>
                            </a:extLst>
                          </a:blip>
                          <a:srcRect t="11421"/>
                          <a:stretch/>
                        </pic:blipFill>
                        <pic:spPr bwMode="auto">
                          <a:xfrm>
                            <a:off x="0" y="0"/>
                            <a:ext cx="1219200" cy="1036320"/>
                          </a:xfrm>
                          <a:prstGeom prst="rect">
                            <a:avLst/>
                          </a:prstGeom>
                          <a:ln>
                            <a:noFill/>
                          </a:ln>
                          <a:extLst>
                            <a:ext uri="{53640926-AAD7-44D8-BBD7-CCE9431645EC}">
                              <a14:shadowObscured xmlns:a14="http://schemas.microsoft.com/office/drawing/2010/main"/>
                            </a:ext>
                          </a:extLst>
                        </pic:spPr>
                      </pic:pic>
                    </a:graphicData>
                  </a:graphic>
                </wp:inline>
              </w:drawing>
            </w:r>
          </w:p>
        </w:tc>
        <w:tc>
          <w:tcPr>
            <w:tcW w:w="5387" w:type="dxa"/>
            <w:gridSpan w:val="2"/>
            <w:tcBorders>
              <w:bottom w:val="single" w:sz="12" w:space="0" w:color="auto"/>
            </w:tcBorders>
          </w:tcPr>
          <w:p w14:paraId="3AB3BD1F" w14:textId="77777777" w:rsidR="00C85582" w:rsidRPr="00511058" w:rsidRDefault="00C85582" w:rsidP="00C85582">
            <w:pPr>
              <w:spacing w:before="280" w:after="120"/>
              <w:rPr>
                <w:b/>
                <w:bCs/>
                <w:sz w:val="32"/>
                <w:szCs w:val="32"/>
                <w:lang w:val="es-ES_tradnl"/>
              </w:rPr>
            </w:pPr>
            <w:r w:rsidRPr="00511058">
              <w:rPr>
                <w:rFonts w:cstheme="minorHAnsi"/>
                <w:b/>
                <w:bCs/>
                <w:sz w:val="32"/>
                <w:szCs w:val="32"/>
                <w:lang w:val="es-ES_tradnl"/>
              </w:rPr>
              <w:t>Grupo Asesor de Desarrollo de las Telecomunicaciones (GADT</w:t>
            </w:r>
            <w:r w:rsidRPr="00511058">
              <w:rPr>
                <w:b/>
                <w:bCs/>
                <w:sz w:val="32"/>
                <w:szCs w:val="32"/>
                <w:lang w:val="es-ES_tradnl"/>
              </w:rPr>
              <w:t>)</w:t>
            </w:r>
          </w:p>
          <w:p w14:paraId="1C6B1A17" w14:textId="77777777" w:rsidR="00C85582" w:rsidRPr="00511058" w:rsidRDefault="00C85582" w:rsidP="00AA076A">
            <w:pPr>
              <w:spacing w:before="100" w:after="120"/>
              <w:rPr>
                <w:rFonts w:ascii="Verdana" w:hAnsi="Verdana"/>
                <w:sz w:val="28"/>
                <w:szCs w:val="28"/>
                <w:lang w:val="es-ES_tradnl"/>
              </w:rPr>
            </w:pPr>
            <w:r w:rsidRPr="00511058">
              <w:rPr>
                <w:b/>
                <w:bCs/>
                <w:sz w:val="26"/>
                <w:szCs w:val="26"/>
                <w:lang w:val="es-ES_tradnl"/>
              </w:rPr>
              <w:t>28ª reunión, Virtual, 2</w:t>
            </w:r>
            <w:r w:rsidR="00603CC6" w:rsidRPr="00511058">
              <w:rPr>
                <w:b/>
                <w:bCs/>
                <w:sz w:val="26"/>
                <w:szCs w:val="26"/>
                <w:lang w:val="es-ES_tradnl"/>
              </w:rPr>
              <w:t>4</w:t>
            </w:r>
            <w:r w:rsidRPr="00511058">
              <w:rPr>
                <w:b/>
                <w:bCs/>
                <w:sz w:val="26"/>
                <w:szCs w:val="26"/>
                <w:lang w:val="es-ES_tradnl"/>
              </w:rPr>
              <w:t>-28 de mayo de 2021</w:t>
            </w:r>
          </w:p>
        </w:tc>
        <w:tc>
          <w:tcPr>
            <w:tcW w:w="2091" w:type="dxa"/>
            <w:tcBorders>
              <w:bottom w:val="single" w:sz="12" w:space="0" w:color="auto"/>
            </w:tcBorders>
          </w:tcPr>
          <w:p w14:paraId="53D4B74D" w14:textId="77777777" w:rsidR="00C85582" w:rsidRPr="00511058" w:rsidRDefault="00C85582" w:rsidP="004E7861">
            <w:pPr>
              <w:spacing w:before="40" w:after="80"/>
              <w:ind w:right="142"/>
              <w:jc w:val="right"/>
              <w:rPr>
                <w:lang w:val="es-ES_tradnl"/>
              </w:rPr>
            </w:pPr>
            <w:r w:rsidRPr="00511058">
              <w:rPr>
                <w:noProof/>
                <w:color w:val="3399FF"/>
                <w:lang w:val="es-ES_tradnl" w:eastAsia="en-GB"/>
              </w:rPr>
              <w:drawing>
                <wp:inline distT="0" distB="0" distL="0" distR="0" wp14:anchorId="7F1EC991" wp14:editId="5B27AEB8">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4B7893" w:rsidRPr="00511058" w14:paraId="56FC4D92" w14:textId="77777777" w:rsidTr="004B7893">
        <w:trPr>
          <w:cantSplit/>
        </w:trPr>
        <w:tc>
          <w:tcPr>
            <w:tcW w:w="6663" w:type="dxa"/>
            <w:gridSpan w:val="2"/>
            <w:tcBorders>
              <w:top w:val="single" w:sz="12" w:space="0" w:color="auto"/>
            </w:tcBorders>
          </w:tcPr>
          <w:p w14:paraId="7848BE30" w14:textId="77777777" w:rsidR="004B7893" w:rsidRPr="00511058" w:rsidRDefault="004B7893" w:rsidP="004B7893">
            <w:pPr>
              <w:spacing w:before="0"/>
              <w:rPr>
                <w:rFonts w:cs="Arial"/>
                <w:b/>
                <w:bCs/>
                <w:sz w:val="20"/>
                <w:lang w:val="es-ES_tradnl"/>
              </w:rPr>
            </w:pPr>
          </w:p>
        </w:tc>
        <w:tc>
          <w:tcPr>
            <w:tcW w:w="3225" w:type="dxa"/>
            <w:gridSpan w:val="2"/>
            <w:tcBorders>
              <w:top w:val="single" w:sz="12" w:space="0" w:color="auto"/>
            </w:tcBorders>
          </w:tcPr>
          <w:p w14:paraId="19B52FED" w14:textId="77777777" w:rsidR="004B7893" w:rsidRPr="00511058" w:rsidRDefault="004B7893" w:rsidP="004B7893">
            <w:pPr>
              <w:spacing w:before="0"/>
              <w:rPr>
                <w:b/>
                <w:bCs/>
                <w:sz w:val="20"/>
                <w:lang w:val="es-ES_tradnl"/>
              </w:rPr>
            </w:pPr>
          </w:p>
        </w:tc>
      </w:tr>
      <w:tr w:rsidR="004B7893" w:rsidRPr="00511058" w14:paraId="02731096" w14:textId="77777777" w:rsidTr="004B7893">
        <w:trPr>
          <w:cantSplit/>
        </w:trPr>
        <w:tc>
          <w:tcPr>
            <w:tcW w:w="6663" w:type="dxa"/>
            <w:gridSpan w:val="2"/>
          </w:tcPr>
          <w:p w14:paraId="2838B5E7" w14:textId="77777777" w:rsidR="004B7893" w:rsidRPr="00511058" w:rsidRDefault="004B7893" w:rsidP="004B7893">
            <w:pPr>
              <w:pStyle w:val="Committee"/>
              <w:spacing w:before="0"/>
              <w:rPr>
                <w:b w:val="0"/>
                <w:lang w:val="es-ES_tradnl"/>
              </w:rPr>
            </w:pPr>
          </w:p>
        </w:tc>
        <w:tc>
          <w:tcPr>
            <w:tcW w:w="3225" w:type="dxa"/>
            <w:gridSpan w:val="2"/>
          </w:tcPr>
          <w:p w14:paraId="22A72CEC" w14:textId="51C50593" w:rsidR="004B7893" w:rsidRPr="00511058" w:rsidRDefault="005637B9" w:rsidP="00AA076A">
            <w:pPr>
              <w:spacing w:before="0"/>
              <w:rPr>
                <w:bCs/>
                <w:lang w:val="es-ES_tradnl"/>
              </w:rPr>
            </w:pPr>
            <w:r w:rsidRPr="00511058">
              <w:rPr>
                <w:b/>
                <w:bCs/>
                <w:lang w:val="es-ES_tradnl"/>
              </w:rPr>
              <w:t xml:space="preserve">Documento </w:t>
            </w:r>
            <w:bookmarkStart w:id="0" w:name="DocRef1"/>
            <w:bookmarkEnd w:id="0"/>
            <w:r w:rsidRPr="00511058">
              <w:rPr>
                <w:b/>
                <w:bCs/>
                <w:lang w:val="es-ES_tradnl"/>
              </w:rPr>
              <w:t>TDAG</w:t>
            </w:r>
            <w:r w:rsidR="00602B27" w:rsidRPr="00511058">
              <w:rPr>
                <w:b/>
                <w:bCs/>
                <w:lang w:val="es-ES_tradnl"/>
              </w:rPr>
              <w:t>-</w:t>
            </w:r>
            <w:r w:rsidR="00AA076A" w:rsidRPr="00511058">
              <w:rPr>
                <w:b/>
                <w:bCs/>
                <w:lang w:val="es-ES_tradnl"/>
              </w:rPr>
              <w:t>2</w:t>
            </w:r>
            <w:r w:rsidR="00C85582" w:rsidRPr="00511058">
              <w:rPr>
                <w:b/>
                <w:bCs/>
                <w:lang w:val="es-ES_tradnl"/>
              </w:rPr>
              <w:t>1</w:t>
            </w:r>
            <w:r w:rsidRPr="00511058">
              <w:rPr>
                <w:b/>
                <w:bCs/>
                <w:lang w:val="es-ES_tradnl"/>
              </w:rPr>
              <w:t>/</w:t>
            </w:r>
            <w:bookmarkStart w:id="1" w:name="DocNo1"/>
            <w:bookmarkEnd w:id="1"/>
            <w:r w:rsidR="00F015A1" w:rsidRPr="00511058">
              <w:rPr>
                <w:b/>
                <w:bCs/>
                <w:lang w:val="es-ES_tradnl"/>
              </w:rPr>
              <w:t>12</w:t>
            </w:r>
            <w:r w:rsidRPr="00511058">
              <w:rPr>
                <w:b/>
                <w:bCs/>
                <w:lang w:val="es-ES_tradnl"/>
              </w:rPr>
              <w:t>-S</w:t>
            </w:r>
          </w:p>
        </w:tc>
      </w:tr>
      <w:tr w:rsidR="004B7893" w:rsidRPr="00511058" w14:paraId="44AADDC8" w14:textId="77777777" w:rsidTr="004B7893">
        <w:trPr>
          <w:cantSplit/>
        </w:trPr>
        <w:tc>
          <w:tcPr>
            <w:tcW w:w="6663" w:type="dxa"/>
            <w:gridSpan w:val="2"/>
          </w:tcPr>
          <w:p w14:paraId="134FFC79" w14:textId="77777777" w:rsidR="004B7893" w:rsidRPr="00511058" w:rsidRDefault="004B7893" w:rsidP="004B7893">
            <w:pPr>
              <w:spacing w:before="0"/>
              <w:rPr>
                <w:b/>
                <w:bCs/>
                <w:smallCaps/>
                <w:lang w:val="es-ES_tradnl"/>
              </w:rPr>
            </w:pPr>
          </w:p>
        </w:tc>
        <w:tc>
          <w:tcPr>
            <w:tcW w:w="3225" w:type="dxa"/>
            <w:gridSpan w:val="2"/>
          </w:tcPr>
          <w:p w14:paraId="7E95675A" w14:textId="6D1D7030" w:rsidR="004B7893" w:rsidRPr="00511058" w:rsidRDefault="00F015A1" w:rsidP="00AA076A">
            <w:pPr>
              <w:spacing w:before="0"/>
              <w:rPr>
                <w:b/>
                <w:lang w:val="es-ES_tradnl"/>
              </w:rPr>
            </w:pPr>
            <w:bookmarkStart w:id="2" w:name="CreationDate"/>
            <w:bookmarkEnd w:id="2"/>
            <w:r w:rsidRPr="00511058">
              <w:rPr>
                <w:b/>
                <w:bCs/>
                <w:szCs w:val="28"/>
                <w:lang w:val="es-ES_tradnl"/>
              </w:rPr>
              <w:t>13 de abril de</w:t>
            </w:r>
            <w:r w:rsidR="00BC7208" w:rsidRPr="00511058">
              <w:rPr>
                <w:b/>
                <w:bCs/>
                <w:szCs w:val="28"/>
                <w:lang w:val="es-ES_tradnl"/>
              </w:rPr>
              <w:t xml:space="preserve"> 20</w:t>
            </w:r>
            <w:r w:rsidR="00AA076A" w:rsidRPr="00511058">
              <w:rPr>
                <w:b/>
                <w:bCs/>
                <w:szCs w:val="28"/>
                <w:lang w:val="es-ES_tradnl"/>
              </w:rPr>
              <w:t>2</w:t>
            </w:r>
            <w:r w:rsidR="00C85582" w:rsidRPr="00511058">
              <w:rPr>
                <w:b/>
                <w:bCs/>
                <w:szCs w:val="28"/>
                <w:lang w:val="es-ES_tradnl"/>
              </w:rPr>
              <w:t>1</w:t>
            </w:r>
          </w:p>
        </w:tc>
      </w:tr>
      <w:tr w:rsidR="004B7893" w:rsidRPr="00511058" w14:paraId="600327B8" w14:textId="77777777" w:rsidTr="004B7893">
        <w:trPr>
          <w:cantSplit/>
        </w:trPr>
        <w:tc>
          <w:tcPr>
            <w:tcW w:w="6663" w:type="dxa"/>
            <w:gridSpan w:val="2"/>
          </w:tcPr>
          <w:p w14:paraId="6A0B25AF" w14:textId="77777777" w:rsidR="004B7893" w:rsidRPr="00511058" w:rsidRDefault="004B7893" w:rsidP="004B7893">
            <w:pPr>
              <w:spacing w:before="0"/>
              <w:rPr>
                <w:b/>
                <w:bCs/>
                <w:smallCaps/>
                <w:lang w:val="es-ES_tradnl"/>
              </w:rPr>
            </w:pPr>
          </w:p>
        </w:tc>
        <w:tc>
          <w:tcPr>
            <w:tcW w:w="3225" w:type="dxa"/>
            <w:gridSpan w:val="2"/>
          </w:tcPr>
          <w:p w14:paraId="48B19738" w14:textId="49C62D4B" w:rsidR="004B7893" w:rsidRPr="00511058" w:rsidRDefault="005637B9" w:rsidP="004B7893">
            <w:pPr>
              <w:spacing w:before="0"/>
              <w:rPr>
                <w:szCs w:val="24"/>
                <w:lang w:val="es-ES_tradnl"/>
              </w:rPr>
            </w:pPr>
            <w:r w:rsidRPr="00511058">
              <w:rPr>
                <w:b/>
                <w:lang w:val="es-ES_tradnl"/>
              </w:rPr>
              <w:t>Original:</w:t>
            </w:r>
            <w:bookmarkStart w:id="3" w:name="Original"/>
            <w:bookmarkEnd w:id="3"/>
            <w:r w:rsidRPr="00511058">
              <w:rPr>
                <w:b/>
                <w:lang w:val="es-ES_tradnl"/>
              </w:rPr>
              <w:t xml:space="preserve"> </w:t>
            </w:r>
            <w:r w:rsidR="00F015A1" w:rsidRPr="00511058">
              <w:rPr>
                <w:b/>
                <w:lang w:val="es-ES_tradnl"/>
              </w:rPr>
              <w:t>inglés</w:t>
            </w:r>
          </w:p>
        </w:tc>
      </w:tr>
      <w:tr w:rsidR="004B7893" w:rsidRPr="00511058" w14:paraId="48484491" w14:textId="77777777" w:rsidTr="004B7893">
        <w:trPr>
          <w:cantSplit/>
          <w:trHeight w:val="852"/>
        </w:trPr>
        <w:tc>
          <w:tcPr>
            <w:tcW w:w="9888" w:type="dxa"/>
            <w:gridSpan w:val="4"/>
          </w:tcPr>
          <w:p w14:paraId="741798A7" w14:textId="57E9DA5A" w:rsidR="004B7893" w:rsidRPr="00511058" w:rsidRDefault="00F015A1" w:rsidP="004B7893">
            <w:pPr>
              <w:pStyle w:val="Source"/>
              <w:rPr>
                <w:szCs w:val="28"/>
                <w:lang w:val="es-ES_tradnl"/>
              </w:rPr>
            </w:pPr>
            <w:bookmarkStart w:id="4" w:name="Source"/>
            <w:bookmarkEnd w:id="4"/>
            <w:r w:rsidRPr="00511058">
              <w:rPr>
                <w:lang w:val="es-ES_tradnl"/>
              </w:rPr>
              <w:t>Director de la Oficina de Desarrollo de las Telecomunicaciones</w:t>
            </w:r>
          </w:p>
        </w:tc>
      </w:tr>
      <w:tr w:rsidR="004B7893" w:rsidRPr="00511058" w14:paraId="6D43DC86" w14:textId="77777777" w:rsidTr="004B7893">
        <w:trPr>
          <w:cantSplit/>
        </w:trPr>
        <w:tc>
          <w:tcPr>
            <w:tcW w:w="9888" w:type="dxa"/>
            <w:gridSpan w:val="4"/>
          </w:tcPr>
          <w:p w14:paraId="177B38EF" w14:textId="4E2672CA" w:rsidR="004B7893" w:rsidRPr="00511058" w:rsidRDefault="00F015A1" w:rsidP="004B7893">
            <w:pPr>
              <w:pStyle w:val="Title1"/>
              <w:rPr>
                <w:bCs/>
                <w:szCs w:val="28"/>
                <w:lang w:val="es-ES_tradnl"/>
              </w:rPr>
            </w:pPr>
            <w:bookmarkStart w:id="5" w:name="Title"/>
            <w:bookmarkEnd w:id="5"/>
            <w:r w:rsidRPr="00511058">
              <w:rPr>
                <w:lang w:val="es-ES_tradnl"/>
              </w:rPr>
              <w:t>Miembros de Sector, Asociados e Instituciones Académicas del UIT-D</w:t>
            </w:r>
          </w:p>
        </w:tc>
      </w:tr>
      <w:tr w:rsidR="004B7893" w:rsidRPr="00511058" w14:paraId="63079C13" w14:textId="77777777" w:rsidTr="004B7893">
        <w:trPr>
          <w:cantSplit/>
        </w:trPr>
        <w:tc>
          <w:tcPr>
            <w:tcW w:w="9888" w:type="dxa"/>
            <w:gridSpan w:val="4"/>
            <w:tcBorders>
              <w:bottom w:val="single" w:sz="4" w:space="0" w:color="auto"/>
            </w:tcBorders>
          </w:tcPr>
          <w:p w14:paraId="5F6FE741" w14:textId="77777777" w:rsidR="004B7893" w:rsidRPr="00511058" w:rsidRDefault="004B7893" w:rsidP="00BC7208">
            <w:pPr>
              <w:rPr>
                <w:lang w:val="es-ES_tradnl"/>
              </w:rPr>
            </w:pPr>
          </w:p>
        </w:tc>
      </w:tr>
      <w:tr w:rsidR="004B7893" w:rsidRPr="00511058" w14:paraId="61787CD6" w14:textId="77777777" w:rsidTr="004B7893">
        <w:trPr>
          <w:cantSplit/>
          <w:trHeight w:val="703"/>
        </w:trPr>
        <w:tc>
          <w:tcPr>
            <w:tcW w:w="9888" w:type="dxa"/>
            <w:gridSpan w:val="4"/>
            <w:tcBorders>
              <w:top w:val="single" w:sz="4" w:space="0" w:color="auto"/>
              <w:left w:val="single" w:sz="4" w:space="0" w:color="auto"/>
              <w:bottom w:val="single" w:sz="4" w:space="0" w:color="auto"/>
              <w:right w:val="single" w:sz="4" w:space="0" w:color="auto"/>
            </w:tcBorders>
          </w:tcPr>
          <w:p w14:paraId="35FB8195" w14:textId="77777777" w:rsidR="004B7893" w:rsidRPr="00511058" w:rsidRDefault="004B7893" w:rsidP="004B7893">
            <w:pPr>
              <w:spacing w:before="240"/>
              <w:rPr>
                <w:b/>
                <w:bCs/>
                <w:lang w:val="es-ES_tradnl"/>
              </w:rPr>
            </w:pPr>
            <w:r w:rsidRPr="00511058">
              <w:rPr>
                <w:b/>
                <w:bCs/>
                <w:lang w:val="es-ES_tradnl"/>
              </w:rPr>
              <w:t>Resumen:</w:t>
            </w:r>
          </w:p>
          <w:p w14:paraId="0CA71490" w14:textId="6D3C31F6" w:rsidR="004B7893" w:rsidRPr="00511058" w:rsidRDefault="00F015A1" w:rsidP="004B7893">
            <w:pPr>
              <w:rPr>
                <w:b/>
                <w:bCs/>
                <w:lang w:val="es-ES_tradnl"/>
              </w:rPr>
            </w:pPr>
            <w:r w:rsidRPr="00511058">
              <w:rPr>
                <w:lang w:val="es-ES_tradnl"/>
              </w:rPr>
              <w:t>En el presente documento se proporciona una visión general de la evolución de la cantidad de Miembros del UIT-D. También se recomiendan varias medidas para aumentar dicha cantidad, de conformidad con los resultados de la Conferencia Mundial de Desarrollo de las Telecomunicaciones de 2017 (CMDT-17) y la Conferencia de Plenipotenciarios de 2018. Los Miembros del UIT-D incluyen Miembros de Sector, Asociados e Instituciones Académicas</w:t>
            </w:r>
            <w:bookmarkStart w:id="6" w:name="dorlang"/>
            <w:bookmarkEnd w:id="6"/>
            <w:r w:rsidRPr="00511058">
              <w:rPr>
                <w:rFonts w:ascii="Calibri" w:hAnsi="Calibri"/>
                <w:szCs w:val="24"/>
                <w:vertAlign w:val="superscript"/>
                <w:lang w:val="es-ES_tradnl"/>
              </w:rPr>
              <w:footnoteReference w:id="1"/>
            </w:r>
            <w:r w:rsidRPr="00511058">
              <w:rPr>
                <w:rFonts w:ascii="Calibri" w:hAnsi="Calibri"/>
                <w:szCs w:val="24"/>
                <w:lang w:val="es-ES_tradnl"/>
              </w:rPr>
              <w:t>.</w:t>
            </w:r>
          </w:p>
          <w:p w14:paraId="00CC8D37" w14:textId="08A00EE9" w:rsidR="004B7893" w:rsidRPr="00511058" w:rsidRDefault="004B7893" w:rsidP="004B7893">
            <w:pPr>
              <w:rPr>
                <w:b/>
                <w:bCs/>
                <w:lang w:val="es-ES_tradnl"/>
              </w:rPr>
            </w:pPr>
            <w:r w:rsidRPr="00511058">
              <w:rPr>
                <w:b/>
                <w:bCs/>
                <w:lang w:val="es-ES_tradnl"/>
              </w:rPr>
              <w:t>Acción solicitada:</w:t>
            </w:r>
          </w:p>
          <w:p w14:paraId="42523399" w14:textId="3F6546DA" w:rsidR="004B7893" w:rsidRPr="00511058" w:rsidRDefault="00F015A1" w:rsidP="004B7893">
            <w:pPr>
              <w:rPr>
                <w:b/>
                <w:bCs/>
                <w:lang w:val="es-ES_tradnl"/>
              </w:rPr>
            </w:pPr>
            <w:r w:rsidRPr="00511058">
              <w:rPr>
                <w:lang w:val="es-ES_tradnl"/>
              </w:rPr>
              <w:t>Se invita al GADT a que tome nota del presente documento y formule las observaciones que estime oportunas</w:t>
            </w:r>
            <w:r w:rsidRPr="00511058">
              <w:rPr>
                <w:rFonts w:ascii="Calibri" w:hAnsi="Calibri"/>
                <w:szCs w:val="24"/>
                <w:lang w:val="es-ES_tradnl"/>
              </w:rPr>
              <w:t>.</w:t>
            </w:r>
          </w:p>
          <w:p w14:paraId="66924C66" w14:textId="77777777" w:rsidR="004B7893" w:rsidRPr="00511058" w:rsidRDefault="004B7893" w:rsidP="004B7893">
            <w:pPr>
              <w:rPr>
                <w:b/>
                <w:bCs/>
                <w:lang w:val="es-ES_tradnl"/>
              </w:rPr>
            </w:pPr>
            <w:r w:rsidRPr="00511058">
              <w:rPr>
                <w:b/>
                <w:bCs/>
                <w:lang w:val="es-ES_tradnl"/>
              </w:rPr>
              <w:t>Referencias:</w:t>
            </w:r>
          </w:p>
          <w:p w14:paraId="1589C5DD" w14:textId="7ADB8EFF" w:rsidR="002160ED" w:rsidRPr="00511058" w:rsidRDefault="00F015A1" w:rsidP="002160ED">
            <w:pPr>
              <w:spacing w:after="120"/>
              <w:rPr>
                <w:rFonts w:ascii="Calibri" w:hAnsi="Calibri"/>
                <w:lang w:val="es-ES_tradnl"/>
              </w:rPr>
            </w:pPr>
            <w:r w:rsidRPr="00511058">
              <w:rPr>
                <w:lang w:val="es-ES_tradnl"/>
              </w:rPr>
              <w:t>Resolución 71 (Rev. Buenos Aires, 2017) de la CMDT; Resoluciones 169 (Rev. Dubái, 2018), 205 (Dubái, 2018) y 209 (Dubái, 2018) de la Conferencia de Plenipotenciarios</w:t>
            </w:r>
            <w:r w:rsidRPr="00511058">
              <w:rPr>
                <w:rFonts w:ascii="Calibri" w:hAnsi="Calibri"/>
                <w:lang w:val="es-ES_tradnl"/>
              </w:rPr>
              <w:t>.</w:t>
            </w:r>
          </w:p>
        </w:tc>
      </w:tr>
    </w:tbl>
    <w:p w14:paraId="10E38AFA" w14:textId="77777777" w:rsidR="00AA076A" w:rsidRPr="00511058" w:rsidRDefault="00AA076A" w:rsidP="00991B13">
      <w:pPr>
        <w:rPr>
          <w:lang w:val="es-ES_tradnl"/>
        </w:rPr>
      </w:pPr>
    </w:p>
    <w:p w14:paraId="0457530B" w14:textId="77777777" w:rsidR="00AA076A" w:rsidRPr="00511058" w:rsidRDefault="00AA076A">
      <w:pPr>
        <w:tabs>
          <w:tab w:val="clear" w:pos="794"/>
          <w:tab w:val="clear" w:pos="1191"/>
          <w:tab w:val="clear" w:pos="1588"/>
          <w:tab w:val="clear" w:pos="1985"/>
        </w:tabs>
        <w:overflowPunct/>
        <w:autoSpaceDE/>
        <w:autoSpaceDN/>
        <w:adjustRightInd/>
        <w:spacing w:before="0" w:after="200" w:line="276" w:lineRule="auto"/>
        <w:textAlignment w:val="auto"/>
        <w:rPr>
          <w:lang w:val="es-ES_tradnl"/>
        </w:rPr>
      </w:pPr>
      <w:r w:rsidRPr="00511058">
        <w:rPr>
          <w:lang w:val="es-ES_tradnl"/>
        </w:rPr>
        <w:br w:type="page"/>
      </w:r>
    </w:p>
    <w:p w14:paraId="2671A662" w14:textId="6244D976" w:rsidR="00F015A1" w:rsidRPr="00511058" w:rsidRDefault="002160ED" w:rsidP="002160ED">
      <w:pPr>
        <w:pStyle w:val="Heading1"/>
        <w:rPr>
          <w:rFonts w:eastAsia="SimSun"/>
          <w:lang w:val="es-ES_tradnl" w:eastAsia="zh-CN"/>
        </w:rPr>
      </w:pPr>
      <w:r w:rsidRPr="00511058">
        <w:rPr>
          <w:rFonts w:eastAsia="SimSun"/>
          <w:lang w:val="es-ES_tradnl" w:eastAsia="zh-CN"/>
        </w:rPr>
        <w:lastRenderedPageBreak/>
        <w:t>1</w:t>
      </w:r>
      <w:r w:rsidRPr="00511058">
        <w:rPr>
          <w:rFonts w:eastAsia="SimSun"/>
          <w:lang w:val="es-ES_tradnl" w:eastAsia="zh-CN"/>
        </w:rPr>
        <w:tab/>
      </w:r>
      <w:r w:rsidR="00F015A1" w:rsidRPr="00511058">
        <w:rPr>
          <w:rFonts w:eastAsia="SimSun"/>
          <w:lang w:val="es-ES_tradnl" w:eastAsia="zh-CN"/>
        </w:rPr>
        <w:t>Antecedentes</w:t>
      </w:r>
    </w:p>
    <w:p w14:paraId="7108B9EB" w14:textId="3CFFAC64" w:rsidR="00F015A1" w:rsidRPr="00511058" w:rsidRDefault="00F015A1" w:rsidP="002160ED">
      <w:pPr>
        <w:rPr>
          <w:lang w:val="es-ES_tradnl"/>
        </w:rPr>
      </w:pPr>
      <w:r w:rsidRPr="00511058">
        <w:rPr>
          <w:lang w:val="es-ES_tradnl"/>
        </w:rPr>
        <w:t>En la Conferencia Mundial de Desarrollo de las Telecomunicaciones de 2017 (CMDT-17) se revisó y aprobó la Resolución 71 (Rev. Buenos Aires, 2017</w:t>
      </w:r>
      <w:r w:rsidR="00366323" w:rsidRPr="00511058">
        <w:rPr>
          <w:rStyle w:val="FootnoteReference"/>
          <w:lang w:val="es-ES_tradnl"/>
        </w:rPr>
        <w:footnoteReference w:id="2"/>
      </w:r>
      <w:r w:rsidRPr="00511058">
        <w:rPr>
          <w:lang w:val="es-ES_tradnl"/>
        </w:rPr>
        <w:t>) a fin de promover la participación eficaz de los actuales Miembros de Sector, Asociados e Instituciones Académicas en las actividades del UIT-D, incluida su participación en la labor de las Comisiones de Estudio del UIT-D, y atraer a nuevos miembros de los sectores público, privado y académico.</w:t>
      </w:r>
    </w:p>
    <w:p w14:paraId="76D14EAD" w14:textId="77777777" w:rsidR="00F015A1" w:rsidRPr="00511058" w:rsidRDefault="00F015A1" w:rsidP="002160ED">
      <w:pPr>
        <w:rPr>
          <w:lang w:val="es-ES_tradnl"/>
        </w:rPr>
      </w:pPr>
      <w:r w:rsidRPr="00511058">
        <w:rPr>
          <w:lang w:val="es-ES_tradnl"/>
        </w:rPr>
        <w:t>En virtud de lo dispuesto en la Resolución 71 (Rev. Buenos Aires, 2017), se hace hincapié en la evolución de la función del sector privado en el UIT-D, al encargar a la BDT que siga organizando reuniones destinadas a altos ejecutivos del sector industrial, en particular el Grupo Asesor de la Industria para Cuestiones de Desarrollo (IAGDI). Las reuniones del IAGDI cuentan con una amplia representación de la industria a través de Miembros de Sector del UIT-D de todas las regiones. En el marco de la Resolución también se reconoce la labor de los Directores de Reglamentación (CRO).</w:t>
      </w:r>
    </w:p>
    <w:p w14:paraId="56C428AD" w14:textId="5E11B299" w:rsidR="00F015A1" w:rsidRPr="00511058" w:rsidRDefault="002160ED" w:rsidP="002160ED">
      <w:pPr>
        <w:pStyle w:val="Heading1"/>
        <w:rPr>
          <w:rFonts w:ascii="Calibri" w:eastAsia="SimSun" w:hAnsi="Calibri" w:cs="Arial"/>
          <w:bCs/>
          <w:szCs w:val="24"/>
          <w:lang w:val="es-ES_tradnl" w:eastAsia="zh-CN"/>
        </w:rPr>
      </w:pPr>
      <w:r w:rsidRPr="00511058">
        <w:rPr>
          <w:lang w:val="es-ES_tradnl"/>
        </w:rPr>
        <w:t>2</w:t>
      </w:r>
      <w:r w:rsidRPr="00511058">
        <w:rPr>
          <w:lang w:val="es-ES_tradnl"/>
        </w:rPr>
        <w:tab/>
      </w:r>
      <w:r w:rsidR="00F015A1" w:rsidRPr="00511058">
        <w:rPr>
          <w:lang w:val="es-ES_tradnl"/>
        </w:rPr>
        <w:t>Situación de los Miembros del UIT-D</w:t>
      </w:r>
    </w:p>
    <w:p w14:paraId="3E5948FE" w14:textId="1A6F1836" w:rsidR="00F015A1" w:rsidRPr="00511058" w:rsidRDefault="00F015A1" w:rsidP="002160ED">
      <w:pPr>
        <w:rPr>
          <w:rFonts w:eastAsia="SimSun"/>
          <w:lang w:val="es-ES_tradnl"/>
        </w:rPr>
      </w:pPr>
      <w:r w:rsidRPr="00511058">
        <w:rPr>
          <w:lang w:val="es-ES_tradnl"/>
        </w:rPr>
        <w:t>En el cuadro que figura a continuación se representa la evolución de la cantidad de miembros del UIT-D (Miembros de Sector, Asociados e instituciones Académicas</w:t>
      </w:r>
      <w:r w:rsidR="00EB2FC8" w:rsidRPr="00511058">
        <w:rPr>
          <w:rStyle w:val="FootnoteReference"/>
          <w:lang w:val="es-ES_tradnl"/>
        </w:rPr>
        <w:footnoteReference w:id="3"/>
      </w:r>
      <w:r w:rsidRPr="00511058">
        <w:rPr>
          <w:rFonts w:eastAsia="SimSun"/>
          <w:lang w:val="es-ES_tradnl"/>
        </w:rPr>
        <w:t>) entre 2010 y marzo de</w:t>
      </w:r>
      <w:r w:rsidR="00EB2FC8" w:rsidRPr="00511058">
        <w:rPr>
          <w:rFonts w:eastAsia="SimSun"/>
          <w:lang w:val="es-ES_tradnl"/>
        </w:rPr>
        <w:t> </w:t>
      </w:r>
      <w:r w:rsidRPr="00511058">
        <w:rPr>
          <w:rFonts w:eastAsia="SimSun"/>
          <w:lang w:val="es-ES_tradnl"/>
        </w:rPr>
        <w:t>2021. Tras una época difícil marcada por la caída del número de Miembros del UIT-D, a lo largo de 2020 y durante el primer trimestre de 2021 se unieron 10 entidades nuevas como Miembros de Sector, tal y como se detalla en las Secciones 3.1 y 3.2, más abajo.</w:t>
      </w:r>
    </w:p>
    <w:p w14:paraId="02521171" w14:textId="57647FE9" w:rsidR="00F015A1" w:rsidRPr="00511058" w:rsidRDefault="00F015A1" w:rsidP="002160ED">
      <w:pPr>
        <w:rPr>
          <w:rFonts w:eastAsia="SimSun"/>
          <w:lang w:val="es-ES_tradnl"/>
        </w:rPr>
      </w:pPr>
      <w:r w:rsidRPr="00511058">
        <w:rPr>
          <w:rFonts w:eastAsia="SimSun"/>
          <w:lang w:val="es-ES_tradnl"/>
        </w:rPr>
        <w:t>A raíz de la aplicación de los nuevos enfoques estratégicos de divulgación y retención y a pesar de las dificultades financieras derivadas de la COVID-19, conviene destacar que, durante el primer trimestre de 2021, se ha duplicado el número de Miembros de Sector nuevos en comparación con el mismo período de 2020, con cuatro nuevos Miembros de Sector que se han unido desde enero de 2021 y cinco entidades adicionales que, tras haber recibido la aprobación de sus administraciones respectivas, se espera que se conviertan en miembros de pleno derecho durante el segundo trimestre de 2021.</w:t>
      </w:r>
    </w:p>
    <w:p w14:paraId="2173D560" w14:textId="75867598" w:rsidR="00F015A1" w:rsidRPr="00511058" w:rsidRDefault="00F015A1" w:rsidP="002160ED">
      <w:pPr>
        <w:rPr>
          <w:rFonts w:eastAsia="SimSun"/>
          <w:lang w:val="es-ES_tradnl"/>
        </w:rPr>
      </w:pPr>
      <w:r w:rsidRPr="00511058">
        <w:rPr>
          <w:rFonts w:eastAsia="SimSun"/>
          <w:lang w:val="es-ES_tradnl"/>
        </w:rPr>
        <w:t>Las medidas de retención también han tenido resultados positivos ya que s</w:t>
      </w:r>
      <w:r w:rsidR="00E11C9C" w:rsidRPr="00511058">
        <w:rPr>
          <w:rFonts w:eastAsia="SimSun"/>
          <w:lang w:val="es-ES_tradnl"/>
        </w:rPr>
        <w:t>ó</w:t>
      </w:r>
      <w:r w:rsidRPr="00511058">
        <w:rPr>
          <w:rFonts w:eastAsia="SimSun"/>
          <w:lang w:val="es-ES_tradnl"/>
        </w:rPr>
        <w:t>lo se ha perdido a un Miembro de Sector durante el primer trimestre de 2021, frente a las 7 pérdidas registradas durante el mismo período de 2020. Además, un Asociado ha pasado a la categoría de Miembro de Sector durante el primer trimestre de 2021.</w:t>
      </w:r>
    </w:p>
    <w:p w14:paraId="73CD75A0" w14:textId="28A8A80E" w:rsidR="00F015A1" w:rsidRPr="00511058" w:rsidRDefault="00F015A1" w:rsidP="002160ED">
      <w:pPr>
        <w:pStyle w:val="Tabletitle"/>
        <w:rPr>
          <w:rFonts w:eastAsia="SimSun"/>
          <w:lang w:val="es-ES_tradnl" w:eastAsia="zh-CN"/>
        </w:rPr>
      </w:pPr>
      <w:r w:rsidRPr="00511058">
        <w:rPr>
          <w:rFonts w:eastAsia="SimSun"/>
          <w:lang w:val="es-ES_tradnl" w:eastAsia="zh-CN"/>
        </w:rPr>
        <w:lastRenderedPageBreak/>
        <w:t>Cuadro</w:t>
      </w:r>
      <w:r w:rsidRPr="00511058">
        <w:rPr>
          <w:rFonts w:eastAsia="SimSun"/>
          <w:sz w:val="22"/>
          <w:szCs w:val="22"/>
          <w:lang w:val="es-ES_tradnl" w:eastAsia="zh-CN"/>
        </w:rPr>
        <w:t xml:space="preserve"> –</w:t>
      </w:r>
      <w:r w:rsidRPr="00511058">
        <w:rPr>
          <w:rFonts w:eastAsia="SimSun"/>
          <w:lang w:val="es-ES_tradnl" w:eastAsia="zh-CN"/>
        </w:rPr>
        <w:t xml:space="preserve"> Evolución de la cantidad de Miembros del UIT-D (Miembros de Sector, Asociados </w:t>
      </w:r>
      <w:r w:rsidRPr="00511058">
        <w:rPr>
          <w:rFonts w:eastAsia="SimSun"/>
          <w:lang w:val="es-ES_tradnl" w:eastAsia="zh-CN"/>
        </w:rPr>
        <w:br/>
        <w:t>e Instituciones Académicas</w:t>
      </w:r>
      <w:r w:rsidRPr="00511058">
        <w:rPr>
          <w:rFonts w:eastAsia="SimSun"/>
          <w:vertAlign w:val="superscript"/>
          <w:lang w:val="es-ES_tradnl" w:eastAsia="zh-CN"/>
        </w:rPr>
        <w:footnoteReference w:id="4"/>
      </w:r>
      <w:r w:rsidRPr="00511058">
        <w:rPr>
          <w:rFonts w:eastAsia="SimSun"/>
          <w:lang w:val="es-ES_tradnl" w:eastAsia="zh-CN"/>
        </w:rPr>
        <w:t>)</w:t>
      </w:r>
      <w:r w:rsidRPr="00511058">
        <w:rPr>
          <w:rFonts w:eastAsia="SimSun"/>
          <w:lang w:val="es-ES_tradnl" w:eastAsia="zh-CN"/>
        </w:rPr>
        <w:br/>
        <w:t>de 2010 a 2021</w:t>
      </w:r>
    </w:p>
    <w:tbl>
      <w:tblPr>
        <w:tblW w:w="9923" w:type="dxa"/>
        <w:tblInd w:w="-142" w:type="dxa"/>
        <w:tblLayout w:type="fixed"/>
        <w:tblCellMar>
          <w:left w:w="0" w:type="dxa"/>
          <w:right w:w="0" w:type="dxa"/>
        </w:tblCellMar>
        <w:tblLook w:val="04A0" w:firstRow="1" w:lastRow="0" w:firstColumn="1" w:lastColumn="0" w:noHBand="0" w:noVBand="1"/>
      </w:tblPr>
      <w:tblGrid>
        <w:gridCol w:w="1418"/>
        <w:gridCol w:w="709"/>
        <w:gridCol w:w="709"/>
        <w:gridCol w:w="708"/>
        <w:gridCol w:w="709"/>
        <w:gridCol w:w="709"/>
        <w:gridCol w:w="709"/>
        <w:gridCol w:w="708"/>
        <w:gridCol w:w="709"/>
        <w:gridCol w:w="709"/>
        <w:gridCol w:w="567"/>
        <w:gridCol w:w="622"/>
        <w:gridCol w:w="937"/>
      </w:tblGrid>
      <w:tr w:rsidR="002160ED" w:rsidRPr="00511058" w14:paraId="27B00647" w14:textId="77777777" w:rsidTr="00E11C9C">
        <w:trPr>
          <w:trHeight w:val="20"/>
          <w:tblHeader/>
        </w:trPr>
        <w:tc>
          <w:tcPr>
            <w:tcW w:w="1418" w:type="dxa"/>
            <w:tcBorders>
              <w:top w:val="nil"/>
              <w:left w:val="nil"/>
              <w:bottom w:val="single" w:sz="4" w:space="0" w:color="auto"/>
              <w:right w:val="single" w:sz="4" w:space="0" w:color="auto"/>
            </w:tcBorders>
            <w:tcMar>
              <w:top w:w="0" w:type="dxa"/>
              <w:left w:w="108" w:type="dxa"/>
              <w:bottom w:w="0" w:type="dxa"/>
              <w:right w:w="108" w:type="dxa"/>
            </w:tcMar>
            <w:hideMark/>
          </w:tcPr>
          <w:p w14:paraId="2C268359" w14:textId="77777777" w:rsidR="00F015A1" w:rsidRPr="00511058" w:rsidRDefault="00F015A1" w:rsidP="002160ED">
            <w:pPr>
              <w:pStyle w:val="Tablehead"/>
              <w:rPr>
                <w:lang w:val="es-ES_tradnl" w:eastAsia="zh-CN"/>
              </w:rPr>
            </w:pPr>
          </w:p>
        </w:tc>
        <w:tc>
          <w:tcPr>
            <w:tcW w:w="709"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5C89A97F" w14:textId="77777777" w:rsidR="00F015A1" w:rsidRPr="00511058" w:rsidRDefault="00F015A1" w:rsidP="002160ED">
            <w:pPr>
              <w:pStyle w:val="Tablehead"/>
              <w:rPr>
                <w:szCs w:val="22"/>
                <w:lang w:val="es-ES_tradnl" w:eastAsia="zh-CN"/>
              </w:rPr>
            </w:pPr>
            <w:r w:rsidRPr="00511058">
              <w:rPr>
                <w:szCs w:val="22"/>
                <w:lang w:val="es-ES_tradnl" w:eastAsia="zh-CN"/>
              </w:rPr>
              <w:t>2010</w:t>
            </w:r>
          </w:p>
        </w:tc>
        <w:tc>
          <w:tcPr>
            <w:tcW w:w="709"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283867DF" w14:textId="77777777" w:rsidR="00F015A1" w:rsidRPr="00511058" w:rsidRDefault="00F015A1" w:rsidP="002160ED">
            <w:pPr>
              <w:pStyle w:val="Tablehead"/>
              <w:rPr>
                <w:szCs w:val="22"/>
                <w:lang w:val="es-ES_tradnl" w:eastAsia="zh-CN"/>
              </w:rPr>
            </w:pPr>
            <w:r w:rsidRPr="00511058">
              <w:rPr>
                <w:szCs w:val="22"/>
                <w:lang w:val="es-ES_tradnl" w:eastAsia="zh-CN"/>
              </w:rPr>
              <w:t>2011</w:t>
            </w:r>
          </w:p>
        </w:tc>
        <w:tc>
          <w:tcPr>
            <w:tcW w:w="708"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16F59DB9" w14:textId="77777777" w:rsidR="00F015A1" w:rsidRPr="00511058" w:rsidRDefault="00F015A1" w:rsidP="002160ED">
            <w:pPr>
              <w:pStyle w:val="Tablehead"/>
              <w:rPr>
                <w:szCs w:val="22"/>
                <w:lang w:val="es-ES_tradnl" w:eastAsia="zh-CN"/>
              </w:rPr>
            </w:pPr>
            <w:r w:rsidRPr="00511058">
              <w:rPr>
                <w:szCs w:val="22"/>
                <w:lang w:val="es-ES_tradnl" w:eastAsia="zh-CN"/>
              </w:rPr>
              <w:t>2012</w:t>
            </w:r>
          </w:p>
        </w:tc>
        <w:tc>
          <w:tcPr>
            <w:tcW w:w="709"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67B06F29" w14:textId="77777777" w:rsidR="00F015A1" w:rsidRPr="00511058" w:rsidRDefault="00F015A1" w:rsidP="002160ED">
            <w:pPr>
              <w:pStyle w:val="Tablehead"/>
              <w:rPr>
                <w:szCs w:val="22"/>
                <w:lang w:val="es-ES_tradnl" w:eastAsia="zh-CN"/>
              </w:rPr>
            </w:pPr>
            <w:r w:rsidRPr="00511058">
              <w:rPr>
                <w:szCs w:val="22"/>
                <w:lang w:val="es-ES_tradnl" w:eastAsia="zh-CN"/>
              </w:rPr>
              <w:t>2013</w:t>
            </w:r>
          </w:p>
        </w:tc>
        <w:tc>
          <w:tcPr>
            <w:tcW w:w="709"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76A5777F" w14:textId="77777777" w:rsidR="00F015A1" w:rsidRPr="00511058" w:rsidRDefault="00F015A1" w:rsidP="002160ED">
            <w:pPr>
              <w:pStyle w:val="Tablehead"/>
              <w:rPr>
                <w:szCs w:val="22"/>
                <w:lang w:val="es-ES_tradnl" w:eastAsia="zh-CN"/>
              </w:rPr>
            </w:pPr>
            <w:r w:rsidRPr="00511058">
              <w:rPr>
                <w:szCs w:val="22"/>
                <w:lang w:val="es-ES_tradnl" w:eastAsia="zh-CN"/>
              </w:rPr>
              <w:t>2014</w:t>
            </w:r>
          </w:p>
        </w:tc>
        <w:tc>
          <w:tcPr>
            <w:tcW w:w="709"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44E629CA" w14:textId="77777777" w:rsidR="00F015A1" w:rsidRPr="00511058" w:rsidRDefault="00F015A1" w:rsidP="002160ED">
            <w:pPr>
              <w:pStyle w:val="Tablehead"/>
              <w:rPr>
                <w:szCs w:val="22"/>
                <w:lang w:val="es-ES_tradnl" w:eastAsia="zh-CN"/>
              </w:rPr>
            </w:pPr>
            <w:r w:rsidRPr="00511058">
              <w:rPr>
                <w:szCs w:val="22"/>
                <w:lang w:val="es-ES_tradnl" w:eastAsia="zh-CN"/>
              </w:rPr>
              <w:t>2015</w:t>
            </w:r>
          </w:p>
        </w:tc>
        <w:tc>
          <w:tcPr>
            <w:tcW w:w="708"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4CDDFE87" w14:textId="77777777" w:rsidR="00F015A1" w:rsidRPr="00511058" w:rsidRDefault="00F015A1" w:rsidP="002160ED">
            <w:pPr>
              <w:pStyle w:val="Tablehead"/>
              <w:rPr>
                <w:szCs w:val="22"/>
                <w:lang w:val="es-ES_tradnl" w:eastAsia="zh-CN"/>
              </w:rPr>
            </w:pPr>
            <w:r w:rsidRPr="00511058">
              <w:rPr>
                <w:szCs w:val="22"/>
                <w:lang w:val="es-ES_tradnl" w:eastAsia="zh-CN"/>
              </w:rPr>
              <w:t>2016</w:t>
            </w:r>
          </w:p>
        </w:tc>
        <w:tc>
          <w:tcPr>
            <w:tcW w:w="709" w:type="dxa"/>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hideMark/>
          </w:tcPr>
          <w:p w14:paraId="7B7A5A34" w14:textId="77777777" w:rsidR="00F015A1" w:rsidRPr="00511058" w:rsidRDefault="00F015A1" w:rsidP="002160ED">
            <w:pPr>
              <w:pStyle w:val="Tablehead"/>
              <w:rPr>
                <w:szCs w:val="22"/>
                <w:lang w:val="es-ES_tradnl" w:eastAsia="zh-CN"/>
              </w:rPr>
            </w:pPr>
            <w:r w:rsidRPr="00511058">
              <w:rPr>
                <w:szCs w:val="22"/>
                <w:lang w:val="es-ES_tradnl" w:eastAsia="zh-CN"/>
              </w:rPr>
              <w:t>2017</w:t>
            </w:r>
          </w:p>
        </w:tc>
        <w:tc>
          <w:tcPr>
            <w:tcW w:w="709" w:type="dxa"/>
            <w:tcBorders>
              <w:top w:val="single" w:sz="4" w:space="0" w:color="auto"/>
              <w:left w:val="single" w:sz="4" w:space="0" w:color="auto"/>
              <w:bottom w:val="single" w:sz="4" w:space="0" w:color="auto"/>
              <w:right w:val="single" w:sz="4" w:space="0" w:color="auto"/>
            </w:tcBorders>
            <w:shd w:val="clear" w:color="auto" w:fill="9CC2E5"/>
            <w:hideMark/>
          </w:tcPr>
          <w:p w14:paraId="1FE382F1" w14:textId="77777777" w:rsidR="00F015A1" w:rsidRPr="00511058" w:rsidRDefault="00F015A1" w:rsidP="002160ED">
            <w:pPr>
              <w:pStyle w:val="Tablehead"/>
              <w:rPr>
                <w:szCs w:val="22"/>
                <w:lang w:val="es-ES_tradnl" w:eastAsia="zh-CN"/>
              </w:rPr>
            </w:pPr>
            <w:r w:rsidRPr="00511058">
              <w:rPr>
                <w:szCs w:val="22"/>
                <w:lang w:val="es-ES_tradnl" w:eastAsia="zh-CN"/>
              </w:rPr>
              <w:t>2018</w:t>
            </w:r>
          </w:p>
        </w:tc>
        <w:tc>
          <w:tcPr>
            <w:tcW w:w="567" w:type="dxa"/>
            <w:tcBorders>
              <w:top w:val="single" w:sz="4" w:space="0" w:color="auto"/>
              <w:left w:val="single" w:sz="4" w:space="0" w:color="auto"/>
              <w:bottom w:val="single" w:sz="4" w:space="0" w:color="auto"/>
              <w:right w:val="single" w:sz="4" w:space="0" w:color="auto"/>
            </w:tcBorders>
            <w:shd w:val="clear" w:color="auto" w:fill="9CC2E5"/>
          </w:tcPr>
          <w:p w14:paraId="76230960" w14:textId="77777777" w:rsidR="00F015A1" w:rsidRPr="00511058" w:rsidRDefault="00F015A1" w:rsidP="002160ED">
            <w:pPr>
              <w:pStyle w:val="Tablehead"/>
              <w:rPr>
                <w:szCs w:val="22"/>
                <w:lang w:val="es-ES_tradnl" w:eastAsia="zh-CN"/>
              </w:rPr>
            </w:pPr>
            <w:r w:rsidRPr="00511058">
              <w:rPr>
                <w:szCs w:val="22"/>
                <w:lang w:val="es-ES_tradnl" w:eastAsia="zh-CN"/>
              </w:rPr>
              <w:t>2019</w:t>
            </w:r>
          </w:p>
        </w:tc>
        <w:tc>
          <w:tcPr>
            <w:tcW w:w="622" w:type="dxa"/>
            <w:tcBorders>
              <w:top w:val="single" w:sz="4" w:space="0" w:color="auto"/>
              <w:left w:val="single" w:sz="4" w:space="0" w:color="auto"/>
              <w:bottom w:val="single" w:sz="4" w:space="0" w:color="auto"/>
              <w:right w:val="single" w:sz="4" w:space="0" w:color="auto"/>
            </w:tcBorders>
            <w:shd w:val="clear" w:color="auto" w:fill="9CC2E5"/>
          </w:tcPr>
          <w:p w14:paraId="392BA010" w14:textId="77777777" w:rsidR="00F015A1" w:rsidRPr="00511058" w:rsidRDefault="00F015A1" w:rsidP="002160ED">
            <w:pPr>
              <w:pStyle w:val="Tablehead"/>
              <w:rPr>
                <w:szCs w:val="22"/>
                <w:lang w:val="es-ES_tradnl" w:eastAsia="zh-CN"/>
              </w:rPr>
            </w:pPr>
            <w:r w:rsidRPr="00511058">
              <w:rPr>
                <w:szCs w:val="22"/>
                <w:lang w:val="es-ES_tradnl" w:eastAsia="zh-CN"/>
              </w:rPr>
              <w:t>2020</w:t>
            </w:r>
          </w:p>
        </w:tc>
        <w:tc>
          <w:tcPr>
            <w:tcW w:w="937" w:type="dxa"/>
            <w:tcBorders>
              <w:top w:val="single" w:sz="4" w:space="0" w:color="auto"/>
              <w:left w:val="single" w:sz="4" w:space="0" w:color="auto"/>
              <w:bottom w:val="single" w:sz="4" w:space="0" w:color="auto"/>
              <w:right w:val="single" w:sz="4" w:space="0" w:color="auto"/>
            </w:tcBorders>
            <w:shd w:val="clear" w:color="auto" w:fill="9CC2E5"/>
          </w:tcPr>
          <w:p w14:paraId="59A846C6" w14:textId="77777777" w:rsidR="00F015A1" w:rsidRPr="00511058" w:rsidRDefault="00F015A1" w:rsidP="002160ED">
            <w:pPr>
              <w:pStyle w:val="Tablehead"/>
              <w:rPr>
                <w:szCs w:val="22"/>
                <w:lang w:val="es-ES_tradnl" w:eastAsia="zh-CN"/>
              </w:rPr>
            </w:pPr>
            <w:r w:rsidRPr="00511058">
              <w:rPr>
                <w:szCs w:val="22"/>
                <w:lang w:val="es-ES_tradnl" w:eastAsia="zh-CN"/>
              </w:rPr>
              <w:t>Marzo de 2021</w:t>
            </w:r>
          </w:p>
        </w:tc>
      </w:tr>
      <w:tr w:rsidR="00366323" w:rsidRPr="00511058" w14:paraId="7B6156EA" w14:textId="77777777" w:rsidTr="00E11C9C">
        <w:trPr>
          <w:trHeight w:val="346"/>
        </w:trPr>
        <w:tc>
          <w:tcPr>
            <w:tcW w:w="1418" w:type="dxa"/>
            <w:tcBorders>
              <w:top w:val="single" w:sz="4" w:space="0" w:color="auto"/>
              <w:left w:val="single" w:sz="4" w:space="0" w:color="auto"/>
              <w:bottom w:val="single" w:sz="8" w:space="0" w:color="auto"/>
              <w:right w:val="single" w:sz="4" w:space="0" w:color="auto"/>
            </w:tcBorders>
            <w:shd w:val="clear" w:color="auto" w:fill="DEEAF6"/>
            <w:tcMar>
              <w:top w:w="0" w:type="dxa"/>
              <w:left w:w="108" w:type="dxa"/>
              <w:bottom w:w="0" w:type="dxa"/>
              <w:right w:w="108" w:type="dxa"/>
            </w:tcMar>
            <w:hideMark/>
          </w:tcPr>
          <w:p w14:paraId="26ED9E4C" w14:textId="77777777" w:rsidR="00F015A1" w:rsidRPr="00511058" w:rsidRDefault="00F015A1" w:rsidP="002160ED">
            <w:pPr>
              <w:pStyle w:val="Tabletext"/>
              <w:rPr>
                <w:b/>
                <w:bCs/>
                <w:lang w:val="es-ES_tradnl" w:eastAsia="zh-CN"/>
              </w:rPr>
            </w:pPr>
            <w:r w:rsidRPr="00511058">
              <w:rPr>
                <w:b/>
                <w:bCs/>
                <w:lang w:val="es-ES_tradnl" w:eastAsia="zh-CN"/>
              </w:rPr>
              <w:t>Miembros de Sector</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E8E8C" w14:textId="77777777" w:rsidR="00F015A1" w:rsidRPr="00511058" w:rsidRDefault="00F015A1" w:rsidP="00E11C9C">
            <w:pPr>
              <w:pStyle w:val="Tabletext"/>
              <w:jc w:val="center"/>
              <w:rPr>
                <w:szCs w:val="22"/>
                <w:lang w:val="es-ES_tradnl" w:eastAsia="zh-CN"/>
              </w:rPr>
            </w:pPr>
            <w:r w:rsidRPr="00511058">
              <w:rPr>
                <w:szCs w:val="22"/>
                <w:lang w:val="es-ES_tradnl" w:eastAsia="zh-CN"/>
              </w:rPr>
              <w:t>311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F4887" w14:textId="77777777" w:rsidR="00F015A1" w:rsidRPr="00511058" w:rsidRDefault="00F015A1" w:rsidP="00E11C9C">
            <w:pPr>
              <w:pStyle w:val="Tabletext"/>
              <w:jc w:val="center"/>
              <w:rPr>
                <w:szCs w:val="22"/>
                <w:lang w:val="es-ES_tradnl" w:eastAsia="zh-CN"/>
              </w:rPr>
            </w:pPr>
            <w:r w:rsidRPr="00511058">
              <w:rPr>
                <w:szCs w:val="22"/>
                <w:lang w:val="es-ES_tradnl" w:eastAsia="zh-CN"/>
              </w:rPr>
              <w:t>323</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E61AD" w14:textId="77777777" w:rsidR="00F015A1" w:rsidRPr="00511058" w:rsidRDefault="00F015A1" w:rsidP="00E11C9C">
            <w:pPr>
              <w:pStyle w:val="Tabletext"/>
              <w:jc w:val="center"/>
              <w:rPr>
                <w:szCs w:val="22"/>
                <w:lang w:val="es-ES_tradnl" w:eastAsia="zh-CN"/>
              </w:rPr>
            </w:pPr>
            <w:r w:rsidRPr="00511058">
              <w:rPr>
                <w:szCs w:val="22"/>
                <w:lang w:val="es-ES_tradnl" w:eastAsia="zh-CN"/>
              </w:rPr>
              <w:t>330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5DC46" w14:textId="77777777" w:rsidR="00F015A1" w:rsidRPr="00511058" w:rsidRDefault="00F015A1" w:rsidP="00E11C9C">
            <w:pPr>
              <w:pStyle w:val="Tabletext"/>
              <w:jc w:val="center"/>
              <w:rPr>
                <w:szCs w:val="22"/>
                <w:lang w:val="es-ES_tradnl" w:eastAsia="zh-CN"/>
              </w:rPr>
            </w:pPr>
            <w:r w:rsidRPr="00511058">
              <w:rPr>
                <w:szCs w:val="22"/>
                <w:lang w:val="es-ES_tradnl" w:eastAsia="zh-CN"/>
              </w:rPr>
              <w:t>346</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04CA2" w14:textId="77777777" w:rsidR="00F015A1" w:rsidRPr="00511058" w:rsidRDefault="00F015A1" w:rsidP="00E11C9C">
            <w:pPr>
              <w:pStyle w:val="Tabletext"/>
              <w:jc w:val="center"/>
              <w:rPr>
                <w:szCs w:val="22"/>
                <w:lang w:val="es-ES_tradnl" w:eastAsia="zh-CN"/>
              </w:rPr>
            </w:pPr>
            <w:r w:rsidRPr="00511058">
              <w:rPr>
                <w:szCs w:val="22"/>
                <w:lang w:val="es-ES_tradnl" w:eastAsia="zh-CN"/>
              </w:rPr>
              <w:t>338</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8CF93" w14:textId="77777777" w:rsidR="00F015A1" w:rsidRPr="00511058" w:rsidRDefault="00F015A1" w:rsidP="00E11C9C">
            <w:pPr>
              <w:pStyle w:val="Tabletext"/>
              <w:jc w:val="center"/>
              <w:rPr>
                <w:szCs w:val="22"/>
                <w:lang w:val="es-ES_tradnl" w:eastAsia="zh-CN"/>
              </w:rPr>
            </w:pPr>
            <w:r w:rsidRPr="00511058">
              <w:rPr>
                <w:szCs w:val="22"/>
                <w:lang w:val="es-ES_tradnl" w:eastAsia="zh-CN"/>
              </w:rPr>
              <w:t>340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800361" w14:textId="77777777" w:rsidR="00F015A1" w:rsidRPr="00511058" w:rsidRDefault="00F015A1" w:rsidP="00E11C9C">
            <w:pPr>
              <w:pStyle w:val="Tabletext"/>
              <w:jc w:val="center"/>
              <w:rPr>
                <w:szCs w:val="22"/>
                <w:lang w:val="es-ES_tradnl" w:eastAsia="zh-CN"/>
              </w:rPr>
            </w:pPr>
            <w:r w:rsidRPr="00511058">
              <w:rPr>
                <w:szCs w:val="22"/>
                <w:lang w:val="es-ES_tradnl" w:eastAsia="zh-CN"/>
              </w:rPr>
              <w:t>331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E9D4B" w14:textId="77777777" w:rsidR="00F015A1" w:rsidRPr="00511058" w:rsidRDefault="00F015A1" w:rsidP="00E11C9C">
            <w:pPr>
              <w:pStyle w:val="Tabletext"/>
              <w:jc w:val="center"/>
              <w:rPr>
                <w:szCs w:val="22"/>
                <w:lang w:val="es-ES_tradnl" w:eastAsia="zh-CN"/>
              </w:rPr>
            </w:pPr>
            <w:r w:rsidRPr="00511058">
              <w:rPr>
                <w:szCs w:val="22"/>
                <w:lang w:val="es-ES_tradnl" w:eastAsia="zh-CN"/>
              </w:rPr>
              <w:t>318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5263C" w14:textId="77777777" w:rsidR="00F015A1" w:rsidRPr="00511058" w:rsidRDefault="00F015A1" w:rsidP="00E11C9C">
            <w:pPr>
              <w:pStyle w:val="Tabletext"/>
              <w:jc w:val="center"/>
              <w:rPr>
                <w:szCs w:val="22"/>
                <w:lang w:val="es-ES_tradnl" w:eastAsia="zh-CN"/>
              </w:rPr>
            </w:pPr>
            <w:r w:rsidRPr="00511058">
              <w:rPr>
                <w:szCs w:val="22"/>
                <w:lang w:val="es-ES_tradnl" w:eastAsia="zh-CN"/>
              </w:rPr>
              <w:t>310</w:t>
            </w:r>
          </w:p>
        </w:tc>
        <w:tc>
          <w:tcPr>
            <w:tcW w:w="567" w:type="dxa"/>
            <w:tcBorders>
              <w:top w:val="single" w:sz="4" w:space="0" w:color="auto"/>
              <w:left w:val="single" w:sz="4" w:space="0" w:color="auto"/>
              <w:bottom w:val="single" w:sz="4" w:space="0" w:color="auto"/>
              <w:right w:val="single" w:sz="4" w:space="0" w:color="auto"/>
            </w:tcBorders>
            <w:vAlign w:val="center"/>
          </w:tcPr>
          <w:p w14:paraId="6288730F" w14:textId="77777777" w:rsidR="00F015A1" w:rsidRPr="00511058" w:rsidRDefault="00F015A1" w:rsidP="00E11C9C">
            <w:pPr>
              <w:pStyle w:val="Tabletext"/>
              <w:jc w:val="center"/>
              <w:rPr>
                <w:szCs w:val="22"/>
                <w:lang w:val="es-ES_tradnl" w:eastAsia="zh-CN"/>
              </w:rPr>
            </w:pPr>
            <w:r w:rsidRPr="00511058">
              <w:rPr>
                <w:szCs w:val="22"/>
                <w:lang w:val="es-ES_tradnl" w:eastAsia="zh-CN"/>
              </w:rPr>
              <w:t>307</w:t>
            </w:r>
          </w:p>
        </w:tc>
        <w:tc>
          <w:tcPr>
            <w:tcW w:w="622" w:type="dxa"/>
            <w:tcBorders>
              <w:top w:val="single" w:sz="4" w:space="0" w:color="auto"/>
              <w:left w:val="single" w:sz="4" w:space="0" w:color="auto"/>
              <w:bottom w:val="single" w:sz="4" w:space="0" w:color="auto"/>
              <w:right w:val="single" w:sz="4" w:space="0" w:color="auto"/>
            </w:tcBorders>
            <w:vAlign w:val="center"/>
          </w:tcPr>
          <w:p w14:paraId="27B2E72F" w14:textId="77777777" w:rsidR="00F015A1" w:rsidRPr="00511058" w:rsidRDefault="00F015A1" w:rsidP="00E11C9C">
            <w:pPr>
              <w:pStyle w:val="Tabletext"/>
              <w:jc w:val="center"/>
              <w:rPr>
                <w:szCs w:val="22"/>
                <w:lang w:val="es-ES_tradnl" w:eastAsia="zh-CN"/>
              </w:rPr>
            </w:pPr>
            <w:r w:rsidRPr="00511058">
              <w:rPr>
                <w:szCs w:val="22"/>
                <w:lang w:val="es-ES_tradnl" w:eastAsia="zh-CN"/>
              </w:rPr>
              <w:t>298</w:t>
            </w:r>
          </w:p>
        </w:tc>
        <w:tc>
          <w:tcPr>
            <w:tcW w:w="9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5BBCA9" w14:textId="77777777" w:rsidR="00F015A1" w:rsidRPr="00511058" w:rsidRDefault="00F015A1" w:rsidP="00E11C9C">
            <w:pPr>
              <w:pStyle w:val="Tabletext"/>
              <w:jc w:val="center"/>
              <w:rPr>
                <w:szCs w:val="22"/>
                <w:lang w:val="es-ES_tradnl" w:eastAsia="zh-CN"/>
              </w:rPr>
            </w:pPr>
            <w:r w:rsidRPr="00511058">
              <w:rPr>
                <w:szCs w:val="22"/>
                <w:lang w:val="es-ES_tradnl" w:eastAsia="zh-CN"/>
              </w:rPr>
              <w:t>301</w:t>
            </w:r>
          </w:p>
        </w:tc>
      </w:tr>
      <w:tr w:rsidR="00366323" w:rsidRPr="00511058" w14:paraId="4800B875" w14:textId="77777777" w:rsidTr="00E11C9C">
        <w:trPr>
          <w:trHeight w:val="486"/>
        </w:trPr>
        <w:tc>
          <w:tcPr>
            <w:tcW w:w="1418" w:type="dxa"/>
            <w:tcBorders>
              <w:top w:val="single" w:sz="8" w:space="0" w:color="auto"/>
              <w:left w:val="single" w:sz="4" w:space="0" w:color="auto"/>
              <w:bottom w:val="single" w:sz="8" w:space="0" w:color="auto"/>
              <w:right w:val="single" w:sz="4" w:space="0" w:color="auto"/>
            </w:tcBorders>
            <w:shd w:val="clear" w:color="auto" w:fill="DEEAF6"/>
            <w:tcMar>
              <w:top w:w="0" w:type="dxa"/>
              <w:left w:w="108" w:type="dxa"/>
              <w:bottom w:w="0" w:type="dxa"/>
              <w:right w:w="108" w:type="dxa"/>
            </w:tcMar>
            <w:hideMark/>
          </w:tcPr>
          <w:p w14:paraId="60503FB3" w14:textId="77777777" w:rsidR="00F015A1" w:rsidRPr="00511058" w:rsidRDefault="00F015A1" w:rsidP="002160ED">
            <w:pPr>
              <w:pStyle w:val="Tabletext"/>
              <w:rPr>
                <w:b/>
                <w:bCs/>
                <w:lang w:val="es-ES_tradnl" w:eastAsia="zh-CN"/>
              </w:rPr>
            </w:pPr>
            <w:r w:rsidRPr="00511058">
              <w:rPr>
                <w:b/>
                <w:bCs/>
                <w:lang w:val="es-ES_tradnl" w:eastAsia="zh-CN"/>
              </w:rPr>
              <w:t>Asociados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A89710" w14:textId="77777777" w:rsidR="00F015A1" w:rsidRPr="00511058" w:rsidRDefault="00F015A1" w:rsidP="00E11C9C">
            <w:pPr>
              <w:pStyle w:val="Tabletext"/>
              <w:jc w:val="center"/>
              <w:rPr>
                <w:szCs w:val="22"/>
                <w:lang w:val="es-ES_tradnl" w:eastAsia="zh-CN"/>
              </w:rPr>
            </w:pPr>
            <w:r w:rsidRPr="00511058">
              <w:rPr>
                <w:szCs w:val="22"/>
                <w:lang w:val="es-ES_tradnl" w:eastAsia="zh-CN"/>
              </w:rPr>
              <w:t>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7FCE8" w14:textId="77777777" w:rsidR="00F015A1" w:rsidRPr="00511058" w:rsidRDefault="00F015A1" w:rsidP="00E11C9C">
            <w:pPr>
              <w:pStyle w:val="Tabletext"/>
              <w:jc w:val="center"/>
              <w:rPr>
                <w:szCs w:val="22"/>
                <w:lang w:val="es-ES_tradnl" w:eastAsia="zh-CN"/>
              </w:rPr>
            </w:pPr>
            <w:r w:rsidRPr="00511058">
              <w:rPr>
                <w:szCs w:val="22"/>
                <w:lang w:val="es-ES_tradnl" w:eastAsia="zh-CN"/>
              </w:rPr>
              <w:t>6</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E1DB0" w14:textId="77777777" w:rsidR="00F015A1" w:rsidRPr="00511058" w:rsidRDefault="00F015A1" w:rsidP="00E11C9C">
            <w:pPr>
              <w:pStyle w:val="Tabletext"/>
              <w:jc w:val="center"/>
              <w:rPr>
                <w:szCs w:val="22"/>
                <w:lang w:val="es-ES_tradnl" w:eastAsia="zh-CN"/>
              </w:rPr>
            </w:pPr>
            <w:r w:rsidRPr="00511058">
              <w:rPr>
                <w:szCs w:val="22"/>
                <w:lang w:val="es-ES_tradnl" w:eastAsia="zh-CN"/>
              </w:rPr>
              <w:t>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599DE" w14:textId="77777777" w:rsidR="00F015A1" w:rsidRPr="00511058" w:rsidRDefault="00F015A1" w:rsidP="00E11C9C">
            <w:pPr>
              <w:pStyle w:val="Tabletext"/>
              <w:jc w:val="center"/>
              <w:rPr>
                <w:szCs w:val="22"/>
                <w:lang w:val="es-ES_tradnl" w:eastAsia="zh-CN"/>
              </w:rPr>
            </w:pPr>
            <w:r w:rsidRPr="00511058">
              <w:rPr>
                <w:szCs w:val="22"/>
                <w:lang w:val="es-ES_tradnl" w:eastAsia="zh-CN"/>
              </w:rPr>
              <w:t>9</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CA495" w14:textId="77777777" w:rsidR="00F015A1" w:rsidRPr="00511058" w:rsidRDefault="00F015A1" w:rsidP="00E11C9C">
            <w:pPr>
              <w:pStyle w:val="Tabletext"/>
              <w:jc w:val="center"/>
              <w:rPr>
                <w:szCs w:val="22"/>
                <w:lang w:val="es-ES_tradnl" w:eastAsia="zh-CN"/>
              </w:rPr>
            </w:pPr>
            <w:r w:rsidRPr="00511058">
              <w:rPr>
                <w:szCs w:val="22"/>
                <w:lang w:val="es-ES_tradnl" w:eastAsia="zh-CN"/>
              </w:rPr>
              <w:t>10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28DD1" w14:textId="77777777" w:rsidR="00F015A1" w:rsidRPr="00511058" w:rsidRDefault="00F015A1" w:rsidP="00E11C9C">
            <w:pPr>
              <w:pStyle w:val="Tabletext"/>
              <w:jc w:val="center"/>
              <w:rPr>
                <w:szCs w:val="22"/>
                <w:lang w:val="es-ES_tradnl" w:eastAsia="zh-CN"/>
              </w:rPr>
            </w:pPr>
            <w:r w:rsidRPr="00511058">
              <w:rPr>
                <w:szCs w:val="22"/>
                <w:lang w:val="es-ES_tradnl" w:eastAsia="zh-CN"/>
              </w:rPr>
              <w:t>11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772C8" w14:textId="77777777" w:rsidR="00F015A1" w:rsidRPr="00511058" w:rsidRDefault="00F015A1" w:rsidP="00E11C9C">
            <w:pPr>
              <w:pStyle w:val="Tabletext"/>
              <w:jc w:val="center"/>
              <w:rPr>
                <w:szCs w:val="22"/>
                <w:lang w:val="es-ES_tradnl" w:eastAsia="zh-CN"/>
              </w:rPr>
            </w:pPr>
            <w:r w:rsidRPr="00511058">
              <w:rPr>
                <w:szCs w:val="22"/>
                <w:lang w:val="es-ES_tradnl" w:eastAsia="zh-CN"/>
              </w:rPr>
              <w:t>12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B0CB2" w14:textId="77777777" w:rsidR="00F015A1" w:rsidRPr="00511058" w:rsidRDefault="00F015A1" w:rsidP="00E11C9C">
            <w:pPr>
              <w:pStyle w:val="Tabletext"/>
              <w:jc w:val="center"/>
              <w:rPr>
                <w:szCs w:val="22"/>
                <w:lang w:val="es-ES_tradnl" w:eastAsia="zh-CN"/>
              </w:rPr>
            </w:pPr>
            <w:r w:rsidRPr="00511058">
              <w:rPr>
                <w:szCs w:val="22"/>
                <w:lang w:val="es-ES_tradnl" w:eastAsia="zh-CN"/>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92B853" w14:textId="77777777" w:rsidR="00F015A1" w:rsidRPr="00511058" w:rsidRDefault="00F015A1" w:rsidP="00E11C9C">
            <w:pPr>
              <w:pStyle w:val="Tabletext"/>
              <w:jc w:val="center"/>
              <w:rPr>
                <w:szCs w:val="22"/>
                <w:lang w:val="es-ES_tradnl" w:eastAsia="zh-CN"/>
              </w:rPr>
            </w:pPr>
            <w:r w:rsidRPr="00511058">
              <w:rPr>
                <w:szCs w:val="22"/>
                <w:lang w:val="es-ES_tradnl" w:eastAsia="zh-CN"/>
              </w:rPr>
              <w:t>14</w:t>
            </w:r>
          </w:p>
        </w:tc>
        <w:tc>
          <w:tcPr>
            <w:tcW w:w="567" w:type="dxa"/>
            <w:tcBorders>
              <w:top w:val="single" w:sz="4" w:space="0" w:color="auto"/>
              <w:left w:val="single" w:sz="4" w:space="0" w:color="auto"/>
              <w:bottom w:val="single" w:sz="4" w:space="0" w:color="auto"/>
              <w:right w:val="single" w:sz="4" w:space="0" w:color="auto"/>
            </w:tcBorders>
            <w:vAlign w:val="center"/>
          </w:tcPr>
          <w:p w14:paraId="17B5E959" w14:textId="77777777" w:rsidR="00F015A1" w:rsidRPr="00511058" w:rsidRDefault="00F015A1" w:rsidP="00E11C9C">
            <w:pPr>
              <w:pStyle w:val="Tabletext"/>
              <w:jc w:val="center"/>
              <w:rPr>
                <w:szCs w:val="22"/>
                <w:lang w:val="es-ES_tradnl" w:eastAsia="zh-CN"/>
              </w:rPr>
            </w:pPr>
            <w:r w:rsidRPr="00511058">
              <w:rPr>
                <w:szCs w:val="22"/>
                <w:lang w:val="es-ES_tradnl" w:eastAsia="zh-CN"/>
              </w:rPr>
              <w:t>17</w:t>
            </w:r>
          </w:p>
        </w:tc>
        <w:tc>
          <w:tcPr>
            <w:tcW w:w="622" w:type="dxa"/>
            <w:tcBorders>
              <w:top w:val="single" w:sz="4" w:space="0" w:color="auto"/>
              <w:left w:val="single" w:sz="4" w:space="0" w:color="auto"/>
              <w:bottom w:val="single" w:sz="4" w:space="0" w:color="auto"/>
              <w:right w:val="single" w:sz="4" w:space="0" w:color="auto"/>
            </w:tcBorders>
            <w:vAlign w:val="center"/>
          </w:tcPr>
          <w:p w14:paraId="38C5C0B8" w14:textId="77777777" w:rsidR="00F015A1" w:rsidRPr="00511058" w:rsidRDefault="00F015A1" w:rsidP="00E11C9C">
            <w:pPr>
              <w:pStyle w:val="Tabletext"/>
              <w:jc w:val="center"/>
              <w:rPr>
                <w:szCs w:val="22"/>
                <w:lang w:val="es-ES_tradnl" w:eastAsia="zh-CN"/>
              </w:rPr>
            </w:pPr>
            <w:r w:rsidRPr="00511058">
              <w:rPr>
                <w:szCs w:val="22"/>
                <w:lang w:val="es-ES_tradnl" w:eastAsia="zh-CN"/>
              </w:rPr>
              <w:t>21</w:t>
            </w:r>
          </w:p>
        </w:tc>
        <w:tc>
          <w:tcPr>
            <w:tcW w:w="9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7F1977" w14:textId="77777777" w:rsidR="00F015A1" w:rsidRPr="00511058" w:rsidRDefault="00F015A1" w:rsidP="00E11C9C">
            <w:pPr>
              <w:pStyle w:val="Tabletext"/>
              <w:jc w:val="center"/>
              <w:rPr>
                <w:szCs w:val="22"/>
                <w:lang w:val="es-ES_tradnl" w:eastAsia="zh-CN"/>
              </w:rPr>
            </w:pPr>
            <w:r w:rsidRPr="00511058">
              <w:rPr>
                <w:szCs w:val="22"/>
                <w:lang w:val="es-ES_tradnl" w:eastAsia="zh-CN"/>
              </w:rPr>
              <w:t>20</w:t>
            </w:r>
          </w:p>
        </w:tc>
      </w:tr>
      <w:tr w:rsidR="00366323" w:rsidRPr="00511058" w14:paraId="760BA106" w14:textId="77777777" w:rsidTr="00E11C9C">
        <w:trPr>
          <w:trHeight w:val="536"/>
        </w:trPr>
        <w:tc>
          <w:tcPr>
            <w:tcW w:w="1418" w:type="dxa"/>
            <w:tcBorders>
              <w:top w:val="single" w:sz="8" w:space="0" w:color="auto"/>
              <w:left w:val="single" w:sz="4" w:space="0" w:color="auto"/>
              <w:bottom w:val="single" w:sz="8" w:space="0" w:color="auto"/>
              <w:right w:val="single" w:sz="4" w:space="0" w:color="auto"/>
            </w:tcBorders>
            <w:shd w:val="clear" w:color="auto" w:fill="DEEAF6"/>
            <w:tcMar>
              <w:top w:w="0" w:type="dxa"/>
              <w:left w:w="108" w:type="dxa"/>
              <w:bottom w:w="0" w:type="dxa"/>
              <w:right w:w="108" w:type="dxa"/>
            </w:tcMar>
            <w:hideMark/>
          </w:tcPr>
          <w:p w14:paraId="5EB12C41" w14:textId="77777777" w:rsidR="00F015A1" w:rsidRPr="00511058" w:rsidRDefault="00F015A1" w:rsidP="002160ED">
            <w:pPr>
              <w:pStyle w:val="Tabletext"/>
              <w:rPr>
                <w:b/>
                <w:bCs/>
                <w:lang w:val="es-ES_tradnl" w:eastAsia="zh-CN"/>
              </w:rPr>
            </w:pPr>
            <w:r w:rsidRPr="00511058">
              <w:rPr>
                <w:b/>
                <w:bCs/>
                <w:lang w:val="es-ES_tradnl" w:eastAsia="zh-CN"/>
              </w:rPr>
              <w:t>Instituciones Académicas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BABF4" w14:textId="59FD1C97" w:rsidR="00F015A1" w:rsidRPr="00511058" w:rsidRDefault="00E11C9C" w:rsidP="00E11C9C">
            <w:pPr>
              <w:pStyle w:val="Tabletext"/>
              <w:jc w:val="center"/>
              <w:rPr>
                <w:szCs w:val="22"/>
                <w:lang w:val="es-ES_tradnl" w:eastAsia="zh-CN"/>
              </w:rPr>
            </w:pPr>
            <w:r w:rsidRPr="00511058">
              <w:rPr>
                <w:szCs w:val="22"/>
                <w:lang w:val="es-ES_tradnl" w:eastAsia="zh-CN"/>
              </w:rPr>
              <w:t>–</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09086" w14:textId="77777777" w:rsidR="00F015A1" w:rsidRPr="00511058" w:rsidRDefault="00F015A1" w:rsidP="00E11C9C">
            <w:pPr>
              <w:pStyle w:val="Tabletext"/>
              <w:jc w:val="center"/>
              <w:rPr>
                <w:szCs w:val="22"/>
                <w:lang w:val="es-ES_tradnl" w:eastAsia="zh-CN"/>
              </w:rPr>
            </w:pPr>
            <w:r w:rsidRPr="00511058">
              <w:rPr>
                <w:szCs w:val="22"/>
                <w:lang w:val="es-ES_tradnl" w:eastAsia="zh-CN"/>
              </w:rPr>
              <w:t>25</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53932" w14:textId="77777777" w:rsidR="00F015A1" w:rsidRPr="00511058" w:rsidRDefault="00F015A1" w:rsidP="00E11C9C">
            <w:pPr>
              <w:pStyle w:val="Tabletext"/>
              <w:jc w:val="center"/>
              <w:rPr>
                <w:szCs w:val="22"/>
                <w:lang w:val="es-ES_tradnl" w:eastAsia="zh-CN"/>
              </w:rPr>
            </w:pPr>
            <w:r w:rsidRPr="00511058">
              <w:rPr>
                <w:szCs w:val="22"/>
                <w:lang w:val="es-ES_tradnl" w:eastAsia="zh-CN"/>
              </w:rPr>
              <w:t>36</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02F2C" w14:textId="77777777" w:rsidR="00F015A1" w:rsidRPr="00511058" w:rsidRDefault="00F015A1" w:rsidP="00E11C9C">
            <w:pPr>
              <w:pStyle w:val="Tabletext"/>
              <w:jc w:val="center"/>
              <w:rPr>
                <w:szCs w:val="22"/>
                <w:lang w:val="es-ES_tradnl" w:eastAsia="zh-CN"/>
              </w:rPr>
            </w:pPr>
            <w:r w:rsidRPr="00511058">
              <w:rPr>
                <w:szCs w:val="22"/>
                <w:lang w:val="es-ES_tradnl" w:eastAsia="zh-CN"/>
              </w:rPr>
              <w:t>45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E7624" w14:textId="77777777" w:rsidR="00F015A1" w:rsidRPr="00511058" w:rsidRDefault="00F015A1" w:rsidP="00E11C9C">
            <w:pPr>
              <w:pStyle w:val="Tabletext"/>
              <w:jc w:val="center"/>
              <w:rPr>
                <w:szCs w:val="22"/>
                <w:lang w:val="es-ES_tradnl" w:eastAsia="zh-CN"/>
              </w:rPr>
            </w:pPr>
            <w:r w:rsidRPr="00511058">
              <w:rPr>
                <w:szCs w:val="22"/>
                <w:lang w:val="es-ES_tradnl" w:eastAsia="zh-CN"/>
              </w:rPr>
              <w:t>86</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6FDAB" w14:textId="77777777" w:rsidR="00F015A1" w:rsidRPr="00511058" w:rsidRDefault="00F015A1" w:rsidP="00E11C9C">
            <w:pPr>
              <w:pStyle w:val="Tabletext"/>
              <w:jc w:val="center"/>
              <w:rPr>
                <w:szCs w:val="22"/>
                <w:lang w:val="es-ES_tradnl" w:eastAsia="zh-CN"/>
              </w:rPr>
            </w:pPr>
            <w:r w:rsidRPr="00511058">
              <w:rPr>
                <w:szCs w:val="22"/>
                <w:lang w:val="es-ES_tradnl" w:eastAsia="zh-CN"/>
              </w:rPr>
              <w:t>109</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3E8AF9" w14:textId="77777777" w:rsidR="00F015A1" w:rsidRPr="00511058" w:rsidRDefault="00F015A1" w:rsidP="00E11C9C">
            <w:pPr>
              <w:pStyle w:val="Tabletext"/>
              <w:jc w:val="center"/>
              <w:rPr>
                <w:szCs w:val="22"/>
                <w:lang w:val="es-ES_tradnl" w:eastAsia="zh-CN"/>
              </w:rPr>
            </w:pPr>
            <w:r w:rsidRPr="00511058">
              <w:rPr>
                <w:szCs w:val="22"/>
                <w:lang w:val="es-ES_tradnl" w:eastAsia="zh-CN"/>
              </w:rPr>
              <w:t>107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65AFC" w14:textId="77777777" w:rsidR="00F015A1" w:rsidRPr="00511058" w:rsidRDefault="00F015A1" w:rsidP="00E11C9C">
            <w:pPr>
              <w:pStyle w:val="Tabletext"/>
              <w:jc w:val="center"/>
              <w:rPr>
                <w:szCs w:val="22"/>
                <w:lang w:val="es-ES_tradnl" w:eastAsia="zh-CN"/>
              </w:rPr>
            </w:pPr>
            <w:r w:rsidRPr="00511058">
              <w:rPr>
                <w:szCs w:val="22"/>
                <w:lang w:val="es-ES_tradnl" w:eastAsia="zh-CN"/>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D37EF" w14:textId="77777777" w:rsidR="00F015A1" w:rsidRPr="00511058" w:rsidRDefault="00F015A1" w:rsidP="00E11C9C">
            <w:pPr>
              <w:pStyle w:val="Tabletext"/>
              <w:jc w:val="center"/>
              <w:rPr>
                <w:szCs w:val="22"/>
                <w:lang w:val="es-ES_tradnl" w:eastAsia="zh-CN"/>
              </w:rPr>
            </w:pPr>
            <w:r w:rsidRPr="00511058">
              <w:rPr>
                <w:szCs w:val="22"/>
                <w:lang w:val="es-ES_tradnl" w:eastAsia="zh-CN"/>
              </w:rPr>
              <w:t>156</w:t>
            </w:r>
          </w:p>
        </w:tc>
        <w:tc>
          <w:tcPr>
            <w:tcW w:w="567" w:type="dxa"/>
            <w:tcBorders>
              <w:top w:val="single" w:sz="4" w:space="0" w:color="auto"/>
              <w:left w:val="single" w:sz="4" w:space="0" w:color="auto"/>
              <w:bottom w:val="single" w:sz="4" w:space="0" w:color="auto"/>
              <w:right w:val="single" w:sz="4" w:space="0" w:color="auto"/>
            </w:tcBorders>
            <w:vAlign w:val="center"/>
          </w:tcPr>
          <w:p w14:paraId="3717A31E" w14:textId="77777777" w:rsidR="00F015A1" w:rsidRPr="00511058" w:rsidRDefault="00F015A1" w:rsidP="00E11C9C">
            <w:pPr>
              <w:pStyle w:val="Tabletext"/>
              <w:jc w:val="center"/>
              <w:rPr>
                <w:szCs w:val="22"/>
                <w:lang w:val="es-ES_tradnl" w:eastAsia="zh-CN"/>
              </w:rPr>
            </w:pPr>
            <w:r w:rsidRPr="00511058">
              <w:rPr>
                <w:szCs w:val="22"/>
                <w:lang w:val="es-ES_tradnl" w:eastAsia="zh-CN"/>
              </w:rPr>
              <w:t>163</w:t>
            </w:r>
          </w:p>
        </w:tc>
        <w:tc>
          <w:tcPr>
            <w:tcW w:w="622" w:type="dxa"/>
            <w:tcBorders>
              <w:top w:val="single" w:sz="4" w:space="0" w:color="auto"/>
              <w:left w:val="single" w:sz="4" w:space="0" w:color="auto"/>
              <w:bottom w:val="single" w:sz="4" w:space="0" w:color="auto"/>
              <w:right w:val="single" w:sz="4" w:space="0" w:color="auto"/>
            </w:tcBorders>
            <w:vAlign w:val="center"/>
          </w:tcPr>
          <w:p w14:paraId="20D980D4" w14:textId="77777777" w:rsidR="00F015A1" w:rsidRPr="00511058" w:rsidRDefault="00F015A1" w:rsidP="00E11C9C">
            <w:pPr>
              <w:pStyle w:val="Tabletext"/>
              <w:jc w:val="center"/>
              <w:rPr>
                <w:szCs w:val="22"/>
                <w:lang w:val="es-ES_tradnl" w:eastAsia="zh-CN"/>
              </w:rPr>
            </w:pPr>
            <w:r w:rsidRPr="00511058">
              <w:rPr>
                <w:szCs w:val="22"/>
                <w:lang w:val="es-ES_tradnl" w:eastAsia="zh-CN"/>
              </w:rPr>
              <w:t>162</w:t>
            </w:r>
          </w:p>
        </w:tc>
        <w:tc>
          <w:tcPr>
            <w:tcW w:w="9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3301111" w14:textId="77777777" w:rsidR="00F015A1" w:rsidRPr="00511058" w:rsidRDefault="00F015A1" w:rsidP="00E11C9C">
            <w:pPr>
              <w:pStyle w:val="Tabletext"/>
              <w:jc w:val="center"/>
              <w:rPr>
                <w:szCs w:val="22"/>
                <w:lang w:val="es-ES_tradnl" w:eastAsia="zh-CN"/>
              </w:rPr>
            </w:pPr>
            <w:r w:rsidRPr="00511058">
              <w:rPr>
                <w:szCs w:val="22"/>
                <w:lang w:val="es-ES_tradnl" w:eastAsia="zh-CN"/>
              </w:rPr>
              <w:t>163</w:t>
            </w:r>
          </w:p>
        </w:tc>
      </w:tr>
      <w:tr w:rsidR="00366323" w:rsidRPr="00511058" w14:paraId="60D528B6" w14:textId="77777777" w:rsidTr="00E11C9C">
        <w:trPr>
          <w:trHeight w:val="544"/>
        </w:trPr>
        <w:tc>
          <w:tcPr>
            <w:tcW w:w="1418" w:type="dxa"/>
            <w:tcBorders>
              <w:top w:val="single" w:sz="8"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hideMark/>
          </w:tcPr>
          <w:p w14:paraId="372D59F1" w14:textId="77777777" w:rsidR="00F015A1" w:rsidRPr="00511058" w:rsidRDefault="00F015A1" w:rsidP="002160ED">
            <w:pPr>
              <w:pStyle w:val="Tabletext"/>
              <w:rPr>
                <w:b/>
                <w:bCs/>
                <w:lang w:val="es-ES_tradnl" w:eastAsia="zh-CN"/>
              </w:rPr>
            </w:pPr>
            <w:r w:rsidRPr="00511058">
              <w:rPr>
                <w:b/>
                <w:bCs/>
                <w:lang w:val="es-ES_tradnl" w:eastAsia="zh-CN"/>
              </w:rPr>
              <w:t xml:space="preserve">TOTAL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048A4" w14:textId="77777777" w:rsidR="00F015A1" w:rsidRPr="00511058" w:rsidRDefault="00F015A1" w:rsidP="00E11C9C">
            <w:pPr>
              <w:pStyle w:val="Tabletext"/>
              <w:jc w:val="center"/>
              <w:rPr>
                <w:szCs w:val="22"/>
                <w:lang w:val="es-ES_tradnl" w:eastAsia="zh-CN"/>
              </w:rPr>
            </w:pPr>
            <w:r w:rsidRPr="00511058">
              <w:rPr>
                <w:szCs w:val="22"/>
                <w:lang w:val="es-ES_tradnl" w:eastAsia="zh-CN"/>
              </w:rPr>
              <w:t>316</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FB077" w14:textId="77777777" w:rsidR="00F015A1" w:rsidRPr="00511058" w:rsidRDefault="00F015A1" w:rsidP="00E11C9C">
            <w:pPr>
              <w:pStyle w:val="Tabletext"/>
              <w:jc w:val="center"/>
              <w:rPr>
                <w:szCs w:val="22"/>
                <w:lang w:val="es-ES_tradnl" w:eastAsia="zh-CN"/>
              </w:rPr>
            </w:pPr>
            <w:r w:rsidRPr="00511058">
              <w:rPr>
                <w:szCs w:val="22"/>
                <w:lang w:val="es-ES_tradnl" w:eastAsia="zh-CN"/>
              </w:rPr>
              <w:t>354</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1ACDC" w14:textId="77777777" w:rsidR="00F015A1" w:rsidRPr="00511058" w:rsidRDefault="00F015A1" w:rsidP="00E11C9C">
            <w:pPr>
              <w:pStyle w:val="Tabletext"/>
              <w:jc w:val="center"/>
              <w:rPr>
                <w:szCs w:val="22"/>
                <w:lang w:val="es-ES_tradnl" w:eastAsia="zh-CN"/>
              </w:rPr>
            </w:pPr>
            <w:r w:rsidRPr="00511058">
              <w:rPr>
                <w:szCs w:val="22"/>
                <w:lang w:val="es-ES_tradnl" w:eastAsia="zh-CN"/>
              </w:rPr>
              <w:t>373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C12F7D" w14:textId="77777777" w:rsidR="00F015A1" w:rsidRPr="00511058" w:rsidRDefault="00F015A1" w:rsidP="00E11C9C">
            <w:pPr>
              <w:pStyle w:val="Tabletext"/>
              <w:jc w:val="center"/>
              <w:rPr>
                <w:szCs w:val="22"/>
                <w:lang w:val="es-ES_tradnl" w:eastAsia="zh-CN"/>
              </w:rPr>
            </w:pPr>
            <w:r w:rsidRPr="00511058">
              <w:rPr>
                <w:szCs w:val="22"/>
                <w:lang w:val="es-ES_tradnl" w:eastAsia="zh-CN"/>
              </w:rPr>
              <w:t>400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47B7C3" w14:textId="77777777" w:rsidR="00F015A1" w:rsidRPr="00511058" w:rsidRDefault="00F015A1" w:rsidP="00E11C9C">
            <w:pPr>
              <w:pStyle w:val="Tabletext"/>
              <w:jc w:val="center"/>
              <w:rPr>
                <w:szCs w:val="22"/>
                <w:lang w:val="es-ES_tradnl" w:eastAsia="zh-CN"/>
              </w:rPr>
            </w:pPr>
            <w:r w:rsidRPr="00511058">
              <w:rPr>
                <w:szCs w:val="22"/>
                <w:lang w:val="es-ES_tradnl" w:eastAsia="zh-CN"/>
              </w:rPr>
              <w:t>434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61764D" w14:textId="77777777" w:rsidR="00F015A1" w:rsidRPr="00511058" w:rsidRDefault="00F015A1" w:rsidP="00E11C9C">
            <w:pPr>
              <w:pStyle w:val="Tabletext"/>
              <w:jc w:val="center"/>
              <w:rPr>
                <w:szCs w:val="22"/>
                <w:lang w:val="es-ES_tradnl" w:eastAsia="zh-CN"/>
              </w:rPr>
            </w:pPr>
            <w:r w:rsidRPr="00511058">
              <w:rPr>
                <w:szCs w:val="22"/>
                <w:lang w:val="es-ES_tradnl" w:eastAsia="zh-CN"/>
              </w:rPr>
              <w:t>460</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04463B" w14:textId="77777777" w:rsidR="00F015A1" w:rsidRPr="00511058" w:rsidRDefault="00F015A1" w:rsidP="00E11C9C">
            <w:pPr>
              <w:pStyle w:val="Tabletext"/>
              <w:jc w:val="center"/>
              <w:rPr>
                <w:szCs w:val="22"/>
                <w:lang w:val="es-ES_tradnl" w:eastAsia="zh-CN"/>
              </w:rPr>
            </w:pPr>
            <w:r w:rsidRPr="00511058">
              <w:rPr>
                <w:szCs w:val="22"/>
                <w:lang w:val="es-ES_tradnl" w:eastAsia="zh-CN"/>
              </w:rPr>
              <w:t>450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7329C" w14:textId="77777777" w:rsidR="00F015A1" w:rsidRPr="00511058" w:rsidRDefault="00F015A1" w:rsidP="00E11C9C">
            <w:pPr>
              <w:pStyle w:val="Tabletext"/>
              <w:jc w:val="center"/>
              <w:rPr>
                <w:szCs w:val="22"/>
                <w:lang w:val="es-ES_tradnl" w:eastAsia="zh-CN"/>
              </w:rPr>
            </w:pPr>
            <w:r w:rsidRPr="00511058">
              <w:rPr>
                <w:szCs w:val="22"/>
                <w:lang w:val="es-ES_tradnl" w:eastAsia="zh-CN"/>
              </w:rPr>
              <w:t>455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D30BC" w14:textId="77777777" w:rsidR="00F015A1" w:rsidRPr="00511058" w:rsidRDefault="00F015A1" w:rsidP="00E11C9C">
            <w:pPr>
              <w:pStyle w:val="Tabletext"/>
              <w:jc w:val="center"/>
              <w:rPr>
                <w:szCs w:val="22"/>
                <w:lang w:val="es-ES_tradnl" w:eastAsia="zh-CN"/>
              </w:rPr>
            </w:pPr>
            <w:r w:rsidRPr="00511058">
              <w:rPr>
                <w:szCs w:val="22"/>
                <w:lang w:val="es-ES_tradnl" w:eastAsia="zh-CN"/>
              </w:rPr>
              <w:t>480</w:t>
            </w:r>
          </w:p>
        </w:tc>
        <w:tc>
          <w:tcPr>
            <w:tcW w:w="567" w:type="dxa"/>
            <w:tcBorders>
              <w:top w:val="single" w:sz="4" w:space="0" w:color="auto"/>
              <w:left w:val="single" w:sz="4" w:space="0" w:color="auto"/>
              <w:bottom w:val="single" w:sz="4" w:space="0" w:color="auto"/>
              <w:right w:val="single" w:sz="4" w:space="0" w:color="auto"/>
            </w:tcBorders>
            <w:vAlign w:val="center"/>
          </w:tcPr>
          <w:p w14:paraId="04B380A1" w14:textId="77777777" w:rsidR="00F015A1" w:rsidRPr="00511058" w:rsidRDefault="00F015A1" w:rsidP="00E11C9C">
            <w:pPr>
              <w:pStyle w:val="Tabletext"/>
              <w:jc w:val="center"/>
              <w:rPr>
                <w:szCs w:val="22"/>
                <w:lang w:val="es-ES_tradnl" w:eastAsia="zh-CN"/>
              </w:rPr>
            </w:pPr>
            <w:r w:rsidRPr="00511058">
              <w:rPr>
                <w:szCs w:val="22"/>
                <w:lang w:val="es-ES_tradnl" w:eastAsia="zh-CN"/>
              </w:rPr>
              <w:t>487</w:t>
            </w:r>
          </w:p>
        </w:tc>
        <w:tc>
          <w:tcPr>
            <w:tcW w:w="622" w:type="dxa"/>
            <w:tcBorders>
              <w:top w:val="single" w:sz="4" w:space="0" w:color="auto"/>
              <w:left w:val="single" w:sz="4" w:space="0" w:color="auto"/>
              <w:bottom w:val="single" w:sz="4" w:space="0" w:color="auto"/>
              <w:right w:val="single" w:sz="4" w:space="0" w:color="auto"/>
            </w:tcBorders>
            <w:vAlign w:val="center"/>
          </w:tcPr>
          <w:p w14:paraId="755A5C5A" w14:textId="77777777" w:rsidR="00F015A1" w:rsidRPr="00511058" w:rsidRDefault="00F015A1" w:rsidP="00E11C9C">
            <w:pPr>
              <w:pStyle w:val="Tabletext"/>
              <w:jc w:val="center"/>
              <w:rPr>
                <w:szCs w:val="22"/>
                <w:lang w:val="es-ES_tradnl" w:eastAsia="zh-CN"/>
              </w:rPr>
            </w:pPr>
            <w:r w:rsidRPr="00511058">
              <w:rPr>
                <w:szCs w:val="22"/>
                <w:lang w:val="es-ES_tradnl" w:eastAsia="zh-CN"/>
              </w:rPr>
              <w:t>481</w:t>
            </w:r>
          </w:p>
        </w:tc>
        <w:tc>
          <w:tcPr>
            <w:tcW w:w="93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95EDEB" w14:textId="77777777" w:rsidR="00F015A1" w:rsidRPr="00511058" w:rsidRDefault="00F015A1" w:rsidP="00E11C9C">
            <w:pPr>
              <w:pStyle w:val="Tabletext"/>
              <w:jc w:val="center"/>
              <w:rPr>
                <w:szCs w:val="22"/>
                <w:lang w:val="es-ES_tradnl" w:eastAsia="zh-CN"/>
              </w:rPr>
            </w:pPr>
            <w:r w:rsidRPr="00511058">
              <w:rPr>
                <w:szCs w:val="22"/>
                <w:lang w:val="es-ES_tradnl" w:eastAsia="zh-CN"/>
              </w:rPr>
              <w:t>484</w:t>
            </w:r>
          </w:p>
        </w:tc>
      </w:tr>
    </w:tbl>
    <w:p w14:paraId="6C87ADE0" w14:textId="7F7BBA25" w:rsidR="00F015A1" w:rsidRPr="00511058" w:rsidRDefault="00366323" w:rsidP="00366323">
      <w:pPr>
        <w:pStyle w:val="Heading1"/>
        <w:rPr>
          <w:rFonts w:ascii="Calibri" w:eastAsia="SimSun" w:hAnsi="Calibri" w:cs="Arial"/>
          <w:bCs/>
          <w:szCs w:val="24"/>
          <w:lang w:val="es-ES_tradnl" w:eastAsia="zh-CN"/>
        </w:rPr>
      </w:pPr>
      <w:r w:rsidRPr="00511058">
        <w:rPr>
          <w:lang w:val="es-ES_tradnl"/>
        </w:rPr>
        <w:t>3</w:t>
      </w:r>
      <w:r w:rsidRPr="00511058">
        <w:rPr>
          <w:lang w:val="es-ES_tradnl"/>
        </w:rPr>
        <w:tab/>
      </w:r>
      <w:r w:rsidR="00F015A1" w:rsidRPr="00511058">
        <w:rPr>
          <w:lang w:val="es-ES_tradnl"/>
        </w:rPr>
        <w:t xml:space="preserve">Miembros de Sector y Asociados en </w:t>
      </w:r>
      <w:r w:rsidR="00F015A1" w:rsidRPr="00511058">
        <w:rPr>
          <w:rFonts w:ascii="Calibri" w:eastAsia="SimSun" w:hAnsi="Calibri" w:cs="Arial"/>
          <w:bCs/>
          <w:szCs w:val="24"/>
          <w:lang w:val="es-ES_tradnl" w:eastAsia="zh-CN"/>
        </w:rPr>
        <w:t>2020 y primer trimestre de 2021</w:t>
      </w:r>
    </w:p>
    <w:p w14:paraId="2C264976" w14:textId="1EEA7D57" w:rsidR="00F015A1" w:rsidRPr="00511058" w:rsidRDefault="00F015A1" w:rsidP="00366323">
      <w:pPr>
        <w:rPr>
          <w:lang w:val="es-ES_tradnl"/>
        </w:rPr>
      </w:pPr>
      <w:r w:rsidRPr="00511058">
        <w:rPr>
          <w:lang w:val="es-ES_tradnl"/>
        </w:rPr>
        <w:t xml:space="preserve">En 2020, el UIT-D atrajo a </w:t>
      </w:r>
      <w:r w:rsidRPr="00511058">
        <w:rPr>
          <w:b/>
          <w:bCs/>
          <w:lang w:val="es-ES_tradnl"/>
        </w:rPr>
        <w:t>10 Miembros de Sector nuevos</w:t>
      </w:r>
      <w:r w:rsidRPr="00511058">
        <w:rPr>
          <w:lang w:val="es-ES_tradnl"/>
        </w:rPr>
        <w:t xml:space="preserve">: African Network Information Centre Ltd (Mauricio), American Registry for Internet Numbers (Estados Unidos), Bitsight Technologies (Estados Unidos), International Mobile Satellite Organization (Reino Unido), KAMALEON (Mozambique), Polyverse Corporation (Estados Unidos), SBA Communications (Estados Unidos), Welchman Keen (Singapur), Wireless World Research Forum (Suiza) y Registro de Direcciones de Internet para América Latina y Caribe (Uruguay). También recibió a </w:t>
      </w:r>
      <w:r w:rsidRPr="00511058">
        <w:rPr>
          <w:b/>
          <w:bCs/>
          <w:lang w:val="es-ES_tradnl"/>
        </w:rPr>
        <w:t>cuatro Asociados nuevos</w:t>
      </w:r>
      <w:r w:rsidRPr="00511058">
        <w:rPr>
          <w:lang w:val="es-ES_tradnl"/>
        </w:rPr>
        <w:t>: Almaahad Almutagadem Specialized Computer Training Center (Sudán), Just-ICT Dubai (Emiratos Árabes Unidos), OISTE Foundation (Suiza), Promotion de la Technologie (República Democrática del Congo).</w:t>
      </w:r>
    </w:p>
    <w:p w14:paraId="53DCFAAC" w14:textId="77777777" w:rsidR="00F015A1" w:rsidRPr="00511058" w:rsidRDefault="00F015A1" w:rsidP="00366323">
      <w:pPr>
        <w:rPr>
          <w:lang w:val="es-ES_tradnl"/>
        </w:rPr>
      </w:pPr>
      <w:r w:rsidRPr="00511058">
        <w:rPr>
          <w:lang w:val="es-ES_tradnl"/>
        </w:rPr>
        <w:t xml:space="preserve">Durante el primer trimestre de 2021, el UIT-D ha atraído a </w:t>
      </w:r>
      <w:r w:rsidRPr="00511058">
        <w:rPr>
          <w:b/>
          <w:bCs/>
          <w:lang w:val="es-ES_tradnl"/>
        </w:rPr>
        <w:t>cuatro Miembros de Sector nuevos</w:t>
      </w:r>
      <w:r w:rsidRPr="00511058">
        <w:rPr>
          <w:lang w:val="es-ES_tradnl"/>
        </w:rPr>
        <w:t xml:space="preserve">: Axon Partners Group (España), Deloitte Risk Advisory (Italia), New Jersey Fiber Exchange (Estados Unidos) y Security Alliance Limited (Reino Unido). Además, </w:t>
      </w:r>
      <w:r w:rsidRPr="00511058">
        <w:rPr>
          <w:b/>
          <w:bCs/>
          <w:lang w:val="es-ES_tradnl"/>
        </w:rPr>
        <w:t>cinco Miembros de Sector nuevos</w:t>
      </w:r>
      <w:r w:rsidRPr="00511058">
        <w:rPr>
          <w:lang w:val="es-ES_tradnl"/>
        </w:rPr>
        <w:t xml:space="preserve"> están finalizando el proceso de adhesión para convertirse en miembros de pleno derecho durante el segundo trimestre.</w:t>
      </w:r>
    </w:p>
    <w:p w14:paraId="5F898B46" w14:textId="56A21B42" w:rsidR="00F015A1" w:rsidRPr="00511058" w:rsidRDefault="00366323" w:rsidP="00366323">
      <w:pPr>
        <w:pStyle w:val="Heading2"/>
        <w:rPr>
          <w:rFonts w:eastAsia="SimSun"/>
          <w:lang w:val="es-ES_tradnl" w:eastAsia="zh-CN"/>
        </w:rPr>
      </w:pPr>
      <w:r w:rsidRPr="00511058">
        <w:rPr>
          <w:rFonts w:eastAsia="SimSun"/>
          <w:lang w:val="es-ES_tradnl" w:eastAsia="zh-CN"/>
        </w:rPr>
        <w:t>3.1</w:t>
      </w:r>
      <w:r w:rsidRPr="00511058">
        <w:rPr>
          <w:rFonts w:eastAsia="SimSun"/>
          <w:lang w:val="es-ES_tradnl" w:eastAsia="zh-CN"/>
        </w:rPr>
        <w:tab/>
      </w:r>
      <w:r w:rsidR="00F015A1" w:rsidRPr="00511058">
        <w:rPr>
          <w:rFonts w:eastAsia="SimSun"/>
          <w:lang w:val="es-ES_tradnl" w:eastAsia="zh-CN"/>
        </w:rPr>
        <w:t>Instituciones Académicas en 2020</w:t>
      </w:r>
    </w:p>
    <w:p w14:paraId="3AB0E0C2" w14:textId="6843E6C5" w:rsidR="00F015A1" w:rsidRPr="00511058" w:rsidRDefault="00F015A1" w:rsidP="00366323">
      <w:pPr>
        <w:rPr>
          <w:lang w:val="es-ES_tradnl"/>
        </w:rPr>
      </w:pPr>
      <w:r w:rsidRPr="00511058">
        <w:rPr>
          <w:lang w:val="es-ES_tradnl"/>
        </w:rPr>
        <w:t xml:space="preserve">Las Instituciones Académicas participan en los trabajos de los tres Sectores de la UIT y abonan una sola cuota. Desde 2011, más de 220 instituciones académicas se han adherido a la UIT. En 2020, </w:t>
      </w:r>
      <w:r w:rsidRPr="00511058">
        <w:rPr>
          <w:lang w:val="es-ES_tradnl"/>
        </w:rPr>
        <w:lastRenderedPageBreak/>
        <w:t xml:space="preserve">los esfuerzos desplegados de forma coordinada con la Secretaría General dieron lugar a la adhesión de </w:t>
      </w:r>
      <w:r w:rsidRPr="00511058">
        <w:rPr>
          <w:b/>
          <w:bCs/>
          <w:lang w:val="es-ES_tradnl"/>
        </w:rPr>
        <w:t>26 Instituciones Académicas nuevas</w:t>
      </w:r>
      <w:r w:rsidRPr="00511058">
        <w:rPr>
          <w:lang w:val="es-ES_tradnl"/>
        </w:rPr>
        <w:t xml:space="preserve"> a los tres Sectores de la UIT</w:t>
      </w:r>
      <w:r w:rsidR="00366323" w:rsidRPr="00511058">
        <w:rPr>
          <w:rStyle w:val="FootnoteReference"/>
          <w:lang w:val="es-ES_tradnl"/>
        </w:rPr>
        <w:footnoteReference w:id="5"/>
      </w:r>
      <w:r w:rsidRPr="00511058">
        <w:rPr>
          <w:lang w:val="es-ES_tradnl"/>
        </w:rPr>
        <w:t>.</w:t>
      </w:r>
    </w:p>
    <w:p w14:paraId="2EAB54A2" w14:textId="765B045D" w:rsidR="00F015A1" w:rsidRPr="00511058" w:rsidRDefault="00366323" w:rsidP="00366323">
      <w:pPr>
        <w:pStyle w:val="Heading1"/>
        <w:rPr>
          <w:rFonts w:eastAsia="SimSun"/>
          <w:lang w:val="es-ES_tradnl" w:eastAsia="zh-CN"/>
        </w:rPr>
      </w:pPr>
      <w:r w:rsidRPr="00511058">
        <w:rPr>
          <w:rFonts w:eastAsia="SimSun"/>
          <w:lang w:val="es-ES_tradnl" w:eastAsia="zh-CN"/>
        </w:rPr>
        <w:t>4</w:t>
      </w:r>
      <w:r w:rsidRPr="00511058">
        <w:rPr>
          <w:rFonts w:eastAsia="SimSun"/>
          <w:lang w:val="es-ES_tradnl" w:eastAsia="zh-CN"/>
        </w:rPr>
        <w:tab/>
      </w:r>
      <w:r w:rsidR="00F015A1" w:rsidRPr="00511058">
        <w:rPr>
          <w:rFonts w:eastAsia="SimSun"/>
          <w:lang w:val="es-ES_tradnl" w:eastAsia="zh-CN"/>
        </w:rPr>
        <w:t>Medidas clave para la implicación eficaz de los Miembros del UIT-D</w:t>
      </w:r>
    </w:p>
    <w:p w14:paraId="7DDAA2BD" w14:textId="77777777" w:rsidR="00F015A1" w:rsidRPr="00511058" w:rsidRDefault="00F015A1" w:rsidP="00366323">
      <w:pPr>
        <w:rPr>
          <w:lang w:val="es-ES_tradnl"/>
        </w:rPr>
      </w:pPr>
      <w:r w:rsidRPr="00511058">
        <w:rPr>
          <w:lang w:val="es-ES_tradnl"/>
        </w:rPr>
        <w:t>El enfoque estratégico de los Miembros del UIT-D, que se está implantando actualmente, se basa en dos vías de influencia: mayor divulgación entre los Miembros y mayor compromiso con la labor de UIT-D. Además de integrar el enfoque de gestión basada en los resultados, el enfoque estratégico se ocupa de las sinergias con las estrategias y los planes de los proyectos y las alianzas y los equipos de comunicaciones y comercialización de la BDT y la Secretaría General. Además, se apoya en medidas concretas de sensibilización y creación de capacidad del personal de la BDT para supervisar, sondear, implicar y retener a los Miembros.</w:t>
      </w:r>
    </w:p>
    <w:p w14:paraId="47A22F56" w14:textId="24D72BB4" w:rsidR="00F015A1" w:rsidRPr="00511058" w:rsidRDefault="00F015A1" w:rsidP="00366323">
      <w:pPr>
        <w:rPr>
          <w:lang w:val="es-ES_tradnl"/>
        </w:rPr>
      </w:pPr>
      <w:r w:rsidRPr="00511058">
        <w:rPr>
          <w:lang w:val="es-ES_tradnl"/>
        </w:rPr>
        <w:t>En lo que respecta a la vía de influencia de la divulgación, el objetivo es incrementar el uso de las herramientas digitales de comercialización a fin de evaluar, seleccionar e identificar a las posibles entidades cualificadas interesadas del ámbito de las TIC, así como elaborar listas de posibles miembros por segmento de la industria, centrarse en esas comunidades mediante la provisión de contenido en paquetes que sea coherente con los intereses de los posibles miembros, sensibilizar sobre los productos y servicios de la BDT y crear interés por ellos, generar interés por las ofertas y oportunidades de los Miembros y animar a los posibles interesados a convertirse en nuevos miembros.</w:t>
      </w:r>
    </w:p>
    <w:p w14:paraId="33FEC7B1" w14:textId="6DB45B99" w:rsidR="00F015A1" w:rsidRPr="00511058" w:rsidRDefault="00F015A1" w:rsidP="00366323">
      <w:pPr>
        <w:rPr>
          <w:lang w:val="es-ES_tradnl"/>
        </w:rPr>
      </w:pPr>
      <w:r w:rsidRPr="00511058">
        <w:rPr>
          <w:lang w:val="es-ES_tradnl"/>
        </w:rPr>
        <w:t>Desde 2020, la BDT está ejecutando una serie de iniciativas encaminadas a incrementar el compromiso y la participación de los Miembros del UIT-D respecto de las actividades y los programas del Sector.</w:t>
      </w:r>
    </w:p>
    <w:p w14:paraId="503F95C9" w14:textId="3B2AFA2A" w:rsidR="00F015A1" w:rsidRPr="00511058" w:rsidRDefault="00F015A1" w:rsidP="00366323">
      <w:pPr>
        <w:rPr>
          <w:lang w:val="es-ES_tradnl"/>
        </w:rPr>
      </w:pPr>
      <w:r w:rsidRPr="00511058">
        <w:rPr>
          <w:lang w:val="es-ES_tradnl"/>
        </w:rPr>
        <w:t>En este sentido, la BDT ha realizado las actividades siguientes:</w:t>
      </w:r>
    </w:p>
    <w:p w14:paraId="32621A9C" w14:textId="4F70EA92" w:rsidR="00F015A1" w:rsidRPr="00511058" w:rsidRDefault="00366323" w:rsidP="00366323">
      <w:pPr>
        <w:pStyle w:val="enumlev1"/>
        <w:rPr>
          <w:rFonts w:ascii="Calibri" w:hAnsi="Calibri" w:cs="Calibri"/>
          <w:szCs w:val="24"/>
          <w:shd w:val="clear" w:color="auto" w:fill="FFFFFF"/>
          <w:lang w:val="es-ES_tradnl"/>
        </w:rPr>
      </w:pPr>
      <w:r w:rsidRPr="00511058">
        <w:rPr>
          <w:rFonts w:ascii="Calibri" w:hAnsi="Calibri"/>
          <w:szCs w:val="24"/>
          <w:lang w:val="es-ES_tradnl"/>
        </w:rPr>
        <w:t>–</w:t>
      </w:r>
      <w:r w:rsidRPr="00511058">
        <w:rPr>
          <w:rFonts w:ascii="Calibri" w:hAnsi="Calibri"/>
          <w:szCs w:val="24"/>
          <w:lang w:val="es-ES_tradnl"/>
        </w:rPr>
        <w:tab/>
      </w:r>
      <w:r w:rsidR="00F015A1" w:rsidRPr="00511058">
        <w:rPr>
          <w:rFonts w:ascii="Calibri" w:hAnsi="Calibri"/>
          <w:szCs w:val="24"/>
          <w:lang w:val="es-ES_tradnl"/>
        </w:rPr>
        <w:t xml:space="preserve">El </w:t>
      </w:r>
      <w:r w:rsidR="00F015A1" w:rsidRPr="00511058">
        <w:rPr>
          <w:b/>
          <w:lang w:val="es-ES_tradnl"/>
        </w:rPr>
        <w:t>Grupo Asesor de la Industria sobre Desarrollo y los Directores de Reglamentación del Sector Privado (IAGDI-CRO)</w:t>
      </w:r>
      <w:r w:rsidR="00F015A1" w:rsidRPr="00511058">
        <w:rPr>
          <w:rFonts w:ascii="Calibri" w:hAnsi="Calibri"/>
          <w:szCs w:val="24"/>
          <w:lang w:val="es-ES_tradnl"/>
        </w:rPr>
        <w:t xml:space="preserve"> </w:t>
      </w:r>
      <w:r w:rsidR="00F015A1" w:rsidRPr="00511058">
        <w:rPr>
          <w:rFonts w:ascii="Calibri" w:hAnsi="Calibri"/>
          <w:bCs/>
          <w:szCs w:val="24"/>
          <w:lang w:val="es-ES_tradnl"/>
        </w:rPr>
        <w:t>se</w:t>
      </w:r>
      <w:r w:rsidR="00F015A1" w:rsidRPr="00511058">
        <w:rPr>
          <w:rFonts w:ascii="Calibri" w:hAnsi="Calibri"/>
          <w:szCs w:val="24"/>
          <w:lang w:val="es-ES_tradnl"/>
        </w:rPr>
        <w:t xml:space="preserve"> reunió el 31 de agosto de 2020 en un acto virtual previo al </w:t>
      </w:r>
      <w:r w:rsidR="00F015A1" w:rsidRPr="00511058">
        <w:rPr>
          <w:lang w:val="es-ES_tradnl"/>
        </w:rPr>
        <w:t xml:space="preserve">Simposio Mundial para Organismos Reguladores de 2021 (GSR-21). Durante el encuentro, el </w:t>
      </w:r>
      <w:r w:rsidR="00F015A1" w:rsidRPr="00511058">
        <w:rPr>
          <w:rFonts w:ascii="Calibri" w:hAnsi="Calibri" w:cs="Calibri"/>
          <w:szCs w:val="24"/>
          <w:shd w:val="clear" w:color="auto" w:fill="FFFFFF"/>
          <w:lang w:val="es-ES_tradnl"/>
        </w:rPr>
        <w:t xml:space="preserve">IAGDI-CRO reafirmó el compromiso de la industria y del sector privado de apoyar a los gobiernos durante la etapa de recuperación posterior a la pandemia de COVID-19, colaborar con los gobiernos y reguladores para mejorar la preparación ante crisis similares </w:t>
      </w:r>
      <w:r w:rsidR="00F015A1" w:rsidRPr="00511058">
        <w:rPr>
          <w:rFonts w:ascii="Calibri" w:hAnsi="Calibri" w:cs="Calibri"/>
          <w:szCs w:val="24"/>
          <w:shd w:val="clear" w:color="auto" w:fill="FFFFFF"/>
          <w:lang w:val="es-ES_tradnl"/>
        </w:rPr>
        <w:lastRenderedPageBreak/>
        <w:t xml:space="preserve">futuras y contribuir de manera más activa a la labor de desarrollo de las TIC. </w:t>
      </w:r>
      <w:r w:rsidR="00F015A1" w:rsidRPr="00511058">
        <w:rPr>
          <w:lang w:val="es-ES_tradnl"/>
        </w:rPr>
        <w:t>Más de 100 representantes de alto nivel del sector industrial</w:t>
      </w:r>
      <w:r w:rsidR="00F015A1" w:rsidRPr="00511058">
        <w:rPr>
          <w:rFonts w:ascii="Calibri" w:hAnsi="Calibri" w:cs="Calibri"/>
          <w:szCs w:val="24"/>
          <w:shd w:val="clear" w:color="auto" w:fill="FFFFFF"/>
          <w:lang w:val="es-ES_tradnl"/>
        </w:rPr>
        <w:t xml:space="preserve"> destacaron que se debería seguir priorizando la conectividad de banda ancha segura, sostenible, asequible y significativa para todos</w:t>
      </w:r>
      <w:r w:rsidR="00F015A1" w:rsidRPr="00511058">
        <w:rPr>
          <w:rFonts w:ascii="Calibri" w:hAnsi="Calibri"/>
          <w:szCs w:val="24"/>
          <w:lang w:val="es-ES_tradnl"/>
        </w:rPr>
        <w:t xml:space="preserve">. (Véase la </w:t>
      </w:r>
      <w:hyperlink r:id="rId10" w:history="1">
        <w:r w:rsidR="00F015A1" w:rsidRPr="00511058">
          <w:rPr>
            <w:rStyle w:val="Hyperlink"/>
            <w:rFonts w:ascii="Calibri" w:hAnsi="Calibri"/>
            <w:szCs w:val="24"/>
            <w:lang w:val="es-ES_tradnl"/>
          </w:rPr>
          <w:t>declaración final del IAGDI-CRO</w:t>
        </w:r>
      </w:hyperlink>
      <w:r w:rsidR="00F015A1" w:rsidRPr="00511058">
        <w:rPr>
          <w:rFonts w:ascii="Calibri" w:hAnsi="Calibri"/>
          <w:color w:val="000000" w:themeColor="text1"/>
          <w:szCs w:val="24"/>
          <w:lang w:val="es-ES_tradnl"/>
        </w:rPr>
        <w:t xml:space="preserve">). </w:t>
      </w:r>
      <w:r w:rsidR="00F015A1" w:rsidRPr="00511058">
        <w:rPr>
          <w:rFonts w:ascii="Calibri" w:hAnsi="Calibri" w:cs="Calibri"/>
          <w:szCs w:val="24"/>
          <w:shd w:val="clear" w:color="auto" w:fill="FFFFFF"/>
          <w:lang w:val="es-ES_tradnl"/>
        </w:rPr>
        <w:t xml:space="preserve">Además, se designaron dos Vicepresidentes, que han colaborado con el Presidente a fin de explorar las redes existentes para dar impulso al Sector del UIT-D y atraer más actores del sector privado y la industria, mejorar todos los foros regionales de desarrollo y contribuir a los preparativos en curso para la CMDT-21. La siguiente reunión del IAGDI-CRO se celebrará (en formato virtual) el 21 de junio de 2021, en paralelo al </w:t>
      </w:r>
      <w:r w:rsidR="00F015A1" w:rsidRPr="00511058">
        <w:rPr>
          <w:rFonts w:ascii="Calibri" w:hAnsi="Calibri"/>
          <w:szCs w:val="24"/>
          <w:lang w:val="es-ES_tradnl"/>
        </w:rPr>
        <w:t>GSR-21.</w:t>
      </w:r>
    </w:p>
    <w:p w14:paraId="78A39D4C" w14:textId="4D8DAE9F" w:rsidR="00F015A1" w:rsidRPr="00511058" w:rsidRDefault="00366323" w:rsidP="00366323">
      <w:pPr>
        <w:pStyle w:val="enumlev1"/>
        <w:rPr>
          <w:rFonts w:ascii="Calibri" w:hAnsi="Calibri" w:cs="Calibri"/>
          <w:szCs w:val="24"/>
          <w:shd w:val="clear" w:color="auto" w:fill="FFFFFF"/>
          <w:lang w:val="es-ES_tradnl"/>
        </w:rPr>
      </w:pPr>
      <w:r w:rsidRPr="00511058">
        <w:rPr>
          <w:rFonts w:ascii="Calibri" w:hAnsi="Calibri"/>
          <w:szCs w:val="24"/>
          <w:lang w:val="es-ES_tradnl"/>
        </w:rPr>
        <w:t>–</w:t>
      </w:r>
      <w:r w:rsidRPr="00511058">
        <w:rPr>
          <w:rFonts w:ascii="Calibri" w:hAnsi="Calibri"/>
          <w:szCs w:val="24"/>
          <w:lang w:val="es-ES_tradnl"/>
        </w:rPr>
        <w:tab/>
      </w:r>
      <w:r w:rsidR="00F015A1" w:rsidRPr="00511058">
        <w:rPr>
          <w:rFonts w:ascii="Calibri" w:hAnsi="Calibri"/>
          <w:bCs/>
          <w:szCs w:val="24"/>
          <w:lang w:val="es-ES_tradnl"/>
        </w:rPr>
        <w:t>Se ha presentado</w:t>
      </w:r>
      <w:r w:rsidR="00F015A1" w:rsidRPr="00511058">
        <w:rPr>
          <w:rFonts w:ascii="Calibri" w:hAnsi="Calibri"/>
          <w:szCs w:val="24"/>
          <w:lang w:val="es-ES_tradnl"/>
        </w:rPr>
        <w:t xml:space="preserve"> </w:t>
      </w:r>
      <w:r w:rsidR="00F015A1" w:rsidRPr="00511058">
        <w:rPr>
          <w:rFonts w:ascii="Calibri" w:hAnsi="Calibri"/>
          <w:b/>
          <w:bCs/>
          <w:szCs w:val="24"/>
          <w:lang w:val="es-ES_tradnl"/>
        </w:rPr>
        <w:t>la serie Know Members</w:t>
      </w:r>
      <w:r w:rsidR="00F015A1" w:rsidRPr="00511058">
        <w:rPr>
          <w:rFonts w:ascii="Calibri" w:hAnsi="Calibri"/>
          <w:szCs w:val="24"/>
          <w:lang w:val="es-ES_tradnl"/>
        </w:rPr>
        <w:t xml:space="preserve"> como una plataforma de diálogo para los Miembros del Sector de Desarrollo de las Telecomunicaciones</w:t>
      </w:r>
      <w:r w:rsidR="00F015A1" w:rsidRPr="00511058">
        <w:rPr>
          <w:lang w:val="es-ES_tradnl"/>
        </w:rPr>
        <w:t xml:space="preserve"> (UIT-D) segmentada por comunidades</w:t>
      </w:r>
      <w:r w:rsidR="00F015A1" w:rsidRPr="00511058">
        <w:rPr>
          <w:rStyle w:val="FootnoteReference"/>
          <w:lang w:val="es-ES_tradnl"/>
        </w:rPr>
        <w:footnoteReference w:id="6"/>
      </w:r>
      <w:r w:rsidR="00F015A1" w:rsidRPr="00511058">
        <w:rPr>
          <w:lang w:val="es-ES_tradnl"/>
        </w:rPr>
        <w:t>, que permite interactuar e intercambiar opiniones con el equipo de dirección de la Oficina de Desarrollo de las Telecomunicaciones (BDT). En el marco de la serie, se ofrecerá información actualizada de la BDT sobre las acciones en curso y futuras y se recopilarán las opiniones de los Miembros sobre las maneras de reforzar la relación y la participación. La sesión para la comunidad de instituciones académicas e instituciones de investigación tendrá lugar el 15 de abril de 2021, seguida por las sesiones de las demás comunidades de Miembros del UIT-D, que se planificarán a lo largo del año.</w:t>
      </w:r>
    </w:p>
    <w:p w14:paraId="37D66984" w14:textId="06773704" w:rsidR="00F015A1" w:rsidRPr="00511058" w:rsidRDefault="00366323" w:rsidP="00366323">
      <w:pPr>
        <w:pStyle w:val="enumlev1"/>
        <w:rPr>
          <w:rFonts w:ascii="Calibri" w:hAnsi="Calibri"/>
          <w:szCs w:val="24"/>
          <w:lang w:val="es-ES_tradnl"/>
        </w:rPr>
      </w:pPr>
      <w:r w:rsidRPr="00511058">
        <w:rPr>
          <w:rFonts w:ascii="Calibri" w:hAnsi="Calibri"/>
          <w:szCs w:val="24"/>
          <w:lang w:val="es-ES_tradnl"/>
        </w:rPr>
        <w:t>–</w:t>
      </w:r>
      <w:r w:rsidRPr="00511058">
        <w:rPr>
          <w:rFonts w:ascii="Calibri" w:hAnsi="Calibri"/>
          <w:szCs w:val="24"/>
          <w:lang w:val="es-ES_tradnl"/>
        </w:rPr>
        <w:tab/>
      </w:r>
      <w:r w:rsidR="00F015A1" w:rsidRPr="00511058">
        <w:rPr>
          <w:rFonts w:ascii="Calibri" w:hAnsi="Calibri"/>
          <w:bCs/>
          <w:szCs w:val="24"/>
          <w:lang w:val="es-ES_tradnl"/>
        </w:rPr>
        <w:t>También se ha presentado la</w:t>
      </w:r>
      <w:r w:rsidR="00F015A1" w:rsidRPr="00511058">
        <w:rPr>
          <w:rFonts w:ascii="Calibri" w:hAnsi="Calibri"/>
          <w:szCs w:val="24"/>
          <w:lang w:val="es-ES_tradnl"/>
        </w:rPr>
        <w:t xml:space="preserve"> </w:t>
      </w:r>
      <w:r w:rsidR="00F015A1" w:rsidRPr="00511058">
        <w:rPr>
          <w:rFonts w:ascii="Calibri" w:hAnsi="Calibri"/>
          <w:b/>
          <w:bCs/>
          <w:szCs w:val="24"/>
          <w:lang w:val="es-ES_tradnl"/>
        </w:rPr>
        <w:t>serie Tech Talks</w:t>
      </w:r>
      <w:r w:rsidR="00F015A1" w:rsidRPr="00511058">
        <w:rPr>
          <w:rFonts w:ascii="Calibri" w:hAnsi="Calibri"/>
          <w:szCs w:val="24"/>
          <w:lang w:val="es-ES_tradnl"/>
        </w:rPr>
        <w:t xml:space="preserve"> </w:t>
      </w:r>
      <w:r w:rsidR="00F015A1" w:rsidRPr="00511058">
        <w:rPr>
          <w:rFonts w:ascii="Calibri" w:hAnsi="Calibri"/>
          <w:bCs/>
          <w:szCs w:val="24"/>
          <w:lang w:val="es-ES_tradnl"/>
        </w:rPr>
        <w:t>como plataforma de participación diseñada para los Miembros del UIT-D y en colaboración con ellos, que también está segmentada por comunidades y que permite a sus integrantes compartir sus tecnologías y enfoques innovadores del ámbito de las TIC/desarrollo y la conectividad, contactar con los homólogos del sector de sus comunidades respectivas y con expertos de la BDT, y explorar esferas de colaboración nuevas</w:t>
      </w:r>
      <w:r w:rsidR="00F015A1" w:rsidRPr="00511058">
        <w:rPr>
          <w:rFonts w:ascii="Calibri" w:hAnsi="Calibri"/>
          <w:szCs w:val="24"/>
          <w:lang w:val="es-ES_tradnl"/>
        </w:rPr>
        <w:t>. El primer evento Tech Talks, que se celebró el 18 de febrero de 2021 específicamente para las EER, tuvo una gran aceptación y atrajo el interés de posibles miembros. El segundo evento se celebrará el 27 de abril de 2021 y se centrará en las OCI, y los eventos de los demás segmentos de Miembros tendrán lugar a lo largo del</w:t>
      </w:r>
      <w:r w:rsidR="007B662E" w:rsidRPr="00511058">
        <w:rPr>
          <w:rFonts w:ascii="Calibri" w:hAnsi="Calibri"/>
          <w:szCs w:val="24"/>
          <w:lang w:val="es-ES_tradnl"/>
        </w:rPr>
        <w:t> </w:t>
      </w:r>
      <w:r w:rsidR="00F015A1" w:rsidRPr="00511058">
        <w:rPr>
          <w:rFonts w:ascii="Calibri" w:hAnsi="Calibri"/>
          <w:szCs w:val="24"/>
          <w:lang w:val="es-ES_tradnl"/>
        </w:rPr>
        <w:t>año.</w:t>
      </w:r>
    </w:p>
    <w:p w14:paraId="379ABF00" w14:textId="487411D1" w:rsidR="00F015A1" w:rsidRPr="00511058" w:rsidRDefault="00366323" w:rsidP="00366323">
      <w:pPr>
        <w:pStyle w:val="enumlev1"/>
        <w:rPr>
          <w:rFonts w:ascii="Calibri" w:hAnsi="Calibri"/>
          <w:szCs w:val="24"/>
          <w:lang w:val="es-ES_tradnl"/>
        </w:rPr>
      </w:pPr>
      <w:r w:rsidRPr="00511058">
        <w:rPr>
          <w:rFonts w:ascii="Calibri" w:hAnsi="Calibri"/>
          <w:szCs w:val="24"/>
          <w:lang w:val="es-ES_tradnl"/>
        </w:rPr>
        <w:t>–</w:t>
      </w:r>
      <w:r w:rsidRPr="00511058">
        <w:rPr>
          <w:rFonts w:ascii="Calibri" w:hAnsi="Calibri"/>
          <w:szCs w:val="24"/>
          <w:lang w:val="es-ES_tradnl"/>
        </w:rPr>
        <w:tab/>
      </w:r>
      <w:r w:rsidR="00F015A1" w:rsidRPr="00511058">
        <w:rPr>
          <w:rFonts w:ascii="Calibri" w:hAnsi="Calibri" w:cs="Calibri"/>
          <w:bCs/>
          <w:szCs w:val="24"/>
          <w:shd w:val="clear" w:color="auto" w:fill="FFFFFF"/>
          <w:lang w:val="es-ES_tradnl"/>
        </w:rPr>
        <w:t>La</w:t>
      </w:r>
      <w:r w:rsidR="00F015A1" w:rsidRPr="00511058">
        <w:rPr>
          <w:rFonts w:ascii="Calibri" w:hAnsi="Calibri" w:cs="Calibri"/>
          <w:szCs w:val="24"/>
          <w:shd w:val="clear" w:color="auto" w:fill="FFFFFF"/>
          <w:lang w:val="es-ES_tradnl"/>
        </w:rPr>
        <w:t xml:space="preserve"> </w:t>
      </w:r>
      <w:r w:rsidR="00F015A1" w:rsidRPr="00511058">
        <w:rPr>
          <w:rFonts w:ascii="Calibri" w:hAnsi="Calibri" w:cs="Calibri"/>
          <w:b/>
          <w:bCs/>
          <w:szCs w:val="24"/>
          <w:shd w:val="clear" w:color="auto" w:fill="FFFFFF"/>
          <w:lang w:val="es-ES_tradnl"/>
        </w:rPr>
        <w:t>creación de capacidad del personal en cuestiones relacionadas con los Miembros</w:t>
      </w:r>
      <w:r w:rsidR="00F015A1" w:rsidRPr="00511058">
        <w:rPr>
          <w:rFonts w:ascii="Calibri" w:hAnsi="Calibri" w:cs="Calibri"/>
          <w:szCs w:val="24"/>
          <w:shd w:val="clear" w:color="auto" w:fill="FFFFFF"/>
          <w:lang w:val="es-ES_tradnl"/>
        </w:rPr>
        <w:t xml:space="preserve"> es un elemento clave para el éxito del enfoque estratégico de los Miembros común a toda la BDT. Su objetivo es reforzar la sensibilización y la capacidad del personal de la BDT, tanto en la sede como sobre el terreno, para sondear y atraer nuevos miembros y retener los ya existentes. Se han celebrado sesiones de información personalizadas y dedicadas para todo el personal de todas las regiones, y se ha trabajado para sensibilizar sobre las medidas de divulgación y retención, los materiales promocionales existentes y las herramientas y los recursos disponibles. Estas sesiones han permitido acortar distancias en cuanto al nivel de conocimiento sobre las normas y los procesos de los Miembros, los enfoques y las oportunidades y dificultades de retención</w:t>
      </w:r>
      <w:r w:rsidR="00F015A1" w:rsidRPr="00511058">
        <w:rPr>
          <w:rFonts w:ascii="Calibri" w:hAnsi="Calibri"/>
          <w:szCs w:val="24"/>
          <w:lang w:val="es-ES_tradnl"/>
        </w:rPr>
        <w:t>.</w:t>
      </w:r>
    </w:p>
    <w:p w14:paraId="469E38DE" w14:textId="2AF30784" w:rsidR="00F015A1" w:rsidRPr="00511058" w:rsidRDefault="00366323" w:rsidP="00366323">
      <w:pPr>
        <w:pStyle w:val="enumlev1"/>
        <w:rPr>
          <w:rFonts w:ascii="Calibri" w:hAnsi="Calibri"/>
          <w:szCs w:val="24"/>
          <w:lang w:val="es-ES_tradnl"/>
        </w:rPr>
      </w:pPr>
      <w:r w:rsidRPr="00511058">
        <w:rPr>
          <w:rFonts w:ascii="Calibri" w:hAnsi="Calibri"/>
          <w:szCs w:val="24"/>
          <w:lang w:val="es-ES_tradnl"/>
        </w:rPr>
        <w:lastRenderedPageBreak/>
        <w:t>–</w:t>
      </w:r>
      <w:r w:rsidRPr="00511058">
        <w:rPr>
          <w:rFonts w:ascii="Calibri" w:hAnsi="Calibri"/>
          <w:szCs w:val="24"/>
          <w:lang w:val="es-ES_tradnl"/>
        </w:rPr>
        <w:tab/>
      </w:r>
      <w:r w:rsidR="00F015A1" w:rsidRPr="00511058">
        <w:rPr>
          <w:rFonts w:ascii="Calibri" w:hAnsi="Calibri"/>
          <w:bCs/>
          <w:szCs w:val="24"/>
          <w:lang w:val="es-ES_tradnl"/>
        </w:rPr>
        <w:t xml:space="preserve">A fin de </w:t>
      </w:r>
      <w:r w:rsidR="00F015A1" w:rsidRPr="00511058">
        <w:rPr>
          <w:rFonts w:ascii="Calibri" w:hAnsi="Calibri"/>
          <w:b/>
          <w:bCs/>
          <w:szCs w:val="24"/>
          <w:lang w:val="es-ES_tradnl"/>
        </w:rPr>
        <w:t>persuadir a los Miembros en riesgo</w:t>
      </w:r>
      <w:r w:rsidR="00F015A1" w:rsidRPr="00511058">
        <w:rPr>
          <w:rFonts w:ascii="Calibri" w:hAnsi="Calibri"/>
          <w:szCs w:val="24"/>
          <w:lang w:val="es-ES_tradnl"/>
        </w:rPr>
        <w:t xml:space="preserve"> que han comunicado su intención de cesar su participación, se celebran sesiones individuales con miras a entender sus motivos y convencerlos de no abandonar. Esta iniciativa ha tenido resultados positivos en varias ocasiones y los Miembros han decidido dar marcha atrás en su decisión.</w:t>
      </w:r>
    </w:p>
    <w:p w14:paraId="3EF87CA2" w14:textId="499B8D65" w:rsidR="00F015A1" w:rsidRPr="00511058" w:rsidRDefault="00366323" w:rsidP="00366323">
      <w:pPr>
        <w:pStyle w:val="enumlev1"/>
        <w:rPr>
          <w:rFonts w:ascii="Calibri" w:hAnsi="Calibri"/>
          <w:b/>
          <w:bCs/>
          <w:szCs w:val="24"/>
          <w:lang w:val="es-ES_tradnl"/>
        </w:rPr>
      </w:pPr>
      <w:r w:rsidRPr="00511058">
        <w:rPr>
          <w:rFonts w:ascii="Calibri" w:hAnsi="Calibri"/>
          <w:szCs w:val="24"/>
          <w:lang w:val="es-ES_tradnl"/>
        </w:rPr>
        <w:t>–</w:t>
      </w:r>
      <w:r w:rsidRPr="00511058">
        <w:rPr>
          <w:rFonts w:ascii="Calibri" w:hAnsi="Calibri"/>
          <w:szCs w:val="24"/>
          <w:lang w:val="es-ES_tradnl"/>
        </w:rPr>
        <w:tab/>
      </w:r>
      <w:r w:rsidR="00F015A1" w:rsidRPr="00511058">
        <w:rPr>
          <w:rFonts w:ascii="Calibri" w:hAnsi="Calibri"/>
          <w:bCs/>
          <w:szCs w:val="24"/>
          <w:lang w:val="es-ES_tradnl"/>
        </w:rPr>
        <w:t>La</w:t>
      </w:r>
      <w:r w:rsidR="00F015A1" w:rsidRPr="00511058">
        <w:rPr>
          <w:rFonts w:ascii="Calibri" w:hAnsi="Calibri"/>
          <w:b/>
          <w:bCs/>
          <w:szCs w:val="24"/>
          <w:lang w:val="es-ES_tradnl"/>
        </w:rPr>
        <w:t xml:space="preserve"> adopción de una nueva estrategia de afiliación</w:t>
      </w:r>
      <w:r w:rsidR="00F015A1" w:rsidRPr="00511058">
        <w:rPr>
          <w:rFonts w:ascii="Calibri" w:hAnsi="Calibri"/>
          <w:bCs/>
          <w:szCs w:val="24"/>
          <w:lang w:val="es-ES_tradnl"/>
        </w:rPr>
        <w:t>, en línea con la</w:t>
      </w:r>
      <w:r w:rsidR="00F015A1" w:rsidRPr="00511058">
        <w:rPr>
          <w:rFonts w:ascii="Calibri" w:hAnsi="Calibri"/>
          <w:b/>
          <w:bCs/>
          <w:szCs w:val="24"/>
          <w:lang w:val="es-ES_tradnl"/>
        </w:rPr>
        <w:t xml:space="preserve"> </w:t>
      </w:r>
      <w:r w:rsidR="00F015A1" w:rsidRPr="00511058">
        <w:rPr>
          <w:rFonts w:ascii="Calibri" w:hAnsi="Calibri"/>
          <w:szCs w:val="24"/>
          <w:lang w:val="es-ES_tradnl"/>
        </w:rPr>
        <w:t>estrategia de asociación y movilización de recursos, y la gestión de los proyectos permiten garantizar el enriquecimiento mutuo de los tres Servicios.</w:t>
      </w:r>
    </w:p>
    <w:p w14:paraId="5DD2207A" w14:textId="39500E7B" w:rsidR="00F015A1" w:rsidRPr="00511058" w:rsidRDefault="00366323" w:rsidP="00366323">
      <w:pPr>
        <w:pStyle w:val="Heading1"/>
        <w:rPr>
          <w:rFonts w:eastAsia="SimSun"/>
          <w:lang w:val="es-ES_tradnl" w:eastAsia="zh-CN"/>
        </w:rPr>
      </w:pPr>
      <w:r w:rsidRPr="00511058">
        <w:rPr>
          <w:rFonts w:eastAsia="SimSun"/>
          <w:lang w:val="es-ES_tradnl" w:eastAsia="zh-CN"/>
        </w:rPr>
        <w:t>5</w:t>
      </w:r>
      <w:r w:rsidRPr="00511058">
        <w:rPr>
          <w:rFonts w:eastAsia="SimSun"/>
          <w:lang w:val="es-ES_tradnl" w:eastAsia="zh-CN"/>
        </w:rPr>
        <w:tab/>
      </w:r>
      <w:r w:rsidR="00F015A1" w:rsidRPr="00511058">
        <w:rPr>
          <w:rFonts w:eastAsia="SimSun"/>
          <w:lang w:val="es-ES_tradnl" w:eastAsia="zh-CN"/>
        </w:rPr>
        <w:t>Conclusiones</w:t>
      </w:r>
    </w:p>
    <w:p w14:paraId="6134C90D" w14:textId="77777777" w:rsidR="00F015A1" w:rsidRPr="00511058" w:rsidRDefault="00F015A1" w:rsidP="00366323">
      <w:pPr>
        <w:rPr>
          <w:lang w:val="es-ES_tradnl"/>
        </w:rPr>
      </w:pPr>
      <w:r w:rsidRPr="00511058">
        <w:rPr>
          <w:lang w:val="es-ES_tradnl"/>
        </w:rPr>
        <w:t>La BDT está determinada a:</w:t>
      </w:r>
    </w:p>
    <w:p w14:paraId="4111E4AB" w14:textId="2EA5D542" w:rsidR="00F015A1" w:rsidRPr="00511058" w:rsidRDefault="00366323" w:rsidP="00366323">
      <w:pPr>
        <w:pStyle w:val="enumlev1"/>
        <w:rPr>
          <w:lang w:val="es-ES_tradnl"/>
        </w:rPr>
      </w:pPr>
      <w:r w:rsidRPr="00511058">
        <w:rPr>
          <w:lang w:val="es-ES_tradnl"/>
        </w:rPr>
        <w:t>a)</w:t>
      </w:r>
      <w:r w:rsidRPr="00511058">
        <w:rPr>
          <w:lang w:val="es-ES_tradnl"/>
        </w:rPr>
        <w:tab/>
      </w:r>
      <w:r w:rsidR="00F015A1" w:rsidRPr="00511058">
        <w:rPr>
          <w:lang w:val="es-ES_tradnl"/>
        </w:rPr>
        <w:t>continuar incrementando el número de Miembros de Sector del UIT-D y conservar los Miembros ya existentes ofreciéndoles valor añadido;</w:t>
      </w:r>
    </w:p>
    <w:p w14:paraId="667E5201" w14:textId="703D287F" w:rsidR="00F015A1" w:rsidRPr="00511058" w:rsidRDefault="00366323" w:rsidP="00366323">
      <w:pPr>
        <w:pStyle w:val="enumlev1"/>
        <w:rPr>
          <w:lang w:val="es-ES_tradnl"/>
        </w:rPr>
      </w:pPr>
      <w:r w:rsidRPr="00511058">
        <w:rPr>
          <w:lang w:val="es-ES_tradnl"/>
        </w:rPr>
        <w:t>b)</w:t>
      </w:r>
      <w:r w:rsidRPr="00511058">
        <w:rPr>
          <w:lang w:val="es-ES_tradnl"/>
        </w:rPr>
        <w:tab/>
      </w:r>
      <w:r w:rsidR="00F015A1" w:rsidRPr="00511058">
        <w:rPr>
          <w:lang w:val="es-ES_tradnl"/>
        </w:rPr>
        <w:t>incrementar el compromiso de los Miembros de Sector del UIT-D con el trabajo del Sector y crear un entorno propicio para las asociaciones y la movilización de recursos a fin de financiar proyectos e iniciativas de gran alcance;</w:t>
      </w:r>
    </w:p>
    <w:p w14:paraId="171CE10F" w14:textId="7DD8B971" w:rsidR="00F015A1" w:rsidRPr="00511058" w:rsidRDefault="00366323" w:rsidP="00366323">
      <w:pPr>
        <w:pStyle w:val="enumlev1"/>
        <w:rPr>
          <w:lang w:val="es-ES_tradnl"/>
        </w:rPr>
      </w:pPr>
      <w:r w:rsidRPr="00511058">
        <w:rPr>
          <w:lang w:val="es-ES_tradnl"/>
        </w:rPr>
        <w:t>c)</w:t>
      </w:r>
      <w:r w:rsidRPr="00511058">
        <w:rPr>
          <w:lang w:val="es-ES_tradnl"/>
        </w:rPr>
        <w:tab/>
      </w:r>
      <w:r w:rsidR="00F015A1" w:rsidRPr="00511058">
        <w:rPr>
          <w:lang w:val="es-ES_tradnl"/>
        </w:rPr>
        <w:t>aumentar la participación de los Miembros de Sector del UIT-D en las actividades y los eventos del Sector para crear más impacto;</w:t>
      </w:r>
    </w:p>
    <w:p w14:paraId="49F2B71E" w14:textId="3D66DFD5" w:rsidR="00F015A1" w:rsidRPr="00511058" w:rsidRDefault="00366323" w:rsidP="00366323">
      <w:pPr>
        <w:pStyle w:val="enumlev1"/>
        <w:rPr>
          <w:lang w:val="es-ES_tradnl"/>
        </w:rPr>
      </w:pPr>
      <w:r w:rsidRPr="00511058">
        <w:rPr>
          <w:lang w:val="es-ES_tradnl"/>
        </w:rPr>
        <w:t>d)</w:t>
      </w:r>
      <w:r w:rsidRPr="00511058">
        <w:rPr>
          <w:lang w:val="es-ES_tradnl"/>
        </w:rPr>
        <w:tab/>
      </w:r>
      <w:r w:rsidR="00F015A1" w:rsidRPr="00511058">
        <w:rPr>
          <w:lang w:val="es-ES_tradnl"/>
        </w:rPr>
        <w:t>seguir mejorando los instrumentos y servicios que faciliten el compromiso y la participación de los Miembros.</w:t>
      </w:r>
    </w:p>
    <w:p w14:paraId="1075DEC1" w14:textId="77777777" w:rsidR="00366323" w:rsidRPr="00511058" w:rsidRDefault="00366323" w:rsidP="0032202E">
      <w:pPr>
        <w:pStyle w:val="Reasons"/>
        <w:rPr>
          <w:lang w:val="es-ES_tradnl"/>
        </w:rPr>
      </w:pPr>
    </w:p>
    <w:p w14:paraId="14EF5A46" w14:textId="77777777" w:rsidR="00366323" w:rsidRPr="00511058" w:rsidRDefault="00366323">
      <w:pPr>
        <w:jc w:val="center"/>
        <w:rPr>
          <w:lang w:val="es-ES_tradnl"/>
        </w:rPr>
      </w:pPr>
      <w:r w:rsidRPr="00511058">
        <w:rPr>
          <w:lang w:val="es-ES_tradnl"/>
        </w:rPr>
        <w:t>______________</w:t>
      </w:r>
    </w:p>
    <w:sectPr w:rsidR="00366323" w:rsidRPr="00511058" w:rsidSect="004B7893">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37A9" w14:textId="77777777" w:rsidR="00F015A1" w:rsidRDefault="00F015A1" w:rsidP="0088106F">
      <w:r>
        <w:separator/>
      </w:r>
    </w:p>
  </w:endnote>
  <w:endnote w:type="continuationSeparator" w:id="0">
    <w:p w14:paraId="0B2F1313" w14:textId="77777777" w:rsidR="00F015A1" w:rsidRDefault="00F015A1"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3F8D" w14:textId="3F115B21" w:rsidR="0088106F" w:rsidRPr="009A6FC4" w:rsidRDefault="00D62C69" w:rsidP="002160ED">
    <w:pPr>
      <w:pStyle w:val="Footer"/>
    </w:pPr>
    <w:r>
      <w:fldChar w:fldCharType="begin"/>
    </w:r>
    <w:r>
      <w:instrText xml:space="preserve"> FILENAME \p  \* MERGEFORMAT </w:instrText>
    </w:r>
    <w:r>
      <w:fldChar w:fldCharType="separate"/>
    </w:r>
    <w:r w:rsidR="002160ED">
      <w:t>P:\ESP\ITU-D\CONF-D\TDAG21\000\012S.docx</w:t>
    </w:r>
    <w:r>
      <w:fldChar w:fldCharType="end"/>
    </w:r>
    <w:r w:rsidR="002160ED">
      <w:t xml:space="preserve"> (486968)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134"/>
      <w:gridCol w:w="2552"/>
      <w:gridCol w:w="6237"/>
    </w:tblGrid>
    <w:tr w:rsidR="009D1BD4" w:rsidRPr="00366323" w14:paraId="2EED2DAA" w14:textId="77777777" w:rsidTr="004E3CF5">
      <w:tc>
        <w:tcPr>
          <w:tcW w:w="1134" w:type="dxa"/>
          <w:tcBorders>
            <w:top w:val="single" w:sz="4" w:space="0" w:color="000000"/>
          </w:tcBorders>
          <w:shd w:val="clear" w:color="auto" w:fill="auto"/>
        </w:tcPr>
        <w:p w14:paraId="5A675399" w14:textId="77777777" w:rsidR="009D1BD4" w:rsidRPr="00366323" w:rsidRDefault="009D1BD4" w:rsidP="009D1BD4">
          <w:pPr>
            <w:pStyle w:val="FirstFooter"/>
            <w:tabs>
              <w:tab w:val="left" w:pos="1559"/>
              <w:tab w:val="left" w:pos="3828"/>
            </w:tabs>
            <w:rPr>
              <w:sz w:val="18"/>
              <w:szCs w:val="18"/>
              <w:lang w:val="es-ES_tradnl"/>
            </w:rPr>
          </w:pPr>
          <w:r w:rsidRPr="00366323">
            <w:rPr>
              <w:sz w:val="18"/>
              <w:szCs w:val="18"/>
              <w:lang w:val="es-ES_tradnl"/>
            </w:rPr>
            <w:t>Contacto:</w:t>
          </w:r>
        </w:p>
      </w:tc>
      <w:tc>
        <w:tcPr>
          <w:tcW w:w="2552" w:type="dxa"/>
          <w:tcBorders>
            <w:top w:val="single" w:sz="4" w:space="0" w:color="000000"/>
          </w:tcBorders>
          <w:shd w:val="clear" w:color="auto" w:fill="auto"/>
        </w:tcPr>
        <w:p w14:paraId="48FEFC22" w14:textId="77777777" w:rsidR="009D1BD4" w:rsidRPr="00366323" w:rsidRDefault="009D1BD4" w:rsidP="009D1BD4">
          <w:pPr>
            <w:pStyle w:val="FirstFooter"/>
            <w:tabs>
              <w:tab w:val="left" w:pos="2302"/>
            </w:tabs>
            <w:ind w:left="2302" w:hanging="2302"/>
            <w:rPr>
              <w:sz w:val="18"/>
              <w:szCs w:val="18"/>
              <w:lang w:val="es-ES_tradnl"/>
            </w:rPr>
          </w:pPr>
          <w:r w:rsidRPr="00366323">
            <w:rPr>
              <w:sz w:val="18"/>
              <w:szCs w:val="18"/>
              <w:lang w:val="es-ES_tradnl"/>
            </w:rPr>
            <w:t>Nombre/Organización/Entidad:</w:t>
          </w:r>
        </w:p>
      </w:tc>
      <w:tc>
        <w:tcPr>
          <w:tcW w:w="6237" w:type="dxa"/>
          <w:tcBorders>
            <w:top w:val="single" w:sz="4" w:space="0" w:color="000000"/>
          </w:tcBorders>
          <w:shd w:val="clear" w:color="auto" w:fill="auto"/>
        </w:tcPr>
        <w:p w14:paraId="791B7F3D" w14:textId="341413BC" w:rsidR="009D1BD4" w:rsidRPr="00366323" w:rsidRDefault="00F015A1" w:rsidP="00F015A1">
          <w:pPr>
            <w:pStyle w:val="FirstFooter"/>
            <w:tabs>
              <w:tab w:val="left" w:pos="1592"/>
            </w:tabs>
            <w:ind w:left="33" w:hanging="33"/>
            <w:rPr>
              <w:sz w:val="18"/>
              <w:szCs w:val="18"/>
              <w:lang w:val="es-ES_tradnl"/>
            </w:rPr>
          </w:pPr>
          <w:r w:rsidRPr="00366323">
            <w:rPr>
              <w:sz w:val="18"/>
              <w:szCs w:val="18"/>
              <w:lang w:val="es-ES_tradnl"/>
            </w:rPr>
            <w:t>Dr .Cosmas Zavazava, Director del Departamento de asociaciones para el desarrollo digital, Oficina de Desarrollo de las Telecomunicaciones</w:t>
          </w:r>
        </w:p>
      </w:tc>
    </w:tr>
    <w:tr w:rsidR="009D1BD4" w:rsidRPr="00366323" w14:paraId="58616D0F" w14:textId="77777777" w:rsidTr="004E3CF5">
      <w:tc>
        <w:tcPr>
          <w:tcW w:w="1134" w:type="dxa"/>
          <w:shd w:val="clear" w:color="auto" w:fill="auto"/>
        </w:tcPr>
        <w:p w14:paraId="5BFD98D0" w14:textId="77777777" w:rsidR="009D1BD4" w:rsidRPr="00366323" w:rsidRDefault="009D1BD4" w:rsidP="009D1BD4">
          <w:pPr>
            <w:pStyle w:val="FirstFooter"/>
            <w:tabs>
              <w:tab w:val="left" w:pos="1559"/>
              <w:tab w:val="left" w:pos="3828"/>
            </w:tabs>
            <w:rPr>
              <w:sz w:val="20"/>
              <w:lang w:val="es-ES_tradnl"/>
            </w:rPr>
          </w:pPr>
        </w:p>
      </w:tc>
      <w:tc>
        <w:tcPr>
          <w:tcW w:w="2552" w:type="dxa"/>
          <w:shd w:val="clear" w:color="auto" w:fill="auto"/>
        </w:tcPr>
        <w:p w14:paraId="2ADC5D66" w14:textId="77777777" w:rsidR="009D1BD4" w:rsidRPr="00366323" w:rsidRDefault="009D1BD4" w:rsidP="009D1BD4">
          <w:pPr>
            <w:pStyle w:val="FirstFooter"/>
            <w:tabs>
              <w:tab w:val="left" w:pos="2302"/>
            </w:tabs>
            <w:rPr>
              <w:sz w:val="18"/>
              <w:szCs w:val="18"/>
              <w:lang w:val="es-ES_tradnl"/>
            </w:rPr>
          </w:pPr>
          <w:r w:rsidRPr="00366323">
            <w:rPr>
              <w:sz w:val="18"/>
              <w:szCs w:val="18"/>
              <w:lang w:val="es-ES_tradnl"/>
            </w:rPr>
            <w:t>Teléfono:</w:t>
          </w:r>
        </w:p>
      </w:tc>
      <w:tc>
        <w:tcPr>
          <w:tcW w:w="6237" w:type="dxa"/>
          <w:shd w:val="clear" w:color="auto" w:fill="auto"/>
        </w:tcPr>
        <w:p w14:paraId="62F7D2DE" w14:textId="09CD13E0" w:rsidR="009D1BD4" w:rsidRPr="00366323" w:rsidRDefault="00F015A1" w:rsidP="009D1BD4">
          <w:pPr>
            <w:pStyle w:val="FirstFooter"/>
            <w:tabs>
              <w:tab w:val="left" w:pos="2302"/>
            </w:tabs>
            <w:rPr>
              <w:sz w:val="18"/>
              <w:szCs w:val="18"/>
              <w:lang w:val="es-ES_tradnl"/>
            </w:rPr>
          </w:pPr>
          <w:bookmarkStart w:id="7" w:name="PhoneNo"/>
          <w:bookmarkEnd w:id="7"/>
          <w:r w:rsidRPr="00366323">
            <w:rPr>
              <w:rFonts w:ascii="Calibri" w:hAnsi="Calibri"/>
              <w:sz w:val="18"/>
              <w:szCs w:val="18"/>
              <w:lang w:val="es-ES_tradnl"/>
            </w:rPr>
            <w:t>+41 22 730 5447</w:t>
          </w:r>
        </w:p>
      </w:tc>
    </w:tr>
    <w:tr w:rsidR="009D1BD4" w:rsidRPr="00366323" w14:paraId="13583943" w14:textId="77777777" w:rsidTr="004E3CF5">
      <w:tc>
        <w:tcPr>
          <w:tcW w:w="1134" w:type="dxa"/>
          <w:shd w:val="clear" w:color="auto" w:fill="auto"/>
        </w:tcPr>
        <w:p w14:paraId="2CA1AD32" w14:textId="77777777" w:rsidR="009D1BD4" w:rsidRPr="00366323" w:rsidRDefault="009D1BD4" w:rsidP="009D1BD4">
          <w:pPr>
            <w:pStyle w:val="FirstFooter"/>
            <w:tabs>
              <w:tab w:val="left" w:pos="1559"/>
              <w:tab w:val="left" w:pos="3828"/>
            </w:tabs>
            <w:rPr>
              <w:sz w:val="20"/>
              <w:lang w:val="es-ES_tradnl"/>
            </w:rPr>
          </w:pPr>
        </w:p>
      </w:tc>
      <w:tc>
        <w:tcPr>
          <w:tcW w:w="2552" w:type="dxa"/>
          <w:shd w:val="clear" w:color="auto" w:fill="auto"/>
        </w:tcPr>
        <w:p w14:paraId="517E1B59" w14:textId="77777777" w:rsidR="009D1BD4" w:rsidRPr="00366323" w:rsidRDefault="009D1BD4" w:rsidP="009D1BD4">
          <w:pPr>
            <w:pStyle w:val="FirstFooter"/>
            <w:tabs>
              <w:tab w:val="left" w:pos="2302"/>
            </w:tabs>
            <w:rPr>
              <w:sz w:val="18"/>
              <w:szCs w:val="18"/>
              <w:lang w:val="es-ES_tradnl"/>
            </w:rPr>
          </w:pPr>
          <w:r w:rsidRPr="00366323">
            <w:rPr>
              <w:sz w:val="18"/>
              <w:szCs w:val="18"/>
              <w:lang w:val="es-ES_tradnl"/>
            </w:rPr>
            <w:t>Correo-e:</w:t>
          </w:r>
        </w:p>
      </w:tc>
      <w:bookmarkStart w:id="8" w:name="Email"/>
      <w:bookmarkEnd w:id="8"/>
      <w:tc>
        <w:tcPr>
          <w:tcW w:w="6237" w:type="dxa"/>
          <w:shd w:val="clear" w:color="auto" w:fill="auto"/>
        </w:tcPr>
        <w:p w14:paraId="6DEC0A68" w14:textId="4526DA25" w:rsidR="009D1BD4" w:rsidRPr="00366323" w:rsidRDefault="00F015A1" w:rsidP="009D1BD4">
          <w:pPr>
            <w:pStyle w:val="FirstFooter"/>
            <w:tabs>
              <w:tab w:val="left" w:pos="2302"/>
            </w:tabs>
            <w:rPr>
              <w:sz w:val="18"/>
              <w:szCs w:val="18"/>
              <w:lang w:val="es-ES_tradnl"/>
            </w:rPr>
          </w:pPr>
          <w:r w:rsidRPr="00366323">
            <w:fldChar w:fldCharType="begin"/>
          </w:r>
          <w:r w:rsidRPr="00366323">
            <w:rPr>
              <w:lang w:val="es-ES_tradnl"/>
            </w:rPr>
            <w:instrText xml:space="preserve"> HYPERLINK "mailto:Cosmas.zavazava@itu.int" </w:instrText>
          </w:r>
          <w:r w:rsidRPr="00366323">
            <w:fldChar w:fldCharType="separate"/>
          </w:r>
          <w:r w:rsidRPr="00366323">
            <w:rPr>
              <w:rStyle w:val="Hyperlink"/>
              <w:sz w:val="18"/>
              <w:szCs w:val="18"/>
              <w:lang w:val="es-ES_tradnl"/>
            </w:rPr>
            <w:t>Cosmas.zavazava@itu.int</w:t>
          </w:r>
          <w:r w:rsidRPr="00366323">
            <w:rPr>
              <w:rStyle w:val="Hyperlink"/>
              <w:sz w:val="18"/>
              <w:szCs w:val="18"/>
              <w:lang w:val="es-ES_tradnl"/>
            </w:rPr>
            <w:fldChar w:fldCharType="end"/>
          </w:r>
        </w:p>
      </w:tc>
    </w:tr>
  </w:tbl>
  <w:p w14:paraId="0995BC00" w14:textId="77777777" w:rsidR="00F015A1" w:rsidRDefault="00F015A1" w:rsidP="006E4AB3">
    <w:pPr>
      <w:tabs>
        <w:tab w:val="clear" w:pos="794"/>
        <w:tab w:val="clear" w:pos="1191"/>
        <w:tab w:val="clear" w:pos="1588"/>
        <w:tab w:val="clear" w:pos="1985"/>
        <w:tab w:val="left" w:pos="5954"/>
        <w:tab w:val="right" w:pos="9639"/>
      </w:tabs>
      <w:spacing w:before="0"/>
      <w:jc w:val="center"/>
    </w:pPr>
  </w:p>
  <w:p w14:paraId="2B1E95E0" w14:textId="39D5B188" w:rsidR="006E4AB3" w:rsidRPr="006E4AB3" w:rsidRDefault="00D62C69"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1" w:history="1">
      <w:r w:rsidR="00225D2E">
        <w:rPr>
          <w:rFonts w:ascii="Calibri" w:hAnsi="Calibri"/>
          <w:color w:val="0000FF"/>
          <w:sz w:val="18"/>
          <w:szCs w:val="18"/>
          <w:u w:val="single"/>
        </w:rPr>
        <w:t>GADT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5851" w14:textId="77777777" w:rsidR="00F015A1" w:rsidRDefault="00F015A1" w:rsidP="0088106F">
      <w:r>
        <w:separator/>
      </w:r>
    </w:p>
  </w:footnote>
  <w:footnote w:type="continuationSeparator" w:id="0">
    <w:p w14:paraId="2753754C" w14:textId="77777777" w:rsidR="00F015A1" w:rsidRDefault="00F015A1" w:rsidP="0088106F">
      <w:r>
        <w:continuationSeparator/>
      </w:r>
    </w:p>
  </w:footnote>
  <w:footnote w:id="1">
    <w:p w14:paraId="26D970A6" w14:textId="36F24C9D" w:rsidR="00F015A1" w:rsidRPr="00366323" w:rsidRDefault="00F015A1" w:rsidP="00511058">
      <w:pPr>
        <w:pStyle w:val="FootnoteText"/>
        <w:rPr>
          <w:sz w:val="20"/>
          <w:lang w:val="es-ES_tradnl"/>
        </w:rPr>
      </w:pPr>
      <w:r w:rsidRPr="00366323">
        <w:rPr>
          <w:rStyle w:val="FootnoteReference"/>
          <w:sz w:val="20"/>
          <w:lang w:val="es-ES_tradnl"/>
        </w:rPr>
        <w:footnoteRef/>
      </w:r>
      <w:r w:rsidR="00511058">
        <w:rPr>
          <w:sz w:val="20"/>
          <w:lang w:val="es-ES_tradnl"/>
        </w:rPr>
        <w:tab/>
      </w:r>
      <w:r w:rsidRPr="00366323">
        <w:rPr>
          <w:lang w:val="es-ES_tradnl"/>
        </w:rPr>
        <w:t xml:space="preserve">Véase la Resolución 169 (Guadalajara, 2010) </w:t>
      </w:r>
      <w:r w:rsidRPr="00511058">
        <w:t>de</w:t>
      </w:r>
      <w:r w:rsidRPr="00366323">
        <w:rPr>
          <w:lang w:val="es-ES_tradnl"/>
        </w:rPr>
        <w:t xml:space="preserve"> la Conferencia de Plenipotenciarios, en virtud de la cual se permitió la participación de la nueva categoría Instituciones académicas en la labor de la UIT.</w:t>
      </w:r>
    </w:p>
  </w:footnote>
  <w:footnote w:id="2">
    <w:p w14:paraId="378549B3" w14:textId="146158B1" w:rsidR="00366323" w:rsidRPr="00E11C9C" w:rsidRDefault="00366323">
      <w:pPr>
        <w:pStyle w:val="FootnoteText"/>
        <w:rPr>
          <w:lang w:val="es-ES_tradnl"/>
        </w:rPr>
      </w:pPr>
      <w:r>
        <w:rPr>
          <w:rStyle w:val="FootnoteReference"/>
        </w:rPr>
        <w:footnoteRef/>
      </w:r>
      <w:r w:rsidR="00511058">
        <w:tab/>
      </w:r>
      <w:r w:rsidRPr="00E11C9C">
        <w:rPr>
          <w:lang w:val="es-ES_tradnl"/>
        </w:rPr>
        <w:t>Resolución 71 (Rev. Buenos Aires, 2017, "Fortalecimiento de la cooperación entre los Estados Miembros, los Miembros de Sector, los Asociados y las Instituciones Académicas del Sector de Desarrollo de las Telecomunicaciones y la evolución de la función del sector privado en el Sector de Desarrollo de las Telecomunicaciones de la UIT".</w:t>
      </w:r>
    </w:p>
  </w:footnote>
  <w:footnote w:id="3">
    <w:p w14:paraId="33008DF5" w14:textId="54994AAF" w:rsidR="00EB2FC8" w:rsidRPr="00E11C9C" w:rsidRDefault="00EB2FC8">
      <w:pPr>
        <w:pStyle w:val="FootnoteText"/>
        <w:rPr>
          <w:lang w:val="es-ES_tradnl"/>
        </w:rPr>
      </w:pPr>
      <w:r w:rsidRPr="00E11C9C">
        <w:rPr>
          <w:rStyle w:val="FootnoteReference"/>
          <w:lang w:val="es-ES_tradnl"/>
        </w:rPr>
        <w:footnoteRef/>
      </w:r>
      <w:r w:rsidR="00511058">
        <w:rPr>
          <w:lang w:val="es-ES_tradnl"/>
        </w:rPr>
        <w:tab/>
      </w:r>
      <w:r w:rsidRPr="00E11C9C">
        <w:rPr>
          <w:lang w:val="es-ES_tradnl"/>
        </w:rPr>
        <w:t>Véase la Resolución 169 (Guadalajara, 2010), que permitió que la nueva categoría de Instituciones Académicas participara en la labor de la UIT.</w:t>
      </w:r>
    </w:p>
  </w:footnote>
  <w:footnote w:id="4">
    <w:p w14:paraId="3A50E6C5" w14:textId="143D2840" w:rsidR="00F015A1" w:rsidRPr="00366323" w:rsidRDefault="00F015A1" w:rsidP="00511058">
      <w:pPr>
        <w:pStyle w:val="FootnoteText"/>
        <w:rPr>
          <w:sz w:val="20"/>
          <w:lang w:val="es-ES_tradnl"/>
        </w:rPr>
      </w:pPr>
      <w:r w:rsidRPr="00366323">
        <w:rPr>
          <w:rStyle w:val="FootnoteReference"/>
          <w:sz w:val="20"/>
          <w:lang w:val="es-ES_tradnl"/>
        </w:rPr>
        <w:footnoteRef/>
      </w:r>
      <w:r w:rsidR="00511058">
        <w:rPr>
          <w:sz w:val="20"/>
          <w:lang w:val="es-ES_tradnl"/>
        </w:rPr>
        <w:tab/>
      </w:r>
      <w:r w:rsidRPr="00366323">
        <w:rPr>
          <w:rStyle w:val="FootnoteTextChar"/>
          <w:lang w:val="es-ES_tradnl"/>
        </w:rPr>
        <w:t xml:space="preserve">Las instituciones académicas participan en la labor de los tres Sectores de la UIT, incluidos sus Grupos asesores. También participan en otras Conferencias, talleres y actividades de la Unión a escalas mundial y regional, con excepción de las Conferencias de Plenipotenciarios, las Conferencias Mundiales de </w:t>
      </w:r>
      <w:r w:rsidRPr="00511058">
        <w:t>Radiocomunicaciones</w:t>
      </w:r>
      <w:r w:rsidRPr="00366323">
        <w:rPr>
          <w:rStyle w:val="FootnoteTextChar"/>
          <w:lang w:val="es-ES_tradnl"/>
        </w:rPr>
        <w:t>, las Conferencias Mundiales de las Telecomunicaciones Internacionales y las reuniones del Consejo de la UIT, de conformidad con el Reglamento Interno de los respectivos Sectores.</w:t>
      </w:r>
    </w:p>
  </w:footnote>
  <w:footnote w:id="5">
    <w:p w14:paraId="0FF8FB6C" w14:textId="25342AF3" w:rsidR="00366323" w:rsidRPr="00366323" w:rsidRDefault="00366323">
      <w:pPr>
        <w:pStyle w:val="FootnoteText"/>
        <w:rPr>
          <w:lang w:val="es-ES_tradnl"/>
        </w:rPr>
      </w:pPr>
      <w:r w:rsidRPr="00366323">
        <w:rPr>
          <w:rStyle w:val="FootnoteReference"/>
          <w:lang w:val="es-ES_tradnl"/>
        </w:rPr>
        <w:footnoteRef/>
      </w:r>
      <w:r w:rsidR="00511058">
        <w:rPr>
          <w:lang w:val="es-ES_tradnl"/>
        </w:rPr>
        <w:tab/>
      </w:r>
      <w:r w:rsidRPr="00366323">
        <w:rPr>
          <w:lang w:val="es-ES_tradnl"/>
        </w:rPr>
        <w:t>Universidad de Ciencia y Tecnología King Abdullah (Arabia Saudita), Universidad Nacional de San Luis (Argentina), Instituto de Tecnología de la India Hyderabad (India), Universidad Nacional de Río Cuarto (Argentina), Universidad Nacional de Tucumán (Argentina), Universidad Nacional de Córdoba (Argentina), Escuela Politécnica Federal de Lausana (Suiza), Instituto de Tecnología de la India de Madras (India), Universidad Szechenyi Istvan (Hungría), Universidad George Washington (Estados Unidos), Monash Data Futures Institute (Australia), Consejo para la Investigación Científica e Industrial (Sudáfrica), Instituto de Tecnología de Harbin (China), Universidad de Wuhan (China), Universidad de Ciencia y Tecnología de Huazhong (China), Universidad Northeastern (Estados Unidos), Universidad de Stanford (Estados Unidos), Instituto de Automatización de Shenyang (China), Northwestern Polytechnical University (China), Nanjing Research Institute of Next-generation Artificial Intelligence (China), Big Data Academy of the Institute of Computing Technology (China), Universidad SEISA (Japón), State Grid Hubei Electric Power Research Institute (China), Universidad de Tongji (China), Private Institution Kostanay Engineering and Economics University named after M. Dulatov (Kazajstán), Zhejiang Lab (China).</w:t>
      </w:r>
    </w:p>
  </w:footnote>
  <w:footnote w:id="6">
    <w:p w14:paraId="60F06052" w14:textId="57E122C8" w:rsidR="00F015A1" w:rsidRPr="00CB00CF" w:rsidRDefault="00F015A1" w:rsidP="00BA09FD">
      <w:pPr>
        <w:pStyle w:val="FootnoteText"/>
        <w:rPr>
          <w:sz w:val="20"/>
          <w:lang w:val="es-ES"/>
        </w:rPr>
      </w:pPr>
      <w:r w:rsidRPr="00366323">
        <w:rPr>
          <w:rStyle w:val="FootnoteReference"/>
          <w:sz w:val="20"/>
          <w:lang w:val="es-ES_tradnl"/>
        </w:rPr>
        <w:footnoteRef/>
      </w:r>
      <w:r w:rsidR="00511058">
        <w:rPr>
          <w:sz w:val="20"/>
          <w:lang w:val="es-ES_tradnl"/>
        </w:rPr>
        <w:tab/>
      </w:r>
      <w:r w:rsidRPr="00361901">
        <w:rPr>
          <w:lang w:val="es-ES_tradnl"/>
        </w:rPr>
        <w:t>Las comunidades de miembros del UIT-D se han segmentado de la manera siguiente: empresas de explotación reconocidas (EER), organizaciones científicas e industriales (OCI), organizaciones regionales de telecomunicaciones (REGORG) y organizaciones regionales e internacionales (REGINTORG), organizaciones intergubernamentales operadoras de sistemas de satélite (SATORG) e instituciones académicas y de investigación.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E63A" w14:textId="4C786100" w:rsidR="009A6FC4" w:rsidRPr="002160ED" w:rsidRDefault="009A6FC4" w:rsidP="002160ED">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Pr="003D4CFB">
      <w:rPr>
        <w:sz w:val="22"/>
        <w:szCs w:val="22"/>
        <w:lang w:val="en-US"/>
      </w:rPr>
      <w:t>TDAG</w:t>
    </w:r>
    <w:r w:rsidR="00602B27">
      <w:rPr>
        <w:sz w:val="22"/>
        <w:szCs w:val="22"/>
        <w:lang w:val="en-US"/>
      </w:rPr>
      <w:t>-</w:t>
    </w:r>
    <w:r w:rsidR="00AA076A">
      <w:rPr>
        <w:sz w:val="22"/>
        <w:szCs w:val="22"/>
        <w:lang w:val="en-US"/>
      </w:rPr>
      <w:t>2</w:t>
    </w:r>
    <w:r w:rsidR="00C85582">
      <w:rPr>
        <w:sz w:val="22"/>
        <w:szCs w:val="22"/>
        <w:lang w:val="en-US"/>
      </w:rPr>
      <w:t>1</w:t>
    </w:r>
    <w:r w:rsidRPr="003D4CFB">
      <w:rPr>
        <w:sz w:val="22"/>
        <w:szCs w:val="22"/>
        <w:lang w:val="en-US"/>
      </w:rPr>
      <w:t>/</w:t>
    </w:r>
    <w:r w:rsidR="00F015A1">
      <w:rPr>
        <w:sz w:val="22"/>
        <w:szCs w:val="22"/>
        <w:lang w:val="en-US"/>
      </w:rPr>
      <w:t>12</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86435F">
      <w:rPr>
        <w:noProof/>
        <w:sz w:val="22"/>
        <w:szCs w:val="22"/>
        <w:lang w:val="en-US"/>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252B"/>
    <w:multiLevelType w:val="hybridMultilevel"/>
    <w:tmpl w:val="18F4A9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 w15:restartNumberingAfterBreak="0">
    <w:nsid w:val="2C0B4D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241A02"/>
    <w:multiLevelType w:val="hybridMultilevel"/>
    <w:tmpl w:val="512433B4"/>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A1"/>
    <w:rsid w:val="000135AE"/>
    <w:rsid w:val="00033D49"/>
    <w:rsid w:val="000725A1"/>
    <w:rsid w:val="000C0AA7"/>
    <w:rsid w:val="000E7A0A"/>
    <w:rsid w:val="00194CB2"/>
    <w:rsid w:val="00207484"/>
    <w:rsid w:val="00213302"/>
    <w:rsid w:val="002160ED"/>
    <w:rsid w:val="00221C14"/>
    <w:rsid w:val="00225D2E"/>
    <w:rsid w:val="00241CB9"/>
    <w:rsid w:val="002A7FAB"/>
    <w:rsid w:val="002D4BE6"/>
    <w:rsid w:val="002D6772"/>
    <w:rsid w:val="00302736"/>
    <w:rsid w:val="0033649F"/>
    <w:rsid w:val="00360762"/>
    <w:rsid w:val="00361901"/>
    <w:rsid w:val="00366323"/>
    <w:rsid w:val="00390391"/>
    <w:rsid w:val="003D4CFB"/>
    <w:rsid w:val="00482632"/>
    <w:rsid w:val="00492B9B"/>
    <w:rsid w:val="004B7893"/>
    <w:rsid w:val="004E7861"/>
    <w:rsid w:val="00511058"/>
    <w:rsid w:val="00535C50"/>
    <w:rsid w:val="005557A3"/>
    <w:rsid w:val="005637B9"/>
    <w:rsid w:val="005643DC"/>
    <w:rsid w:val="00602B27"/>
    <w:rsid w:val="00603CC6"/>
    <w:rsid w:val="006339E7"/>
    <w:rsid w:val="00635A62"/>
    <w:rsid w:val="006E4AB3"/>
    <w:rsid w:val="006F39EB"/>
    <w:rsid w:val="007B662E"/>
    <w:rsid w:val="007C3061"/>
    <w:rsid w:val="007E471D"/>
    <w:rsid w:val="00835A77"/>
    <w:rsid w:val="0086435F"/>
    <w:rsid w:val="0088106F"/>
    <w:rsid w:val="008C1852"/>
    <w:rsid w:val="008D789A"/>
    <w:rsid w:val="00917B12"/>
    <w:rsid w:val="009752D2"/>
    <w:rsid w:val="00991B13"/>
    <w:rsid w:val="009952F6"/>
    <w:rsid w:val="009A6FC4"/>
    <w:rsid w:val="009D1BD4"/>
    <w:rsid w:val="00A33516"/>
    <w:rsid w:val="00A87DD9"/>
    <w:rsid w:val="00AA076A"/>
    <w:rsid w:val="00AE1BA7"/>
    <w:rsid w:val="00AF563E"/>
    <w:rsid w:val="00BA09FD"/>
    <w:rsid w:val="00BC7208"/>
    <w:rsid w:val="00C85582"/>
    <w:rsid w:val="00D16175"/>
    <w:rsid w:val="00D372A5"/>
    <w:rsid w:val="00D62C69"/>
    <w:rsid w:val="00D7583A"/>
    <w:rsid w:val="00E11C9C"/>
    <w:rsid w:val="00E17138"/>
    <w:rsid w:val="00E204A0"/>
    <w:rsid w:val="00E3519F"/>
    <w:rsid w:val="00E51C72"/>
    <w:rsid w:val="00E827C2"/>
    <w:rsid w:val="00EB2FC8"/>
    <w:rsid w:val="00EB6D19"/>
    <w:rsid w:val="00ED2681"/>
    <w:rsid w:val="00F015A1"/>
    <w:rsid w:val="00F01E28"/>
    <w:rsid w:val="00F12690"/>
    <w:rsid w:val="00FA67A2"/>
    <w:rsid w:val="00FD3A29"/>
    <w:rsid w:val="00FF54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3A028E"/>
  <w15:docId w15:val="{4C1015E9-AC91-4EAB-8F81-ACB8243A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aliases w:val="CEO_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rsid w:val="006F39EB"/>
    <w:pPr>
      <w:keepLines/>
      <w:tabs>
        <w:tab w:val="left" w:pos="255"/>
      </w:tabs>
      <w:ind w:left="255" w:hanging="255"/>
    </w:pPr>
  </w:style>
  <w:style w:type="character" w:customStyle="1" w:styleId="FootnoteTextChar">
    <w:name w:val="Footnote Text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styleId="ListParagraph">
    <w:name w:val="List Paragraph"/>
    <w:basedOn w:val="Normal"/>
    <w:uiPriority w:val="34"/>
    <w:qFormat/>
    <w:rsid w:val="00F015A1"/>
    <w:pPr>
      <w:tabs>
        <w:tab w:val="clear" w:pos="794"/>
        <w:tab w:val="clear" w:pos="1191"/>
        <w:tab w:val="clear" w:pos="1588"/>
        <w:tab w:val="clear" w:pos="1985"/>
        <w:tab w:val="left" w:pos="1134"/>
        <w:tab w:val="left" w:pos="1871"/>
        <w:tab w:val="left" w:pos="2268"/>
      </w:tabs>
      <w:ind w:left="720"/>
      <w:contextualSpacing/>
    </w:pPr>
    <w:rPr>
      <w:lang w:val="en-GB"/>
    </w:rPr>
  </w:style>
  <w:style w:type="character" w:styleId="FollowedHyperlink">
    <w:name w:val="FollowedHyperlink"/>
    <w:basedOn w:val="DefaultParagraphFont"/>
    <w:uiPriority w:val="99"/>
    <w:semiHidden/>
    <w:unhideWhenUsed/>
    <w:rsid w:val="003663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ITU-D/Conferences/CRO/PublishingImages/CRO11/IAGDI-CRO%20Outcome%20Statement.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s://www.itu.int/es/ITU-D/Conferences/TDAG/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BDT-TDAG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C874-755D-43CF-8490-437096F8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PS_BDT-TDAG21.dotx</Template>
  <TotalTime>140</TotalTime>
  <Pages>6</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Marin Matas, Juan Gabriel</cp:lastModifiedBy>
  <cp:revision>8</cp:revision>
  <dcterms:created xsi:type="dcterms:W3CDTF">2021-04-29T13:46:00Z</dcterms:created>
  <dcterms:modified xsi:type="dcterms:W3CDTF">2021-04-30T08:13:00Z</dcterms:modified>
</cp:coreProperties>
</file>