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90"/>
        <w:tblW w:w="9923" w:type="dxa"/>
        <w:tblLayout w:type="fixed"/>
        <w:tblLook w:val="0000" w:firstRow="0" w:lastRow="0" w:firstColumn="0" w:lastColumn="0" w:noHBand="0" w:noVBand="0"/>
        <w:tblCaption w:val="Информация о документе (исследовательская комиссия, собрание, Вопрос, источник, название)"/>
      </w:tblPr>
      <w:tblGrid>
        <w:gridCol w:w="2410"/>
        <w:gridCol w:w="4252"/>
        <w:gridCol w:w="1702"/>
        <w:gridCol w:w="1559"/>
      </w:tblGrid>
      <w:tr w:rsidR="00FA6BDB" w:rsidRPr="00933E0E" w14:paraId="672D718F" w14:textId="77777777" w:rsidTr="00C33388">
        <w:trPr>
          <w:trHeight w:val="1134"/>
        </w:trPr>
        <w:tc>
          <w:tcPr>
            <w:tcW w:w="2410" w:type="dxa"/>
          </w:tcPr>
          <w:p w14:paraId="3FBDD888" w14:textId="77777777" w:rsidR="00FA6BDB" w:rsidRPr="00933E0E" w:rsidRDefault="00FA6BDB" w:rsidP="00FA6BDB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cstheme="minorHAns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cstheme="minorHAns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86738D4" wp14:editId="5AFC1127">
                  <wp:extent cx="1104900" cy="942120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TDC21 Logo Final_aligned_center_R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19"/>
                          <a:stretch/>
                        </pic:blipFill>
                        <pic:spPr bwMode="auto">
                          <a:xfrm>
                            <a:off x="0" y="0"/>
                            <a:ext cx="1114772" cy="950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gridSpan w:val="2"/>
          </w:tcPr>
          <w:p w14:paraId="7128B7E3" w14:textId="0E0FF396" w:rsidR="00FA6BDB" w:rsidRPr="00FA6BDB" w:rsidRDefault="00FA6BDB" w:rsidP="00FA6BDB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360" w:after="120"/>
              <w:textAlignment w:val="auto"/>
              <w:rPr>
                <w:b/>
                <w:bCs/>
                <w:sz w:val="24"/>
                <w:szCs w:val="24"/>
              </w:rPr>
            </w:pPr>
            <w:r w:rsidRPr="00933E0E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Консультативная группа по развитию электросвязи (КГРЭ)</w:t>
            </w:r>
            <w:r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br/>
            </w:r>
            <w:r w:rsidRPr="002363C5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 xml:space="preserve">28-е собрание, </w:t>
            </w:r>
            <w:r w:rsidRPr="002363C5">
              <w:rPr>
                <w:b/>
                <w:bCs/>
                <w:sz w:val="24"/>
                <w:szCs w:val="24"/>
              </w:rPr>
              <w:t>виртуальное, 2</w:t>
            </w:r>
            <w:r w:rsidR="00884083" w:rsidRPr="00884083">
              <w:rPr>
                <w:b/>
                <w:bCs/>
                <w:sz w:val="24"/>
                <w:szCs w:val="24"/>
              </w:rPr>
              <w:t>4</w:t>
            </w:r>
            <w:r w:rsidR="00DC354B" w:rsidRPr="00DC354B">
              <w:rPr>
                <w:b/>
                <w:bCs/>
                <w:sz w:val="24"/>
                <w:szCs w:val="24"/>
              </w:rPr>
              <w:t>−</w:t>
            </w:r>
            <w:r w:rsidRPr="002363C5">
              <w:rPr>
                <w:b/>
                <w:bCs/>
                <w:sz w:val="24"/>
                <w:szCs w:val="24"/>
              </w:rPr>
              <w:t xml:space="preserve">28 мая 2021 </w:t>
            </w:r>
            <w:r w:rsidR="00233B04" w:rsidRPr="002363C5">
              <w:rPr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1559" w:type="dxa"/>
            <w:vAlign w:val="center"/>
          </w:tcPr>
          <w:p w14:paraId="4223818A" w14:textId="77777777" w:rsidR="00FA6BDB" w:rsidRPr="00933E0E" w:rsidRDefault="00FA6BDB" w:rsidP="00FA6BDB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132AF3D7" wp14:editId="71D93D71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4AE" w:rsidRPr="00933E0E" w14:paraId="60425E87" w14:textId="77777777" w:rsidTr="00CD34AE">
        <w:tc>
          <w:tcPr>
            <w:tcW w:w="6662" w:type="dxa"/>
            <w:gridSpan w:val="2"/>
            <w:tcBorders>
              <w:top w:val="single" w:sz="12" w:space="0" w:color="auto"/>
            </w:tcBorders>
          </w:tcPr>
          <w:p w14:paraId="556A6067" w14:textId="77777777" w:rsidR="00CD34AE" w:rsidRPr="00933E0E" w:rsidRDefault="00CD34AE" w:rsidP="00CD34AE">
            <w:pPr>
              <w:widowControl w:val="0"/>
              <w:spacing w:before="0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</w:tcBorders>
          </w:tcPr>
          <w:p w14:paraId="6D012702" w14:textId="77777777" w:rsidR="00CD34AE" w:rsidRPr="00933E0E" w:rsidRDefault="00CD34AE" w:rsidP="00CD34AE">
            <w:pPr>
              <w:widowControl w:val="0"/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34AE" w:rsidRPr="00933E0E" w14:paraId="48474EA9" w14:textId="77777777" w:rsidTr="00CD34AE">
        <w:trPr>
          <w:trHeight w:val="300"/>
        </w:trPr>
        <w:tc>
          <w:tcPr>
            <w:tcW w:w="6662" w:type="dxa"/>
            <w:gridSpan w:val="2"/>
          </w:tcPr>
          <w:p w14:paraId="6D3142F9" w14:textId="77777777" w:rsidR="00CD34AE" w:rsidRPr="004D0E96" w:rsidRDefault="00CD34AE" w:rsidP="00CD34AE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261" w:type="dxa"/>
            <w:gridSpan w:val="2"/>
          </w:tcPr>
          <w:p w14:paraId="15E333CF" w14:textId="73959B26" w:rsidR="00CD34AE" w:rsidRPr="004D0E96" w:rsidRDefault="003E6E87" w:rsidP="00B24169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r w:rsidRPr="004D0E96">
              <w:rPr>
                <w:rFonts w:cstheme="minorHAnsi"/>
                <w:b/>
                <w:bCs/>
              </w:rPr>
              <w:t xml:space="preserve">Документ </w:t>
            </w:r>
            <w:bookmarkStart w:id="0" w:name="DocRef1"/>
            <w:bookmarkEnd w:id="0"/>
            <w:r w:rsidRPr="004D0E96">
              <w:rPr>
                <w:rFonts w:cstheme="minorHAnsi"/>
                <w:b/>
                <w:bCs/>
              </w:rPr>
              <w:t>TDAG</w:t>
            </w:r>
            <w:r w:rsidR="0040328D" w:rsidRPr="004D0E96">
              <w:rPr>
                <w:rFonts w:cstheme="minorHAnsi"/>
                <w:b/>
                <w:bCs/>
              </w:rPr>
              <w:t>-</w:t>
            </w:r>
            <w:r w:rsidR="002502FE" w:rsidRPr="004D0E96">
              <w:rPr>
                <w:rFonts w:cstheme="minorHAnsi"/>
                <w:b/>
                <w:bCs/>
              </w:rPr>
              <w:t>2</w:t>
            </w:r>
            <w:r w:rsidR="00FA6BDB" w:rsidRPr="004D0E96">
              <w:rPr>
                <w:rFonts w:cstheme="minorHAnsi"/>
                <w:b/>
                <w:bCs/>
                <w:lang w:val="en-US"/>
              </w:rPr>
              <w:t>1</w:t>
            </w:r>
            <w:r w:rsidR="00631202" w:rsidRPr="004D0E96">
              <w:rPr>
                <w:rFonts w:cstheme="minorHAnsi"/>
                <w:b/>
                <w:bCs/>
              </w:rPr>
              <w:t>/</w:t>
            </w:r>
            <w:bookmarkStart w:id="1" w:name="DocNo1"/>
            <w:bookmarkEnd w:id="1"/>
            <w:r w:rsidR="00884083">
              <w:rPr>
                <w:rFonts w:cstheme="minorHAnsi"/>
                <w:b/>
                <w:bCs/>
                <w:lang w:val="en-US"/>
              </w:rPr>
              <w:t>12-</w:t>
            </w:r>
            <w:r w:rsidRPr="004D0E96">
              <w:rPr>
                <w:rFonts w:cstheme="minorHAnsi"/>
                <w:b/>
                <w:bCs/>
              </w:rPr>
              <w:t>R</w:t>
            </w:r>
          </w:p>
        </w:tc>
      </w:tr>
      <w:tr w:rsidR="00CD34AE" w:rsidRPr="00933E0E" w14:paraId="14864A9C" w14:textId="77777777" w:rsidTr="00CD34AE">
        <w:trPr>
          <w:trHeight w:val="300"/>
        </w:trPr>
        <w:tc>
          <w:tcPr>
            <w:tcW w:w="6662" w:type="dxa"/>
            <w:gridSpan w:val="2"/>
          </w:tcPr>
          <w:p w14:paraId="72A187A7" w14:textId="77777777" w:rsidR="00CD34AE" w:rsidRPr="004D0E96" w:rsidRDefault="00CD34AE" w:rsidP="00CD34AE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261" w:type="dxa"/>
            <w:gridSpan w:val="2"/>
          </w:tcPr>
          <w:p w14:paraId="39DDFED7" w14:textId="786B1581" w:rsidR="00CD34AE" w:rsidRPr="004D0E96" w:rsidRDefault="00884083" w:rsidP="00B24169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bookmarkStart w:id="2" w:name="CreationDate"/>
            <w:bookmarkEnd w:id="2"/>
            <w:r>
              <w:rPr>
                <w:b/>
                <w:bCs/>
                <w:lang w:val="en-US"/>
              </w:rPr>
              <w:t xml:space="preserve">13 </w:t>
            </w:r>
            <w:r>
              <w:rPr>
                <w:b/>
                <w:bCs/>
              </w:rPr>
              <w:t>апреля</w:t>
            </w:r>
            <w:r w:rsidR="00A73D91" w:rsidRPr="004D0E96">
              <w:rPr>
                <w:b/>
                <w:bCs/>
              </w:rPr>
              <w:t xml:space="preserve"> 20</w:t>
            </w:r>
            <w:r w:rsidR="002502FE" w:rsidRPr="004D0E96">
              <w:rPr>
                <w:b/>
                <w:bCs/>
              </w:rPr>
              <w:t>2</w:t>
            </w:r>
            <w:r w:rsidR="00FA6BDB" w:rsidRPr="004D0E96">
              <w:rPr>
                <w:b/>
                <w:bCs/>
                <w:lang w:val="en-US"/>
              </w:rPr>
              <w:t>1</w:t>
            </w:r>
            <w:r w:rsidR="00A73D91" w:rsidRPr="004D0E96">
              <w:rPr>
                <w:b/>
                <w:bCs/>
              </w:rPr>
              <w:t xml:space="preserve"> года</w:t>
            </w:r>
          </w:p>
        </w:tc>
      </w:tr>
      <w:tr w:rsidR="00CD34AE" w:rsidRPr="00933E0E" w14:paraId="3AE83F4F" w14:textId="77777777" w:rsidTr="00CD34AE">
        <w:trPr>
          <w:trHeight w:val="300"/>
        </w:trPr>
        <w:tc>
          <w:tcPr>
            <w:tcW w:w="6662" w:type="dxa"/>
            <w:gridSpan w:val="2"/>
          </w:tcPr>
          <w:p w14:paraId="7EE9079A" w14:textId="77777777" w:rsidR="00CD34AE" w:rsidRPr="004D0E96" w:rsidRDefault="00CD34AE" w:rsidP="00CD34AE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261" w:type="dxa"/>
            <w:gridSpan w:val="2"/>
          </w:tcPr>
          <w:p w14:paraId="4CD5A358" w14:textId="77777777" w:rsidR="00CD34AE" w:rsidRPr="004D0E96" w:rsidRDefault="003E6E87" w:rsidP="00CD34AE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r w:rsidRPr="004D0E96">
              <w:rPr>
                <w:rFonts w:cstheme="minorHAnsi"/>
                <w:b/>
                <w:bCs/>
              </w:rPr>
              <w:t>Оригинал:</w:t>
            </w:r>
            <w:bookmarkStart w:id="3" w:name="Original"/>
            <w:bookmarkEnd w:id="3"/>
            <w:r w:rsidR="00A73D91" w:rsidRPr="004D0E96">
              <w:rPr>
                <w:rFonts w:cstheme="minorHAnsi"/>
                <w:b/>
                <w:bCs/>
              </w:rPr>
              <w:t xml:space="preserve"> </w:t>
            </w:r>
            <w:r w:rsidR="002363C5" w:rsidRPr="004D0E96">
              <w:rPr>
                <w:rFonts w:cstheme="minorHAnsi"/>
                <w:b/>
                <w:bCs/>
              </w:rPr>
              <w:t>английский</w:t>
            </w:r>
          </w:p>
        </w:tc>
      </w:tr>
      <w:tr w:rsidR="00CD34AE" w:rsidRPr="00933E0E" w14:paraId="55F8FC96" w14:textId="77777777" w:rsidTr="00CD34AE">
        <w:trPr>
          <w:trHeight w:val="850"/>
        </w:trPr>
        <w:tc>
          <w:tcPr>
            <w:tcW w:w="9923" w:type="dxa"/>
            <w:gridSpan w:val="4"/>
          </w:tcPr>
          <w:p w14:paraId="7AD19974" w14:textId="0641CEA5" w:rsidR="00CD34AE" w:rsidRPr="004D0E96" w:rsidRDefault="00884083" w:rsidP="00FA6BDB">
            <w:pPr>
              <w:pStyle w:val="Source"/>
              <w:framePr w:hSpace="0" w:wrap="auto" w:vAnchor="margin" w:hAnchor="text" w:yAlign="inline"/>
            </w:pPr>
            <w:bookmarkStart w:id="4" w:name="Source"/>
            <w:bookmarkEnd w:id="4"/>
            <w:r w:rsidRPr="00884083">
              <w:t>Директор Бюро развития электросвязи</w:t>
            </w:r>
          </w:p>
        </w:tc>
      </w:tr>
      <w:tr w:rsidR="00CD34AE" w:rsidRPr="00933E0E" w14:paraId="0ED68D30" w14:textId="77777777" w:rsidTr="00270876">
        <w:tc>
          <w:tcPr>
            <w:tcW w:w="9923" w:type="dxa"/>
            <w:gridSpan w:val="4"/>
          </w:tcPr>
          <w:p w14:paraId="4BFEF3AA" w14:textId="78C1C996" w:rsidR="00CD34AE" w:rsidRPr="004D0E96" w:rsidRDefault="00884083" w:rsidP="00FA6BDB">
            <w:pPr>
              <w:pStyle w:val="Title1"/>
            </w:pPr>
            <w:bookmarkStart w:id="5" w:name="Title"/>
            <w:bookmarkEnd w:id="5"/>
            <w:r w:rsidRPr="00884083">
              <w:t>Члены Сектора, Ассоциированные Члены и Академические организации − ЧЛЕНЫ МСЭ-D</w:t>
            </w:r>
          </w:p>
        </w:tc>
      </w:tr>
      <w:tr w:rsidR="00CD34AE" w:rsidRPr="00933E0E" w14:paraId="2661D993" w14:textId="77777777" w:rsidTr="00CD34AE"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57F32867" w14:textId="77777777" w:rsidR="00CD34AE" w:rsidRPr="004D0E96" w:rsidRDefault="00CD34AE" w:rsidP="00CD34AE"/>
        </w:tc>
      </w:tr>
      <w:tr w:rsidR="00CD34AE" w:rsidRPr="00933E0E" w14:paraId="735B3CA2" w14:textId="77777777" w:rsidTr="00CD34AE">
        <w:trPr>
          <w:trHeight w:val="70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C404" w14:textId="77777777" w:rsidR="00884083" w:rsidRPr="000C23E0" w:rsidRDefault="00884083" w:rsidP="004A66D0">
            <w:pPr>
              <w:pStyle w:val="Headingb"/>
            </w:pPr>
            <w:r w:rsidRPr="000C23E0">
              <w:t>Резюме</w:t>
            </w:r>
          </w:p>
          <w:p w14:paraId="4ACF9276" w14:textId="77777777" w:rsidR="00884083" w:rsidRPr="000C23E0" w:rsidRDefault="00884083" w:rsidP="00884083">
            <w:r w:rsidRPr="000C23E0">
              <w:t>В настоящем документе представлен обзор развития членского состава МСЭ</w:t>
            </w:r>
            <w:r w:rsidRPr="000C23E0">
              <w:noBreakHyphen/>
              <w:t>D. В нем также рекомендуются действия, направленные на укрепление членского состава МСЭ</w:t>
            </w:r>
            <w:r w:rsidRPr="000C23E0">
              <w:noBreakHyphen/>
              <w:t>D в соответствии с решениями Всемирной конференции по развитию электросвязи 2017 года (ВКРЭ-17) и Полномочной конференции 2018 года. В состав МСЭ-D входят Члены Сектора, Ассоциированные члены и Академические организации</w:t>
            </w:r>
            <w:r w:rsidRPr="000C23E0">
              <w:rPr>
                <w:rStyle w:val="FootnoteReference"/>
              </w:rPr>
              <w:footnoteReference w:id="1"/>
            </w:r>
            <w:r w:rsidRPr="000C23E0">
              <w:t>.</w:t>
            </w:r>
          </w:p>
          <w:p w14:paraId="18329DE0" w14:textId="77777777" w:rsidR="00884083" w:rsidRPr="000C23E0" w:rsidRDefault="00884083" w:rsidP="004A66D0">
            <w:pPr>
              <w:pStyle w:val="Headingb"/>
            </w:pPr>
            <w:r w:rsidRPr="000C23E0">
              <w:t>Необходимые действия</w:t>
            </w:r>
          </w:p>
          <w:p w14:paraId="68DF4827" w14:textId="77777777" w:rsidR="00884083" w:rsidRPr="000C23E0" w:rsidRDefault="00884083" w:rsidP="00884083">
            <w:r w:rsidRPr="000C23E0">
              <w:t>КГРЭ предлагается принять настоящий документ к сведению и по мере необходимости предоставить руководящие указания.</w:t>
            </w:r>
          </w:p>
          <w:p w14:paraId="58DFFFB2" w14:textId="77777777" w:rsidR="00884083" w:rsidRPr="000C23E0" w:rsidRDefault="00884083" w:rsidP="004A66D0">
            <w:pPr>
              <w:pStyle w:val="Headingb"/>
            </w:pPr>
            <w:r w:rsidRPr="000C23E0">
              <w:t>Справочные материалы</w:t>
            </w:r>
          </w:p>
          <w:p w14:paraId="00F5DE3B" w14:textId="24612F59" w:rsidR="00CD34AE" w:rsidRPr="004D0E96" w:rsidRDefault="00884083" w:rsidP="00884083">
            <w:pPr>
              <w:spacing w:after="120"/>
            </w:pPr>
            <w:r w:rsidRPr="000C23E0">
              <w:t>Резолюция 71 (Пересм. Буэнос-Айрес, 2017 г.) ВКРЭ; Резолюции 169 (Пересм. Дубай, 2018 г.), 205 (Дубай, 2018 г.) и 209 (Дубай, 2018 г.) Полномочной конференции</w:t>
            </w:r>
          </w:p>
        </w:tc>
      </w:tr>
    </w:tbl>
    <w:p w14:paraId="5425BA50" w14:textId="77777777" w:rsidR="002931FA" w:rsidRPr="00933E0E" w:rsidRDefault="002931F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</w:pPr>
      <w:r w:rsidRPr="00933E0E">
        <w:br w:type="page"/>
      </w:r>
    </w:p>
    <w:p w14:paraId="72979854" w14:textId="77777777" w:rsidR="00884083" w:rsidRPr="000C23E0" w:rsidRDefault="00884083" w:rsidP="00884083">
      <w:pPr>
        <w:pStyle w:val="Heading1"/>
        <w:pageBreakBefore/>
      </w:pPr>
      <w:bookmarkStart w:id="6" w:name="lt_pId024"/>
      <w:r w:rsidRPr="000C23E0">
        <w:lastRenderedPageBreak/>
        <w:t>1</w:t>
      </w:r>
      <w:r w:rsidRPr="000C23E0">
        <w:tab/>
        <w:t>Базовая информация</w:t>
      </w:r>
    </w:p>
    <w:p w14:paraId="3CBBC38E" w14:textId="77777777" w:rsidR="00884083" w:rsidRPr="000C23E0" w:rsidRDefault="00884083" w:rsidP="00884083">
      <w:pPr>
        <w:rPr>
          <w:szCs w:val="24"/>
        </w:rPr>
      </w:pPr>
      <w:bookmarkStart w:id="7" w:name="lt_pId025"/>
      <w:bookmarkEnd w:id="6"/>
      <w:r w:rsidRPr="000C23E0">
        <w:t>Всемирная конференция по развитию электросвязи 2017 года (ВКРЭ-17) пересмотрела и приняла Резолюцию 71</w:t>
      </w:r>
      <w:r w:rsidRPr="000C23E0">
        <w:rPr>
          <w:szCs w:val="24"/>
        </w:rPr>
        <w:t xml:space="preserve"> (Пересм. Буэнос-Айрес, 2017 г.)</w:t>
      </w:r>
      <w:r w:rsidRPr="000C23E0">
        <w:rPr>
          <w:rStyle w:val="FootnoteReference"/>
        </w:rPr>
        <w:footnoteReference w:id="2"/>
      </w:r>
      <w:r w:rsidRPr="000C23E0">
        <w:rPr>
          <w:szCs w:val="24"/>
        </w:rPr>
        <w:t xml:space="preserve"> в целях содействия активному участию действующих </w:t>
      </w:r>
      <w:r w:rsidRPr="000C23E0">
        <w:t>Членов Сектора, Ассоциированных членов и Академических организаций в деятельности МСЭ</w:t>
      </w:r>
      <w:r w:rsidRPr="000C23E0">
        <w:rPr>
          <w:szCs w:val="24"/>
        </w:rPr>
        <w:t xml:space="preserve">-D, в том числе в работе исследовательских комиссий </w:t>
      </w:r>
      <w:r w:rsidRPr="000C23E0">
        <w:t>МСЭ</w:t>
      </w:r>
      <w:r w:rsidRPr="000C23E0">
        <w:rPr>
          <w:szCs w:val="24"/>
        </w:rPr>
        <w:t>-D, и привлечения новых членов из государственного, частного и академического секторов.</w:t>
      </w:r>
      <w:bookmarkEnd w:id="7"/>
    </w:p>
    <w:p w14:paraId="0A49EDF0" w14:textId="77777777" w:rsidR="00884083" w:rsidRPr="000C23E0" w:rsidRDefault="00884083" w:rsidP="00884083">
      <w:pPr>
        <w:rPr>
          <w:szCs w:val="24"/>
        </w:rPr>
      </w:pPr>
      <w:r w:rsidRPr="000C23E0">
        <w:rPr>
          <w:szCs w:val="24"/>
          <w:lang w:eastAsia="en-AU"/>
        </w:rPr>
        <w:t xml:space="preserve">В Резолюции </w:t>
      </w:r>
      <w:r w:rsidRPr="000C23E0">
        <w:t>71</w:t>
      </w:r>
      <w:r w:rsidRPr="000C23E0">
        <w:rPr>
          <w:szCs w:val="24"/>
        </w:rPr>
        <w:t xml:space="preserve"> (Пересм. Буэнос-Айрес, 2017 г.) уделяется большее внимание изменяющейся роли частного сектора в </w:t>
      </w:r>
      <w:r w:rsidRPr="000C23E0">
        <w:t>МСЭ</w:t>
      </w:r>
      <w:r w:rsidRPr="000C23E0">
        <w:rPr>
          <w:szCs w:val="24"/>
        </w:rPr>
        <w:t>-D, при этом БРЭ поручено и далее организовывать собрания для</w:t>
      </w:r>
      <w:r w:rsidRPr="000C23E0">
        <w:t xml:space="preserve"> </w:t>
      </w:r>
      <w:r w:rsidRPr="000C23E0">
        <w:rPr>
          <w:szCs w:val="24"/>
        </w:rPr>
        <w:t>высокопоставленных руководителей отрасли, в частности собрания Отраслевой консультативной группы по вопросам развития (IAGDI). На собраниях IAGDI широко представлены отраслевые компании – Члены Сектора МСЭ-D из всех регионов. В Резолюции также признается деятельность Старших сотрудников по регуляторным вопросам (CRO).</w:t>
      </w:r>
    </w:p>
    <w:p w14:paraId="14B5F9FC" w14:textId="003ABE54" w:rsidR="00884083" w:rsidRPr="00884083" w:rsidRDefault="00884083" w:rsidP="00091275">
      <w:pPr>
        <w:pStyle w:val="Heading1"/>
      </w:pPr>
      <w:r w:rsidRPr="00884083">
        <w:t>2</w:t>
      </w:r>
      <w:r w:rsidRPr="00884083">
        <w:tab/>
        <w:t>Статус членского состава МСЭ-D</w:t>
      </w:r>
    </w:p>
    <w:p w14:paraId="66685367" w14:textId="15FFA5F7" w:rsidR="00884083" w:rsidRPr="008C5119" w:rsidRDefault="00884083" w:rsidP="00884083">
      <w:pPr>
        <w:keepNext/>
        <w:shd w:val="clear" w:color="auto" w:fill="FFFFFF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textAlignment w:val="auto"/>
        <w:rPr>
          <w:rFonts w:eastAsia="SimSun" w:cs="Arial"/>
          <w:szCs w:val="24"/>
          <w:lang w:eastAsia="zh-CN"/>
        </w:rPr>
      </w:pPr>
      <w:r w:rsidRPr="00091275">
        <w:rPr>
          <w:rFonts w:eastAsia="SimSun" w:cs="Arial"/>
          <w:szCs w:val="24"/>
          <w:lang w:eastAsia="zh-CN"/>
        </w:rPr>
        <w:t>В таблице, ниже, показана динамика изменения членского состава МСЭ-D (Члены Сектора, Ассоциированные члены и Академические организации</w:t>
      </w:r>
      <w:r w:rsidRPr="00091275">
        <w:rPr>
          <w:rFonts w:eastAsia="SimSun" w:cs="Arial"/>
          <w:szCs w:val="24"/>
          <w:vertAlign w:val="superscript"/>
          <w:lang w:val="en-US" w:eastAsia="zh-CN"/>
        </w:rPr>
        <w:footnoteReference w:id="3"/>
      </w:r>
      <w:r w:rsidRPr="00091275">
        <w:rPr>
          <w:rFonts w:eastAsia="SimSun" w:cs="Arial"/>
          <w:szCs w:val="24"/>
          <w:lang w:eastAsia="zh-CN"/>
        </w:rPr>
        <w:t xml:space="preserve">) с 2010 года по март 2021 года. </w:t>
      </w:r>
      <w:r w:rsidR="008C5119" w:rsidRPr="008C5119">
        <w:rPr>
          <w:rFonts w:eastAsia="SimSun" w:cs="Arial"/>
          <w:szCs w:val="24"/>
          <w:lang w:eastAsia="zh-CN"/>
        </w:rPr>
        <w:t xml:space="preserve">После трудного периода, отмеченного снижением </w:t>
      </w:r>
      <w:r w:rsidR="00C72BC5">
        <w:rPr>
          <w:rFonts w:eastAsia="SimSun" w:cs="Arial"/>
          <w:szCs w:val="24"/>
          <w:lang w:eastAsia="zh-CN"/>
        </w:rPr>
        <w:t>числа членов</w:t>
      </w:r>
      <w:r w:rsidR="008C5119" w:rsidRPr="008C5119">
        <w:rPr>
          <w:rFonts w:eastAsia="SimSun" w:cs="Arial"/>
          <w:szCs w:val="24"/>
          <w:lang w:eastAsia="zh-CN"/>
        </w:rPr>
        <w:t xml:space="preserve"> МСЭ-</w:t>
      </w:r>
      <w:r w:rsidR="00C72BC5">
        <w:rPr>
          <w:rFonts w:eastAsia="SimSun" w:cs="Arial"/>
          <w:szCs w:val="24"/>
          <w:lang w:val="en-US" w:eastAsia="zh-CN"/>
        </w:rPr>
        <w:t>D</w:t>
      </w:r>
      <w:r w:rsidR="008C5119" w:rsidRPr="008C5119">
        <w:rPr>
          <w:rFonts w:eastAsia="SimSun" w:cs="Arial"/>
          <w:szCs w:val="24"/>
          <w:lang w:eastAsia="zh-CN"/>
        </w:rPr>
        <w:t xml:space="preserve">, в 2020 году и в первом квартале 2021 года </w:t>
      </w:r>
      <w:r w:rsidR="00C72BC5" w:rsidRPr="008C5119">
        <w:rPr>
          <w:rFonts w:eastAsia="SimSun" w:cs="Arial"/>
          <w:szCs w:val="24"/>
          <w:lang w:eastAsia="zh-CN"/>
        </w:rPr>
        <w:t xml:space="preserve">10 новых организаций </w:t>
      </w:r>
      <w:r w:rsidR="00C72BC5">
        <w:rPr>
          <w:rFonts w:eastAsia="SimSun" w:cs="Arial"/>
          <w:szCs w:val="24"/>
          <w:lang w:eastAsia="zh-CN"/>
        </w:rPr>
        <w:t xml:space="preserve">получили статус </w:t>
      </w:r>
      <w:r w:rsidR="00C72BC5" w:rsidRPr="008C5119">
        <w:rPr>
          <w:rFonts w:eastAsia="SimSun" w:cs="Arial"/>
          <w:szCs w:val="24"/>
          <w:lang w:eastAsia="zh-CN"/>
        </w:rPr>
        <w:t xml:space="preserve">Членов </w:t>
      </w:r>
      <w:r w:rsidR="008C5119" w:rsidRPr="008C5119">
        <w:rPr>
          <w:rFonts w:eastAsia="SimSun" w:cs="Arial"/>
          <w:szCs w:val="24"/>
          <w:lang w:eastAsia="zh-CN"/>
        </w:rPr>
        <w:t>Сектора, о чем подробно говорится в разделах 3.1 и 3.2 ниже.</w:t>
      </w:r>
    </w:p>
    <w:p w14:paraId="0D7168F6" w14:textId="6C3AB440" w:rsidR="008C5119" w:rsidRPr="008C5119" w:rsidRDefault="0085038B" w:rsidP="008C5119">
      <w:pPr>
        <w:shd w:val="clear" w:color="auto" w:fill="FFFFFF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textAlignment w:val="auto"/>
        <w:rPr>
          <w:rFonts w:eastAsia="SimSun" w:cs="Arial"/>
          <w:szCs w:val="24"/>
          <w:lang w:eastAsia="zh-CN"/>
        </w:rPr>
      </w:pPr>
      <w:r w:rsidRPr="008C5119">
        <w:rPr>
          <w:rFonts w:eastAsia="SimSun" w:cs="Arial"/>
          <w:szCs w:val="24"/>
          <w:lang w:eastAsia="zh-CN"/>
        </w:rPr>
        <w:t xml:space="preserve">Следует отметить, что </w:t>
      </w:r>
      <w:r w:rsidR="00661629" w:rsidRPr="008C5119">
        <w:rPr>
          <w:rFonts w:eastAsia="SimSun" w:cs="Arial"/>
          <w:szCs w:val="24"/>
          <w:lang w:eastAsia="zh-CN"/>
        </w:rPr>
        <w:t xml:space="preserve">благодаря </w:t>
      </w:r>
      <w:r w:rsidR="008C5119" w:rsidRPr="008C5119">
        <w:rPr>
          <w:rFonts w:eastAsia="SimSun" w:cs="Arial"/>
          <w:szCs w:val="24"/>
          <w:lang w:eastAsia="zh-CN"/>
        </w:rPr>
        <w:t xml:space="preserve">реализации новых стратегических подходов к </w:t>
      </w:r>
      <w:r w:rsidR="00C72BC5">
        <w:rPr>
          <w:rFonts w:eastAsia="SimSun" w:cs="Arial"/>
          <w:szCs w:val="24"/>
          <w:lang w:eastAsia="zh-CN"/>
        </w:rPr>
        <w:t>привлечению новых</w:t>
      </w:r>
      <w:r w:rsidR="008C5119" w:rsidRPr="008C5119">
        <w:rPr>
          <w:rFonts w:eastAsia="SimSun" w:cs="Arial"/>
          <w:szCs w:val="24"/>
          <w:lang w:eastAsia="zh-CN"/>
        </w:rPr>
        <w:t xml:space="preserve"> и удержанию</w:t>
      </w:r>
      <w:r w:rsidR="00C72BC5">
        <w:rPr>
          <w:rFonts w:eastAsia="SimSun" w:cs="Arial"/>
          <w:szCs w:val="24"/>
          <w:lang w:eastAsia="zh-CN"/>
        </w:rPr>
        <w:t xml:space="preserve"> </w:t>
      </w:r>
      <w:r>
        <w:rPr>
          <w:rFonts w:eastAsia="SimSun" w:cs="Arial"/>
          <w:szCs w:val="24"/>
          <w:lang w:eastAsia="zh-CN"/>
        </w:rPr>
        <w:t>существующих</w:t>
      </w:r>
      <w:r w:rsidR="00C72BC5">
        <w:rPr>
          <w:rFonts w:eastAsia="SimSun" w:cs="Arial"/>
          <w:szCs w:val="24"/>
          <w:lang w:eastAsia="zh-CN"/>
        </w:rPr>
        <w:t xml:space="preserve"> членов</w:t>
      </w:r>
      <w:r w:rsidR="008C5119" w:rsidRPr="008C5119">
        <w:rPr>
          <w:rFonts w:eastAsia="SimSun" w:cs="Arial"/>
          <w:szCs w:val="24"/>
          <w:lang w:eastAsia="zh-CN"/>
        </w:rPr>
        <w:t>, а также несмотря на финансовые проблемы, связанные с</w:t>
      </w:r>
      <w:r w:rsidR="00C72BC5">
        <w:rPr>
          <w:rFonts w:eastAsia="SimSun" w:cs="Arial"/>
          <w:szCs w:val="24"/>
          <w:lang w:eastAsia="zh-CN"/>
        </w:rPr>
        <w:t xml:space="preserve"> пандемией</w:t>
      </w:r>
      <w:r w:rsidR="008C5119" w:rsidRPr="008C5119">
        <w:rPr>
          <w:rFonts w:eastAsia="SimSun" w:cs="Arial"/>
          <w:szCs w:val="24"/>
          <w:lang w:eastAsia="zh-CN"/>
        </w:rPr>
        <w:t xml:space="preserve"> </w:t>
      </w:r>
      <w:r w:rsidR="008C5119" w:rsidRPr="008C5119">
        <w:rPr>
          <w:rFonts w:eastAsia="SimSun" w:cs="Arial"/>
          <w:szCs w:val="24"/>
          <w:lang w:val="en-US" w:eastAsia="zh-CN"/>
        </w:rPr>
        <w:t>COVID</w:t>
      </w:r>
      <w:r w:rsidR="008C5119" w:rsidRPr="008C5119">
        <w:rPr>
          <w:rFonts w:eastAsia="SimSun" w:cs="Arial"/>
          <w:szCs w:val="24"/>
          <w:lang w:eastAsia="zh-CN"/>
        </w:rPr>
        <w:t xml:space="preserve">-19, в первом квартале 2021 года число новых </w:t>
      </w:r>
      <w:r w:rsidR="00C72BC5" w:rsidRPr="008C5119">
        <w:rPr>
          <w:rFonts w:eastAsia="SimSun" w:cs="Arial"/>
          <w:szCs w:val="24"/>
          <w:lang w:eastAsia="zh-CN"/>
        </w:rPr>
        <w:t xml:space="preserve">Членов </w:t>
      </w:r>
      <w:r w:rsidR="008C5119" w:rsidRPr="008C5119">
        <w:rPr>
          <w:rFonts w:eastAsia="SimSun" w:cs="Arial"/>
          <w:szCs w:val="24"/>
          <w:lang w:eastAsia="zh-CN"/>
        </w:rPr>
        <w:t xml:space="preserve">Сектора удвоилось по сравнению с аналогичным периодом 2020 года: </w:t>
      </w:r>
      <w:r w:rsidR="00C72BC5" w:rsidRPr="008C5119">
        <w:rPr>
          <w:rFonts w:eastAsia="SimSun" w:cs="Arial"/>
          <w:szCs w:val="24"/>
          <w:lang w:eastAsia="zh-CN"/>
        </w:rPr>
        <w:t xml:space="preserve">с января 2021 года к Сектору присоединились </w:t>
      </w:r>
      <w:r w:rsidR="008C5119" w:rsidRPr="008C5119">
        <w:rPr>
          <w:rFonts w:eastAsia="SimSun" w:cs="Arial"/>
          <w:szCs w:val="24"/>
          <w:lang w:eastAsia="zh-CN"/>
        </w:rPr>
        <w:t>4</w:t>
      </w:r>
      <w:r w:rsidR="00661629">
        <w:rPr>
          <w:rFonts w:eastAsia="SimSun" w:cs="Arial"/>
          <w:szCs w:val="24"/>
          <w:lang w:eastAsia="zh-CN"/>
        </w:rPr>
        <w:t> </w:t>
      </w:r>
      <w:r w:rsidR="008C5119" w:rsidRPr="008C5119">
        <w:rPr>
          <w:rFonts w:eastAsia="SimSun" w:cs="Arial"/>
          <w:szCs w:val="24"/>
          <w:lang w:eastAsia="zh-CN"/>
        </w:rPr>
        <w:t xml:space="preserve">новых </w:t>
      </w:r>
      <w:r w:rsidR="00C72BC5" w:rsidRPr="008C5119">
        <w:rPr>
          <w:rFonts w:eastAsia="SimSun" w:cs="Arial"/>
          <w:szCs w:val="24"/>
          <w:lang w:eastAsia="zh-CN"/>
        </w:rPr>
        <w:t xml:space="preserve">Члена </w:t>
      </w:r>
      <w:r w:rsidR="008C5119" w:rsidRPr="008C5119">
        <w:rPr>
          <w:rFonts w:eastAsia="SimSun" w:cs="Arial"/>
          <w:szCs w:val="24"/>
          <w:lang w:eastAsia="zh-CN"/>
        </w:rPr>
        <w:t>Сектора, а еще 5 организаций</w:t>
      </w:r>
      <w:r w:rsidR="00C72BC5">
        <w:rPr>
          <w:rFonts w:eastAsia="SimSun" w:cs="Arial"/>
          <w:szCs w:val="24"/>
          <w:lang w:eastAsia="zh-CN"/>
        </w:rPr>
        <w:t>,</w:t>
      </w:r>
      <w:r w:rsidR="008C5119" w:rsidRPr="008C5119">
        <w:rPr>
          <w:rFonts w:eastAsia="SimSun" w:cs="Arial"/>
          <w:szCs w:val="24"/>
          <w:lang w:eastAsia="zh-CN"/>
        </w:rPr>
        <w:t xml:space="preserve"> уже получи</w:t>
      </w:r>
      <w:r w:rsidR="00C72BC5">
        <w:rPr>
          <w:rFonts w:eastAsia="SimSun" w:cs="Arial"/>
          <w:szCs w:val="24"/>
          <w:lang w:eastAsia="zh-CN"/>
        </w:rPr>
        <w:t>вших</w:t>
      </w:r>
      <w:r w:rsidR="008C5119" w:rsidRPr="008C5119">
        <w:rPr>
          <w:rFonts w:eastAsia="SimSun" w:cs="Arial"/>
          <w:szCs w:val="24"/>
          <w:lang w:eastAsia="zh-CN"/>
        </w:rPr>
        <w:t xml:space="preserve"> разрешение на вступление от своих соответствующих администраций</w:t>
      </w:r>
      <w:r w:rsidR="00C72BC5">
        <w:rPr>
          <w:rFonts w:eastAsia="SimSun" w:cs="Arial"/>
          <w:szCs w:val="24"/>
          <w:lang w:eastAsia="zh-CN"/>
        </w:rPr>
        <w:t>,</w:t>
      </w:r>
      <w:r w:rsidR="008C5119" w:rsidRPr="008C5119">
        <w:rPr>
          <w:rFonts w:eastAsia="SimSun" w:cs="Arial"/>
          <w:szCs w:val="24"/>
          <w:lang w:eastAsia="zh-CN"/>
        </w:rPr>
        <w:t xml:space="preserve"> как ожидается, станут полноправными </w:t>
      </w:r>
      <w:r w:rsidR="00C72BC5" w:rsidRPr="008C5119">
        <w:rPr>
          <w:rFonts w:eastAsia="SimSun" w:cs="Arial"/>
          <w:szCs w:val="24"/>
          <w:lang w:eastAsia="zh-CN"/>
        </w:rPr>
        <w:t>Членами</w:t>
      </w:r>
      <w:r w:rsidR="00C72BC5">
        <w:rPr>
          <w:rFonts w:eastAsia="SimSun" w:cs="Arial"/>
          <w:szCs w:val="24"/>
          <w:lang w:eastAsia="zh-CN"/>
        </w:rPr>
        <w:t xml:space="preserve"> Сектора</w:t>
      </w:r>
      <w:r w:rsidR="00C72BC5" w:rsidRPr="008C5119">
        <w:rPr>
          <w:rFonts w:eastAsia="SimSun" w:cs="Arial"/>
          <w:szCs w:val="24"/>
          <w:lang w:eastAsia="zh-CN"/>
        </w:rPr>
        <w:t xml:space="preserve"> </w:t>
      </w:r>
      <w:r w:rsidR="008C5119" w:rsidRPr="008C5119">
        <w:rPr>
          <w:rFonts w:eastAsia="SimSun" w:cs="Arial"/>
          <w:szCs w:val="24"/>
          <w:lang w:eastAsia="zh-CN"/>
        </w:rPr>
        <w:t xml:space="preserve">во втором квартале 2021 года. </w:t>
      </w:r>
    </w:p>
    <w:p w14:paraId="023AFBF4" w14:textId="67EF5760" w:rsidR="00884083" w:rsidRPr="008C5119" w:rsidRDefault="008C5119" w:rsidP="00884083">
      <w:pPr>
        <w:shd w:val="clear" w:color="auto" w:fill="FFFFFF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textAlignment w:val="auto"/>
        <w:rPr>
          <w:rFonts w:eastAsia="SimSun" w:cs="Arial"/>
          <w:szCs w:val="24"/>
          <w:lang w:eastAsia="zh-CN"/>
        </w:rPr>
      </w:pPr>
      <w:r w:rsidRPr="008C5119">
        <w:rPr>
          <w:rFonts w:eastAsia="SimSun" w:cs="Arial"/>
          <w:szCs w:val="24"/>
          <w:lang w:eastAsia="zh-CN"/>
        </w:rPr>
        <w:t>Усилия по удержанию</w:t>
      </w:r>
      <w:r w:rsidR="00C72BC5">
        <w:rPr>
          <w:rFonts w:eastAsia="SimSun" w:cs="Arial"/>
          <w:szCs w:val="24"/>
          <w:lang w:eastAsia="zh-CN"/>
        </w:rPr>
        <w:t xml:space="preserve"> </w:t>
      </w:r>
      <w:r w:rsidR="00661629">
        <w:rPr>
          <w:rFonts w:eastAsia="SimSun" w:cs="Arial"/>
          <w:szCs w:val="24"/>
          <w:lang w:eastAsia="zh-CN"/>
        </w:rPr>
        <w:t>существующих</w:t>
      </w:r>
      <w:r w:rsidR="00C72BC5">
        <w:rPr>
          <w:rFonts w:eastAsia="SimSun" w:cs="Arial"/>
          <w:szCs w:val="24"/>
          <w:lang w:eastAsia="zh-CN"/>
        </w:rPr>
        <w:t xml:space="preserve"> членов</w:t>
      </w:r>
      <w:r w:rsidRPr="008C5119">
        <w:rPr>
          <w:rFonts w:eastAsia="SimSun" w:cs="Arial"/>
          <w:szCs w:val="24"/>
          <w:lang w:eastAsia="zh-CN"/>
        </w:rPr>
        <w:t xml:space="preserve"> также дали свои результаты: в первом квартале 2021</w:t>
      </w:r>
      <w:r w:rsidR="00661629">
        <w:rPr>
          <w:rFonts w:eastAsia="SimSun" w:cs="Arial"/>
          <w:szCs w:val="24"/>
          <w:lang w:eastAsia="zh-CN"/>
        </w:rPr>
        <w:t> </w:t>
      </w:r>
      <w:r w:rsidRPr="008C5119">
        <w:rPr>
          <w:rFonts w:eastAsia="SimSun" w:cs="Arial"/>
          <w:szCs w:val="24"/>
          <w:lang w:eastAsia="zh-CN"/>
        </w:rPr>
        <w:t xml:space="preserve">года был потерян только один член Сектора, </w:t>
      </w:r>
      <w:r w:rsidR="00C72BC5">
        <w:rPr>
          <w:rFonts w:eastAsia="SimSun" w:cs="Arial"/>
          <w:szCs w:val="24"/>
          <w:lang w:eastAsia="zh-CN"/>
        </w:rPr>
        <w:t xml:space="preserve">в то время как </w:t>
      </w:r>
      <w:r w:rsidR="00C72BC5" w:rsidRPr="008C5119">
        <w:rPr>
          <w:rFonts w:eastAsia="SimSun" w:cs="Arial"/>
          <w:szCs w:val="24"/>
          <w:lang w:eastAsia="zh-CN"/>
        </w:rPr>
        <w:t xml:space="preserve">за тот же период 2020 года </w:t>
      </w:r>
      <w:r w:rsidR="00C72BC5">
        <w:rPr>
          <w:rFonts w:eastAsia="SimSun" w:cs="Arial"/>
          <w:szCs w:val="24"/>
          <w:lang w:eastAsia="zh-CN"/>
        </w:rPr>
        <w:t>из состава Сектора вышли</w:t>
      </w:r>
      <w:r w:rsidRPr="008C5119">
        <w:rPr>
          <w:rFonts w:eastAsia="SimSun" w:cs="Arial"/>
          <w:szCs w:val="24"/>
          <w:lang w:eastAsia="zh-CN"/>
        </w:rPr>
        <w:t xml:space="preserve"> 7 </w:t>
      </w:r>
      <w:r w:rsidR="00C72BC5">
        <w:rPr>
          <w:rFonts w:eastAsia="SimSun" w:cs="Arial"/>
          <w:szCs w:val="24"/>
          <w:lang w:eastAsia="zh-CN"/>
        </w:rPr>
        <w:t>Членов</w:t>
      </w:r>
      <w:r w:rsidRPr="008C5119">
        <w:rPr>
          <w:rFonts w:eastAsia="SimSun" w:cs="Arial"/>
          <w:szCs w:val="24"/>
          <w:lang w:eastAsia="zh-CN"/>
        </w:rPr>
        <w:t xml:space="preserve">. В первом квартале 2021 года один </w:t>
      </w:r>
      <w:r w:rsidR="00C72BC5" w:rsidRPr="008C5119">
        <w:rPr>
          <w:rFonts w:eastAsia="SimSun" w:cs="Arial"/>
          <w:szCs w:val="24"/>
          <w:lang w:eastAsia="zh-CN"/>
        </w:rPr>
        <w:t xml:space="preserve">Ассоциированный Член </w:t>
      </w:r>
      <w:r w:rsidRPr="008C5119">
        <w:rPr>
          <w:rFonts w:eastAsia="SimSun" w:cs="Arial"/>
          <w:szCs w:val="24"/>
          <w:lang w:eastAsia="zh-CN"/>
        </w:rPr>
        <w:t xml:space="preserve">повысил свой статус до </w:t>
      </w:r>
      <w:r w:rsidR="00C72BC5" w:rsidRPr="008C5119">
        <w:rPr>
          <w:rFonts w:eastAsia="SimSun" w:cs="Arial"/>
          <w:szCs w:val="24"/>
          <w:lang w:eastAsia="zh-CN"/>
        </w:rPr>
        <w:t>Члена Сектора</w:t>
      </w:r>
      <w:r w:rsidRPr="008C5119">
        <w:rPr>
          <w:rFonts w:eastAsia="SimSun" w:cs="Arial"/>
          <w:szCs w:val="24"/>
          <w:lang w:eastAsia="zh-CN"/>
        </w:rPr>
        <w:t>.</w:t>
      </w:r>
    </w:p>
    <w:p w14:paraId="42D32F22" w14:textId="77777777" w:rsidR="00884083" w:rsidRPr="008C5119" w:rsidRDefault="0088408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  <w:rPr>
          <w:caps/>
        </w:rPr>
      </w:pPr>
      <w:r w:rsidRPr="008C5119">
        <w:br w:type="page"/>
      </w:r>
    </w:p>
    <w:p w14:paraId="54AB96C0" w14:textId="31CDE4E7" w:rsidR="00884083" w:rsidRPr="000C23E0" w:rsidRDefault="00884083" w:rsidP="00884083">
      <w:pPr>
        <w:pStyle w:val="TableNo"/>
      </w:pPr>
      <w:r w:rsidRPr="000C23E0">
        <w:lastRenderedPageBreak/>
        <w:t>Таблица</w:t>
      </w:r>
    </w:p>
    <w:p w14:paraId="55C33018" w14:textId="56A27777" w:rsidR="00884083" w:rsidRPr="000C23E0" w:rsidRDefault="00884083" w:rsidP="00884083">
      <w:pPr>
        <w:pStyle w:val="Tabletitle"/>
      </w:pPr>
      <w:r w:rsidRPr="000C23E0">
        <w:t>Динамика членского состава Сектора МСЭ</w:t>
      </w:r>
      <w:r w:rsidRPr="000C23E0">
        <w:noBreakHyphen/>
        <w:t xml:space="preserve">D в период </w:t>
      </w:r>
      <w:r>
        <w:t>с 2010 по 2021 год</w:t>
      </w:r>
      <w:r w:rsidRPr="000C23E0">
        <w:t xml:space="preserve"> в разбивке по Членам Сектора, Ассоциированным членам и Академическим организациям</w:t>
      </w:r>
      <w:r w:rsidRPr="000C23E0">
        <w:rPr>
          <w:rStyle w:val="FootnoteReference"/>
          <w:b w:val="0"/>
          <w:bCs/>
        </w:rPr>
        <w:footnoteReference w:id="4"/>
      </w:r>
      <w:r w:rsidRPr="000C23E0">
        <w:t>)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650"/>
        <w:gridCol w:w="651"/>
        <w:gridCol w:w="651"/>
        <w:gridCol w:w="651"/>
        <w:gridCol w:w="651"/>
        <w:gridCol w:w="651"/>
        <w:gridCol w:w="650"/>
        <w:gridCol w:w="651"/>
        <w:gridCol w:w="651"/>
        <w:gridCol w:w="651"/>
        <w:gridCol w:w="651"/>
        <w:gridCol w:w="651"/>
      </w:tblGrid>
      <w:tr w:rsidR="00884083" w:rsidRPr="000C23E0" w14:paraId="5A521CDB" w14:textId="5D15767B" w:rsidTr="00091275">
        <w:trPr>
          <w:tblHeader/>
          <w:jc w:val="center"/>
        </w:trPr>
        <w:tc>
          <w:tcPr>
            <w:tcW w:w="1823" w:type="dxa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8FB96" w14:textId="77777777" w:rsidR="00884083" w:rsidRPr="000C23E0" w:rsidRDefault="00884083" w:rsidP="00EE489F">
            <w:pPr>
              <w:pStyle w:val="Tablehead"/>
            </w:pPr>
          </w:p>
        </w:tc>
        <w:tc>
          <w:tcPr>
            <w:tcW w:w="650" w:type="dxa"/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129A3" w14:textId="77777777" w:rsidR="00884083" w:rsidRPr="000C23E0" w:rsidRDefault="00884083" w:rsidP="00091275">
            <w:pPr>
              <w:pStyle w:val="Tablehead"/>
              <w:ind w:left="-113" w:right="-113"/>
            </w:pPr>
            <w:r w:rsidRPr="000C23E0">
              <w:t>2010 г.</w:t>
            </w:r>
          </w:p>
        </w:tc>
        <w:tc>
          <w:tcPr>
            <w:tcW w:w="651" w:type="dxa"/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7041E" w14:textId="77777777" w:rsidR="00884083" w:rsidRPr="000C23E0" w:rsidRDefault="00884083" w:rsidP="00091275">
            <w:pPr>
              <w:pStyle w:val="Tablehead"/>
              <w:ind w:left="-113" w:right="-113"/>
            </w:pPr>
            <w:r w:rsidRPr="000C23E0">
              <w:t>2011 г.</w:t>
            </w:r>
          </w:p>
        </w:tc>
        <w:tc>
          <w:tcPr>
            <w:tcW w:w="651" w:type="dxa"/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5CBB0" w14:textId="77777777" w:rsidR="00884083" w:rsidRPr="000C23E0" w:rsidRDefault="00884083" w:rsidP="00091275">
            <w:pPr>
              <w:pStyle w:val="Tablehead"/>
              <w:ind w:left="-113" w:right="-113"/>
            </w:pPr>
            <w:r w:rsidRPr="000C23E0">
              <w:t>2012 г.</w:t>
            </w:r>
          </w:p>
        </w:tc>
        <w:tc>
          <w:tcPr>
            <w:tcW w:w="651" w:type="dxa"/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40225" w14:textId="77777777" w:rsidR="00884083" w:rsidRPr="000C23E0" w:rsidRDefault="00884083" w:rsidP="00091275">
            <w:pPr>
              <w:pStyle w:val="Tablehead"/>
              <w:ind w:left="-113" w:right="-113"/>
            </w:pPr>
            <w:r w:rsidRPr="000C23E0">
              <w:t>2013 г.</w:t>
            </w:r>
          </w:p>
        </w:tc>
        <w:tc>
          <w:tcPr>
            <w:tcW w:w="651" w:type="dxa"/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30BCC" w14:textId="77777777" w:rsidR="00884083" w:rsidRPr="000C23E0" w:rsidRDefault="00884083" w:rsidP="00091275">
            <w:pPr>
              <w:pStyle w:val="Tablehead"/>
              <w:ind w:left="-113" w:right="-113"/>
            </w:pPr>
            <w:r w:rsidRPr="000C23E0">
              <w:t>2014 г.</w:t>
            </w:r>
          </w:p>
        </w:tc>
        <w:tc>
          <w:tcPr>
            <w:tcW w:w="651" w:type="dxa"/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88075" w14:textId="77777777" w:rsidR="00884083" w:rsidRPr="000C23E0" w:rsidRDefault="00884083" w:rsidP="00091275">
            <w:pPr>
              <w:pStyle w:val="Tablehead"/>
              <w:ind w:left="-113" w:right="-113"/>
            </w:pPr>
            <w:r w:rsidRPr="000C23E0">
              <w:t>2015 г.</w:t>
            </w:r>
          </w:p>
        </w:tc>
        <w:tc>
          <w:tcPr>
            <w:tcW w:w="650" w:type="dxa"/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4B8FC" w14:textId="77777777" w:rsidR="00884083" w:rsidRPr="000C23E0" w:rsidRDefault="00884083" w:rsidP="00091275">
            <w:pPr>
              <w:pStyle w:val="Tablehead"/>
              <w:ind w:left="-113" w:right="-113"/>
            </w:pPr>
            <w:r w:rsidRPr="000C23E0">
              <w:t>2016 г.</w:t>
            </w:r>
          </w:p>
        </w:tc>
        <w:tc>
          <w:tcPr>
            <w:tcW w:w="651" w:type="dxa"/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96308" w14:textId="77777777" w:rsidR="00884083" w:rsidRPr="000C23E0" w:rsidRDefault="00884083" w:rsidP="00091275">
            <w:pPr>
              <w:pStyle w:val="Tablehead"/>
              <w:ind w:left="-113" w:right="-113"/>
            </w:pPr>
            <w:r w:rsidRPr="000C23E0">
              <w:t>2017 г.</w:t>
            </w:r>
          </w:p>
        </w:tc>
        <w:tc>
          <w:tcPr>
            <w:tcW w:w="651" w:type="dxa"/>
            <w:shd w:val="clear" w:color="auto" w:fill="95B3D7" w:themeFill="accent1" w:themeFillTint="99"/>
            <w:vAlign w:val="center"/>
            <w:hideMark/>
          </w:tcPr>
          <w:p w14:paraId="6158E852" w14:textId="77777777" w:rsidR="00884083" w:rsidRPr="000C23E0" w:rsidRDefault="00884083" w:rsidP="00091275">
            <w:pPr>
              <w:pStyle w:val="Tablehead"/>
              <w:ind w:left="-113" w:right="-113"/>
            </w:pPr>
            <w:r w:rsidRPr="000C23E0">
              <w:t>2018 г.</w:t>
            </w:r>
          </w:p>
        </w:tc>
        <w:tc>
          <w:tcPr>
            <w:tcW w:w="651" w:type="dxa"/>
            <w:shd w:val="clear" w:color="auto" w:fill="95B3D7" w:themeFill="accent1" w:themeFillTint="99"/>
            <w:vAlign w:val="center"/>
          </w:tcPr>
          <w:p w14:paraId="2AD57765" w14:textId="77777777" w:rsidR="00884083" w:rsidRPr="000C23E0" w:rsidRDefault="00884083" w:rsidP="00091275">
            <w:pPr>
              <w:pStyle w:val="Tablehead"/>
              <w:ind w:left="-113" w:right="-113"/>
            </w:pPr>
            <w:r w:rsidRPr="000C23E0">
              <w:t>2019 г.</w:t>
            </w:r>
          </w:p>
        </w:tc>
        <w:tc>
          <w:tcPr>
            <w:tcW w:w="651" w:type="dxa"/>
            <w:shd w:val="clear" w:color="auto" w:fill="95B3D7" w:themeFill="accent1" w:themeFillTint="99"/>
            <w:vAlign w:val="center"/>
          </w:tcPr>
          <w:p w14:paraId="76739F15" w14:textId="2BB765C8" w:rsidR="00884083" w:rsidRPr="000C23E0" w:rsidRDefault="00884083" w:rsidP="00091275">
            <w:pPr>
              <w:pStyle w:val="Tablehead"/>
              <w:ind w:left="-113" w:right="-113"/>
            </w:pPr>
            <w:r>
              <w:t>2020 г.</w:t>
            </w:r>
          </w:p>
        </w:tc>
        <w:tc>
          <w:tcPr>
            <w:tcW w:w="651" w:type="dxa"/>
            <w:shd w:val="clear" w:color="auto" w:fill="95B3D7" w:themeFill="accent1" w:themeFillTint="99"/>
            <w:vAlign w:val="center"/>
          </w:tcPr>
          <w:p w14:paraId="1B6F46D2" w14:textId="7F8F53E8" w:rsidR="00884083" w:rsidRPr="000C23E0" w:rsidRDefault="00091275" w:rsidP="00091275">
            <w:pPr>
              <w:pStyle w:val="Tablehead"/>
              <w:ind w:left="-113" w:right="-113"/>
            </w:pPr>
            <w:r>
              <w:t>Март</w:t>
            </w:r>
            <w:r>
              <w:br/>
              <w:t>2021 г.</w:t>
            </w:r>
          </w:p>
        </w:tc>
      </w:tr>
      <w:tr w:rsidR="00884083" w:rsidRPr="000C23E0" w14:paraId="0BEB6F5B" w14:textId="16FC9C9D" w:rsidTr="00091275">
        <w:trPr>
          <w:jc w:val="center"/>
        </w:trPr>
        <w:tc>
          <w:tcPr>
            <w:tcW w:w="18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DC1F" w14:textId="77777777" w:rsidR="00884083" w:rsidRPr="000C23E0" w:rsidRDefault="00884083" w:rsidP="00EE489F">
            <w:pPr>
              <w:pStyle w:val="Tabletext"/>
              <w:rPr>
                <w:b/>
                <w:bCs/>
              </w:rPr>
            </w:pPr>
            <w:r w:rsidRPr="000C23E0">
              <w:rPr>
                <w:b/>
                <w:bCs/>
                <w:lang w:eastAsia="zh-CN"/>
              </w:rPr>
              <w:t>Члены Сектора</w:t>
            </w:r>
          </w:p>
        </w:tc>
        <w:tc>
          <w:tcPr>
            <w:tcW w:w="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30912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311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FDD5E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323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C3337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330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5BD8A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346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53B03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338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5C0CC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340</w:t>
            </w:r>
          </w:p>
        </w:tc>
        <w:tc>
          <w:tcPr>
            <w:tcW w:w="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242B9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331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6B3B6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318</w:t>
            </w:r>
          </w:p>
        </w:tc>
        <w:tc>
          <w:tcPr>
            <w:tcW w:w="651" w:type="dxa"/>
            <w:vAlign w:val="center"/>
            <w:hideMark/>
          </w:tcPr>
          <w:p w14:paraId="33191460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310</w:t>
            </w:r>
          </w:p>
        </w:tc>
        <w:tc>
          <w:tcPr>
            <w:tcW w:w="651" w:type="dxa"/>
            <w:vAlign w:val="center"/>
          </w:tcPr>
          <w:p w14:paraId="642F76BF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307</w:t>
            </w:r>
          </w:p>
        </w:tc>
        <w:tc>
          <w:tcPr>
            <w:tcW w:w="651" w:type="dxa"/>
            <w:vAlign w:val="center"/>
          </w:tcPr>
          <w:p w14:paraId="50ADD361" w14:textId="6B7608EB" w:rsidR="00884083" w:rsidRPr="000C23E0" w:rsidRDefault="00091275" w:rsidP="00091275">
            <w:pPr>
              <w:pStyle w:val="Tabletext"/>
              <w:ind w:left="-113" w:right="-113"/>
              <w:jc w:val="center"/>
            </w:pPr>
            <w:r>
              <w:t>298</w:t>
            </w:r>
          </w:p>
        </w:tc>
        <w:tc>
          <w:tcPr>
            <w:tcW w:w="651" w:type="dxa"/>
            <w:shd w:val="clear" w:color="auto" w:fill="EAF1DD" w:themeFill="accent3" w:themeFillTint="33"/>
            <w:vAlign w:val="center"/>
          </w:tcPr>
          <w:p w14:paraId="741100F5" w14:textId="623ABB65" w:rsidR="00884083" w:rsidRPr="000C23E0" w:rsidRDefault="00091275" w:rsidP="00091275">
            <w:pPr>
              <w:pStyle w:val="Tabletext"/>
              <w:ind w:left="-113" w:right="-113"/>
              <w:jc w:val="center"/>
            </w:pPr>
            <w:r>
              <w:t>301</w:t>
            </w:r>
          </w:p>
        </w:tc>
      </w:tr>
      <w:tr w:rsidR="00884083" w:rsidRPr="000C23E0" w14:paraId="23BC5C13" w14:textId="4B5EB39C" w:rsidTr="00091275">
        <w:trPr>
          <w:jc w:val="center"/>
        </w:trPr>
        <w:tc>
          <w:tcPr>
            <w:tcW w:w="18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BB419" w14:textId="77777777" w:rsidR="00884083" w:rsidRPr="000C23E0" w:rsidRDefault="00884083" w:rsidP="00EE489F">
            <w:pPr>
              <w:pStyle w:val="Tabletext"/>
              <w:rPr>
                <w:b/>
                <w:bCs/>
              </w:rPr>
            </w:pPr>
            <w:r w:rsidRPr="000C23E0">
              <w:rPr>
                <w:b/>
                <w:bCs/>
                <w:lang w:eastAsia="zh-CN"/>
              </w:rPr>
              <w:t>Ассоциированные члены</w:t>
            </w:r>
          </w:p>
        </w:tc>
        <w:tc>
          <w:tcPr>
            <w:tcW w:w="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62106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5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DBFDD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6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67593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7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95EA5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9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0BC67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10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89ACC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11</w:t>
            </w:r>
          </w:p>
        </w:tc>
        <w:tc>
          <w:tcPr>
            <w:tcW w:w="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78D13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12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C139B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12</w:t>
            </w:r>
          </w:p>
        </w:tc>
        <w:tc>
          <w:tcPr>
            <w:tcW w:w="651" w:type="dxa"/>
            <w:vAlign w:val="center"/>
            <w:hideMark/>
          </w:tcPr>
          <w:p w14:paraId="0B88E4F9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14</w:t>
            </w:r>
          </w:p>
        </w:tc>
        <w:tc>
          <w:tcPr>
            <w:tcW w:w="651" w:type="dxa"/>
            <w:vAlign w:val="center"/>
          </w:tcPr>
          <w:p w14:paraId="1DC4D8C2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17</w:t>
            </w:r>
          </w:p>
        </w:tc>
        <w:tc>
          <w:tcPr>
            <w:tcW w:w="651" w:type="dxa"/>
            <w:vAlign w:val="center"/>
          </w:tcPr>
          <w:p w14:paraId="1E249C61" w14:textId="1A99B34D" w:rsidR="00884083" w:rsidRPr="000C23E0" w:rsidRDefault="00091275" w:rsidP="00091275">
            <w:pPr>
              <w:pStyle w:val="Tabletext"/>
              <w:ind w:left="-113" w:right="-113"/>
              <w:jc w:val="center"/>
            </w:pPr>
            <w:r>
              <w:t>21</w:t>
            </w:r>
          </w:p>
        </w:tc>
        <w:tc>
          <w:tcPr>
            <w:tcW w:w="651" w:type="dxa"/>
            <w:shd w:val="clear" w:color="auto" w:fill="EAF1DD" w:themeFill="accent3" w:themeFillTint="33"/>
            <w:vAlign w:val="center"/>
          </w:tcPr>
          <w:p w14:paraId="0B1D4436" w14:textId="217FDCCC" w:rsidR="00884083" w:rsidRPr="000C23E0" w:rsidRDefault="00091275" w:rsidP="00091275">
            <w:pPr>
              <w:pStyle w:val="Tabletext"/>
              <w:ind w:left="-113" w:right="-113"/>
              <w:jc w:val="center"/>
            </w:pPr>
            <w:r>
              <w:t>20</w:t>
            </w:r>
          </w:p>
        </w:tc>
      </w:tr>
      <w:tr w:rsidR="00884083" w:rsidRPr="000C23E0" w14:paraId="66F9A883" w14:textId="7CCE8B9A" w:rsidTr="00091275">
        <w:trPr>
          <w:jc w:val="center"/>
        </w:trPr>
        <w:tc>
          <w:tcPr>
            <w:tcW w:w="18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1754" w14:textId="77777777" w:rsidR="00884083" w:rsidRPr="000C23E0" w:rsidRDefault="00884083" w:rsidP="00EE489F">
            <w:pPr>
              <w:pStyle w:val="Tabletext"/>
              <w:rPr>
                <w:b/>
                <w:bCs/>
              </w:rPr>
            </w:pPr>
            <w:r w:rsidRPr="000C23E0">
              <w:rPr>
                <w:b/>
                <w:bCs/>
                <w:lang w:eastAsia="zh-CN"/>
              </w:rPr>
              <w:t>Академические организации</w:t>
            </w:r>
          </w:p>
        </w:tc>
        <w:tc>
          <w:tcPr>
            <w:tcW w:w="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302E1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−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2413E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25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D9048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36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5132B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45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1995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86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B557B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109</w:t>
            </w:r>
          </w:p>
        </w:tc>
        <w:tc>
          <w:tcPr>
            <w:tcW w:w="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B0CD4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107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7DCE1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125</w:t>
            </w:r>
          </w:p>
        </w:tc>
        <w:tc>
          <w:tcPr>
            <w:tcW w:w="651" w:type="dxa"/>
            <w:vAlign w:val="center"/>
            <w:hideMark/>
          </w:tcPr>
          <w:p w14:paraId="4311A8F6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156</w:t>
            </w:r>
          </w:p>
        </w:tc>
        <w:tc>
          <w:tcPr>
            <w:tcW w:w="651" w:type="dxa"/>
            <w:vAlign w:val="center"/>
          </w:tcPr>
          <w:p w14:paraId="178BBDB6" w14:textId="77777777" w:rsidR="00884083" w:rsidRPr="000C23E0" w:rsidRDefault="00884083" w:rsidP="00091275">
            <w:pPr>
              <w:pStyle w:val="Tabletext"/>
              <w:ind w:left="-113" w:right="-113"/>
              <w:jc w:val="center"/>
            </w:pPr>
            <w:r w:rsidRPr="000C23E0">
              <w:t>163</w:t>
            </w:r>
          </w:p>
        </w:tc>
        <w:tc>
          <w:tcPr>
            <w:tcW w:w="651" w:type="dxa"/>
            <w:vAlign w:val="center"/>
          </w:tcPr>
          <w:p w14:paraId="19A52F31" w14:textId="48CC0026" w:rsidR="00884083" w:rsidRPr="000C23E0" w:rsidRDefault="00091275" w:rsidP="00091275">
            <w:pPr>
              <w:pStyle w:val="Tabletext"/>
              <w:ind w:left="-113" w:right="-113"/>
              <w:jc w:val="center"/>
            </w:pPr>
            <w:r>
              <w:t>162</w:t>
            </w:r>
          </w:p>
        </w:tc>
        <w:tc>
          <w:tcPr>
            <w:tcW w:w="651" w:type="dxa"/>
            <w:shd w:val="clear" w:color="auto" w:fill="EAF1DD" w:themeFill="accent3" w:themeFillTint="33"/>
            <w:vAlign w:val="center"/>
          </w:tcPr>
          <w:p w14:paraId="1ACE97CC" w14:textId="73C8650D" w:rsidR="00884083" w:rsidRPr="000C23E0" w:rsidRDefault="00091275" w:rsidP="00091275">
            <w:pPr>
              <w:pStyle w:val="Tabletext"/>
              <w:ind w:left="-113" w:right="-113"/>
              <w:jc w:val="center"/>
            </w:pPr>
            <w:r>
              <w:t>163</w:t>
            </w:r>
          </w:p>
        </w:tc>
      </w:tr>
      <w:tr w:rsidR="00884083" w:rsidRPr="000C23E0" w14:paraId="1803E2E3" w14:textId="02A2228A" w:rsidTr="00091275">
        <w:trPr>
          <w:jc w:val="center"/>
        </w:trPr>
        <w:tc>
          <w:tcPr>
            <w:tcW w:w="18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288AD" w14:textId="77777777" w:rsidR="00884083" w:rsidRPr="000C23E0" w:rsidRDefault="00884083" w:rsidP="00EE489F">
            <w:pPr>
              <w:pStyle w:val="Tabletext"/>
            </w:pPr>
            <w:r w:rsidRPr="000C23E0">
              <w:rPr>
                <w:b/>
                <w:bCs/>
                <w:lang w:eastAsia="zh-CN"/>
              </w:rPr>
              <w:t>ИТОГО</w:t>
            </w:r>
          </w:p>
        </w:tc>
        <w:tc>
          <w:tcPr>
            <w:tcW w:w="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8E897" w14:textId="77777777" w:rsidR="00884083" w:rsidRPr="000C23E0" w:rsidRDefault="00884083" w:rsidP="00091275">
            <w:pPr>
              <w:pStyle w:val="Tabletext"/>
              <w:ind w:left="-113" w:right="-113"/>
              <w:jc w:val="center"/>
              <w:rPr>
                <w:b/>
                <w:bCs/>
              </w:rPr>
            </w:pPr>
            <w:r w:rsidRPr="000C23E0">
              <w:rPr>
                <w:b/>
                <w:bCs/>
              </w:rPr>
              <w:t>316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FAAF2" w14:textId="77777777" w:rsidR="00884083" w:rsidRPr="000C23E0" w:rsidRDefault="00884083" w:rsidP="00091275">
            <w:pPr>
              <w:pStyle w:val="Tabletext"/>
              <w:ind w:left="-113" w:right="-113"/>
              <w:jc w:val="center"/>
              <w:rPr>
                <w:b/>
                <w:bCs/>
              </w:rPr>
            </w:pPr>
            <w:r w:rsidRPr="000C23E0">
              <w:rPr>
                <w:b/>
                <w:bCs/>
              </w:rPr>
              <w:t>354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DC154" w14:textId="77777777" w:rsidR="00884083" w:rsidRPr="000C23E0" w:rsidRDefault="00884083" w:rsidP="00091275">
            <w:pPr>
              <w:pStyle w:val="Tabletext"/>
              <w:ind w:left="-113" w:right="-113"/>
              <w:jc w:val="center"/>
              <w:rPr>
                <w:b/>
                <w:bCs/>
              </w:rPr>
            </w:pPr>
            <w:r w:rsidRPr="000C23E0">
              <w:rPr>
                <w:b/>
                <w:bCs/>
              </w:rPr>
              <w:t>373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EB54B" w14:textId="77777777" w:rsidR="00884083" w:rsidRPr="000C23E0" w:rsidRDefault="00884083" w:rsidP="00091275">
            <w:pPr>
              <w:pStyle w:val="Tabletext"/>
              <w:ind w:left="-113" w:right="-113"/>
              <w:jc w:val="center"/>
              <w:rPr>
                <w:b/>
                <w:bCs/>
              </w:rPr>
            </w:pPr>
            <w:r w:rsidRPr="000C23E0">
              <w:rPr>
                <w:b/>
                <w:bCs/>
              </w:rPr>
              <w:t>400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DC8CD" w14:textId="77777777" w:rsidR="00884083" w:rsidRPr="000C23E0" w:rsidRDefault="00884083" w:rsidP="00091275">
            <w:pPr>
              <w:pStyle w:val="Tabletext"/>
              <w:ind w:left="-113" w:right="-113"/>
              <w:jc w:val="center"/>
              <w:rPr>
                <w:b/>
                <w:bCs/>
              </w:rPr>
            </w:pPr>
            <w:r w:rsidRPr="000C23E0">
              <w:rPr>
                <w:b/>
                <w:bCs/>
              </w:rPr>
              <w:t>434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D300C" w14:textId="77777777" w:rsidR="00884083" w:rsidRPr="000C23E0" w:rsidRDefault="00884083" w:rsidP="00091275">
            <w:pPr>
              <w:pStyle w:val="Tabletext"/>
              <w:ind w:left="-113" w:right="-113"/>
              <w:jc w:val="center"/>
              <w:rPr>
                <w:b/>
                <w:bCs/>
              </w:rPr>
            </w:pPr>
            <w:r w:rsidRPr="000C23E0">
              <w:rPr>
                <w:b/>
                <w:bCs/>
              </w:rPr>
              <w:t>460</w:t>
            </w:r>
          </w:p>
        </w:tc>
        <w:tc>
          <w:tcPr>
            <w:tcW w:w="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91275" w14:textId="77777777" w:rsidR="00884083" w:rsidRPr="000C23E0" w:rsidRDefault="00884083" w:rsidP="00091275">
            <w:pPr>
              <w:pStyle w:val="Tabletext"/>
              <w:ind w:left="-113" w:right="-113"/>
              <w:jc w:val="center"/>
              <w:rPr>
                <w:b/>
                <w:bCs/>
              </w:rPr>
            </w:pPr>
            <w:r w:rsidRPr="000C23E0">
              <w:rPr>
                <w:b/>
                <w:bCs/>
              </w:rPr>
              <w:t>450</w:t>
            </w:r>
          </w:p>
        </w:tc>
        <w:tc>
          <w:tcPr>
            <w:tcW w:w="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5BAAA" w14:textId="77777777" w:rsidR="00884083" w:rsidRPr="000C23E0" w:rsidRDefault="00884083" w:rsidP="00091275">
            <w:pPr>
              <w:pStyle w:val="Tabletext"/>
              <w:ind w:left="-113" w:right="-113"/>
              <w:jc w:val="center"/>
              <w:rPr>
                <w:b/>
                <w:bCs/>
              </w:rPr>
            </w:pPr>
            <w:r w:rsidRPr="000C23E0">
              <w:rPr>
                <w:b/>
                <w:bCs/>
              </w:rPr>
              <w:t>455</w:t>
            </w:r>
          </w:p>
        </w:tc>
        <w:tc>
          <w:tcPr>
            <w:tcW w:w="651" w:type="dxa"/>
            <w:vAlign w:val="center"/>
            <w:hideMark/>
          </w:tcPr>
          <w:p w14:paraId="1486F363" w14:textId="77777777" w:rsidR="00884083" w:rsidRPr="000C23E0" w:rsidRDefault="00884083" w:rsidP="00091275">
            <w:pPr>
              <w:pStyle w:val="Tabletext"/>
              <w:ind w:left="-113" w:right="-113"/>
              <w:jc w:val="center"/>
              <w:rPr>
                <w:b/>
                <w:bCs/>
              </w:rPr>
            </w:pPr>
            <w:r w:rsidRPr="000C23E0">
              <w:rPr>
                <w:b/>
                <w:bCs/>
              </w:rPr>
              <w:t>480</w:t>
            </w:r>
          </w:p>
        </w:tc>
        <w:tc>
          <w:tcPr>
            <w:tcW w:w="651" w:type="dxa"/>
            <w:vAlign w:val="center"/>
          </w:tcPr>
          <w:p w14:paraId="1833D876" w14:textId="77777777" w:rsidR="00884083" w:rsidRPr="000C23E0" w:rsidRDefault="00884083" w:rsidP="00091275">
            <w:pPr>
              <w:pStyle w:val="Tabletext"/>
              <w:ind w:left="-113" w:right="-113"/>
              <w:jc w:val="center"/>
              <w:rPr>
                <w:b/>
                <w:bCs/>
              </w:rPr>
            </w:pPr>
            <w:r w:rsidRPr="000C23E0">
              <w:rPr>
                <w:b/>
                <w:bCs/>
              </w:rPr>
              <w:t>487</w:t>
            </w:r>
          </w:p>
        </w:tc>
        <w:tc>
          <w:tcPr>
            <w:tcW w:w="651" w:type="dxa"/>
            <w:vAlign w:val="center"/>
          </w:tcPr>
          <w:p w14:paraId="1454C539" w14:textId="0B60B34E" w:rsidR="00884083" w:rsidRPr="000C23E0" w:rsidRDefault="00091275" w:rsidP="00091275">
            <w:pPr>
              <w:pStyle w:val="Tabletext"/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481</w:t>
            </w:r>
          </w:p>
        </w:tc>
        <w:tc>
          <w:tcPr>
            <w:tcW w:w="651" w:type="dxa"/>
            <w:shd w:val="clear" w:color="auto" w:fill="EAF1DD" w:themeFill="accent3" w:themeFillTint="33"/>
            <w:vAlign w:val="center"/>
          </w:tcPr>
          <w:p w14:paraId="2113A8CE" w14:textId="5A00EA08" w:rsidR="00884083" w:rsidRPr="000C23E0" w:rsidRDefault="00091275" w:rsidP="00091275">
            <w:pPr>
              <w:pStyle w:val="Tabletext"/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484</w:t>
            </w:r>
          </w:p>
        </w:tc>
      </w:tr>
    </w:tbl>
    <w:p w14:paraId="5731CA91" w14:textId="1B5F4F42" w:rsidR="00091275" w:rsidRPr="00091275" w:rsidRDefault="00091275" w:rsidP="00091275">
      <w:pPr>
        <w:pStyle w:val="Heading1"/>
        <w:rPr>
          <w:u w:val="single"/>
        </w:rPr>
      </w:pPr>
      <w:r w:rsidRPr="00091275">
        <w:t>3</w:t>
      </w:r>
      <w:r w:rsidRPr="00091275">
        <w:tab/>
        <w:t>Члены Сектора и Ассоциированные члены в 20</w:t>
      </w:r>
      <w:r>
        <w:t>20</w:t>
      </w:r>
      <w:r w:rsidRPr="00091275">
        <w:t xml:space="preserve"> году</w:t>
      </w:r>
      <w:r>
        <w:t xml:space="preserve"> − 1 квартале 2021 года</w:t>
      </w:r>
    </w:p>
    <w:p w14:paraId="63B007C2" w14:textId="2C98C494" w:rsidR="00091275" w:rsidRPr="008C5119" w:rsidRDefault="008C5119" w:rsidP="00091275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after="120"/>
        <w:rPr>
          <w:szCs w:val="24"/>
        </w:rPr>
      </w:pPr>
      <w:r w:rsidRPr="008C5119">
        <w:rPr>
          <w:szCs w:val="24"/>
        </w:rPr>
        <w:t xml:space="preserve">В 2020 году </w:t>
      </w:r>
      <w:r w:rsidR="005A7AE1" w:rsidRPr="008C5119">
        <w:rPr>
          <w:szCs w:val="24"/>
        </w:rPr>
        <w:t>МСЭ-</w:t>
      </w:r>
      <w:r w:rsidR="005A7AE1" w:rsidRPr="008C5119">
        <w:rPr>
          <w:szCs w:val="24"/>
          <w:lang w:val="en-GB"/>
        </w:rPr>
        <w:t>D</w:t>
      </w:r>
      <w:r w:rsidR="005A7AE1" w:rsidRPr="008C5119">
        <w:rPr>
          <w:szCs w:val="24"/>
        </w:rPr>
        <w:t xml:space="preserve"> </w:t>
      </w:r>
      <w:r w:rsidR="005A7AE1">
        <w:rPr>
          <w:szCs w:val="24"/>
        </w:rPr>
        <w:t xml:space="preserve">были привлечены </w:t>
      </w:r>
      <w:r w:rsidRPr="008C5119">
        <w:rPr>
          <w:b/>
          <w:bCs/>
          <w:i/>
          <w:iCs/>
          <w:szCs w:val="24"/>
        </w:rPr>
        <w:t>10 новых Членов Сектора</w:t>
      </w:r>
      <w:r w:rsidRPr="008C5119">
        <w:rPr>
          <w:szCs w:val="24"/>
        </w:rPr>
        <w:t xml:space="preserve">: </w:t>
      </w:r>
      <w:r>
        <w:t>Сетевой информационный центр стран Африки</w:t>
      </w:r>
      <w:r w:rsidRPr="008C5119">
        <w:rPr>
          <w:szCs w:val="24"/>
        </w:rPr>
        <w:t xml:space="preserve"> </w:t>
      </w:r>
      <w:r w:rsidR="00091275" w:rsidRPr="008C5119">
        <w:rPr>
          <w:szCs w:val="24"/>
        </w:rPr>
        <w:t>(</w:t>
      </w:r>
      <w:r w:rsidR="0061367F">
        <w:rPr>
          <w:szCs w:val="24"/>
        </w:rPr>
        <w:t>Маврикий</w:t>
      </w:r>
      <w:r w:rsidR="00091275" w:rsidRPr="008C5119">
        <w:rPr>
          <w:szCs w:val="24"/>
        </w:rPr>
        <w:t xml:space="preserve">), </w:t>
      </w:r>
      <w:r>
        <w:t>Американский регистрационный центр номеров интернета</w:t>
      </w:r>
      <w:r w:rsidRPr="008C5119">
        <w:rPr>
          <w:szCs w:val="24"/>
        </w:rPr>
        <w:t xml:space="preserve"> </w:t>
      </w:r>
      <w:r w:rsidR="00091275" w:rsidRPr="008C5119">
        <w:rPr>
          <w:szCs w:val="24"/>
        </w:rPr>
        <w:t>(</w:t>
      </w:r>
      <w:r w:rsidR="0061367F">
        <w:rPr>
          <w:szCs w:val="24"/>
        </w:rPr>
        <w:t>США</w:t>
      </w:r>
      <w:r w:rsidR="00091275" w:rsidRPr="008C5119">
        <w:rPr>
          <w:szCs w:val="24"/>
        </w:rPr>
        <w:t xml:space="preserve">), </w:t>
      </w:r>
      <w:r w:rsidR="00091275" w:rsidRPr="00091275">
        <w:rPr>
          <w:szCs w:val="24"/>
          <w:lang w:val="en-GB"/>
        </w:rPr>
        <w:t>Bitsight</w:t>
      </w:r>
      <w:r w:rsidR="00091275" w:rsidRPr="008C5119">
        <w:rPr>
          <w:szCs w:val="24"/>
        </w:rPr>
        <w:t xml:space="preserve"> </w:t>
      </w:r>
      <w:r w:rsidR="00091275" w:rsidRPr="00091275">
        <w:rPr>
          <w:szCs w:val="24"/>
          <w:lang w:val="en-GB"/>
        </w:rPr>
        <w:t>Technologies</w:t>
      </w:r>
      <w:r w:rsidR="00091275" w:rsidRPr="008C5119">
        <w:rPr>
          <w:szCs w:val="24"/>
        </w:rPr>
        <w:t xml:space="preserve"> (</w:t>
      </w:r>
      <w:r w:rsidR="0061367F">
        <w:rPr>
          <w:szCs w:val="24"/>
        </w:rPr>
        <w:t>США</w:t>
      </w:r>
      <w:r w:rsidR="00091275" w:rsidRPr="008C5119">
        <w:rPr>
          <w:szCs w:val="24"/>
        </w:rPr>
        <w:t xml:space="preserve">), </w:t>
      </w:r>
      <w:r>
        <w:t xml:space="preserve">Международная организация подвижной спутниковой связи </w:t>
      </w:r>
      <w:r w:rsidR="00091275" w:rsidRPr="008C5119">
        <w:rPr>
          <w:szCs w:val="24"/>
        </w:rPr>
        <w:t>(</w:t>
      </w:r>
      <w:r w:rsidR="0061367F">
        <w:rPr>
          <w:szCs w:val="24"/>
        </w:rPr>
        <w:t>Соединенное</w:t>
      </w:r>
      <w:r w:rsidR="0061367F" w:rsidRPr="008C5119">
        <w:rPr>
          <w:szCs w:val="24"/>
        </w:rPr>
        <w:t xml:space="preserve"> </w:t>
      </w:r>
      <w:r w:rsidR="0061367F">
        <w:rPr>
          <w:szCs w:val="24"/>
        </w:rPr>
        <w:t>Королевство</w:t>
      </w:r>
      <w:r w:rsidR="00091275" w:rsidRPr="008C5119">
        <w:rPr>
          <w:szCs w:val="24"/>
        </w:rPr>
        <w:t xml:space="preserve">), </w:t>
      </w:r>
      <w:r w:rsidR="00091275" w:rsidRPr="00091275">
        <w:rPr>
          <w:szCs w:val="24"/>
          <w:lang w:val="en-GB"/>
        </w:rPr>
        <w:t>KAMALEON</w:t>
      </w:r>
      <w:r w:rsidR="00091275" w:rsidRPr="008C5119">
        <w:rPr>
          <w:szCs w:val="24"/>
        </w:rPr>
        <w:t xml:space="preserve"> (</w:t>
      </w:r>
      <w:r w:rsidR="0061367F">
        <w:rPr>
          <w:szCs w:val="24"/>
        </w:rPr>
        <w:t>Мозамбик</w:t>
      </w:r>
      <w:r w:rsidR="00091275" w:rsidRPr="008C5119">
        <w:rPr>
          <w:szCs w:val="24"/>
        </w:rPr>
        <w:t xml:space="preserve">), </w:t>
      </w:r>
      <w:r w:rsidR="00091275" w:rsidRPr="00091275">
        <w:rPr>
          <w:szCs w:val="24"/>
          <w:lang w:val="en-GB"/>
        </w:rPr>
        <w:t>Polyverse</w:t>
      </w:r>
      <w:r w:rsidR="00091275" w:rsidRPr="008C5119">
        <w:rPr>
          <w:szCs w:val="24"/>
        </w:rPr>
        <w:t xml:space="preserve"> </w:t>
      </w:r>
      <w:r w:rsidR="00091275" w:rsidRPr="00091275">
        <w:rPr>
          <w:szCs w:val="24"/>
          <w:lang w:val="en-GB"/>
        </w:rPr>
        <w:t>Corporation</w:t>
      </w:r>
      <w:r w:rsidR="00091275" w:rsidRPr="008C5119">
        <w:rPr>
          <w:szCs w:val="24"/>
        </w:rPr>
        <w:t xml:space="preserve"> (</w:t>
      </w:r>
      <w:r w:rsidR="0061367F">
        <w:rPr>
          <w:szCs w:val="24"/>
        </w:rPr>
        <w:t>США</w:t>
      </w:r>
      <w:r w:rsidR="00091275" w:rsidRPr="008C5119">
        <w:rPr>
          <w:szCs w:val="24"/>
        </w:rPr>
        <w:t xml:space="preserve">), </w:t>
      </w:r>
      <w:r w:rsidR="00091275" w:rsidRPr="00091275">
        <w:rPr>
          <w:szCs w:val="24"/>
          <w:lang w:val="en-GB"/>
        </w:rPr>
        <w:t>SBA</w:t>
      </w:r>
      <w:r w:rsidR="00091275" w:rsidRPr="008C5119">
        <w:rPr>
          <w:szCs w:val="24"/>
        </w:rPr>
        <w:t xml:space="preserve"> </w:t>
      </w:r>
      <w:r w:rsidR="00091275" w:rsidRPr="00091275">
        <w:rPr>
          <w:szCs w:val="24"/>
          <w:lang w:val="en-GB"/>
        </w:rPr>
        <w:t>Communications</w:t>
      </w:r>
      <w:r w:rsidR="00091275" w:rsidRPr="008C5119">
        <w:rPr>
          <w:szCs w:val="24"/>
        </w:rPr>
        <w:t xml:space="preserve"> (</w:t>
      </w:r>
      <w:r w:rsidR="0061367F">
        <w:rPr>
          <w:szCs w:val="24"/>
        </w:rPr>
        <w:t>США</w:t>
      </w:r>
      <w:r w:rsidR="00091275" w:rsidRPr="008C5119">
        <w:rPr>
          <w:szCs w:val="24"/>
        </w:rPr>
        <w:t xml:space="preserve">), </w:t>
      </w:r>
      <w:r w:rsidR="00091275" w:rsidRPr="00091275">
        <w:rPr>
          <w:szCs w:val="24"/>
          <w:lang w:val="en-GB"/>
        </w:rPr>
        <w:t>Welchman</w:t>
      </w:r>
      <w:r w:rsidR="00091275" w:rsidRPr="008C5119">
        <w:rPr>
          <w:szCs w:val="24"/>
        </w:rPr>
        <w:t xml:space="preserve"> </w:t>
      </w:r>
      <w:r w:rsidR="00091275" w:rsidRPr="00091275">
        <w:rPr>
          <w:szCs w:val="24"/>
          <w:lang w:val="en-GB"/>
        </w:rPr>
        <w:t>Keen</w:t>
      </w:r>
      <w:r w:rsidR="00091275" w:rsidRPr="008C5119">
        <w:rPr>
          <w:szCs w:val="24"/>
        </w:rPr>
        <w:t xml:space="preserve"> (</w:t>
      </w:r>
      <w:r w:rsidR="0061367F">
        <w:rPr>
          <w:szCs w:val="24"/>
        </w:rPr>
        <w:t>Сингапур</w:t>
      </w:r>
      <w:r w:rsidR="00091275" w:rsidRPr="008C5119">
        <w:rPr>
          <w:szCs w:val="24"/>
        </w:rPr>
        <w:t xml:space="preserve">), </w:t>
      </w:r>
      <w:r>
        <w:t xml:space="preserve">Всемирный исследовательский форум по беспроводным технологиям </w:t>
      </w:r>
      <w:r w:rsidR="00091275" w:rsidRPr="008C5119">
        <w:rPr>
          <w:szCs w:val="24"/>
        </w:rPr>
        <w:t>(</w:t>
      </w:r>
      <w:r w:rsidR="0061367F">
        <w:rPr>
          <w:szCs w:val="24"/>
        </w:rPr>
        <w:t>Швейцария</w:t>
      </w:r>
      <w:r w:rsidR="00091275" w:rsidRPr="008C5119">
        <w:rPr>
          <w:szCs w:val="24"/>
        </w:rPr>
        <w:t xml:space="preserve">), </w:t>
      </w:r>
      <w:r w:rsidR="00091275" w:rsidRPr="00091275">
        <w:rPr>
          <w:szCs w:val="24"/>
          <w:lang w:val="en-GB"/>
        </w:rPr>
        <w:t>Registro</w:t>
      </w:r>
      <w:r w:rsidR="00091275" w:rsidRPr="008C5119">
        <w:rPr>
          <w:szCs w:val="24"/>
        </w:rPr>
        <w:t xml:space="preserve"> </w:t>
      </w:r>
      <w:r w:rsidR="00091275" w:rsidRPr="00091275">
        <w:rPr>
          <w:szCs w:val="24"/>
          <w:lang w:val="en-GB"/>
        </w:rPr>
        <w:t>de</w:t>
      </w:r>
      <w:r w:rsidR="00091275" w:rsidRPr="008C5119">
        <w:rPr>
          <w:szCs w:val="24"/>
        </w:rPr>
        <w:t xml:space="preserve"> </w:t>
      </w:r>
      <w:r w:rsidR="00091275" w:rsidRPr="00091275">
        <w:rPr>
          <w:szCs w:val="24"/>
          <w:lang w:val="en-GB"/>
        </w:rPr>
        <w:t>Direcciones</w:t>
      </w:r>
      <w:r w:rsidR="00091275" w:rsidRPr="008C5119">
        <w:rPr>
          <w:szCs w:val="24"/>
        </w:rPr>
        <w:t xml:space="preserve"> </w:t>
      </w:r>
      <w:r w:rsidR="00091275" w:rsidRPr="00091275">
        <w:rPr>
          <w:szCs w:val="24"/>
          <w:lang w:val="en-GB"/>
        </w:rPr>
        <w:t>de</w:t>
      </w:r>
      <w:r w:rsidR="00091275" w:rsidRPr="008C5119">
        <w:rPr>
          <w:szCs w:val="24"/>
        </w:rPr>
        <w:t xml:space="preserve"> </w:t>
      </w:r>
      <w:r w:rsidR="00091275" w:rsidRPr="00091275">
        <w:rPr>
          <w:szCs w:val="24"/>
          <w:lang w:val="en-GB"/>
        </w:rPr>
        <w:t>Internet</w:t>
      </w:r>
      <w:r w:rsidR="00091275" w:rsidRPr="008C5119">
        <w:rPr>
          <w:szCs w:val="24"/>
        </w:rPr>
        <w:t xml:space="preserve"> </w:t>
      </w:r>
      <w:r w:rsidR="00091275" w:rsidRPr="00091275">
        <w:rPr>
          <w:szCs w:val="24"/>
          <w:lang w:val="en-GB"/>
        </w:rPr>
        <w:t>para</w:t>
      </w:r>
      <w:r w:rsidR="00091275" w:rsidRPr="008C5119">
        <w:rPr>
          <w:szCs w:val="24"/>
        </w:rPr>
        <w:t xml:space="preserve"> </w:t>
      </w:r>
      <w:r w:rsidR="00091275" w:rsidRPr="00091275">
        <w:rPr>
          <w:szCs w:val="24"/>
          <w:lang w:val="en-GB"/>
        </w:rPr>
        <w:t>Am</w:t>
      </w:r>
      <w:r w:rsidR="00091275" w:rsidRPr="008C5119">
        <w:rPr>
          <w:szCs w:val="24"/>
        </w:rPr>
        <w:t>é</w:t>
      </w:r>
      <w:r w:rsidR="00091275" w:rsidRPr="00091275">
        <w:rPr>
          <w:szCs w:val="24"/>
          <w:lang w:val="en-GB"/>
        </w:rPr>
        <w:t>rica</w:t>
      </w:r>
      <w:r w:rsidR="00091275" w:rsidRPr="008C5119">
        <w:rPr>
          <w:szCs w:val="24"/>
        </w:rPr>
        <w:t xml:space="preserve"> </w:t>
      </w:r>
      <w:r w:rsidR="00091275" w:rsidRPr="00091275">
        <w:rPr>
          <w:szCs w:val="24"/>
          <w:lang w:val="en-GB"/>
        </w:rPr>
        <w:t>Latina</w:t>
      </w:r>
      <w:r w:rsidR="00091275" w:rsidRPr="008C5119">
        <w:rPr>
          <w:szCs w:val="24"/>
        </w:rPr>
        <w:t xml:space="preserve"> </w:t>
      </w:r>
      <w:r w:rsidR="00091275" w:rsidRPr="00091275">
        <w:rPr>
          <w:szCs w:val="24"/>
          <w:lang w:val="en-GB"/>
        </w:rPr>
        <w:t>y</w:t>
      </w:r>
      <w:r w:rsidR="00091275" w:rsidRPr="008C5119">
        <w:rPr>
          <w:szCs w:val="24"/>
        </w:rPr>
        <w:t xml:space="preserve"> </w:t>
      </w:r>
      <w:r w:rsidR="00091275" w:rsidRPr="00091275">
        <w:rPr>
          <w:szCs w:val="24"/>
          <w:lang w:val="en-GB"/>
        </w:rPr>
        <w:t>Caribe</w:t>
      </w:r>
      <w:r w:rsidR="00091275" w:rsidRPr="008C5119">
        <w:rPr>
          <w:szCs w:val="24"/>
        </w:rPr>
        <w:t xml:space="preserve"> (</w:t>
      </w:r>
      <w:r w:rsidR="0061367F">
        <w:rPr>
          <w:szCs w:val="24"/>
        </w:rPr>
        <w:t>Уругвай</w:t>
      </w:r>
      <w:r w:rsidR="00091275" w:rsidRPr="008C5119">
        <w:rPr>
          <w:szCs w:val="24"/>
        </w:rPr>
        <w:t xml:space="preserve">). </w:t>
      </w:r>
      <w:r w:rsidRPr="008C5119">
        <w:rPr>
          <w:szCs w:val="24"/>
        </w:rPr>
        <w:t>МСЭ-</w:t>
      </w:r>
      <w:r w:rsidRPr="008C5119">
        <w:rPr>
          <w:szCs w:val="24"/>
          <w:lang w:val="en-GB"/>
        </w:rPr>
        <w:t>D</w:t>
      </w:r>
      <w:r w:rsidRPr="008C5119">
        <w:rPr>
          <w:szCs w:val="24"/>
        </w:rPr>
        <w:t xml:space="preserve"> также привлек </w:t>
      </w:r>
      <w:r w:rsidRPr="008C5119">
        <w:rPr>
          <w:b/>
          <w:bCs/>
          <w:i/>
          <w:iCs/>
          <w:szCs w:val="24"/>
        </w:rPr>
        <w:t>4 новых Ассоциированных Члена</w:t>
      </w:r>
      <w:r w:rsidR="00091275" w:rsidRPr="008C5119">
        <w:rPr>
          <w:szCs w:val="24"/>
        </w:rPr>
        <w:t xml:space="preserve">: </w:t>
      </w:r>
      <w:r w:rsidRPr="008C5119">
        <w:rPr>
          <w:szCs w:val="24"/>
        </w:rPr>
        <w:t xml:space="preserve">Специализированный центр компьютерного обучения </w:t>
      </w:r>
      <w:r>
        <w:rPr>
          <w:szCs w:val="24"/>
        </w:rPr>
        <w:t xml:space="preserve">имени </w:t>
      </w:r>
      <w:r w:rsidRPr="008C5119">
        <w:rPr>
          <w:szCs w:val="24"/>
        </w:rPr>
        <w:t>Ал</w:t>
      </w:r>
      <w:r>
        <w:rPr>
          <w:szCs w:val="24"/>
        </w:rPr>
        <w:t>ь</w:t>
      </w:r>
      <w:r w:rsidRPr="008C5119">
        <w:rPr>
          <w:szCs w:val="24"/>
        </w:rPr>
        <w:t>маахад</w:t>
      </w:r>
      <w:r>
        <w:rPr>
          <w:szCs w:val="24"/>
        </w:rPr>
        <w:t>а</w:t>
      </w:r>
      <w:r w:rsidRPr="008C5119">
        <w:rPr>
          <w:szCs w:val="24"/>
        </w:rPr>
        <w:t xml:space="preserve"> Ал</w:t>
      </w:r>
      <w:r>
        <w:rPr>
          <w:szCs w:val="24"/>
        </w:rPr>
        <w:t>ь</w:t>
      </w:r>
      <w:r w:rsidRPr="008C5119">
        <w:rPr>
          <w:szCs w:val="24"/>
        </w:rPr>
        <w:t>мутагадем</w:t>
      </w:r>
      <w:r>
        <w:rPr>
          <w:szCs w:val="24"/>
        </w:rPr>
        <w:t>а</w:t>
      </w:r>
      <w:r w:rsidRPr="008C5119">
        <w:rPr>
          <w:szCs w:val="24"/>
        </w:rPr>
        <w:t xml:space="preserve"> </w:t>
      </w:r>
      <w:r w:rsidR="00091275" w:rsidRPr="008C5119">
        <w:rPr>
          <w:szCs w:val="24"/>
        </w:rPr>
        <w:t>(</w:t>
      </w:r>
      <w:r w:rsidR="0061367F">
        <w:rPr>
          <w:szCs w:val="24"/>
        </w:rPr>
        <w:t>Судан</w:t>
      </w:r>
      <w:r w:rsidR="00091275" w:rsidRPr="008C5119">
        <w:rPr>
          <w:szCs w:val="24"/>
        </w:rPr>
        <w:t xml:space="preserve">), </w:t>
      </w:r>
      <w:r w:rsidR="00091275" w:rsidRPr="00091275">
        <w:rPr>
          <w:szCs w:val="24"/>
          <w:lang w:val="en-GB"/>
        </w:rPr>
        <w:t>Just</w:t>
      </w:r>
      <w:r w:rsidR="00091275" w:rsidRPr="008C5119">
        <w:rPr>
          <w:szCs w:val="24"/>
        </w:rPr>
        <w:t>-</w:t>
      </w:r>
      <w:r w:rsidR="00091275" w:rsidRPr="00091275">
        <w:rPr>
          <w:szCs w:val="24"/>
          <w:lang w:val="en-GB"/>
        </w:rPr>
        <w:t>ICT</w:t>
      </w:r>
      <w:r w:rsidR="00091275" w:rsidRPr="008C5119">
        <w:rPr>
          <w:szCs w:val="24"/>
        </w:rPr>
        <w:t xml:space="preserve"> </w:t>
      </w:r>
      <w:r w:rsidR="00091275" w:rsidRPr="00091275">
        <w:rPr>
          <w:szCs w:val="24"/>
          <w:lang w:val="en-GB"/>
        </w:rPr>
        <w:t>Dubai</w:t>
      </w:r>
      <w:r w:rsidR="00091275" w:rsidRPr="008C5119">
        <w:rPr>
          <w:szCs w:val="24"/>
        </w:rPr>
        <w:t xml:space="preserve"> (</w:t>
      </w:r>
      <w:r w:rsidR="0061367F">
        <w:rPr>
          <w:szCs w:val="24"/>
        </w:rPr>
        <w:t>ОАЭ</w:t>
      </w:r>
      <w:r w:rsidR="00091275" w:rsidRPr="008C5119">
        <w:rPr>
          <w:szCs w:val="24"/>
        </w:rPr>
        <w:t xml:space="preserve">), </w:t>
      </w:r>
      <w:r>
        <w:t xml:space="preserve">Фонд </w:t>
      </w:r>
      <w:r w:rsidR="00091275" w:rsidRPr="00091275">
        <w:rPr>
          <w:szCs w:val="24"/>
          <w:lang w:val="en-GB"/>
        </w:rPr>
        <w:t>OISTE</w:t>
      </w:r>
      <w:r w:rsidR="00091275" w:rsidRPr="008C5119">
        <w:rPr>
          <w:szCs w:val="24"/>
        </w:rPr>
        <w:t xml:space="preserve"> (</w:t>
      </w:r>
      <w:r w:rsidR="0061367F">
        <w:rPr>
          <w:szCs w:val="24"/>
        </w:rPr>
        <w:t>Швейцария</w:t>
      </w:r>
      <w:r w:rsidR="00091275" w:rsidRPr="008C5119">
        <w:rPr>
          <w:szCs w:val="24"/>
        </w:rPr>
        <w:t xml:space="preserve">), </w:t>
      </w:r>
      <w:r w:rsidR="00091275" w:rsidRPr="00091275">
        <w:rPr>
          <w:szCs w:val="24"/>
          <w:lang w:val="en-GB"/>
        </w:rPr>
        <w:t>Promotion</w:t>
      </w:r>
      <w:r w:rsidR="00091275" w:rsidRPr="008C5119">
        <w:rPr>
          <w:szCs w:val="24"/>
        </w:rPr>
        <w:t xml:space="preserve"> </w:t>
      </w:r>
      <w:r w:rsidR="00091275" w:rsidRPr="00091275">
        <w:rPr>
          <w:szCs w:val="24"/>
          <w:lang w:val="en-GB"/>
        </w:rPr>
        <w:t>de</w:t>
      </w:r>
      <w:r w:rsidR="00091275" w:rsidRPr="008C5119">
        <w:rPr>
          <w:szCs w:val="24"/>
        </w:rPr>
        <w:t xml:space="preserve"> </w:t>
      </w:r>
      <w:r w:rsidR="00091275" w:rsidRPr="00091275">
        <w:rPr>
          <w:szCs w:val="24"/>
          <w:lang w:val="en-GB"/>
        </w:rPr>
        <w:t>la</w:t>
      </w:r>
      <w:r w:rsidR="00091275" w:rsidRPr="008C5119">
        <w:rPr>
          <w:szCs w:val="24"/>
        </w:rPr>
        <w:t xml:space="preserve"> </w:t>
      </w:r>
      <w:r w:rsidR="00091275" w:rsidRPr="00091275">
        <w:rPr>
          <w:szCs w:val="24"/>
          <w:lang w:val="en-GB"/>
        </w:rPr>
        <w:t>Technologie</w:t>
      </w:r>
      <w:r w:rsidR="00091275" w:rsidRPr="008C5119">
        <w:rPr>
          <w:szCs w:val="24"/>
        </w:rPr>
        <w:t xml:space="preserve"> (</w:t>
      </w:r>
      <w:r w:rsidR="0061367F">
        <w:rPr>
          <w:szCs w:val="24"/>
        </w:rPr>
        <w:t>Демократическая</w:t>
      </w:r>
      <w:r w:rsidR="0061367F" w:rsidRPr="008C5119">
        <w:rPr>
          <w:szCs w:val="24"/>
        </w:rPr>
        <w:t xml:space="preserve"> </w:t>
      </w:r>
      <w:r w:rsidR="0061367F">
        <w:rPr>
          <w:szCs w:val="24"/>
        </w:rPr>
        <w:t>Республика</w:t>
      </w:r>
      <w:r w:rsidR="0061367F" w:rsidRPr="008C5119">
        <w:rPr>
          <w:szCs w:val="24"/>
        </w:rPr>
        <w:t xml:space="preserve"> </w:t>
      </w:r>
      <w:r w:rsidR="0061367F">
        <w:rPr>
          <w:szCs w:val="24"/>
        </w:rPr>
        <w:t>Конго</w:t>
      </w:r>
      <w:r w:rsidR="00091275" w:rsidRPr="008C5119">
        <w:rPr>
          <w:szCs w:val="24"/>
        </w:rPr>
        <w:t xml:space="preserve">). </w:t>
      </w:r>
    </w:p>
    <w:p w14:paraId="7326877F" w14:textId="1178D2B6" w:rsidR="00091275" w:rsidRPr="008C5119" w:rsidRDefault="008C5119" w:rsidP="00091275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after="120"/>
        <w:rPr>
          <w:szCs w:val="24"/>
        </w:rPr>
      </w:pPr>
      <w:r w:rsidRPr="00C72BC5">
        <w:rPr>
          <w:szCs w:val="24"/>
        </w:rPr>
        <w:t>В первом квартале 2021 года МСЭ-</w:t>
      </w:r>
      <w:r w:rsidRPr="008C5119">
        <w:rPr>
          <w:szCs w:val="24"/>
          <w:lang w:val="en-GB"/>
        </w:rPr>
        <w:t>D</w:t>
      </w:r>
      <w:r w:rsidRPr="00C72BC5">
        <w:rPr>
          <w:szCs w:val="24"/>
        </w:rPr>
        <w:t xml:space="preserve"> привлек </w:t>
      </w:r>
      <w:r w:rsidRPr="00C72BC5">
        <w:rPr>
          <w:b/>
          <w:bCs/>
          <w:i/>
          <w:iCs/>
          <w:szCs w:val="24"/>
        </w:rPr>
        <w:t xml:space="preserve">4 новых </w:t>
      </w:r>
      <w:r w:rsidR="00C72BC5" w:rsidRPr="00C72BC5">
        <w:rPr>
          <w:b/>
          <w:bCs/>
          <w:i/>
          <w:iCs/>
          <w:szCs w:val="24"/>
        </w:rPr>
        <w:t>Член</w:t>
      </w:r>
      <w:r w:rsidR="00C72BC5">
        <w:rPr>
          <w:b/>
          <w:bCs/>
          <w:i/>
          <w:iCs/>
          <w:szCs w:val="24"/>
        </w:rPr>
        <w:t>а</w:t>
      </w:r>
      <w:r w:rsidR="00C72BC5" w:rsidRPr="00C72BC5">
        <w:rPr>
          <w:b/>
          <w:bCs/>
          <w:i/>
          <w:iCs/>
          <w:szCs w:val="24"/>
        </w:rPr>
        <w:t xml:space="preserve"> Сектора</w:t>
      </w:r>
      <w:r w:rsidRPr="00C72BC5">
        <w:rPr>
          <w:szCs w:val="24"/>
        </w:rPr>
        <w:t xml:space="preserve">: </w:t>
      </w:r>
      <w:r w:rsidRPr="008C5119">
        <w:rPr>
          <w:szCs w:val="24"/>
          <w:lang w:val="en-GB"/>
        </w:rPr>
        <w:t>Axon</w:t>
      </w:r>
      <w:r w:rsidRPr="00C72BC5">
        <w:rPr>
          <w:szCs w:val="24"/>
        </w:rPr>
        <w:t xml:space="preserve"> </w:t>
      </w:r>
      <w:r w:rsidRPr="008C5119">
        <w:rPr>
          <w:szCs w:val="24"/>
          <w:lang w:val="en-GB"/>
        </w:rPr>
        <w:t>Partners</w:t>
      </w:r>
      <w:r w:rsidRPr="00C72BC5">
        <w:rPr>
          <w:szCs w:val="24"/>
        </w:rPr>
        <w:t xml:space="preserve"> </w:t>
      </w:r>
      <w:r w:rsidRPr="008C5119">
        <w:rPr>
          <w:szCs w:val="24"/>
          <w:lang w:val="en-GB"/>
        </w:rPr>
        <w:t>Group</w:t>
      </w:r>
      <w:r w:rsidRPr="00C72BC5">
        <w:rPr>
          <w:szCs w:val="24"/>
        </w:rPr>
        <w:t xml:space="preserve"> (Испания), </w:t>
      </w:r>
      <w:r w:rsidRPr="008C5119">
        <w:rPr>
          <w:szCs w:val="24"/>
          <w:lang w:val="en-GB"/>
        </w:rPr>
        <w:t>Deloitte</w:t>
      </w:r>
      <w:r w:rsidRPr="00C72BC5">
        <w:rPr>
          <w:szCs w:val="24"/>
        </w:rPr>
        <w:t xml:space="preserve"> </w:t>
      </w:r>
      <w:r w:rsidRPr="008C5119">
        <w:rPr>
          <w:szCs w:val="24"/>
          <w:lang w:val="en-GB"/>
        </w:rPr>
        <w:t>Risk</w:t>
      </w:r>
      <w:r w:rsidRPr="00C72BC5">
        <w:rPr>
          <w:szCs w:val="24"/>
        </w:rPr>
        <w:t xml:space="preserve"> </w:t>
      </w:r>
      <w:r w:rsidRPr="008C5119">
        <w:rPr>
          <w:szCs w:val="24"/>
          <w:lang w:val="en-GB"/>
        </w:rPr>
        <w:t>Advisory</w:t>
      </w:r>
      <w:r w:rsidRPr="00C72BC5">
        <w:rPr>
          <w:szCs w:val="24"/>
        </w:rPr>
        <w:t xml:space="preserve"> (Италия), </w:t>
      </w:r>
      <w:r w:rsidRPr="008C5119">
        <w:rPr>
          <w:szCs w:val="24"/>
          <w:lang w:val="en-GB"/>
        </w:rPr>
        <w:t>New</w:t>
      </w:r>
      <w:r w:rsidRPr="00C72BC5">
        <w:rPr>
          <w:szCs w:val="24"/>
        </w:rPr>
        <w:t xml:space="preserve"> </w:t>
      </w:r>
      <w:r w:rsidRPr="008C5119">
        <w:rPr>
          <w:szCs w:val="24"/>
          <w:lang w:val="en-GB"/>
        </w:rPr>
        <w:t>Jersey</w:t>
      </w:r>
      <w:r w:rsidRPr="00C72BC5">
        <w:rPr>
          <w:szCs w:val="24"/>
        </w:rPr>
        <w:t xml:space="preserve"> </w:t>
      </w:r>
      <w:r w:rsidRPr="008C5119">
        <w:rPr>
          <w:szCs w:val="24"/>
          <w:lang w:val="en-GB"/>
        </w:rPr>
        <w:t>Fiber</w:t>
      </w:r>
      <w:r w:rsidRPr="00C72BC5">
        <w:rPr>
          <w:szCs w:val="24"/>
        </w:rPr>
        <w:t xml:space="preserve"> </w:t>
      </w:r>
      <w:r w:rsidRPr="008C5119">
        <w:rPr>
          <w:szCs w:val="24"/>
          <w:lang w:val="en-GB"/>
        </w:rPr>
        <w:t>Exchange</w:t>
      </w:r>
      <w:r w:rsidRPr="00C72BC5">
        <w:rPr>
          <w:szCs w:val="24"/>
        </w:rPr>
        <w:t xml:space="preserve"> (США) и </w:t>
      </w:r>
      <w:r w:rsidRPr="008C5119">
        <w:rPr>
          <w:szCs w:val="24"/>
          <w:lang w:val="en-GB"/>
        </w:rPr>
        <w:t>Security</w:t>
      </w:r>
      <w:r w:rsidRPr="00C72BC5">
        <w:rPr>
          <w:szCs w:val="24"/>
        </w:rPr>
        <w:t xml:space="preserve"> </w:t>
      </w:r>
      <w:r w:rsidRPr="008C5119">
        <w:rPr>
          <w:szCs w:val="24"/>
          <w:lang w:val="en-GB"/>
        </w:rPr>
        <w:t>Alliance</w:t>
      </w:r>
      <w:r w:rsidRPr="00C72BC5">
        <w:rPr>
          <w:szCs w:val="24"/>
        </w:rPr>
        <w:t xml:space="preserve"> </w:t>
      </w:r>
      <w:r w:rsidRPr="008C5119">
        <w:rPr>
          <w:szCs w:val="24"/>
          <w:lang w:val="en-GB"/>
        </w:rPr>
        <w:t>Limited</w:t>
      </w:r>
      <w:r w:rsidRPr="00C72BC5">
        <w:rPr>
          <w:szCs w:val="24"/>
        </w:rPr>
        <w:t xml:space="preserve"> (Великобритания). </w:t>
      </w:r>
      <w:r w:rsidRPr="008C5119">
        <w:rPr>
          <w:szCs w:val="24"/>
        </w:rPr>
        <w:t xml:space="preserve">Кроме того, </w:t>
      </w:r>
      <w:r w:rsidRPr="00C72BC5">
        <w:rPr>
          <w:b/>
          <w:bCs/>
          <w:i/>
          <w:iCs/>
          <w:szCs w:val="24"/>
        </w:rPr>
        <w:t xml:space="preserve">5 новых </w:t>
      </w:r>
      <w:r w:rsidR="00C72BC5" w:rsidRPr="00C72BC5">
        <w:rPr>
          <w:b/>
          <w:bCs/>
          <w:i/>
          <w:iCs/>
          <w:szCs w:val="24"/>
        </w:rPr>
        <w:t xml:space="preserve">Членов </w:t>
      </w:r>
      <w:r w:rsidRPr="00C72BC5">
        <w:rPr>
          <w:b/>
          <w:bCs/>
          <w:i/>
          <w:iCs/>
          <w:szCs w:val="24"/>
        </w:rPr>
        <w:t>Сектора</w:t>
      </w:r>
      <w:r w:rsidRPr="008C5119">
        <w:rPr>
          <w:szCs w:val="24"/>
        </w:rPr>
        <w:t xml:space="preserve"> завершают процесс присоединения </w:t>
      </w:r>
      <w:r w:rsidR="00C72BC5">
        <w:rPr>
          <w:szCs w:val="24"/>
        </w:rPr>
        <w:t>и получат статус</w:t>
      </w:r>
      <w:r w:rsidRPr="008C5119">
        <w:rPr>
          <w:szCs w:val="24"/>
        </w:rPr>
        <w:t xml:space="preserve"> полноправны</w:t>
      </w:r>
      <w:r w:rsidR="00C72BC5">
        <w:rPr>
          <w:szCs w:val="24"/>
        </w:rPr>
        <w:t>х</w:t>
      </w:r>
      <w:r w:rsidRPr="008C5119">
        <w:rPr>
          <w:szCs w:val="24"/>
        </w:rPr>
        <w:t xml:space="preserve"> член</w:t>
      </w:r>
      <w:r w:rsidR="00C72BC5">
        <w:rPr>
          <w:szCs w:val="24"/>
        </w:rPr>
        <w:t>ов</w:t>
      </w:r>
      <w:r w:rsidRPr="008C5119">
        <w:rPr>
          <w:szCs w:val="24"/>
        </w:rPr>
        <w:t xml:space="preserve"> во втором квартале.</w:t>
      </w:r>
    </w:p>
    <w:p w14:paraId="6B3E45A1" w14:textId="011EE50E" w:rsidR="00091275" w:rsidRPr="00091275" w:rsidRDefault="00091275" w:rsidP="00091275">
      <w:pPr>
        <w:pStyle w:val="Heading2"/>
      </w:pPr>
      <w:r w:rsidRPr="00091275">
        <w:t>3.</w:t>
      </w:r>
      <w:r>
        <w:t>1</w:t>
      </w:r>
      <w:r w:rsidRPr="00091275">
        <w:tab/>
        <w:t>Академические организации в 20</w:t>
      </w:r>
      <w:r>
        <w:t>20</w:t>
      </w:r>
      <w:r w:rsidRPr="00091275">
        <w:t xml:space="preserve"> году</w:t>
      </w:r>
    </w:p>
    <w:p w14:paraId="2E1477A6" w14:textId="75A68428" w:rsidR="00091275" w:rsidRPr="000C23E0" w:rsidRDefault="00091275" w:rsidP="00091275">
      <w:r w:rsidRPr="000C23E0">
        <w:t>Академические организации участвуют в работе всех трех Секторов МСЭ при уплате единого сбора. Начиная с 2011 года к МСЭ присоединились более 2</w:t>
      </w:r>
      <w:r>
        <w:t>2</w:t>
      </w:r>
      <w:r w:rsidRPr="000C23E0">
        <w:t>0 Академических организаций. В 20</w:t>
      </w:r>
      <w:r>
        <w:t>20</w:t>
      </w:r>
      <w:r w:rsidRPr="000C23E0">
        <w:t xml:space="preserve"> году </w:t>
      </w:r>
      <w:r w:rsidRPr="000C23E0">
        <w:lastRenderedPageBreak/>
        <w:t xml:space="preserve">благодаря скоординированным Генеральным секретариатом усилиям </w:t>
      </w:r>
      <w:r w:rsidRPr="000C23E0">
        <w:rPr>
          <w:b/>
          <w:i/>
        </w:rPr>
        <w:t>2</w:t>
      </w:r>
      <w:r>
        <w:rPr>
          <w:b/>
          <w:i/>
        </w:rPr>
        <w:t>6</w:t>
      </w:r>
      <w:r w:rsidRPr="000C23E0">
        <w:rPr>
          <w:b/>
          <w:i/>
        </w:rPr>
        <w:t xml:space="preserve"> новы</w:t>
      </w:r>
      <w:r>
        <w:rPr>
          <w:b/>
          <w:i/>
        </w:rPr>
        <w:t>х</w:t>
      </w:r>
      <w:r w:rsidRPr="000C23E0">
        <w:rPr>
          <w:b/>
          <w:i/>
        </w:rPr>
        <w:t xml:space="preserve"> Академически</w:t>
      </w:r>
      <w:r>
        <w:rPr>
          <w:b/>
          <w:i/>
        </w:rPr>
        <w:t>х</w:t>
      </w:r>
      <w:r w:rsidRPr="000C23E0">
        <w:rPr>
          <w:b/>
          <w:i/>
        </w:rPr>
        <w:t xml:space="preserve"> организаци</w:t>
      </w:r>
      <w:r>
        <w:rPr>
          <w:b/>
          <w:i/>
        </w:rPr>
        <w:t>й</w:t>
      </w:r>
      <w:r w:rsidRPr="000C23E0">
        <w:rPr>
          <w:b/>
          <w:i/>
        </w:rPr>
        <w:t xml:space="preserve"> </w:t>
      </w:r>
      <w:r w:rsidRPr="000C23E0">
        <w:t>присоединились к работе трех Секторов МСЭ</w:t>
      </w:r>
      <w:r w:rsidRPr="000C23E0">
        <w:rPr>
          <w:rStyle w:val="FootnoteReference"/>
        </w:rPr>
        <w:footnoteReference w:id="5"/>
      </w:r>
      <w:r w:rsidRPr="000C23E0">
        <w:t>.</w:t>
      </w:r>
    </w:p>
    <w:p w14:paraId="46696C20" w14:textId="3F827C5B" w:rsidR="0040328D" w:rsidRPr="00C72BC5" w:rsidRDefault="00091275" w:rsidP="00091275">
      <w:pPr>
        <w:pStyle w:val="Heading1"/>
      </w:pPr>
      <w:r w:rsidRPr="00FE5BED">
        <w:t>4</w:t>
      </w:r>
      <w:r w:rsidRPr="00FE5BED">
        <w:tab/>
      </w:r>
      <w:r w:rsidR="00C72BC5">
        <w:t>Основные</w:t>
      </w:r>
      <w:r w:rsidR="00C72BC5" w:rsidRPr="00FE5BED">
        <w:t xml:space="preserve"> </w:t>
      </w:r>
      <w:r w:rsidR="00C72BC5">
        <w:t>мероприятия</w:t>
      </w:r>
      <w:r w:rsidR="00C72BC5" w:rsidRPr="00FE5BED">
        <w:t xml:space="preserve"> </w:t>
      </w:r>
      <w:r w:rsidR="00C72BC5">
        <w:t>по</w:t>
      </w:r>
      <w:r w:rsidR="00C72BC5" w:rsidRPr="00FE5BED">
        <w:t xml:space="preserve"> </w:t>
      </w:r>
      <w:r w:rsidR="00C72BC5">
        <w:t>вовлечению</w:t>
      </w:r>
      <w:r w:rsidR="00C72BC5" w:rsidRPr="00FE5BED">
        <w:t xml:space="preserve"> </w:t>
      </w:r>
      <w:r w:rsidR="00C72BC5">
        <w:t>Членов МСЭ-</w:t>
      </w:r>
      <w:r w:rsidR="00C72BC5">
        <w:rPr>
          <w:lang w:val="en-US"/>
        </w:rPr>
        <w:t>D</w:t>
      </w:r>
    </w:p>
    <w:p w14:paraId="47D49D70" w14:textId="3268A09A" w:rsidR="008C5119" w:rsidRPr="008C5119" w:rsidRDefault="00C72BC5" w:rsidP="008C5119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after="120"/>
        <w:rPr>
          <w:szCs w:val="24"/>
        </w:rPr>
      </w:pPr>
      <w:r>
        <w:rPr>
          <w:szCs w:val="24"/>
        </w:rPr>
        <w:t>Реализуемый в настоящее время с</w:t>
      </w:r>
      <w:r w:rsidR="008C5119" w:rsidRPr="008C5119">
        <w:rPr>
          <w:szCs w:val="24"/>
        </w:rPr>
        <w:t xml:space="preserve">тратегический подход к </w:t>
      </w:r>
      <w:r>
        <w:rPr>
          <w:szCs w:val="24"/>
        </w:rPr>
        <w:t>работе с членским составом</w:t>
      </w:r>
      <w:r w:rsidR="008C5119" w:rsidRPr="008C5119">
        <w:rPr>
          <w:szCs w:val="24"/>
        </w:rPr>
        <w:t xml:space="preserve"> МСЭ-</w:t>
      </w:r>
      <w:r>
        <w:rPr>
          <w:szCs w:val="24"/>
          <w:lang w:val="en-US"/>
        </w:rPr>
        <w:t>D</w:t>
      </w:r>
      <w:r w:rsidR="008C5119" w:rsidRPr="008C5119">
        <w:rPr>
          <w:szCs w:val="24"/>
        </w:rPr>
        <w:t xml:space="preserve"> основан на двух четких </w:t>
      </w:r>
      <w:r w:rsidR="00942D94">
        <w:rPr>
          <w:szCs w:val="24"/>
        </w:rPr>
        <w:t>направлениях</w:t>
      </w:r>
      <w:r>
        <w:rPr>
          <w:szCs w:val="24"/>
        </w:rPr>
        <w:t xml:space="preserve"> достижения результата</w:t>
      </w:r>
      <w:r w:rsidR="008C5119" w:rsidRPr="008C5119">
        <w:rPr>
          <w:szCs w:val="24"/>
        </w:rPr>
        <w:t xml:space="preserve">: </w:t>
      </w:r>
      <w:r>
        <w:rPr>
          <w:szCs w:val="24"/>
        </w:rPr>
        <w:t>привлечении новых членов</w:t>
      </w:r>
      <w:r w:rsidR="008C5119" w:rsidRPr="008C5119">
        <w:rPr>
          <w:szCs w:val="24"/>
        </w:rPr>
        <w:t xml:space="preserve"> и </w:t>
      </w:r>
      <w:r w:rsidR="00942D94">
        <w:rPr>
          <w:szCs w:val="24"/>
        </w:rPr>
        <w:t>более активно</w:t>
      </w:r>
      <w:r w:rsidR="000E1DBE">
        <w:rPr>
          <w:szCs w:val="24"/>
        </w:rPr>
        <w:t>м</w:t>
      </w:r>
      <w:r w:rsidR="008C5119" w:rsidRPr="008C5119">
        <w:rPr>
          <w:szCs w:val="24"/>
        </w:rPr>
        <w:t xml:space="preserve"> вовлечен</w:t>
      </w:r>
      <w:r w:rsidR="00942D94">
        <w:rPr>
          <w:szCs w:val="24"/>
        </w:rPr>
        <w:t>и</w:t>
      </w:r>
      <w:r w:rsidR="000E1DBE">
        <w:rPr>
          <w:szCs w:val="24"/>
        </w:rPr>
        <w:t>и</w:t>
      </w:r>
      <w:r w:rsidR="00942D94">
        <w:rPr>
          <w:szCs w:val="24"/>
        </w:rPr>
        <w:t xml:space="preserve"> членов</w:t>
      </w:r>
      <w:r w:rsidR="008C5119" w:rsidRPr="008C5119">
        <w:rPr>
          <w:szCs w:val="24"/>
        </w:rPr>
        <w:t xml:space="preserve"> в работу МСЭ-</w:t>
      </w:r>
      <w:r w:rsidR="00942D94">
        <w:rPr>
          <w:szCs w:val="24"/>
          <w:lang w:val="en-US"/>
        </w:rPr>
        <w:t>D</w:t>
      </w:r>
      <w:r w:rsidR="008C5119" w:rsidRPr="008C5119">
        <w:rPr>
          <w:szCs w:val="24"/>
        </w:rPr>
        <w:t xml:space="preserve">. В </w:t>
      </w:r>
      <w:r w:rsidR="00942D94">
        <w:rPr>
          <w:szCs w:val="24"/>
        </w:rPr>
        <w:t xml:space="preserve">рамках подхода применяются </w:t>
      </w:r>
      <w:r w:rsidR="00942D94">
        <w:t>принципы управления, ориентированн</w:t>
      </w:r>
      <w:r w:rsidR="000E1DBE">
        <w:t>ого</w:t>
      </w:r>
      <w:r w:rsidR="00942D94">
        <w:t xml:space="preserve"> на результаты</w:t>
      </w:r>
      <w:r w:rsidR="008C5119" w:rsidRPr="008C5119">
        <w:rPr>
          <w:szCs w:val="24"/>
        </w:rPr>
        <w:t xml:space="preserve">, </w:t>
      </w:r>
      <w:r w:rsidR="00942D94">
        <w:rPr>
          <w:szCs w:val="24"/>
        </w:rPr>
        <w:t>а также</w:t>
      </w:r>
      <w:r w:rsidR="008C5119" w:rsidRPr="008C5119">
        <w:rPr>
          <w:szCs w:val="24"/>
        </w:rPr>
        <w:t xml:space="preserve"> </w:t>
      </w:r>
      <w:r w:rsidR="00942D94">
        <w:rPr>
          <w:szCs w:val="24"/>
        </w:rPr>
        <w:t xml:space="preserve">формируется </w:t>
      </w:r>
      <w:r w:rsidR="008C5119" w:rsidRPr="008C5119">
        <w:rPr>
          <w:szCs w:val="24"/>
        </w:rPr>
        <w:t>синерги</w:t>
      </w:r>
      <w:r w:rsidR="00942D94">
        <w:rPr>
          <w:szCs w:val="24"/>
        </w:rPr>
        <w:t>я</w:t>
      </w:r>
      <w:r w:rsidR="008C5119" w:rsidRPr="008C5119">
        <w:rPr>
          <w:szCs w:val="24"/>
        </w:rPr>
        <w:t xml:space="preserve"> со стратегиями и планами проектов и партнерств, группами маркетинга и коммуникаций в</w:t>
      </w:r>
      <w:r w:rsidR="00942D94">
        <w:rPr>
          <w:szCs w:val="24"/>
        </w:rPr>
        <w:t xml:space="preserve"> рамках</w:t>
      </w:r>
      <w:r w:rsidR="008C5119" w:rsidRPr="008C5119">
        <w:rPr>
          <w:szCs w:val="24"/>
        </w:rPr>
        <w:t xml:space="preserve"> Б</w:t>
      </w:r>
      <w:r w:rsidR="00942D94">
        <w:rPr>
          <w:szCs w:val="24"/>
        </w:rPr>
        <w:t>РЭ</w:t>
      </w:r>
      <w:r w:rsidR="008C5119" w:rsidRPr="008C5119">
        <w:rPr>
          <w:szCs w:val="24"/>
        </w:rPr>
        <w:t xml:space="preserve"> и Генерально</w:t>
      </w:r>
      <w:r w:rsidR="00942D94">
        <w:rPr>
          <w:szCs w:val="24"/>
        </w:rPr>
        <w:t>го</w:t>
      </w:r>
      <w:r w:rsidR="008C5119" w:rsidRPr="008C5119">
        <w:rPr>
          <w:szCs w:val="24"/>
        </w:rPr>
        <w:t xml:space="preserve"> секретариат</w:t>
      </w:r>
      <w:r w:rsidR="00942D94">
        <w:rPr>
          <w:szCs w:val="24"/>
        </w:rPr>
        <w:t>а</w:t>
      </w:r>
      <w:r w:rsidR="008C5119" w:rsidRPr="008C5119">
        <w:rPr>
          <w:szCs w:val="24"/>
        </w:rPr>
        <w:t>. Кроме того, он подкреплен конкретными действиями по повышению осведомленности и наращиванию потенциала сотрудников Б</w:t>
      </w:r>
      <w:r w:rsidR="00942D94">
        <w:rPr>
          <w:szCs w:val="24"/>
        </w:rPr>
        <w:t>РЭ</w:t>
      </w:r>
      <w:r w:rsidR="008C5119" w:rsidRPr="008C5119">
        <w:rPr>
          <w:szCs w:val="24"/>
        </w:rPr>
        <w:t xml:space="preserve"> в области мониторинга, поиска, вовлечения и удержания членов.</w:t>
      </w:r>
    </w:p>
    <w:p w14:paraId="243F9CAE" w14:textId="1E0B5004" w:rsidR="00091275" w:rsidRPr="008C5119" w:rsidRDefault="008C5119" w:rsidP="00091275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after="120"/>
        <w:rPr>
          <w:szCs w:val="24"/>
        </w:rPr>
      </w:pPr>
      <w:r w:rsidRPr="008C5119">
        <w:rPr>
          <w:szCs w:val="24"/>
        </w:rPr>
        <w:t xml:space="preserve">В рамках направления </w:t>
      </w:r>
      <w:r w:rsidR="00942D94">
        <w:rPr>
          <w:szCs w:val="24"/>
        </w:rPr>
        <w:t>привлечения новых членов</w:t>
      </w:r>
      <w:r w:rsidRPr="008C5119">
        <w:rPr>
          <w:szCs w:val="24"/>
        </w:rPr>
        <w:t xml:space="preserve"> основное внимание уделяется расширению использования инструментов цифрового маркетинга для оценки, отбора и выявления</w:t>
      </w:r>
      <w:r w:rsidR="00D41FCD">
        <w:rPr>
          <w:szCs w:val="24"/>
        </w:rPr>
        <w:t xml:space="preserve"> соответствующих </w:t>
      </w:r>
      <w:r w:rsidR="00ED63F8">
        <w:rPr>
          <w:szCs w:val="24"/>
        </w:rPr>
        <w:t>перспективных</w:t>
      </w:r>
      <w:r w:rsidRPr="008C5119">
        <w:rPr>
          <w:szCs w:val="24"/>
        </w:rPr>
        <w:t xml:space="preserve"> </w:t>
      </w:r>
      <w:r w:rsidR="00ED63F8">
        <w:rPr>
          <w:szCs w:val="24"/>
        </w:rPr>
        <w:t xml:space="preserve">структур </w:t>
      </w:r>
      <w:r w:rsidRPr="008C5119">
        <w:rPr>
          <w:szCs w:val="24"/>
        </w:rPr>
        <w:t xml:space="preserve">в сфере ИКТ, а также для составления </w:t>
      </w:r>
      <w:r w:rsidR="00942D94">
        <w:rPr>
          <w:szCs w:val="24"/>
        </w:rPr>
        <w:t>перечней</w:t>
      </w:r>
      <w:r w:rsidRPr="008C5119">
        <w:rPr>
          <w:szCs w:val="24"/>
        </w:rPr>
        <w:t xml:space="preserve"> </w:t>
      </w:r>
      <w:r w:rsidR="00ED63F8" w:rsidRPr="00ED63F8">
        <w:rPr>
          <w:szCs w:val="24"/>
        </w:rPr>
        <w:t xml:space="preserve">перспективных </w:t>
      </w:r>
      <w:r w:rsidR="00ED63F8">
        <w:rPr>
          <w:szCs w:val="24"/>
        </w:rPr>
        <w:t xml:space="preserve">структур </w:t>
      </w:r>
      <w:r w:rsidRPr="008C5119">
        <w:rPr>
          <w:szCs w:val="24"/>
        </w:rPr>
        <w:t xml:space="preserve">по отраслевым сегментам, адресной рассылки таким сообществам </w:t>
      </w:r>
      <w:r w:rsidR="00942D94">
        <w:rPr>
          <w:szCs w:val="24"/>
        </w:rPr>
        <w:t>подготовленных пакетов</w:t>
      </w:r>
      <w:r w:rsidRPr="008C5119">
        <w:rPr>
          <w:szCs w:val="24"/>
        </w:rPr>
        <w:t xml:space="preserve"> контента, соответствующего интересам </w:t>
      </w:r>
      <w:r w:rsidR="00ED63F8" w:rsidRPr="00ED63F8">
        <w:rPr>
          <w:szCs w:val="24"/>
        </w:rPr>
        <w:t>перспективных структур</w:t>
      </w:r>
      <w:r w:rsidRPr="008C5119">
        <w:rPr>
          <w:szCs w:val="24"/>
        </w:rPr>
        <w:t xml:space="preserve">, повышения осведомленности </w:t>
      </w:r>
      <w:r w:rsidR="00ED63F8">
        <w:rPr>
          <w:szCs w:val="24"/>
        </w:rPr>
        <w:t xml:space="preserve">о </w:t>
      </w:r>
      <w:r w:rsidR="00ED63F8" w:rsidRPr="008C5119">
        <w:rPr>
          <w:szCs w:val="24"/>
        </w:rPr>
        <w:t>продукта</w:t>
      </w:r>
      <w:r w:rsidR="00ED63F8">
        <w:rPr>
          <w:szCs w:val="24"/>
        </w:rPr>
        <w:t>х</w:t>
      </w:r>
      <w:r w:rsidR="00ED63F8" w:rsidRPr="008C5119">
        <w:rPr>
          <w:szCs w:val="24"/>
        </w:rPr>
        <w:t xml:space="preserve"> и услуга</w:t>
      </w:r>
      <w:r w:rsidR="00ED63F8">
        <w:rPr>
          <w:szCs w:val="24"/>
        </w:rPr>
        <w:t>х</w:t>
      </w:r>
      <w:r w:rsidR="00ED63F8" w:rsidRPr="008C5119">
        <w:rPr>
          <w:szCs w:val="24"/>
        </w:rPr>
        <w:t xml:space="preserve"> Б</w:t>
      </w:r>
      <w:r w:rsidR="00ED63F8">
        <w:rPr>
          <w:szCs w:val="24"/>
        </w:rPr>
        <w:t>РЭ</w:t>
      </w:r>
      <w:r w:rsidR="00ED63F8" w:rsidRPr="008C5119">
        <w:rPr>
          <w:szCs w:val="24"/>
        </w:rPr>
        <w:t xml:space="preserve"> </w:t>
      </w:r>
      <w:r w:rsidRPr="008C5119">
        <w:rPr>
          <w:szCs w:val="24"/>
        </w:rPr>
        <w:t xml:space="preserve">и </w:t>
      </w:r>
      <w:r w:rsidR="00ED63F8">
        <w:rPr>
          <w:szCs w:val="24"/>
        </w:rPr>
        <w:t xml:space="preserve">повышения </w:t>
      </w:r>
      <w:r w:rsidRPr="008C5119">
        <w:rPr>
          <w:szCs w:val="24"/>
        </w:rPr>
        <w:t>интереса к</w:t>
      </w:r>
      <w:r w:rsidR="00ED63F8">
        <w:rPr>
          <w:szCs w:val="24"/>
        </w:rPr>
        <w:t xml:space="preserve"> ним</w:t>
      </w:r>
      <w:r w:rsidRPr="008C5119">
        <w:rPr>
          <w:szCs w:val="24"/>
        </w:rPr>
        <w:t xml:space="preserve">, а также </w:t>
      </w:r>
      <w:r w:rsidR="00942D94">
        <w:rPr>
          <w:szCs w:val="24"/>
        </w:rPr>
        <w:t>формирования</w:t>
      </w:r>
      <w:r w:rsidRPr="008C5119">
        <w:rPr>
          <w:szCs w:val="24"/>
        </w:rPr>
        <w:t xml:space="preserve"> интереса к предложениям и возможностям </w:t>
      </w:r>
      <w:r w:rsidR="00942D94">
        <w:rPr>
          <w:szCs w:val="24"/>
        </w:rPr>
        <w:t>для членов</w:t>
      </w:r>
      <w:r w:rsidRPr="008C5119">
        <w:rPr>
          <w:szCs w:val="24"/>
        </w:rPr>
        <w:t xml:space="preserve"> и содействия </w:t>
      </w:r>
      <w:r w:rsidR="00942D94">
        <w:rPr>
          <w:szCs w:val="24"/>
        </w:rPr>
        <w:t>присоединению к Сектору</w:t>
      </w:r>
      <w:r w:rsidRPr="008C5119">
        <w:rPr>
          <w:szCs w:val="24"/>
        </w:rPr>
        <w:t xml:space="preserve"> в</w:t>
      </w:r>
      <w:r w:rsidR="00942D94">
        <w:rPr>
          <w:szCs w:val="24"/>
        </w:rPr>
        <w:t xml:space="preserve"> качестве</w:t>
      </w:r>
      <w:r w:rsidRPr="008C5119">
        <w:rPr>
          <w:szCs w:val="24"/>
        </w:rPr>
        <w:t xml:space="preserve"> новых членов.</w:t>
      </w:r>
    </w:p>
    <w:p w14:paraId="376A9168" w14:textId="4AD416E3" w:rsidR="00091275" w:rsidRPr="008C5119" w:rsidRDefault="008C5119" w:rsidP="00091275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after="120"/>
        <w:rPr>
          <w:szCs w:val="24"/>
        </w:rPr>
      </w:pPr>
      <w:r w:rsidRPr="008C5119">
        <w:rPr>
          <w:szCs w:val="24"/>
        </w:rPr>
        <w:t>С 2020 года Б</w:t>
      </w:r>
      <w:r w:rsidR="00942D94">
        <w:rPr>
          <w:szCs w:val="24"/>
        </w:rPr>
        <w:t>РЭ</w:t>
      </w:r>
      <w:r w:rsidRPr="008C5119">
        <w:rPr>
          <w:szCs w:val="24"/>
        </w:rPr>
        <w:t xml:space="preserve"> проводит ряд мероприятий, направленных на </w:t>
      </w:r>
      <w:r w:rsidR="00942D94">
        <w:rPr>
          <w:szCs w:val="24"/>
        </w:rPr>
        <w:t>более активное</w:t>
      </w:r>
      <w:r w:rsidR="00942D94" w:rsidRPr="008C5119">
        <w:rPr>
          <w:szCs w:val="24"/>
        </w:rPr>
        <w:t xml:space="preserve"> вовлечен</w:t>
      </w:r>
      <w:r w:rsidR="00942D94">
        <w:rPr>
          <w:szCs w:val="24"/>
        </w:rPr>
        <w:t>ие членов</w:t>
      </w:r>
      <w:r w:rsidR="00942D94" w:rsidRPr="008C5119">
        <w:rPr>
          <w:szCs w:val="24"/>
        </w:rPr>
        <w:t xml:space="preserve"> </w:t>
      </w:r>
      <w:r w:rsidR="00942D94">
        <w:rPr>
          <w:szCs w:val="24"/>
        </w:rPr>
        <w:t xml:space="preserve">в работу </w:t>
      </w:r>
      <w:r w:rsidRPr="008C5119">
        <w:rPr>
          <w:szCs w:val="24"/>
        </w:rPr>
        <w:t>МСЭ-</w:t>
      </w:r>
      <w:r w:rsidRPr="008C5119">
        <w:rPr>
          <w:szCs w:val="24"/>
          <w:lang w:val="en-US"/>
        </w:rPr>
        <w:t>D</w:t>
      </w:r>
      <w:r w:rsidRPr="008C5119">
        <w:rPr>
          <w:szCs w:val="24"/>
        </w:rPr>
        <w:t xml:space="preserve"> и их участи</w:t>
      </w:r>
      <w:r w:rsidR="009D09B4">
        <w:rPr>
          <w:szCs w:val="24"/>
        </w:rPr>
        <w:t>е</w:t>
      </w:r>
      <w:r w:rsidRPr="008C5119">
        <w:rPr>
          <w:szCs w:val="24"/>
        </w:rPr>
        <w:t xml:space="preserve"> в мероприятиях и программах Сектора.</w:t>
      </w:r>
    </w:p>
    <w:p w14:paraId="0E592697" w14:textId="2866A1C4" w:rsidR="00091275" w:rsidRPr="00942D94" w:rsidRDefault="008C5119" w:rsidP="00091275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after="120"/>
        <w:rPr>
          <w:szCs w:val="24"/>
        </w:rPr>
      </w:pPr>
      <w:r w:rsidRPr="00942D94">
        <w:rPr>
          <w:szCs w:val="24"/>
        </w:rPr>
        <w:t xml:space="preserve">В </w:t>
      </w:r>
      <w:r w:rsidR="00942D94">
        <w:rPr>
          <w:szCs w:val="24"/>
        </w:rPr>
        <w:t>рамках этого направления работы</w:t>
      </w:r>
      <w:r w:rsidRPr="00942D94">
        <w:rPr>
          <w:szCs w:val="24"/>
        </w:rPr>
        <w:t xml:space="preserve"> Б</w:t>
      </w:r>
      <w:r w:rsidR="00942D94">
        <w:rPr>
          <w:szCs w:val="24"/>
        </w:rPr>
        <w:t>РЭ</w:t>
      </w:r>
      <w:r w:rsidRPr="00942D94">
        <w:rPr>
          <w:szCs w:val="24"/>
        </w:rPr>
        <w:t xml:space="preserve"> </w:t>
      </w:r>
      <w:r w:rsidR="00942D94">
        <w:rPr>
          <w:szCs w:val="24"/>
        </w:rPr>
        <w:t>были организованы</w:t>
      </w:r>
      <w:r w:rsidRPr="00942D94">
        <w:rPr>
          <w:szCs w:val="24"/>
        </w:rPr>
        <w:t xml:space="preserve"> следующие мероприятия:</w:t>
      </w:r>
    </w:p>
    <w:p w14:paraId="0D2A203D" w14:textId="1253662A" w:rsidR="00091275" w:rsidRDefault="0061367F" w:rsidP="0061367F">
      <w:pPr>
        <w:pStyle w:val="enumlev1"/>
      </w:pPr>
      <w:r w:rsidRPr="002D4770">
        <w:t>−</w:t>
      </w:r>
      <w:r w:rsidRPr="002D4770">
        <w:tab/>
      </w:r>
      <w:r w:rsidR="00942D94">
        <w:t>Собрание</w:t>
      </w:r>
      <w:r w:rsidR="008C5119" w:rsidRPr="008C5119">
        <w:t xml:space="preserve"> </w:t>
      </w:r>
      <w:r w:rsidR="00942D94" w:rsidRPr="002D4770">
        <w:rPr>
          <w:b/>
          <w:bCs/>
        </w:rPr>
        <w:t>Отраслевой к</w:t>
      </w:r>
      <w:r w:rsidR="008C5119" w:rsidRPr="002D4770">
        <w:rPr>
          <w:b/>
          <w:bCs/>
        </w:rPr>
        <w:t xml:space="preserve">онсультативной группы по вопросам развития и </w:t>
      </w:r>
      <w:r w:rsidR="00942D94" w:rsidRPr="002D4770">
        <w:rPr>
          <w:b/>
          <w:bCs/>
        </w:rPr>
        <w:t xml:space="preserve">старших сотрудников по регуляторным вопросам из частного сектора </w:t>
      </w:r>
      <w:r w:rsidR="008C5119" w:rsidRPr="002D4770">
        <w:rPr>
          <w:b/>
          <w:bCs/>
        </w:rPr>
        <w:t>(</w:t>
      </w:r>
      <w:r w:rsidR="008C5119" w:rsidRPr="002D4770">
        <w:rPr>
          <w:b/>
          <w:bCs/>
          <w:lang w:val="en-US"/>
        </w:rPr>
        <w:t>IAGD</w:t>
      </w:r>
      <w:r w:rsidR="002D4770" w:rsidRPr="002D4770">
        <w:rPr>
          <w:b/>
          <w:bCs/>
          <w:lang w:val="en-US"/>
        </w:rPr>
        <w:t>I</w:t>
      </w:r>
      <w:r w:rsidR="008C5119" w:rsidRPr="002D4770">
        <w:rPr>
          <w:b/>
          <w:bCs/>
        </w:rPr>
        <w:t>-</w:t>
      </w:r>
      <w:r w:rsidR="008C5119" w:rsidRPr="002D4770">
        <w:rPr>
          <w:b/>
          <w:bCs/>
          <w:lang w:val="en-US"/>
        </w:rPr>
        <w:t>CRO</w:t>
      </w:r>
      <w:r w:rsidR="008C5119" w:rsidRPr="002D4770">
        <w:rPr>
          <w:b/>
          <w:bCs/>
        </w:rPr>
        <w:t>)</w:t>
      </w:r>
      <w:r w:rsidR="008C5119" w:rsidRPr="008C5119">
        <w:t xml:space="preserve"> </w:t>
      </w:r>
      <w:r w:rsidR="009D09B4">
        <w:t xml:space="preserve">проведено </w:t>
      </w:r>
      <w:r w:rsidR="002D4770" w:rsidRPr="008C5119">
        <w:t>в виртуально</w:t>
      </w:r>
      <w:r w:rsidR="002D4770">
        <w:t>м</w:t>
      </w:r>
      <w:r w:rsidR="002D4770" w:rsidRPr="008C5119">
        <w:t xml:space="preserve"> </w:t>
      </w:r>
      <w:r w:rsidR="002D4770">
        <w:t>формате</w:t>
      </w:r>
      <w:r w:rsidR="002D4770" w:rsidRPr="008C5119">
        <w:t xml:space="preserve"> </w:t>
      </w:r>
      <w:r w:rsidR="008C5119" w:rsidRPr="008C5119">
        <w:t>31 августа 2020 года</w:t>
      </w:r>
      <w:r w:rsidR="002D4770">
        <w:t xml:space="preserve"> перед</w:t>
      </w:r>
      <w:r w:rsidR="008C5119" w:rsidRPr="008C5119">
        <w:t xml:space="preserve"> Глобальн</w:t>
      </w:r>
      <w:r w:rsidR="002D4770">
        <w:t>ы</w:t>
      </w:r>
      <w:r w:rsidR="008C5119" w:rsidRPr="008C5119">
        <w:t>м симпозиум</w:t>
      </w:r>
      <w:r w:rsidR="002D4770">
        <w:t>ом</w:t>
      </w:r>
      <w:r w:rsidR="008C5119" w:rsidRPr="008C5119">
        <w:t xml:space="preserve"> для </w:t>
      </w:r>
      <w:r w:rsidR="002D4770">
        <w:t>регуляторных</w:t>
      </w:r>
      <w:r w:rsidR="008C5119" w:rsidRPr="008C5119">
        <w:t xml:space="preserve"> органов (</w:t>
      </w:r>
      <w:r w:rsidR="002D4770">
        <w:t>ГСР</w:t>
      </w:r>
      <w:r w:rsidR="008C5119" w:rsidRPr="008C5119">
        <w:t xml:space="preserve">-20). На </w:t>
      </w:r>
      <w:r w:rsidR="009D09B4">
        <w:t xml:space="preserve">этом </w:t>
      </w:r>
      <w:r w:rsidR="002D4770">
        <w:t>собрании</w:t>
      </w:r>
      <w:r w:rsidR="008C5119" w:rsidRPr="008C5119">
        <w:t xml:space="preserve"> </w:t>
      </w:r>
      <w:r w:rsidR="008C5119" w:rsidRPr="008C5119">
        <w:rPr>
          <w:lang w:val="en-US"/>
        </w:rPr>
        <w:t>IAGDI</w:t>
      </w:r>
      <w:r w:rsidR="008C5119" w:rsidRPr="008C5119">
        <w:t>-</w:t>
      </w:r>
      <w:r w:rsidR="008C5119" w:rsidRPr="008C5119">
        <w:rPr>
          <w:lang w:val="en-US"/>
        </w:rPr>
        <w:t>CRO</w:t>
      </w:r>
      <w:r w:rsidR="008C5119" w:rsidRPr="008C5119">
        <w:t xml:space="preserve"> вновь подтвердил</w:t>
      </w:r>
      <w:r w:rsidR="009D09B4">
        <w:t>а</w:t>
      </w:r>
      <w:r w:rsidR="008C5119" w:rsidRPr="008C5119">
        <w:t xml:space="preserve"> </w:t>
      </w:r>
      <w:r w:rsidR="002D4770">
        <w:t>готовность</w:t>
      </w:r>
      <w:r w:rsidR="008C5119" w:rsidRPr="008C5119">
        <w:t xml:space="preserve"> </w:t>
      </w:r>
      <w:r w:rsidR="002D4770">
        <w:t>отрасли</w:t>
      </w:r>
      <w:r w:rsidR="008C5119" w:rsidRPr="008C5119">
        <w:t xml:space="preserve"> и частного сектора поддерживать правительства на этапе восстановления после пандемии </w:t>
      </w:r>
      <w:r w:rsidR="008C5119" w:rsidRPr="008C5119">
        <w:rPr>
          <w:lang w:val="en-US"/>
        </w:rPr>
        <w:t>COVID</w:t>
      </w:r>
      <w:r w:rsidR="008C5119" w:rsidRPr="008C5119">
        <w:t>-19, работать</w:t>
      </w:r>
      <w:r w:rsidR="002D4770">
        <w:t xml:space="preserve"> вместе</w:t>
      </w:r>
      <w:r w:rsidR="008C5119" w:rsidRPr="008C5119">
        <w:t xml:space="preserve"> с правительствами и регул</w:t>
      </w:r>
      <w:r w:rsidR="002D4770">
        <w:t>яторными</w:t>
      </w:r>
      <w:r w:rsidR="008C5119" w:rsidRPr="008C5119">
        <w:t xml:space="preserve"> органами</w:t>
      </w:r>
      <w:r w:rsidR="002D4770">
        <w:t xml:space="preserve"> для обеспечения лучшей готовности к</w:t>
      </w:r>
      <w:r w:rsidR="008C5119" w:rsidRPr="008C5119">
        <w:t xml:space="preserve"> подобным кризисам</w:t>
      </w:r>
      <w:r w:rsidR="002D4770" w:rsidRPr="002D4770">
        <w:t xml:space="preserve"> </w:t>
      </w:r>
      <w:r w:rsidR="002D4770">
        <w:t xml:space="preserve">в </w:t>
      </w:r>
      <w:r w:rsidR="002D4770" w:rsidRPr="008C5119">
        <w:t>будущ</w:t>
      </w:r>
      <w:r w:rsidR="002D4770">
        <w:t>е</w:t>
      </w:r>
      <w:r w:rsidR="002D4770" w:rsidRPr="008C5119">
        <w:t>м</w:t>
      </w:r>
      <w:r w:rsidR="009D09B4">
        <w:t xml:space="preserve"> и</w:t>
      </w:r>
      <w:r w:rsidR="008C5119" w:rsidRPr="008C5119">
        <w:t xml:space="preserve"> играть более активную роль в поддержке </w:t>
      </w:r>
      <w:r w:rsidR="002D4770">
        <w:t>деятельности</w:t>
      </w:r>
      <w:r w:rsidR="008C5119" w:rsidRPr="008C5119">
        <w:t xml:space="preserve"> по развитию ИКТ. Более 100 высокопоставленных представителей отрасли подчеркнули, что приоритет должен по-прежнему отдаваться значимой, безопасной, </w:t>
      </w:r>
      <w:r w:rsidR="002D4770">
        <w:t>приемлемой в ценовом отношении</w:t>
      </w:r>
      <w:r w:rsidR="008C5119" w:rsidRPr="008C5119">
        <w:t xml:space="preserve"> и устойчивой широкополосной связи для всех. (см. </w:t>
      </w:r>
      <w:hyperlink r:id="rId10" w:history="1">
        <w:r w:rsidR="008C5119" w:rsidRPr="002D4770">
          <w:rPr>
            <w:rStyle w:val="Hyperlink"/>
          </w:rPr>
          <w:t xml:space="preserve">Итоговое заявление </w:t>
        </w:r>
        <w:r w:rsidR="008C5119" w:rsidRPr="002D4770">
          <w:rPr>
            <w:rStyle w:val="Hyperlink"/>
            <w:lang w:val="en-US"/>
          </w:rPr>
          <w:t>IAGDI</w:t>
        </w:r>
        <w:r w:rsidR="008C5119" w:rsidRPr="002D4770">
          <w:rPr>
            <w:rStyle w:val="Hyperlink"/>
          </w:rPr>
          <w:t>-</w:t>
        </w:r>
        <w:r w:rsidR="008C5119" w:rsidRPr="002D4770">
          <w:rPr>
            <w:rStyle w:val="Hyperlink"/>
            <w:lang w:val="en-US"/>
          </w:rPr>
          <w:t>CRO</w:t>
        </w:r>
      </w:hyperlink>
      <w:r w:rsidR="008C5119" w:rsidRPr="008C5119">
        <w:t xml:space="preserve">). Кроме того, были назначены два заместителя </w:t>
      </w:r>
      <w:r w:rsidR="002D4770" w:rsidRPr="008C5119">
        <w:t>Председателя</w:t>
      </w:r>
      <w:r w:rsidR="008C5119" w:rsidRPr="008C5119">
        <w:t xml:space="preserve">, которые вместе с </w:t>
      </w:r>
      <w:r w:rsidR="002D4770" w:rsidRPr="008C5119">
        <w:t xml:space="preserve">Председателем </w:t>
      </w:r>
      <w:r w:rsidR="008C5119" w:rsidRPr="008C5119">
        <w:t xml:space="preserve">изучили </w:t>
      </w:r>
      <w:r w:rsidR="009D09B4">
        <w:t xml:space="preserve">возможности своих </w:t>
      </w:r>
      <w:r w:rsidR="008C5119" w:rsidRPr="008C5119">
        <w:lastRenderedPageBreak/>
        <w:t>существующи</w:t>
      </w:r>
      <w:r w:rsidR="009D09B4">
        <w:t>х</w:t>
      </w:r>
      <w:r w:rsidR="008C5119" w:rsidRPr="008C5119">
        <w:t xml:space="preserve"> сет</w:t>
      </w:r>
      <w:r w:rsidR="009D09B4">
        <w:t xml:space="preserve">ей по оказанию </w:t>
      </w:r>
      <w:r w:rsidR="002D4770">
        <w:t>содействия</w:t>
      </w:r>
      <w:r w:rsidR="008C5119" w:rsidRPr="008C5119">
        <w:t xml:space="preserve"> Сектор</w:t>
      </w:r>
      <w:r w:rsidR="002D4770">
        <w:t>у</w:t>
      </w:r>
      <w:r w:rsidR="008C5119" w:rsidRPr="008C5119">
        <w:t xml:space="preserve"> МСЭ-</w:t>
      </w:r>
      <w:r w:rsidR="008C5119" w:rsidRPr="008C5119">
        <w:rPr>
          <w:lang w:val="en-US"/>
        </w:rPr>
        <w:t>D</w:t>
      </w:r>
      <w:r w:rsidR="008C5119" w:rsidRPr="008C5119">
        <w:t xml:space="preserve"> </w:t>
      </w:r>
      <w:r w:rsidR="002D4770">
        <w:t>в</w:t>
      </w:r>
      <w:r w:rsidR="008C5119" w:rsidRPr="008C5119">
        <w:t xml:space="preserve"> привлечен</w:t>
      </w:r>
      <w:r w:rsidR="002D4770">
        <w:t>ии</w:t>
      </w:r>
      <w:r w:rsidR="008C5119" w:rsidRPr="008C5119">
        <w:t xml:space="preserve"> большего числа представителей </w:t>
      </w:r>
      <w:r w:rsidR="002D4770">
        <w:t>отрасли</w:t>
      </w:r>
      <w:r w:rsidR="008C5119" w:rsidRPr="008C5119">
        <w:t xml:space="preserve"> и частного сектора</w:t>
      </w:r>
      <w:r w:rsidR="002D4770">
        <w:t>,</w:t>
      </w:r>
      <w:r w:rsidR="008C5119" w:rsidRPr="008C5119">
        <w:t xml:space="preserve"> </w:t>
      </w:r>
      <w:r w:rsidR="002D4770">
        <w:t>а также</w:t>
      </w:r>
      <w:r w:rsidR="008C5119" w:rsidRPr="008C5119">
        <w:t xml:space="preserve"> внесли вклад в </w:t>
      </w:r>
      <w:r w:rsidR="002D4770">
        <w:t>работу</w:t>
      </w:r>
      <w:r w:rsidR="008C5119" w:rsidRPr="008C5119">
        <w:t xml:space="preserve"> </w:t>
      </w:r>
      <w:r w:rsidR="009D09B4">
        <w:t xml:space="preserve">каждого из </w:t>
      </w:r>
      <w:r w:rsidR="008C5119" w:rsidRPr="008C5119">
        <w:t>Форумов регионального развития и в текущую</w:t>
      </w:r>
      <w:r w:rsidR="002D4770">
        <w:t xml:space="preserve"> работу по</w:t>
      </w:r>
      <w:r w:rsidR="008C5119" w:rsidRPr="008C5119">
        <w:t xml:space="preserve"> подготовк</w:t>
      </w:r>
      <w:r w:rsidR="002D4770">
        <w:t>е</w:t>
      </w:r>
      <w:r w:rsidR="008C5119" w:rsidRPr="008C5119">
        <w:t xml:space="preserve"> к </w:t>
      </w:r>
      <w:r w:rsidR="002D4770">
        <w:t>ВКРЭ</w:t>
      </w:r>
      <w:r w:rsidR="008C5119" w:rsidRPr="008C5119">
        <w:t xml:space="preserve">-21. Следующее </w:t>
      </w:r>
      <w:r w:rsidR="002D4770">
        <w:t>собрание</w:t>
      </w:r>
      <w:r w:rsidR="008C5119" w:rsidRPr="008C5119">
        <w:t xml:space="preserve"> </w:t>
      </w:r>
      <w:r w:rsidR="008C5119" w:rsidRPr="008C5119">
        <w:rPr>
          <w:lang w:val="en-US"/>
        </w:rPr>
        <w:t>IAGDI</w:t>
      </w:r>
      <w:r w:rsidR="008C5119" w:rsidRPr="008C5119">
        <w:t>-</w:t>
      </w:r>
      <w:r w:rsidR="008C5119" w:rsidRPr="008C5119">
        <w:rPr>
          <w:lang w:val="en-US"/>
        </w:rPr>
        <w:t>CRO</w:t>
      </w:r>
      <w:r w:rsidR="008C5119" w:rsidRPr="008C5119">
        <w:t xml:space="preserve"> состоится </w:t>
      </w:r>
      <w:r w:rsidR="002D4770" w:rsidRPr="008C5119">
        <w:t>в виртуально</w:t>
      </w:r>
      <w:r w:rsidR="002D4770">
        <w:t>м</w:t>
      </w:r>
      <w:r w:rsidR="002D4770" w:rsidRPr="008C5119">
        <w:t xml:space="preserve"> </w:t>
      </w:r>
      <w:r w:rsidR="002D4770">
        <w:t>формате</w:t>
      </w:r>
      <w:r w:rsidR="002D4770" w:rsidRPr="008C5119">
        <w:t xml:space="preserve"> </w:t>
      </w:r>
      <w:r w:rsidR="008C5119" w:rsidRPr="008C5119">
        <w:t>21 июня 2021 года</w:t>
      </w:r>
      <w:r w:rsidR="002D4770">
        <w:t xml:space="preserve"> в рамках одного блока мероприятий с</w:t>
      </w:r>
      <w:r w:rsidR="008C5119" w:rsidRPr="008C5119">
        <w:t xml:space="preserve"> </w:t>
      </w:r>
      <w:r w:rsidR="002D4770">
        <w:t>ГСР</w:t>
      </w:r>
      <w:r w:rsidR="008C5119" w:rsidRPr="008C5119">
        <w:t>-21.</w:t>
      </w:r>
    </w:p>
    <w:p w14:paraId="24236C2D" w14:textId="1C8F8F93" w:rsidR="00091275" w:rsidRPr="008C5119" w:rsidRDefault="0061367F" w:rsidP="0061367F">
      <w:pPr>
        <w:pStyle w:val="enumlev1"/>
        <w:rPr>
          <w:rFonts w:cs="Calibri"/>
          <w:szCs w:val="24"/>
          <w:shd w:val="clear" w:color="auto" w:fill="FFFFFF"/>
        </w:rPr>
      </w:pPr>
      <w:r w:rsidRPr="00EE489F">
        <w:rPr>
          <w:szCs w:val="24"/>
        </w:rPr>
        <w:t>−</w:t>
      </w:r>
      <w:r w:rsidRPr="00EE489F">
        <w:rPr>
          <w:szCs w:val="24"/>
        </w:rPr>
        <w:tab/>
      </w:r>
      <w:r w:rsidR="002D4770" w:rsidRPr="008C5119">
        <w:t>Для</w:t>
      </w:r>
      <w:r w:rsidR="002D4770" w:rsidRPr="002D4770">
        <w:t xml:space="preserve"> </w:t>
      </w:r>
      <w:r w:rsidR="002D4770" w:rsidRPr="008C5119">
        <w:t>членов</w:t>
      </w:r>
      <w:r w:rsidR="002D4770" w:rsidRPr="002D4770">
        <w:t xml:space="preserve"> </w:t>
      </w:r>
      <w:r w:rsidR="002D4770" w:rsidRPr="008C5119">
        <w:t>Сектора</w:t>
      </w:r>
      <w:r w:rsidR="002D4770" w:rsidRPr="002D4770">
        <w:t xml:space="preserve"> </w:t>
      </w:r>
      <w:r w:rsidR="002D4770" w:rsidRPr="008C5119">
        <w:t>развития</w:t>
      </w:r>
      <w:r w:rsidR="002D4770" w:rsidRPr="002D4770">
        <w:t xml:space="preserve"> </w:t>
      </w:r>
      <w:r w:rsidR="002D4770" w:rsidRPr="008C5119">
        <w:t>электросвязи</w:t>
      </w:r>
      <w:r w:rsidR="002D4770" w:rsidRPr="002D4770">
        <w:t xml:space="preserve"> (</w:t>
      </w:r>
      <w:r w:rsidR="002D4770" w:rsidRPr="008C5119">
        <w:t>МСЭ</w:t>
      </w:r>
      <w:r w:rsidR="002D4770" w:rsidRPr="002D4770">
        <w:t>-</w:t>
      </w:r>
      <w:r w:rsidR="002D4770" w:rsidRPr="008C5119">
        <w:rPr>
          <w:lang w:val="en-US"/>
        </w:rPr>
        <w:t>D</w:t>
      </w:r>
      <w:r w:rsidR="002D4770" w:rsidRPr="002D4770">
        <w:t xml:space="preserve">) </w:t>
      </w:r>
      <w:r w:rsidR="002D4770" w:rsidRPr="008C5119">
        <w:t>в</w:t>
      </w:r>
      <w:r w:rsidR="002D4770" w:rsidRPr="002D4770">
        <w:t xml:space="preserve"> </w:t>
      </w:r>
      <w:r w:rsidR="002D4770">
        <w:t>формате</w:t>
      </w:r>
      <w:r w:rsidR="002D4770" w:rsidRPr="002D4770">
        <w:t xml:space="preserve"> </w:t>
      </w:r>
      <w:r w:rsidR="002D4770" w:rsidRPr="008C5119">
        <w:t>диалоговой</w:t>
      </w:r>
      <w:r w:rsidR="002D4770" w:rsidRPr="002D4770">
        <w:t xml:space="preserve"> </w:t>
      </w:r>
      <w:r w:rsidR="002D4770" w:rsidRPr="008C5119">
        <w:t>платформы была</w:t>
      </w:r>
      <w:r w:rsidR="002D4770" w:rsidRPr="002D4770">
        <w:t xml:space="preserve"> </w:t>
      </w:r>
      <w:r w:rsidR="002D4770">
        <w:t>организована</w:t>
      </w:r>
      <w:r w:rsidR="002D4770" w:rsidRPr="002D4770">
        <w:t xml:space="preserve"> </w:t>
      </w:r>
      <w:r w:rsidR="002D4770" w:rsidRPr="00EE489F">
        <w:rPr>
          <w:b/>
          <w:bCs/>
        </w:rPr>
        <w:t>с</w:t>
      </w:r>
      <w:r w:rsidR="008C5119" w:rsidRPr="00EE489F">
        <w:rPr>
          <w:b/>
          <w:bCs/>
        </w:rPr>
        <w:t>ерия</w:t>
      </w:r>
      <w:r w:rsidR="002D4770" w:rsidRPr="00EE489F">
        <w:rPr>
          <w:b/>
          <w:bCs/>
        </w:rPr>
        <w:t xml:space="preserve"> мероприятий</w:t>
      </w:r>
      <w:r w:rsidR="008C5119" w:rsidRPr="00EE489F">
        <w:rPr>
          <w:b/>
          <w:bCs/>
        </w:rPr>
        <w:t xml:space="preserve"> "</w:t>
      </w:r>
      <w:r w:rsidR="002D4770" w:rsidRPr="00EE489F">
        <w:rPr>
          <w:b/>
          <w:bCs/>
        </w:rPr>
        <w:t>Поз</w:t>
      </w:r>
      <w:r w:rsidR="008C5119" w:rsidRPr="00EE489F">
        <w:rPr>
          <w:b/>
          <w:bCs/>
        </w:rPr>
        <w:t>на</w:t>
      </w:r>
      <w:r w:rsidR="002D4770" w:rsidRPr="00EE489F">
        <w:rPr>
          <w:b/>
          <w:bCs/>
        </w:rPr>
        <w:t>комьтесь с</w:t>
      </w:r>
      <w:r w:rsidR="008C5119" w:rsidRPr="00EE489F">
        <w:rPr>
          <w:b/>
          <w:bCs/>
        </w:rPr>
        <w:t xml:space="preserve"> член</w:t>
      </w:r>
      <w:r w:rsidR="002D4770" w:rsidRPr="00EE489F">
        <w:rPr>
          <w:b/>
          <w:bCs/>
        </w:rPr>
        <w:t>ами</w:t>
      </w:r>
      <w:r w:rsidR="008C5119" w:rsidRPr="00EE489F">
        <w:rPr>
          <w:b/>
          <w:bCs/>
        </w:rPr>
        <w:t>"</w:t>
      </w:r>
      <w:r w:rsidR="008C5119" w:rsidRPr="002D4770">
        <w:t>,</w:t>
      </w:r>
      <w:r w:rsidR="002D4770">
        <w:t xml:space="preserve"> в рамках которых члены были распределены</w:t>
      </w:r>
      <w:r w:rsidR="008C5119" w:rsidRPr="002D4770">
        <w:t xml:space="preserve"> </w:t>
      </w:r>
      <w:r w:rsidR="008C5119" w:rsidRPr="008C5119">
        <w:t>по</w:t>
      </w:r>
      <w:r w:rsidR="008C5119" w:rsidRPr="002D4770">
        <w:t xml:space="preserve"> </w:t>
      </w:r>
      <w:r w:rsidR="00EE489F">
        <w:t>группам</w:t>
      </w:r>
      <w:r w:rsidR="002D4770">
        <w:rPr>
          <w:rStyle w:val="FootnoteReference"/>
        </w:rPr>
        <w:footnoteReference w:id="6"/>
      </w:r>
      <w:r w:rsidR="008C5119" w:rsidRPr="002D4770">
        <w:t xml:space="preserve"> </w:t>
      </w:r>
      <w:r w:rsidR="008C5119" w:rsidRPr="008C5119">
        <w:t>для</w:t>
      </w:r>
      <w:r w:rsidR="008C5119" w:rsidRPr="002D4770">
        <w:t xml:space="preserve"> </w:t>
      </w:r>
      <w:r w:rsidR="008C5119" w:rsidRPr="008C5119">
        <w:t>взаимодействия</w:t>
      </w:r>
      <w:r w:rsidR="008C5119" w:rsidRPr="002D4770">
        <w:t xml:space="preserve"> </w:t>
      </w:r>
      <w:r w:rsidR="008C5119" w:rsidRPr="008C5119">
        <w:t>и</w:t>
      </w:r>
      <w:r w:rsidR="008C5119" w:rsidRPr="002D4770">
        <w:t xml:space="preserve"> </w:t>
      </w:r>
      <w:r w:rsidR="008C5119" w:rsidRPr="008C5119">
        <w:t>обмена</w:t>
      </w:r>
      <w:r w:rsidR="008C5119" w:rsidRPr="002D4770">
        <w:t xml:space="preserve"> </w:t>
      </w:r>
      <w:r w:rsidR="008C5119" w:rsidRPr="008C5119">
        <w:t>мнениями</w:t>
      </w:r>
      <w:r w:rsidR="008C5119" w:rsidRPr="002D4770">
        <w:t xml:space="preserve"> </w:t>
      </w:r>
      <w:r w:rsidR="008C5119" w:rsidRPr="008C5119">
        <w:t>с</w:t>
      </w:r>
      <w:r w:rsidR="008C5119" w:rsidRPr="002D4770">
        <w:t xml:space="preserve"> </w:t>
      </w:r>
      <w:r w:rsidR="008C5119" w:rsidRPr="008C5119">
        <w:t>руководством</w:t>
      </w:r>
      <w:r w:rsidR="008C5119" w:rsidRPr="002D4770">
        <w:t xml:space="preserve"> </w:t>
      </w:r>
      <w:r w:rsidR="008C5119" w:rsidRPr="008C5119">
        <w:t>Бюро</w:t>
      </w:r>
      <w:r w:rsidR="008C5119" w:rsidRPr="002D4770">
        <w:t xml:space="preserve"> </w:t>
      </w:r>
      <w:r w:rsidR="008C5119" w:rsidRPr="008C5119">
        <w:t>развития</w:t>
      </w:r>
      <w:r w:rsidR="008C5119" w:rsidRPr="002D4770">
        <w:t xml:space="preserve"> </w:t>
      </w:r>
      <w:r w:rsidR="008C5119" w:rsidRPr="008C5119">
        <w:t>электросвязи</w:t>
      </w:r>
      <w:r w:rsidR="008C5119" w:rsidRPr="002D4770">
        <w:t xml:space="preserve"> (</w:t>
      </w:r>
      <w:r w:rsidR="008C5119" w:rsidRPr="008C5119">
        <w:t>БРЭ</w:t>
      </w:r>
      <w:r w:rsidR="008C5119" w:rsidRPr="002D4770">
        <w:t xml:space="preserve">). </w:t>
      </w:r>
      <w:r w:rsidR="002D4770">
        <w:t>В работу входит</w:t>
      </w:r>
      <w:r w:rsidR="008C5119" w:rsidRPr="008C5119">
        <w:t xml:space="preserve"> предоставление обновленной информации о текущих и планируемых мероприятиях, проводимых БРЭ, и сбор мнений </w:t>
      </w:r>
      <w:r w:rsidR="00EE489F" w:rsidRPr="008C5119">
        <w:t xml:space="preserve">Членов </w:t>
      </w:r>
      <w:r w:rsidR="008C5119" w:rsidRPr="008C5119">
        <w:t>о том, как</w:t>
      </w:r>
      <w:r w:rsidR="00EE489F">
        <w:t xml:space="preserve">им образом возможно </w:t>
      </w:r>
      <w:r w:rsidR="008C5119" w:rsidRPr="008C5119">
        <w:t xml:space="preserve">укрепить отношения и взаимодействие. </w:t>
      </w:r>
      <w:r w:rsidR="00EE489F" w:rsidRPr="008C5119">
        <w:t>15 апреля 2021 года</w:t>
      </w:r>
      <w:r w:rsidR="00EE489F">
        <w:t xml:space="preserve"> пройдет с</w:t>
      </w:r>
      <w:r w:rsidR="008C5119" w:rsidRPr="008C5119">
        <w:t xml:space="preserve">ессия для </w:t>
      </w:r>
      <w:r w:rsidR="00EE489F" w:rsidRPr="008C5119">
        <w:t>академи</w:t>
      </w:r>
      <w:r w:rsidR="00EE489F">
        <w:t>ческих организаций</w:t>
      </w:r>
      <w:r w:rsidR="00EE489F" w:rsidRPr="008C5119">
        <w:t xml:space="preserve"> </w:t>
      </w:r>
      <w:r w:rsidR="008C5119" w:rsidRPr="008C5119">
        <w:t xml:space="preserve">и </w:t>
      </w:r>
      <w:r w:rsidR="00EE489F">
        <w:t>научно-</w:t>
      </w:r>
      <w:r w:rsidR="008C5119" w:rsidRPr="008C5119">
        <w:t>исследовательски</w:t>
      </w:r>
      <w:r w:rsidR="00EE489F">
        <w:t>х</w:t>
      </w:r>
      <w:r w:rsidR="008C5119" w:rsidRPr="008C5119">
        <w:t xml:space="preserve"> институт</w:t>
      </w:r>
      <w:r w:rsidR="00EE489F">
        <w:t>ов</w:t>
      </w:r>
      <w:r w:rsidR="008C5119" w:rsidRPr="008C5119">
        <w:t xml:space="preserve">, </w:t>
      </w:r>
      <w:r w:rsidR="00EE489F">
        <w:t xml:space="preserve">после нее </w:t>
      </w:r>
      <w:r w:rsidR="00EE489F" w:rsidRPr="008C5119">
        <w:t>в течение года</w:t>
      </w:r>
      <w:r w:rsidR="00EE489F">
        <w:t xml:space="preserve"> планируется провести собрания для</w:t>
      </w:r>
      <w:r w:rsidR="008C5119" w:rsidRPr="008C5119">
        <w:t xml:space="preserve"> други</w:t>
      </w:r>
      <w:r w:rsidR="00EE489F">
        <w:t>х</w:t>
      </w:r>
      <w:r w:rsidR="008C5119" w:rsidRPr="008C5119">
        <w:t xml:space="preserve"> </w:t>
      </w:r>
      <w:r w:rsidR="00EE489F">
        <w:t>групп</w:t>
      </w:r>
      <w:r w:rsidR="008C5119" w:rsidRPr="008C5119">
        <w:t xml:space="preserve"> членов МСЭ-</w:t>
      </w:r>
      <w:r w:rsidR="008C5119" w:rsidRPr="008C5119">
        <w:rPr>
          <w:lang w:val="en-US"/>
        </w:rPr>
        <w:t>D</w:t>
      </w:r>
      <w:r w:rsidR="008C5119" w:rsidRPr="008C5119">
        <w:t>.</w:t>
      </w:r>
    </w:p>
    <w:p w14:paraId="7DF9ADAC" w14:textId="4EDF0493" w:rsidR="00091275" w:rsidRPr="008C5119" w:rsidRDefault="0061367F" w:rsidP="0061367F">
      <w:pPr>
        <w:pStyle w:val="enumlev1"/>
        <w:rPr>
          <w:szCs w:val="24"/>
        </w:rPr>
      </w:pPr>
      <w:r w:rsidRPr="00EE489F">
        <w:rPr>
          <w:szCs w:val="24"/>
        </w:rPr>
        <w:t>−</w:t>
      </w:r>
      <w:r w:rsidRPr="00EE489F">
        <w:rPr>
          <w:szCs w:val="24"/>
        </w:rPr>
        <w:tab/>
      </w:r>
      <w:r w:rsidR="009D09B4">
        <w:rPr>
          <w:szCs w:val="24"/>
        </w:rPr>
        <w:t xml:space="preserve">Кроме того, </w:t>
      </w:r>
      <w:r w:rsidR="00EE489F" w:rsidRPr="008C5119">
        <w:rPr>
          <w:szCs w:val="24"/>
        </w:rPr>
        <w:t>была</w:t>
      </w:r>
      <w:r w:rsidR="00EE489F" w:rsidRPr="00EE489F">
        <w:rPr>
          <w:szCs w:val="24"/>
        </w:rPr>
        <w:t xml:space="preserve"> </w:t>
      </w:r>
      <w:r w:rsidR="00EE489F">
        <w:rPr>
          <w:szCs w:val="24"/>
        </w:rPr>
        <w:t>организована</w:t>
      </w:r>
      <w:r w:rsidR="00EE489F" w:rsidRPr="00EE489F">
        <w:rPr>
          <w:szCs w:val="24"/>
        </w:rPr>
        <w:t xml:space="preserve"> </w:t>
      </w:r>
      <w:r w:rsidR="00EE489F" w:rsidRPr="008C5119">
        <w:rPr>
          <w:szCs w:val="24"/>
        </w:rPr>
        <w:t>платформа</w:t>
      </w:r>
      <w:r w:rsidR="00EE489F" w:rsidRPr="00EE489F">
        <w:rPr>
          <w:szCs w:val="24"/>
        </w:rPr>
        <w:t xml:space="preserve"> </w:t>
      </w:r>
      <w:r w:rsidR="00EE489F" w:rsidRPr="008C5119">
        <w:rPr>
          <w:szCs w:val="24"/>
        </w:rPr>
        <w:t>для</w:t>
      </w:r>
      <w:r w:rsidR="00EE489F" w:rsidRPr="00EE489F">
        <w:rPr>
          <w:szCs w:val="24"/>
        </w:rPr>
        <w:t xml:space="preserve"> </w:t>
      </w:r>
      <w:r w:rsidR="00EE489F" w:rsidRPr="008C5119">
        <w:rPr>
          <w:szCs w:val="24"/>
        </w:rPr>
        <w:t>взаимодействия</w:t>
      </w:r>
      <w:r w:rsidR="00EE489F" w:rsidRPr="00EE489F">
        <w:rPr>
          <w:szCs w:val="24"/>
        </w:rPr>
        <w:t xml:space="preserve"> </w:t>
      </w:r>
      <w:r w:rsidR="008C5119" w:rsidRPr="00EE489F">
        <w:rPr>
          <w:b/>
          <w:bCs/>
          <w:szCs w:val="24"/>
          <w:lang w:val="en-US"/>
        </w:rPr>
        <w:t>Tech</w:t>
      </w:r>
      <w:r w:rsidR="008C5119" w:rsidRPr="00EE489F">
        <w:rPr>
          <w:b/>
          <w:bCs/>
          <w:szCs w:val="24"/>
        </w:rPr>
        <w:t xml:space="preserve"> </w:t>
      </w:r>
      <w:r w:rsidR="008C5119" w:rsidRPr="00EE489F">
        <w:rPr>
          <w:b/>
          <w:bCs/>
          <w:szCs w:val="24"/>
          <w:lang w:val="en-US"/>
        </w:rPr>
        <w:t>Talks</w:t>
      </w:r>
      <w:r w:rsidR="008C5119" w:rsidRPr="00EE489F">
        <w:rPr>
          <w:szCs w:val="24"/>
        </w:rPr>
        <w:t xml:space="preserve">, </w:t>
      </w:r>
      <w:r w:rsidR="008C5119" w:rsidRPr="008C5119">
        <w:rPr>
          <w:szCs w:val="24"/>
        </w:rPr>
        <w:t>предназначенная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для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членов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МСЭ</w:t>
      </w:r>
      <w:r w:rsidR="008C5119" w:rsidRPr="00EE489F">
        <w:rPr>
          <w:szCs w:val="24"/>
        </w:rPr>
        <w:t>-</w:t>
      </w:r>
      <w:r w:rsidR="008C5119" w:rsidRPr="008C5119">
        <w:rPr>
          <w:szCs w:val="24"/>
          <w:lang w:val="en-US"/>
        </w:rPr>
        <w:t>D</w:t>
      </w:r>
      <w:r w:rsidR="008C5119" w:rsidRPr="00EE489F">
        <w:rPr>
          <w:szCs w:val="24"/>
        </w:rPr>
        <w:t xml:space="preserve">, </w:t>
      </w:r>
      <w:r w:rsidR="008C5119" w:rsidRPr="008C5119">
        <w:rPr>
          <w:szCs w:val="24"/>
        </w:rPr>
        <w:t>также</w:t>
      </w:r>
      <w:r w:rsidR="008C5119" w:rsidRPr="00EE489F">
        <w:rPr>
          <w:szCs w:val="24"/>
        </w:rPr>
        <w:t xml:space="preserve"> </w:t>
      </w:r>
      <w:r w:rsidR="00EE489F">
        <w:rPr>
          <w:szCs w:val="24"/>
        </w:rPr>
        <w:t>распределенных</w:t>
      </w:r>
      <w:r w:rsidR="00EE489F" w:rsidRPr="00EE489F">
        <w:rPr>
          <w:szCs w:val="24"/>
        </w:rPr>
        <w:t xml:space="preserve"> </w:t>
      </w:r>
      <w:r w:rsidR="00EE489F">
        <w:rPr>
          <w:szCs w:val="24"/>
        </w:rPr>
        <w:t>по</w:t>
      </w:r>
      <w:r w:rsidR="00EE489F" w:rsidRPr="00EE489F">
        <w:rPr>
          <w:szCs w:val="24"/>
        </w:rPr>
        <w:t xml:space="preserve"> </w:t>
      </w:r>
      <w:r w:rsidR="00EE489F">
        <w:rPr>
          <w:szCs w:val="24"/>
        </w:rPr>
        <w:t>группам</w:t>
      </w:r>
      <w:r w:rsidR="008C5119" w:rsidRPr="00EE489F">
        <w:rPr>
          <w:szCs w:val="24"/>
        </w:rPr>
        <w:t xml:space="preserve">, </w:t>
      </w:r>
      <w:r w:rsidR="009D09B4">
        <w:rPr>
          <w:szCs w:val="24"/>
        </w:rPr>
        <w:t xml:space="preserve">которая позволяет им обмениваться </w:t>
      </w:r>
      <w:r w:rsidR="008C5119" w:rsidRPr="008C5119">
        <w:rPr>
          <w:szCs w:val="24"/>
        </w:rPr>
        <w:t>своими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технологиями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и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инновационными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подходами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в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области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ИКТ</w:t>
      </w:r>
      <w:r w:rsidR="008C5119" w:rsidRPr="00EE489F">
        <w:rPr>
          <w:szCs w:val="24"/>
        </w:rPr>
        <w:t>/</w:t>
      </w:r>
      <w:r w:rsidR="008C5119" w:rsidRPr="008C5119">
        <w:rPr>
          <w:szCs w:val="24"/>
        </w:rPr>
        <w:t>развития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и</w:t>
      </w:r>
      <w:r w:rsidR="008C5119" w:rsidRPr="00EE489F">
        <w:rPr>
          <w:szCs w:val="24"/>
        </w:rPr>
        <w:t xml:space="preserve"> </w:t>
      </w:r>
      <w:r w:rsidR="00EE489F">
        <w:rPr>
          <w:szCs w:val="24"/>
        </w:rPr>
        <w:t>установления соединений</w:t>
      </w:r>
      <w:r w:rsidR="00A55E1B">
        <w:rPr>
          <w:szCs w:val="24"/>
        </w:rPr>
        <w:t xml:space="preserve"> и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взаимодейств</w:t>
      </w:r>
      <w:r w:rsidR="009D09B4">
        <w:rPr>
          <w:szCs w:val="24"/>
        </w:rPr>
        <w:t>овать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с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коллегами</w:t>
      </w:r>
      <w:r w:rsidR="00EE489F">
        <w:rPr>
          <w:szCs w:val="24"/>
        </w:rPr>
        <w:t xml:space="preserve"> по отрасли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из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соответствующего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сообщества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и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с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экспертами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Б</w:t>
      </w:r>
      <w:r w:rsidR="00EE489F">
        <w:rPr>
          <w:szCs w:val="24"/>
        </w:rPr>
        <w:t>РЭ на предмет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и</w:t>
      </w:r>
      <w:r w:rsidR="00EE489F">
        <w:rPr>
          <w:szCs w:val="24"/>
        </w:rPr>
        <w:t>сследования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новых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областей</w:t>
      </w:r>
      <w:r w:rsidR="008C5119" w:rsidRPr="00EE489F">
        <w:rPr>
          <w:szCs w:val="24"/>
        </w:rPr>
        <w:t xml:space="preserve"> </w:t>
      </w:r>
      <w:r w:rsidR="008C5119" w:rsidRPr="008C5119">
        <w:rPr>
          <w:szCs w:val="24"/>
        </w:rPr>
        <w:t>сотрудничества</w:t>
      </w:r>
      <w:r w:rsidR="008C5119" w:rsidRPr="00EE489F">
        <w:rPr>
          <w:szCs w:val="24"/>
        </w:rPr>
        <w:t xml:space="preserve">. </w:t>
      </w:r>
      <w:r w:rsidR="008C5119" w:rsidRPr="008C5119">
        <w:rPr>
          <w:szCs w:val="24"/>
        </w:rPr>
        <w:t xml:space="preserve">Первое мероприятие </w:t>
      </w:r>
      <w:r w:rsidR="008C5119" w:rsidRPr="008C5119">
        <w:rPr>
          <w:szCs w:val="24"/>
          <w:lang w:val="en-US"/>
        </w:rPr>
        <w:t>Tech</w:t>
      </w:r>
      <w:r w:rsidR="008C5119" w:rsidRPr="008C5119">
        <w:rPr>
          <w:szCs w:val="24"/>
        </w:rPr>
        <w:t xml:space="preserve"> </w:t>
      </w:r>
      <w:r w:rsidR="008C5119" w:rsidRPr="008C5119">
        <w:rPr>
          <w:szCs w:val="24"/>
          <w:lang w:val="en-US"/>
        </w:rPr>
        <w:t>Talks</w:t>
      </w:r>
      <w:r w:rsidR="008C5119" w:rsidRPr="008C5119">
        <w:rPr>
          <w:szCs w:val="24"/>
        </w:rPr>
        <w:t xml:space="preserve"> было проведено 18 февраля 2021 года для признанных </w:t>
      </w:r>
      <w:r w:rsidR="00EE489F">
        <w:rPr>
          <w:szCs w:val="24"/>
        </w:rPr>
        <w:t>эксплуатационных организаций</w:t>
      </w:r>
      <w:r w:rsidR="008C5119" w:rsidRPr="008C5119">
        <w:rPr>
          <w:szCs w:val="24"/>
        </w:rPr>
        <w:t xml:space="preserve"> (</w:t>
      </w:r>
      <w:r w:rsidR="00EE489F">
        <w:rPr>
          <w:szCs w:val="24"/>
        </w:rPr>
        <w:t>ПЭ</w:t>
      </w:r>
      <w:r w:rsidR="00A55E1B">
        <w:rPr>
          <w:szCs w:val="24"/>
        </w:rPr>
        <w:t>О</w:t>
      </w:r>
      <w:r w:rsidR="008C5119" w:rsidRPr="008C5119">
        <w:rPr>
          <w:szCs w:val="24"/>
        </w:rPr>
        <w:t xml:space="preserve">), получило высокую оценку и вызвало интерес у потенциальных членов. Второе мероприятие </w:t>
      </w:r>
      <w:r w:rsidR="008C5119" w:rsidRPr="008C5119">
        <w:rPr>
          <w:szCs w:val="24"/>
          <w:lang w:val="en-US"/>
        </w:rPr>
        <w:t>Tech</w:t>
      </w:r>
      <w:r w:rsidR="008C5119" w:rsidRPr="008C5119">
        <w:rPr>
          <w:szCs w:val="24"/>
        </w:rPr>
        <w:t xml:space="preserve"> </w:t>
      </w:r>
      <w:r w:rsidR="008C5119" w:rsidRPr="008C5119">
        <w:rPr>
          <w:szCs w:val="24"/>
          <w:lang w:val="en-US"/>
        </w:rPr>
        <w:t>Talks</w:t>
      </w:r>
      <w:r w:rsidR="008C5119" w:rsidRPr="008C5119">
        <w:rPr>
          <w:szCs w:val="24"/>
        </w:rPr>
        <w:t xml:space="preserve"> будет проведено 27 апреля 2021 года для научных и</w:t>
      </w:r>
      <w:r w:rsidR="001933DA">
        <w:rPr>
          <w:szCs w:val="24"/>
        </w:rPr>
        <w:t xml:space="preserve"> промышленных </w:t>
      </w:r>
      <w:r w:rsidR="008C5119" w:rsidRPr="008C5119">
        <w:rPr>
          <w:szCs w:val="24"/>
        </w:rPr>
        <w:t xml:space="preserve">организаций, </w:t>
      </w:r>
      <w:r w:rsidR="00A55E1B">
        <w:rPr>
          <w:szCs w:val="24"/>
        </w:rPr>
        <w:t xml:space="preserve">а </w:t>
      </w:r>
      <w:r w:rsidR="00EE489F">
        <w:rPr>
          <w:szCs w:val="24"/>
        </w:rPr>
        <w:t>мероприятия для других групп будут организованы</w:t>
      </w:r>
      <w:r w:rsidR="008C5119" w:rsidRPr="008C5119">
        <w:rPr>
          <w:szCs w:val="24"/>
        </w:rPr>
        <w:t xml:space="preserve"> в течение года.</w:t>
      </w:r>
    </w:p>
    <w:p w14:paraId="6E888995" w14:textId="11EA11B9" w:rsidR="00091275" w:rsidRPr="008C5119" w:rsidRDefault="0061367F" w:rsidP="0061367F">
      <w:pPr>
        <w:pStyle w:val="enumlev1"/>
        <w:rPr>
          <w:szCs w:val="24"/>
        </w:rPr>
      </w:pPr>
      <w:r w:rsidRPr="00FE5BED">
        <w:rPr>
          <w:szCs w:val="24"/>
        </w:rPr>
        <w:t>−</w:t>
      </w:r>
      <w:r w:rsidRPr="00FE5BED">
        <w:rPr>
          <w:szCs w:val="24"/>
        </w:rPr>
        <w:tab/>
      </w:r>
      <w:r w:rsidR="008C5119" w:rsidRPr="005E2653">
        <w:rPr>
          <w:b/>
          <w:bCs/>
          <w:szCs w:val="24"/>
        </w:rPr>
        <w:t xml:space="preserve">Наращивание потенциала персонала по </w:t>
      </w:r>
      <w:r w:rsidR="005E2653" w:rsidRPr="005E2653">
        <w:rPr>
          <w:b/>
          <w:bCs/>
          <w:szCs w:val="24"/>
        </w:rPr>
        <w:t>работе с членами</w:t>
      </w:r>
      <w:r w:rsidR="008C5119" w:rsidRPr="008C5119">
        <w:rPr>
          <w:szCs w:val="24"/>
        </w:rPr>
        <w:t xml:space="preserve"> является </w:t>
      </w:r>
      <w:r w:rsidR="005E2653">
        <w:rPr>
          <w:szCs w:val="24"/>
        </w:rPr>
        <w:t>важнейшим</w:t>
      </w:r>
      <w:r w:rsidR="008C5119" w:rsidRPr="008C5119">
        <w:rPr>
          <w:szCs w:val="24"/>
        </w:rPr>
        <w:t xml:space="preserve"> элементом успеха стратегического подхода МСЭ-</w:t>
      </w:r>
      <w:r w:rsidR="008C5119" w:rsidRPr="008C5119">
        <w:rPr>
          <w:szCs w:val="24"/>
          <w:lang w:val="en-US"/>
        </w:rPr>
        <w:t>D</w:t>
      </w:r>
      <w:r w:rsidR="008C5119" w:rsidRPr="008C5119">
        <w:rPr>
          <w:szCs w:val="24"/>
        </w:rPr>
        <w:t xml:space="preserve"> </w:t>
      </w:r>
      <w:r w:rsidR="005E2653">
        <w:rPr>
          <w:szCs w:val="24"/>
        </w:rPr>
        <w:t>по вопросам членского состава</w:t>
      </w:r>
      <w:r w:rsidR="008C5119" w:rsidRPr="008C5119">
        <w:rPr>
          <w:szCs w:val="24"/>
        </w:rPr>
        <w:t xml:space="preserve"> в масштабах </w:t>
      </w:r>
      <w:r w:rsidR="005E2653">
        <w:rPr>
          <w:szCs w:val="24"/>
        </w:rPr>
        <w:t>всего Бюро</w:t>
      </w:r>
      <w:r w:rsidR="008C5119" w:rsidRPr="008C5119">
        <w:rPr>
          <w:szCs w:val="24"/>
        </w:rPr>
        <w:t>. Оно направлено на повышение осведомленности и потенциала сотрудников Б</w:t>
      </w:r>
      <w:r w:rsidR="005E2653">
        <w:rPr>
          <w:szCs w:val="24"/>
        </w:rPr>
        <w:t>РЭ</w:t>
      </w:r>
      <w:r w:rsidR="008C5119" w:rsidRPr="008C5119">
        <w:rPr>
          <w:szCs w:val="24"/>
        </w:rPr>
        <w:t xml:space="preserve">, как в штаб-квартире, так и на местах, для поиска, привлечения и удержания членов. Были проведены специальные и индивидуальные брифинги для </w:t>
      </w:r>
      <w:r w:rsidR="005E2653">
        <w:rPr>
          <w:szCs w:val="24"/>
        </w:rPr>
        <w:t>персонала</w:t>
      </w:r>
      <w:r w:rsidR="008C5119" w:rsidRPr="008C5119">
        <w:rPr>
          <w:szCs w:val="24"/>
        </w:rPr>
        <w:t xml:space="preserve"> в каждом регионе, и была </w:t>
      </w:r>
      <w:r w:rsidR="00A55E1B">
        <w:rPr>
          <w:szCs w:val="24"/>
        </w:rPr>
        <w:t xml:space="preserve">повышена осведомленность в отношении </w:t>
      </w:r>
      <w:r w:rsidR="008C5119" w:rsidRPr="008C5119">
        <w:rPr>
          <w:szCs w:val="24"/>
        </w:rPr>
        <w:t xml:space="preserve">общих </w:t>
      </w:r>
      <w:r w:rsidR="00A55E1B">
        <w:rPr>
          <w:szCs w:val="24"/>
        </w:rPr>
        <w:t xml:space="preserve">действий </w:t>
      </w:r>
      <w:r w:rsidR="008C5119" w:rsidRPr="008C5119">
        <w:rPr>
          <w:szCs w:val="24"/>
        </w:rPr>
        <w:t xml:space="preserve">по привлечению и удержанию членов, </w:t>
      </w:r>
      <w:r w:rsidR="00A55E1B">
        <w:rPr>
          <w:szCs w:val="24"/>
        </w:rPr>
        <w:t xml:space="preserve">а также в отношении </w:t>
      </w:r>
      <w:r w:rsidR="005E2653">
        <w:rPr>
          <w:szCs w:val="24"/>
        </w:rPr>
        <w:t>имеющихся</w:t>
      </w:r>
      <w:r w:rsidR="008C5119" w:rsidRPr="008C5119">
        <w:rPr>
          <w:szCs w:val="24"/>
        </w:rPr>
        <w:t xml:space="preserve"> рекламных материал</w:t>
      </w:r>
      <w:r w:rsidR="00A55E1B">
        <w:rPr>
          <w:szCs w:val="24"/>
        </w:rPr>
        <w:t>ов</w:t>
      </w:r>
      <w:r w:rsidR="008C5119" w:rsidRPr="008C5119">
        <w:rPr>
          <w:szCs w:val="24"/>
        </w:rPr>
        <w:t>, инструмент</w:t>
      </w:r>
      <w:r w:rsidR="00A55E1B">
        <w:rPr>
          <w:szCs w:val="24"/>
        </w:rPr>
        <w:t>ов</w:t>
      </w:r>
      <w:r w:rsidR="008C5119" w:rsidRPr="008C5119">
        <w:rPr>
          <w:szCs w:val="24"/>
        </w:rPr>
        <w:t xml:space="preserve"> и доступных ресурс</w:t>
      </w:r>
      <w:r w:rsidR="00A55E1B">
        <w:rPr>
          <w:szCs w:val="24"/>
        </w:rPr>
        <w:t>ов</w:t>
      </w:r>
      <w:r w:rsidR="008C5119" w:rsidRPr="008C5119">
        <w:rPr>
          <w:szCs w:val="24"/>
        </w:rPr>
        <w:t xml:space="preserve">. Эти занятия позволили ликвидировать пробел в знаниях о правилах </w:t>
      </w:r>
      <w:r w:rsidR="005E2653" w:rsidRPr="008C5119">
        <w:rPr>
          <w:szCs w:val="24"/>
        </w:rPr>
        <w:t>членства</w:t>
      </w:r>
      <w:r w:rsidR="005E2653">
        <w:rPr>
          <w:szCs w:val="24"/>
        </w:rPr>
        <w:t>, соответствующих</w:t>
      </w:r>
      <w:r w:rsidR="008C5119" w:rsidRPr="008C5119">
        <w:rPr>
          <w:szCs w:val="24"/>
        </w:rPr>
        <w:t xml:space="preserve"> проце</w:t>
      </w:r>
      <w:r w:rsidR="005E2653">
        <w:rPr>
          <w:szCs w:val="24"/>
        </w:rPr>
        <w:t>дурах</w:t>
      </w:r>
      <w:r w:rsidR="008C5119" w:rsidRPr="008C5119">
        <w:rPr>
          <w:szCs w:val="24"/>
        </w:rPr>
        <w:t>, подходах, проблемах и возможностях</w:t>
      </w:r>
      <w:r w:rsidR="005E2653">
        <w:rPr>
          <w:szCs w:val="24"/>
        </w:rPr>
        <w:t>, связанных с</w:t>
      </w:r>
      <w:r w:rsidR="008C5119" w:rsidRPr="008C5119">
        <w:rPr>
          <w:szCs w:val="24"/>
        </w:rPr>
        <w:t xml:space="preserve"> удержани</w:t>
      </w:r>
      <w:r w:rsidR="005E2653">
        <w:rPr>
          <w:szCs w:val="24"/>
        </w:rPr>
        <w:t>ем</w:t>
      </w:r>
      <w:r w:rsidR="008C5119" w:rsidRPr="008C5119">
        <w:rPr>
          <w:szCs w:val="24"/>
        </w:rPr>
        <w:t xml:space="preserve"> членов.</w:t>
      </w:r>
    </w:p>
    <w:p w14:paraId="0712FAC4" w14:textId="79BD8573" w:rsidR="00091275" w:rsidRPr="008C5119" w:rsidRDefault="0061367F" w:rsidP="0061367F">
      <w:pPr>
        <w:pStyle w:val="enumlev1"/>
        <w:rPr>
          <w:szCs w:val="24"/>
        </w:rPr>
      </w:pPr>
      <w:r w:rsidRPr="005E2653">
        <w:rPr>
          <w:szCs w:val="24"/>
        </w:rPr>
        <w:t>−</w:t>
      </w:r>
      <w:r w:rsidRPr="005E2653">
        <w:rPr>
          <w:szCs w:val="24"/>
        </w:rPr>
        <w:tab/>
      </w:r>
      <w:r w:rsidR="008C5119" w:rsidRPr="005E2653">
        <w:rPr>
          <w:b/>
          <w:bCs/>
          <w:szCs w:val="24"/>
        </w:rPr>
        <w:t>Убеждение членов, находящихся в группе риска</w:t>
      </w:r>
      <w:r w:rsidR="005E2653">
        <w:rPr>
          <w:szCs w:val="24"/>
        </w:rPr>
        <w:t>.</w:t>
      </w:r>
      <w:r w:rsidR="008C5119" w:rsidRPr="008C5119">
        <w:rPr>
          <w:szCs w:val="24"/>
        </w:rPr>
        <w:t xml:space="preserve"> </w:t>
      </w:r>
      <w:r w:rsidR="005E2653">
        <w:rPr>
          <w:szCs w:val="24"/>
        </w:rPr>
        <w:t>В</w:t>
      </w:r>
      <w:r w:rsidR="005E2653" w:rsidRPr="008C5119">
        <w:rPr>
          <w:szCs w:val="24"/>
        </w:rPr>
        <w:t xml:space="preserve"> </w:t>
      </w:r>
      <w:r w:rsidR="008C5119" w:rsidRPr="008C5119">
        <w:rPr>
          <w:szCs w:val="24"/>
        </w:rPr>
        <w:t xml:space="preserve">случаях, когда </w:t>
      </w:r>
      <w:r w:rsidR="00C21B2F">
        <w:rPr>
          <w:szCs w:val="24"/>
        </w:rPr>
        <w:t>существующие</w:t>
      </w:r>
      <w:r w:rsidR="008C5119" w:rsidRPr="008C5119">
        <w:rPr>
          <w:szCs w:val="24"/>
        </w:rPr>
        <w:t xml:space="preserve"> члены </w:t>
      </w:r>
      <w:r w:rsidR="005E2653">
        <w:rPr>
          <w:szCs w:val="24"/>
        </w:rPr>
        <w:t>дают знать</w:t>
      </w:r>
      <w:r w:rsidR="008C5119" w:rsidRPr="008C5119">
        <w:rPr>
          <w:szCs w:val="24"/>
        </w:rPr>
        <w:t xml:space="preserve"> о своем намерении выйти из </w:t>
      </w:r>
      <w:r w:rsidR="005E2653">
        <w:rPr>
          <w:szCs w:val="24"/>
        </w:rPr>
        <w:t>Сектора</w:t>
      </w:r>
      <w:r w:rsidR="008C5119" w:rsidRPr="008C5119">
        <w:rPr>
          <w:szCs w:val="24"/>
        </w:rPr>
        <w:t xml:space="preserve">, проводятся индивидуальные </w:t>
      </w:r>
      <w:r w:rsidR="005E2653">
        <w:rPr>
          <w:szCs w:val="24"/>
        </w:rPr>
        <w:t>сессии</w:t>
      </w:r>
      <w:r w:rsidR="008C5119" w:rsidRPr="008C5119">
        <w:rPr>
          <w:szCs w:val="24"/>
        </w:rPr>
        <w:t xml:space="preserve"> с целью </w:t>
      </w:r>
      <w:r w:rsidR="005E2653">
        <w:rPr>
          <w:szCs w:val="24"/>
        </w:rPr>
        <w:t>выявления</w:t>
      </w:r>
      <w:r w:rsidR="008C5119" w:rsidRPr="008C5119">
        <w:rPr>
          <w:szCs w:val="24"/>
        </w:rPr>
        <w:t xml:space="preserve"> причин, по которым они собираются выйти, и убе</w:t>
      </w:r>
      <w:r w:rsidR="005E2653">
        <w:rPr>
          <w:szCs w:val="24"/>
        </w:rPr>
        <w:t>ждения</w:t>
      </w:r>
      <w:r w:rsidR="008C5119" w:rsidRPr="008C5119">
        <w:rPr>
          <w:szCs w:val="24"/>
        </w:rPr>
        <w:t xml:space="preserve"> их </w:t>
      </w:r>
      <w:r w:rsidR="005E2653">
        <w:rPr>
          <w:szCs w:val="24"/>
        </w:rPr>
        <w:t>сохранить</w:t>
      </w:r>
      <w:r w:rsidR="008C5119" w:rsidRPr="008C5119">
        <w:rPr>
          <w:szCs w:val="24"/>
        </w:rPr>
        <w:t xml:space="preserve"> членство. В </w:t>
      </w:r>
      <w:r w:rsidR="005E2653">
        <w:rPr>
          <w:szCs w:val="24"/>
        </w:rPr>
        <w:t>ряде</w:t>
      </w:r>
      <w:r w:rsidR="008C5119" w:rsidRPr="008C5119">
        <w:rPr>
          <w:szCs w:val="24"/>
        </w:rPr>
        <w:t xml:space="preserve"> случа</w:t>
      </w:r>
      <w:r w:rsidR="005E2653">
        <w:rPr>
          <w:szCs w:val="24"/>
        </w:rPr>
        <w:t>ев</w:t>
      </w:r>
      <w:r w:rsidR="008C5119" w:rsidRPr="008C5119">
        <w:rPr>
          <w:szCs w:val="24"/>
        </w:rPr>
        <w:t xml:space="preserve"> эт</w:t>
      </w:r>
      <w:r w:rsidR="005E2653">
        <w:rPr>
          <w:szCs w:val="24"/>
        </w:rPr>
        <w:t>а</w:t>
      </w:r>
      <w:r w:rsidR="008C5119" w:rsidRPr="008C5119">
        <w:rPr>
          <w:szCs w:val="24"/>
        </w:rPr>
        <w:t xml:space="preserve"> </w:t>
      </w:r>
      <w:r w:rsidR="005E2653">
        <w:rPr>
          <w:szCs w:val="24"/>
        </w:rPr>
        <w:t>работа была</w:t>
      </w:r>
      <w:r w:rsidR="008C5119" w:rsidRPr="008C5119">
        <w:rPr>
          <w:szCs w:val="24"/>
        </w:rPr>
        <w:t xml:space="preserve"> успешн</w:t>
      </w:r>
      <w:r w:rsidR="005E2653">
        <w:rPr>
          <w:szCs w:val="24"/>
        </w:rPr>
        <w:t>ой</w:t>
      </w:r>
      <w:r w:rsidR="008C5119" w:rsidRPr="008C5119">
        <w:rPr>
          <w:szCs w:val="24"/>
        </w:rPr>
        <w:t>, и такие члены отменили свое решение.</w:t>
      </w:r>
    </w:p>
    <w:p w14:paraId="7E2AD863" w14:textId="37A1AB94" w:rsidR="00091275" w:rsidRPr="008C5119" w:rsidRDefault="0061367F" w:rsidP="0061367F">
      <w:pPr>
        <w:pStyle w:val="enumlev1"/>
        <w:rPr>
          <w:b/>
          <w:bCs/>
          <w:szCs w:val="24"/>
        </w:rPr>
      </w:pPr>
      <w:r w:rsidRPr="005E2653">
        <w:rPr>
          <w:szCs w:val="24"/>
        </w:rPr>
        <w:t>−</w:t>
      </w:r>
      <w:r w:rsidRPr="005E2653">
        <w:rPr>
          <w:szCs w:val="24"/>
        </w:rPr>
        <w:tab/>
      </w:r>
      <w:r w:rsidR="008C5119" w:rsidRPr="005E2653">
        <w:rPr>
          <w:b/>
          <w:bCs/>
          <w:szCs w:val="24"/>
        </w:rPr>
        <w:t xml:space="preserve">Принятие новой стратегии </w:t>
      </w:r>
      <w:r w:rsidR="005E2653" w:rsidRPr="005E2653">
        <w:rPr>
          <w:b/>
          <w:bCs/>
          <w:szCs w:val="24"/>
        </w:rPr>
        <w:t xml:space="preserve">в отношении </w:t>
      </w:r>
      <w:r w:rsidR="008C5119" w:rsidRPr="005E2653">
        <w:rPr>
          <w:b/>
          <w:bCs/>
          <w:szCs w:val="24"/>
        </w:rPr>
        <w:t>членс</w:t>
      </w:r>
      <w:r w:rsidR="005E2653" w:rsidRPr="005E2653">
        <w:rPr>
          <w:b/>
          <w:bCs/>
          <w:szCs w:val="24"/>
        </w:rPr>
        <w:t>кого состава</w:t>
      </w:r>
      <w:r w:rsidR="008C5119" w:rsidRPr="008C5119">
        <w:rPr>
          <w:szCs w:val="24"/>
        </w:rPr>
        <w:t>, которая согласована со стратегиями</w:t>
      </w:r>
      <w:r w:rsidR="005E2653">
        <w:rPr>
          <w:szCs w:val="24"/>
        </w:rPr>
        <w:t xml:space="preserve"> по вопросам формирования</w:t>
      </w:r>
      <w:r w:rsidR="008C5119" w:rsidRPr="008C5119">
        <w:rPr>
          <w:szCs w:val="24"/>
        </w:rPr>
        <w:t xml:space="preserve"> партнерств и мобилизации ресурсов, а также</w:t>
      </w:r>
      <w:r w:rsidR="005E2653">
        <w:rPr>
          <w:szCs w:val="24"/>
        </w:rPr>
        <w:t xml:space="preserve"> стратегией по</w:t>
      </w:r>
      <w:r w:rsidR="008C5119" w:rsidRPr="008C5119">
        <w:rPr>
          <w:szCs w:val="24"/>
        </w:rPr>
        <w:t xml:space="preserve"> управлени</w:t>
      </w:r>
      <w:r w:rsidR="005E2653">
        <w:rPr>
          <w:szCs w:val="24"/>
        </w:rPr>
        <w:t>ю</w:t>
      </w:r>
      <w:r w:rsidR="008C5119" w:rsidRPr="008C5119">
        <w:rPr>
          <w:szCs w:val="24"/>
        </w:rPr>
        <w:t xml:space="preserve"> проектами для обеспечения </w:t>
      </w:r>
      <w:r w:rsidR="005E2653">
        <w:t xml:space="preserve">взаимного плодотворного общения </w:t>
      </w:r>
      <w:r w:rsidR="008C5119" w:rsidRPr="008C5119">
        <w:rPr>
          <w:szCs w:val="24"/>
        </w:rPr>
        <w:t xml:space="preserve">между тремя </w:t>
      </w:r>
      <w:r w:rsidR="00265F9F">
        <w:rPr>
          <w:szCs w:val="24"/>
        </w:rPr>
        <w:t>службами</w:t>
      </w:r>
      <w:r w:rsidR="008C5119" w:rsidRPr="008C5119">
        <w:rPr>
          <w:szCs w:val="24"/>
        </w:rPr>
        <w:t>.</w:t>
      </w:r>
    </w:p>
    <w:p w14:paraId="4CBC4E17" w14:textId="678CBF66" w:rsidR="00091275" w:rsidRPr="00FE5BED" w:rsidRDefault="00091275" w:rsidP="00091275">
      <w:pPr>
        <w:pStyle w:val="Heading1"/>
        <w:rPr>
          <w:rFonts w:eastAsia="SimSun"/>
          <w:lang w:eastAsia="zh-CN"/>
        </w:rPr>
      </w:pPr>
      <w:r w:rsidRPr="00FE5BED">
        <w:rPr>
          <w:rFonts w:eastAsia="SimSun"/>
          <w:lang w:eastAsia="zh-CN"/>
        </w:rPr>
        <w:lastRenderedPageBreak/>
        <w:t>5</w:t>
      </w:r>
      <w:r w:rsidRPr="00FE5BED">
        <w:rPr>
          <w:rFonts w:eastAsia="SimSun"/>
          <w:lang w:eastAsia="zh-CN"/>
        </w:rPr>
        <w:tab/>
      </w:r>
      <w:r w:rsidR="0061367F">
        <w:rPr>
          <w:rFonts w:eastAsia="SimSun"/>
          <w:lang w:eastAsia="zh-CN"/>
        </w:rPr>
        <w:t>Заключение</w:t>
      </w:r>
    </w:p>
    <w:p w14:paraId="6F0CB992" w14:textId="30850165" w:rsidR="00091275" w:rsidRPr="00FE5BED" w:rsidRDefault="008C5119" w:rsidP="00091275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after="120"/>
        <w:jc w:val="both"/>
      </w:pPr>
      <w:r w:rsidRPr="00FE5BED">
        <w:t>Б</w:t>
      </w:r>
      <w:r w:rsidR="00EE489F">
        <w:t>РЭ</w:t>
      </w:r>
      <w:r w:rsidRPr="00FE5BED">
        <w:t xml:space="preserve"> намерен</w:t>
      </w:r>
      <w:r w:rsidR="00EE489F">
        <w:t>о</w:t>
      </w:r>
      <w:r w:rsidRPr="00FE5BED">
        <w:t>:</w:t>
      </w:r>
    </w:p>
    <w:p w14:paraId="5638017C" w14:textId="11CAC025" w:rsidR="00091275" w:rsidRPr="00EE489F" w:rsidRDefault="00091275" w:rsidP="00091275">
      <w:pPr>
        <w:pStyle w:val="enumlev1"/>
      </w:pPr>
      <w:r>
        <w:rPr>
          <w:lang w:val="en-US"/>
        </w:rPr>
        <w:t>a</w:t>
      </w:r>
      <w:r w:rsidRPr="00EE489F">
        <w:t>)</w:t>
      </w:r>
      <w:r w:rsidRPr="00EE489F">
        <w:tab/>
      </w:r>
      <w:r w:rsidR="00C21B2F" w:rsidRPr="00EE489F">
        <w:t xml:space="preserve">продолжать </w:t>
      </w:r>
      <w:r w:rsidR="00EE489F">
        <w:t xml:space="preserve">работу по </w:t>
      </w:r>
      <w:r w:rsidR="008C5119" w:rsidRPr="00EE489F">
        <w:t>увелич</w:t>
      </w:r>
      <w:r w:rsidR="00EE489F">
        <w:t>ению</w:t>
      </w:r>
      <w:r w:rsidR="008C5119" w:rsidRPr="00EE489F">
        <w:t xml:space="preserve"> числ</w:t>
      </w:r>
      <w:r w:rsidR="00EE489F">
        <w:t>а</w:t>
      </w:r>
      <w:r w:rsidR="008C5119" w:rsidRPr="00EE489F">
        <w:t xml:space="preserve"> </w:t>
      </w:r>
      <w:r w:rsidR="00EE489F" w:rsidRPr="00EE489F">
        <w:t xml:space="preserve">Членов </w:t>
      </w:r>
      <w:r w:rsidR="008C5119" w:rsidRPr="00EE489F">
        <w:t>Сектора МСЭ-</w:t>
      </w:r>
      <w:r w:rsidR="008C5119" w:rsidRPr="008C5119">
        <w:rPr>
          <w:lang w:val="en-GB"/>
        </w:rPr>
        <w:t>D</w:t>
      </w:r>
      <w:r w:rsidR="008C5119" w:rsidRPr="00EE489F">
        <w:t xml:space="preserve">, одновременно удерживая </w:t>
      </w:r>
      <w:r w:rsidR="00C21B2F">
        <w:t>существующих</w:t>
      </w:r>
      <w:r w:rsidR="008C5119" w:rsidRPr="00EE489F">
        <w:t xml:space="preserve"> членов путем предоставления ценн</w:t>
      </w:r>
      <w:r w:rsidR="00EE489F">
        <w:t>ых</w:t>
      </w:r>
      <w:r w:rsidR="00EE489F" w:rsidRPr="00EE489F">
        <w:t xml:space="preserve"> </w:t>
      </w:r>
      <w:r w:rsidR="00EE489F">
        <w:t>услуг</w:t>
      </w:r>
      <w:r w:rsidR="008C5119" w:rsidRPr="00EE489F">
        <w:t>;</w:t>
      </w:r>
    </w:p>
    <w:p w14:paraId="3D9DDE2B" w14:textId="0700E493" w:rsidR="00091275" w:rsidRPr="00EE489F" w:rsidRDefault="00091275" w:rsidP="00091275">
      <w:pPr>
        <w:pStyle w:val="enumlev1"/>
      </w:pPr>
      <w:r>
        <w:rPr>
          <w:lang w:val="en-GB"/>
        </w:rPr>
        <w:t>b</w:t>
      </w:r>
      <w:r w:rsidRPr="00EE489F">
        <w:t>)</w:t>
      </w:r>
      <w:r w:rsidRPr="00EE489F">
        <w:tab/>
      </w:r>
      <w:r w:rsidR="00C21B2F" w:rsidRPr="00EE489F">
        <w:t>повы</w:t>
      </w:r>
      <w:r w:rsidR="00C21B2F">
        <w:t>ша</w:t>
      </w:r>
      <w:r w:rsidR="00C21B2F" w:rsidRPr="00EE489F">
        <w:t xml:space="preserve">ть </w:t>
      </w:r>
      <w:r w:rsidR="008C5119" w:rsidRPr="00EE489F">
        <w:t xml:space="preserve">вовлеченность </w:t>
      </w:r>
      <w:r w:rsidR="00EE489F" w:rsidRPr="00EE489F">
        <w:t xml:space="preserve">Членов </w:t>
      </w:r>
      <w:r w:rsidR="008C5119" w:rsidRPr="00EE489F">
        <w:t>Сектора МСЭ-</w:t>
      </w:r>
      <w:r w:rsidR="008C5119" w:rsidRPr="008C5119">
        <w:rPr>
          <w:lang w:val="en-GB"/>
        </w:rPr>
        <w:t>D</w:t>
      </w:r>
      <w:r w:rsidR="008C5119" w:rsidRPr="00EE489F">
        <w:t xml:space="preserve"> в работу Сектора и создать благо</w:t>
      </w:r>
      <w:r w:rsidR="00EE489F">
        <w:t>приятную</w:t>
      </w:r>
      <w:r w:rsidR="008C5119" w:rsidRPr="00EE489F">
        <w:t xml:space="preserve"> </w:t>
      </w:r>
      <w:r w:rsidR="00EE489F">
        <w:t>среду</w:t>
      </w:r>
      <w:r w:rsidR="008C5119" w:rsidRPr="00EE489F">
        <w:t xml:space="preserve"> для</w:t>
      </w:r>
      <w:r w:rsidR="00EE489F">
        <w:t xml:space="preserve"> формирования</w:t>
      </w:r>
      <w:r w:rsidR="008C5119" w:rsidRPr="00EE489F">
        <w:t xml:space="preserve"> партнерств и мобилизации ресурсов, </w:t>
      </w:r>
      <w:r w:rsidR="00EE489F">
        <w:t>что</w:t>
      </w:r>
      <w:r w:rsidR="008C5119" w:rsidRPr="00EE489F">
        <w:t xml:space="preserve"> позвол</w:t>
      </w:r>
      <w:r w:rsidR="00EE489F">
        <w:t>и</w:t>
      </w:r>
      <w:r w:rsidR="008C5119" w:rsidRPr="00EE489F">
        <w:t>т финансировать проекты и инициативы</w:t>
      </w:r>
      <w:r w:rsidR="00EE489F">
        <w:t>,</w:t>
      </w:r>
      <w:r w:rsidR="008C5119" w:rsidRPr="00EE489F">
        <w:t xml:space="preserve"> </w:t>
      </w:r>
      <w:r w:rsidR="00EE489F">
        <w:t>оказывающие заметное воздействие</w:t>
      </w:r>
      <w:r w:rsidR="008C5119" w:rsidRPr="00EE489F">
        <w:t>;</w:t>
      </w:r>
    </w:p>
    <w:p w14:paraId="6C60F594" w14:textId="38E9CC83" w:rsidR="00091275" w:rsidRPr="00EE489F" w:rsidRDefault="00091275" w:rsidP="00091275">
      <w:pPr>
        <w:pStyle w:val="enumlev1"/>
      </w:pPr>
      <w:r>
        <w:rPr>
          <w:lang w:val="en-GB"/>
        </w:rPr>
        <w:t>c</w:t>
      </w:r>
      <w:r w:rsidRPr="00EE489F">
        <w:t>)</w:t>
      </w:r>
      <w:r w:rsidRPr="00EE489F">
        <w:tab/>
      </w:r>
      <w:r w:rsidR="00C21B2F" w:rsidRPr="00EE489F">
        <w:t>расшир</w:t>
      </w:r>
      <w:r w:rsidR="00C21B2F">
        <w:t>ять</w:t>
      </w:r>
      <w:r w:rsidR="00C21B2F" w:rsidRPr="00EE489F">
        <w:t xml:space="preserve"> </w:t>
      </w:r>
      <w:r w:rsidR="008C5119" w:rsidRPr="00EE489F">
        <w:t>участи</w:t>
      </w:r>
      <w:r w:rsidR="00EE489F">
        <w:t>е</w:t>
      </w:r>
      <w:r w:rsidR="008C5119" w:rsidRPr="00EE489F">
        <w:t xml:space="preserve"> </w:t>
      </w:r>
      <w:r w:rsidR="00EE489F" w:rsidRPr="00EE489F">
        <w:t xml:space="preserve">Членов </w:t>
      </w:r>
      <w:r w:rsidR="008C5119" w:rsidRPr="00EE489F">
        <w:t>Сектора МСЭ-</w:t>
      </w:r>
      <w:r w:rsidR="008C5119" w:rsidRPr="008C5119">
        <w:rPr>
          <w:lang w:val="en-GB"/>
        </w:rPr>
        <w:t>D</w:t>
      </w:r>
      <w:r w:rsidR="008C5119" w:rsidRPr="00EE489F">
        <w:t xml:space="preserve"> в деятельности и мероприятиях Сектора в целях оказания воздействия;</w:t>
      </w:r>
    </w:p>
    <w:p w14:paraId="5EBA266D" w14:textId="0E977B91" w:rsidR="00091275" w:rsidRPr="0061367F" w:rsidRDefault="00091275" w:rsidP="00091275">
      <w:pPr>
        <w:pStyle w:val="enumlev1"/>
      </w:pPr>
      <w:r w:rsidRPr="0061367F">
        <w:rPr>
          <w:lang w:val="en-GB"/>
        </w:rPr>
        <w:t>d</w:t>
      </w:r>
      <w:r w:rsidRPr="0061367F">
        <w:t>)</w:t>
      </w:r>
      <w:r w:rsidRPr="0061367F">
        <w:tab/>
      </w:r>
      <w:r w:rsidR="00C21B2F" w:rsidRPr="0061367F">
        <w:t xml:space="preserve">непрерывно </w:t>
      </w:r>
      <w:r w:rsidRPr="0061367F">
        <w:t xml:space="preserve">совершенствовать инструменты и услуги с целью содействия </w:t>
      </w:r>
      <w:r w:rsidR="005E2653">
        <w:t>вовлечению</w:t>
      </w:r>
      <w:r w:rsidRPr="0061367F">
        <w:t xml:space="preserve"> </w:t>
      </w:r>
      <w:r w:rsidR="0061367F">
        <w:t>и</w:t>
      </w:r>
      <w:r w:rsidRPr="0061367F">
        <w:t xml:space="preserve"> участию членов.</w:t>
      </w:r>
    </w:p>
    <w:p w14:paraId="3E373E8B" w14:textId="77777777" w:rsidR="0040328D" w:rsidRPr="00091275" w:rsidRDefault="0040328D" w:rsidP="004A66D0">
      <w:pPr>
        <w:tabs>
          <w:tab w:val="clear" w:pos="794"/>
          <w:tab w:val="clear" w:pos="1191"/>
          <w:tab w:val="clear" w:pos="1588"/>
          <w:tab w:val="clear" w:pos="1985"/>
        </w:tabs>
        <w:spacing w:before="720"/>
        <w:jc w:val="center"/>
        <w:rPr>
          <w:lang w:val="en-GB"/>
        </w:rPr>
      </w:pPr>
      <w:r w:rsidRPr="00091275">
        <w:rPr>
          <w:lang w:val="en-GB"/>
        </w:rPr>
        <w:t>_______________</w:t>
      </w:r>
    </w:p>
    <w:sectPr w:rsidR="0040328D" w:rsidRPr="00091275" w:rsidSect="002502FE">
      <w:headerReference w:type="default" r:id="rId11"/>
      <w:footerReference w:type="default" r:id="rId12"/>
      <w:footerReference w:type="first" r:id="rId13"/>
      <w:pgSz w:w="11906" w:h="16838" w:code="9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B078" w14:textId="77777777" w:rsidR="00C73EF2" w:rsidRDefault="00C73EF2" w:rsidP="00E54FD2">
      <w:pPr>
        <w:spacing w:before="0"/>
      </w:pPr>
      <w:r>
        <w:separator/>
      </w:r>
    </w:p>
  </w:endnote>
  <w:endnote w:type="continuationSeparator" w:id="0">
    <w:p w14:paraId="75D420ED" w14:textId="77777777" w:rsidR="00C73EF2" w:rsidRDefault="00C73EF2" w:rsidP="00E54F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5887" w14:textId="1EA5BB99" w:rsidR="00EE489F" w:rsidRDefault="00A2093F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EE489F">
      <w:t>P:\RUS\ITU-D\CONF-D\TDAG21\000\012R.docx</w:t>
    </w:r>
    <w:r>
      <w:fldChar w:fldCharType="end"/>
    </w:r>
    <w:r w:rsidR="00EE489F">
      <w:t xml:space="preserve"> (</w:t>
    </w:r>
    <w:r w:rsidR="00EE489F" w:rsidRPr="00884083">
      <w:t>486968</w:t>
    </w:r>
    <w:r w:rsidR="00EE489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EE489F" w:rsidRPr="006703BB" w14:paraId="4EB7F513" w14:textId="77777777" w:rsidTr="00EE489F">
      <w:tc>
        <w:tcPr>
          <w:tcW w:w="1418" w:type="dxa"/>
          <w:tcBorders>
            <w:top w:val="single" w:sz="4" w:space="0" w:color="000000"/>
          </w:tcBorders>
          <w:shd w:val="clear" w:color="auto" w:fill="auto"/>
        </w:tcPr>
        <w:p w14:paraId="339B9536" w14:textId="77777777" w:rsidR="00EE489F" w:rsidRPr="004D495C" w:rsidRDefault="00EE489F" w:rsidP="00884083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>
            <w:rPr>
              <w:sz w:val="18"/>
              <w:szCs w:val="18"/>
            </w:rPr>
            <w:t>Координатор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14:paraId="72B80950" w14:textId="77777777" w:rsidR="00EE489F" w:rsidRPr="00EB2F10" w:rsidRDefault="00EE489F" w:rsidP="00884083">
          <w:pPr>
            <w:pStyle w:val="FirstFooter"/>
            <w:spacing w:before="40"/>
            <w:rPr>
              <w:sz w:val="18"/>
              <w:szCs w:val="18"/>
              <w:lang w:val="en-US"/>
            </w:rPr>
          </w:pPr>
          <w:r w:rsidRPr="00EB2F10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</w:tcPr>
        <w:p w14:paraId="194A33F5" w14:textId="77777777" w:rsidR="00EE489F" w:rsidRPr="006703BB" w:rsidRDefault="00EE489F" w:rsidP="00884083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</w:rPr>
          </w:pPr>
          <w:r>
            <w:rPr>
              <w:sz w:val="18"/>
              <w:szCs w:val="18"/>
            </w:rPr>
            <w:t>д</w:t>
          </w:r>
          <w:r w:rsidRPr="006703BB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р</w:t>
          </w:r>
          <w:r w:rsidRPr="006703BB">
            <w:rPr>
              <w:sz w:val="18"/>
              <w:szCs w:val="18"/>
            </w:rPr>
            <w:t xml:space="preserve"> </w:t>
          </w:r>
          <w:r w:rsidRPr="00421856">
            <w:rPr>
              <w:sz w:val="18"/>
              <w:szCs w:val="18"/>
            </w:rPr>
            <w:t>Космас</w:t>
          </w:r>
          <w:r w:rsidRPr="006703BB">
            <w:rPr>
              <w:sz w:val="18"/>
              <w:szCs w:val="18"/>
            </w:rPr>
            <w:t xml:space="preserve"> </w:t>
          </w:r>
          <w:r w:rsidRPr="00421856">
            <w:rPr>
              <w:sz w:val="18"/>
              <w:szCs w:val="18"/>
            </w:rPr>
            <w:t>Завазава</w:t>
          </w:r>
          <w:r w:rsidRPr="006703BB">
            <w:rPr>
              <w:sz w:val="18"/>
              <w:szCs w:val="18"/>
            </w:rPr>
            <w:t xml:space="preserve"> (</w:t>
          </w:r>
          <w:r>
            <w:rPr>
              <w:sz w:val="18"/>
              <w:szCs w:val="18"/>
              <w:lang w:val="en-GB"/>
            </w:rPr>
            <w:t>D</w:t>
          </w:r>
          <w:r w:rsidRPr="00E84F22">
            <w:rPr>
              <w:sz w:val="18"/>
              <w:szCs w:val="18"/>
              <w:lang w:val="en-US"/>
            </w:rPr>
            <w:t>r</w:t>
          </w:r>
          <w:r w:rsidRPr="006703BB">
            <w:rPr>
              <w:sz w:val="18"/>
              <w:szCs w:val="18"/>
            </w:rPr>
            <w:t xml:space="preserve"> </w:t>
          </w:r>
          <w:r w:rsidRPr="00E84F22">
            <w:rPr>
              <w:sz w:val="18"/>
              <w:szCs w:val="18"/>
              <w:lang w:val="en-US"/>
            </w:rPr>
            <w:t>Cosmas</w:t>
          </w:r>
          <w:r w:rsidRPr="006703BB">
            <w:rPr>
              <w:sz w:val="18"/>
              <w:szCs w:val="18"/>
            </w:rPr>
            <w:t xml:space="preserve"> </w:t>
          </w:r>
          <w:r w:rsidRPr="00E84F22">
            <w:rPr>
              <w:sz w:val="18"/>
              <w:szCs w:val="18"/>
              <w:lang w:val="en-US"/>
            </w:rPr>
            <w:t>Zavazava</w:t>
          </w:r>
          <w:r w:rsidRPr="006703BB">
            <w:rPr>
              <w:sz w:val="18"/>
              <w:szCs w:val="18"/>
            </w:rPr>
            <w:t xml:space="preserve">), </w:t>
          </w:r>
          <w:r>
            <w:rPr>
              <w:sz w:val="18"/>
              <w:szCs w:val="18"/>
            </w:rPr>
            <w:t>руководитель</w:t>
          </w:r>
          <w:r w:rsidRPr="006703BB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Департамента</w:t>
          </w:r>
          <w:r w:rsidRPr="006703BB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партнерств</w:t>
          </w:r>
          <w:r w:rsidRPr="006703BB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в</w:t>
          </w:r>
          <w:r w:rsidRPr="006703BB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целях</w:t>
          </w:r>
          <w:r w:rsidRPr="006703BB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цифрового</w:t>
          </w:r>
          <w:r w:rsidRPr="006703BB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развития</w:t>
          </w:r>
          <w:r w:rsidRPr="006703BB">
            <w:rPr>
              <w:sz w:val="18"/>
              <w:szCs w:val="18"/>
            </w:rPr>
            <w:t xml:space="preserve"> </w:t>
          </w:r>
          <w:r w:rsidRPr="00421856">
            <w:rPr>
              <w:sz w:val="18"/>
              <w:szCs w:val="18"/>
            </w:rPr>
            <w:t>Бюро</w:t>
          </w:r>
          <w:r w:rsidRPr="006703BB">
            <w:rPr>
              <w:sz w:val="18"/>
              <w:szCs w:val="18"/>
            </w:rPr>
            <w:t xml:space="preserve"> </w:t>
          </w:r>
          <w:r w:rsidRPr="00421856">
            <w:rPr>
              <w:sz w:val="18"/>
              <w:szCs w:val="18"/>
            </w:rPr>
            <w:t>развития</w:t>
          </w:r>
          <w:r w:rsidRPr="006703BB">
            <w:rPr>
              <w:sz w:val="18"/>
              <w:szCs w:val="18"/>
            </w:rPr>
            <w:t xml:space="preserve"> </w:t>
          </w:r>
          <w:r w:rsidRPr="00421856">
            <w:rPr>
              <w:sz w:val="18"/>
              <w:szCs w:val="18"/>
            </w:rPr>
            <w:t>электросвязи</w:t>
          </w:r>
        </w:p>
      </w:tc>
    </w:tr>
    <w:tr w:rsidR="00EE489F" w:rsidRPr="004D495C" w14:paraId="19B169D5" w14:textId="77777777" w:rsidTr="00EE489F">
      <w:tc>
        <w:tcPr>
          <w:tcW w:w="1418" w:type="dxa"/>
          <w:shd w:val="clear" w:color="auto" w:fill="auto"/>
        </w:tcPr>
        <w:p w14:paraId="0241C727" w14:textId="77777777" w:rsidR="00EE489F" w:rsidRPr="006703BB" w:rsidRDefault="00EE489F" w:rsidP="00884083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20"/>
            </w:rPr>
          </w:pPr>
        </w:p>
      </w:tc>
      <w:tc>
        <w:tcPr>
          <w:tcW w:w="3260" w:type="dxa"/>
        </w:tcPr>
        <w:p w14:paraId="3081D033" w14:textId="77777777" w:rsidR="00EE489F" w:rsidRPr="00EB2F10" w:rsidRDefault="00EE489F" w:rsidP="00884083">
          <w:pPr>
            <w:pStyle w:val="FirstFooter"/>
            <w:spacing w:before="40"/>
            <w:rPr>
              <w:sz w:val="18"/>
              <w:szCs w:val="18"/>
            </w:rPr>
          </w:pPr>
          <w:r w:rsidRPr="00EB2F10">
            <w:rPr>
              <w:sz w:val="18"/>
              <w:szCs w:val="18"/>
            </w:rPr>
            <w:t>Тел.:</w:t>
          </w:r>
        </w:p>
      </w:tc>
      <w:tc>
        <w:tcPr>
          <w:tcW w:w="4961" w:type="dxa"/>
        </w:tcPr>
        <w:p w14:paraId="7F1D14BC" w14:textId="77777777" w:rsidR="00EE489F" w:rsidRPr="00B41105" w:rsidRDefault="00EE489F" w:rsidP="00884083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421856">
            <w:rPr>
              <w:sz w:val="18"/>
              <w:szCs w:val="18"/>
            </w:rPr>
            <w:t>+41 22 730 5447</w:t>
          </w:r>
        </w:p>
      </w:tc>
    </w:tr>
    <w:tr w:rsidR="00EE489F" w:rsidRPr="004D495C" w14:paraId="072267C4" w14:textId="77777777" w:rsidTr="00EE489F">
      <w:tc>
        <w:tcPr>
          <w:tcW w:w="1418" w:type="dxa"/>
          <w:shd w:val="clear" w:color="auto" w:fill="auto"/>
        </w:tcPr>
        <w:p w14:paraId="4635DBD5" w14:textId="77777777" w:rsidR="00EE489F" w:rsidRPr="004D495C" w:rsidRDefault="00EE489F" w:rsidP="00884083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20"/>
              <w:lang w:val="en-US"/>
            </w:rPr>
          </w:pPr>
        </w:p>
      </w:tc>
      <w:tc>
        <w:tcPr>
          <w:tcW w:w="3260" w:type="dxa"/>
        </w:tcPr>
        <w:p w14:paraId="1B3F50D9" w14:textId="77777777" w:rsidR="00EE489F" w:rsidRPr="00EB2F10" w:rsidRDefault="00EE489F" w:rsidP="00884083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EB2F10">
            <w:rPr>
              <w:sz w:val="18"/>
              <w:szCs w:val="18"/>
            </w:rPr>
            <w:t>Эл. почта</w:t>
          </w:r>
          <w:r w:rsidRPr="00EB2F10">
            <w:rPr>
              <w:sz w:val="18"/>
              <w:szCs w:val="18"/>
              <w:lang w:val="en-US"/>
            </w:rPr>
            <w:t>:</w:t>
          </w:r>
        </w:p>
      </w:tc>
      <w:tc>
        <w:tcPr>
          <w:tcW w:w="4961" w:type="dxa"/>
        </w:tcPr>
        <w:p w14:paraId="670D5FD5" w14:textId="77777777" w:rsidR="00EE489F" w:rsidRPr="00B41105" w:rsidRDefault="00A2093F" w:rsidP="00884083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hyperlink r:id="rId1" w:history="1">
            <w:r w:rsidR="00EE489F" w:rsidRPr="00421856">
              <w:rPr>
                <w:rStyle w:val="Hyperlink"/>
                <w:sz w:val="18"/>
                <w:szCs w:val="18"/>
                <w:lang w:val="en-US"/>
              </w:rPr>
              <w:t>cosmas.zavazava@itu.int</w:t>
            </w:r>
          </w:hyperlink>
        </w:p>
      </w:tc>
    </w:tr>
  </w:tbl>
  <w:p w14:paraId="739C2FBC" w14:textId="7451FF4E" w:rsidR="00EE489F" w:rsidRPr="006E4AB3" w:rsidRDefault="00EE489F" w:rsidP="00884083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jc w:val="center"/>
      <w:rPr>
        <w:caps/>
        <w:noProof/>
        <w:sz w:val="16"/>
      </w:rPr>
    </w:pPr>
    <w:r>
      <w:rPr>
        <w:color w:val="0000FF"/>
        <w:sz w:val="18"/>
        <w:szCs w:val="18"/>
        <w:u w:val="single"/>
      </w:rPr>
      <w:t>КГРЭ</w:t>
    </w: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454FA" w14:textId="77777777" w:rsidR="00C73EF2" w:rsidRDefault="00C73EF2" w:rsidP="00E54FD2">
      <w:pPr>
        <w:spacing w:before="0"/>
      </w:pPr>
      <w:r>
        <w:separator/>
      </w:r>
    </w:p>
  </w:footnote>
  <w:footnote w:type="continuationSeparator" w:id="0">
    <w:p w14:paraId="41F522BF" w14:textId="77777777" w:rsidR="00C73EF2" w:rsidRDefault="00C73EF2" w:rsidP="00E54FD2">
      <w:pPr>
        <w:spacing w:before="0"/>
      </w:pPr>
      <w:r>
        <w:continuationSeparator/>
      </w:r>
    </w:p>
  </w:footnote>
  <w:footnote w:id="1">
    <w:p w14:paraId="3F624173" w14:textId="77777777" w:rsidR="00EE489F" w:rsidRPr="006703BB" w:rsidRDefault="00EE489F" w:rsidP="00884083">
      <w:pPr>
        <w:pStyle w:val="FootnoteText"/>
        <w:spacing w:after="240"/>
      </w:pPr>
      <w:r>
        <w:rPr>
          <w:rStyle w:val="FootnoteReference"/>
        </w:rPr>
        <w:footnoteRef/>
      </w:r>
      <w:r w:rsidRPr="006703BB">
        <w:tab/>
      </w:r>
      <w:r>
        <w:t>См</w:t>
      </w:r>
      <w:r w:rsidRPr="006703BB">
        <w:t xml:space="preserve">. </w:t>
      </w:r>
      <w:r>
        <w:t>Резолюцию</w:t>
      </w:r>
      <w:r w:rsidRPr="006703BB">
        <w:t xml:space="preserve"> 169 (</w:t>
      </w:r>
      <w:r>
        <w:t>Гвадалахара</w:t>
      </w:r>
      <w:r w:rsidRPr="006703BB">
        <w:t>, 2010</w:t>
      </w:r>
      <w:r w:rsidRPr="00113D06">
        <w:rPr>
          <w:lang w:val="en-GB"/>
        </w:rPr>
        <w:t> </w:t>
      </w:r>
      <w:r>
        <w:t>г</w:t>
      </w:r>
      <w:r w:rsidRPr="006703BB">
        <w:t xml:space="preserve">.) </w:t>
      </w:r>
      <w:r>
        <w:t>Полномочной</w:t>
      </w:r>
      <w:r w:rsidRPr="006703BB">
        <w:t xml:space="preserve"> </w:t>
      </w:r>
      <w:r>
        <w:t>конференции</w:t>
      </w:r>
      <w:r w:rsidRPr="006703BB">
        <w:t xml:space="preserve">, в которой была введена новая категория участия в работе МСЭ для академических организаций. </w:t>
      </w:r>
    </w:p>
  </w:footnote>
  <w:footnote w:id="2">
    <w:p w14:paraId="5139D160" w14:textId="77777777" w:rsidR="00EE489F" w:rsidRPr="00884083" w:rsidRDefault="00EE489F" w:rsidP="0061367F">
      <w:pPr>
        <w:pStyle w:val="FootnoteText"/>
      </w:pPr>
      <w:r>
        <w:rPr>
          <w:rStyle w:val="FootnoteReference"/>
        </w:rPr>
        <w:footnoteRef/>
      </w:r>
      <w:r w:rsidRPr="00113D06">
        <w:tab/>
      </w:r>
      <w:r w:rsidRPr="00884083">
        <w:t>Резолюция 71 (Пересм. Буэнос-Айрес, 2017</w:t>
      </w:r>
      <w:r w:rsidRPr="00884083">
        <w:rPr>
          <w:lang w:val="en-GB"/>
        </w:rPr>
        <w:t> </w:t>
      </w:r>
      <w:r w:rsidRPr="00884083">
        <w:t xml:space="preserve">г.) "Укрепление сотрудничества между Государствами-Членами, Членами Сектора, Ассоциированными членами и </w:t>
      </w:r>
      <w:r w:rsidRPr="0061367F">
        <w:t>академическими</w:t>
      </w:r>
      <w:r w:rsidRPr="00884083">
        <w:t xml:space="preserve"> организациями − Членами Сектора развития электросвязи МСЭ и изменяющаяся роль частного сектора в деятельности Сектора развития электросвязи МСЭ".</w:t>
      </w:r>
    </w:p>
  </w:footnote>
  <w:footnote w:id="3">
    <w:p w14:paraId="2BE0707F" w14:textId="4364FEEF" w:rsidR="00EE489F" w:rsidRPr="00884083" w:rsidRDefault="00EE489F" w:rsidP="00884083">
      <w:pPr>
        <w:pStyle w:val="FootnoteText"/>
      </w:pPr>
      <w:r w:rsidRPr="00884083">
        <w:rPr>
          <w:rStyle w:val="FootnoteReference"/>
        </w:rPr>
        <w:footnoteRef/>
      </w:r>
      <w:r w:rsidRPr="00884083">
        <w:tab/>
        <w:t>См. Резолюцию 169 (Гвадалахара, 2010</w:t>
      </w:r>
      <w:r w:rsidRPr="00884083">
        <w:rPr>
          <w:lang w:val="en-GB"/>
        </w:rPr>
        <w:t> </w:t>
      </w:r>
      <w:r w:rsidRPr="00884083">
        <w:t>г.) Полномочной конференции, в которой была введена новая категория участия в работе МСЭ для академических организаций.</w:t>
      </w:r>
    </w:p>
  </w:footnote>
  <w:footnote w:id="4">
    <w:p w14:paraId="6823E4E5" w14:textId="77777777" w:rsidR="00EE489F" w:rsidRPr="0055230A" w:rsidRDefault="00EE489F" w:rsidP="00884083">
      <w:pPr>
        <w:pStyle w:val="FootnoteText"/>
      </w:pPr>
      <w:r w:rsidRPr="00884083">
        <w:rPr>
          <w:rStyle w:val="FootnoteReference"/>
        </w:rPr>
        <w:footnoteRef/>
      </w:r>
      <w:r w:rsidRPr="00884083">
        <w:rPr>
          <w:szCs w:val="16"/>
        </w:rPr>
        <w:tab/>
        <w:t>Академические организации участвуют в работе всех трех Секторов</w:t>
      </w:r>
      <w:r>
        <w:rPr>
          <w:szCs w:val="16"/>
        </w:rPr>
        <w:t xml:space="preserve"> МСЭ</w:t>
      </w:r>
      <w:r w:rsidRPr="00597618">
        <w:rPr>
          <w:szCs w:val="16"/>
        </w:rPr>
        <w:t xml:space="preserve">, </w:t>
      </w:r>
      <w:r w:rsidRPr="00EA0473">
        <w:rPr>
          <w:szCs w:val="16"/>
        </w:rPr>
        <w:t>в том числе их консультативных групп. Академические организации также участвуют в других глобальных и региональных конференциях, семинарах-практикумах и мероприятиях Союза, за исключением полномочных конференций, всемирных конференций радиосвязи, всемирных конференций по международной электросвязи и Совета МСЭ, в соответствии с правилами процедуры соответствующих Секторов.</w:t>
      </w:r>
    </w:p>
  </w:footnote>
  <w:footnote w:id="5">
    <w:p w14:paraId="623EF72A" w14:textId="560A3EB3" w:rsidR="00EE489F" w:rsidRPr="00046C04" w:rsidRDefault="00EE489F" w:rsidP="00091275">
      <w:pPr>
        <w:pStyle w:val="FootnoteText"/>
      </w:pPr>
      <w:r>
        <w:rPr>
          <w:rStyle w:val="FootnoteReference"/>
        </w:rPr>
        <w:footnoteRef/>
      </w:r>
      <w:r w:rsidRPr="00C72BC5">
        <w:tab/>
      </w:r>
      <w:r w:rsidRPr="00C80FCB">
        <w:t>Университет науки и технологий имени короля Абдаллы (Саудовская Аравия), Национальный университет Сан-Луиса (Аргентина), Хайдарабад</w:t>
      </w:r>
      <w:r>
        <w:t>ский</w:t>
      </w:r>
      <w:r w:rsidRPr="00C80FCB">
        <w:t xml:space="preserve"> индийский технологический институт (Индия), Национальный университет Рио-Куарто (Аргентина), Национальный университет Тукумана (Аргентина), Национальный университет Кордовы (Аргентина), Федеральная политехническая школа Лозанны (Швейцария), Мадрас</w:t>
      </w:r>
      <w:r>
        <w:t>ский</w:t>
      </w:r>
      <w:r w:rsidRPr="00C80FCB">
        <w:t xml:space="preserve"> </w:t>
      </w:r>
      <w:r>
        <w:t>и</w:t>
      </w:r>
      <w:r w:rsidRPr="00C80FCB">
        <w:t xml:space="preserve">ндийский технологический институт (Индия), Университет </w:t>
      </w:r>
      <w:r>
        <w:t>святого</w:t>
      </w:r>
      <w:r w:rsidRPr="00C80FCB">
        <w:t xml:space="preserve"> Иштвана (Венгрия), Университет Джорджа Вашингтона (США), </w:t>
      </w:r>
      <w:r>
        <w:t>Институт Monash Data Futures</w:t>
      </w:r>
      <w:r w:rsidRPr="00C80FCB">
        <w:t xml:space="preserve"> (Австралия), Совет по научным и </w:t>
      </w:r>
      <w:r>
        <w:t>отраслевым</w:t>
      </w:r>
      <w:r w:rsidRPr="00C80FCB">
        <w:t xml:space="preserve"> исследованиям (ЮАР), Харбинский технологический институт (Китай), Уханьский университет (Китай), Хуачжунский университет науки и технологий (Китай), Северо-Восточный университет (США), Стэнфордский университет (США), Шэньянский институт автоматизации (Китай), Северо-Западный политехнический университет (Китай), Нанкинский научно-исследовательский институт искусственного интеллекта нового поколения (Китай), Академия больших данных Института вычислительных технологий (Китай), Университет </w:t>
      </w:r>
      <w:r w:rsidRPr="00C80FCB">
        <w:rPr>
          <w:lang w:val="en-GB"/>
        </w:rPr>
        <w:t>SEISA</w:t>
      </w:r>
      <w:r w:rsidRPr="00C80FCB">
        <w:t xml:space="preserve"> (Япония), Хубэй</w:t>
      </w:r>
      <w:r>
        <w:t>ский</w:t>
      </w:r>
      <w:r w:rsidRPr="00C80FCB">
        <w:t xml:space="preserve"> </w:t>
      </w:r>
      <w:r>
        <w:t>н</w:t>
      </w:r>
      <w:r w:rsidRPr="00C80FCB">
        <w:t xml:space="preserve">аучно-исследовательский институт электроэнергетики </w:t>
      </w:r>
      <w:r>
        <w:t>г</w:t>
      </w:r>
      <w:r w:rsidRPr="00C80FCB">
        <w:t xml:space="preserve">осударственной сети (Китай), Университет Тунцзи (Китай), Костанайский инженерно-экономический университет им. </w:t>
      </w:r>
      <w:r>
        <w:t xml:space="preserve">М. </w:t>
      </w:r>
      <w:r w:rsidRPr="00046C04">
        <w:t xml:space="preserve">Дулатова (Казахстан), </w:t>
      </w:r>
      <w:r>
        <w:t>Чжецзянская лаборатория</w:t>
      </w:r>
      <w:r w:rsidRPr="00046C04">
        <w:t xml:space="preserve"> (Китай).</w:t>
      </w:r>
    </w:p>
  </w:footnote>
  <w:footnote w:id="6">
    <w:p w14:paraId="256EEC39" w14:textId="6BB3D007" w:rsidR="00EE489F" w:rsidRPr="00C80FCB" w:rsidRDefault="00EE489F" w:rsidP="002D4770">
      <w:pPr>
        <w:pStyle w:val="FootnoteText"/>
      </w:pPr>
      <w:r w:rsidRPr="0061367F">
        <w:rPr>
          <w:rStyle w:val="FootnoteReference"/>
        </w:rPr>
        <w:footnoteRef/>
      </w:r>
      <w:r w:rsidRPr="00C80FCB">
        <w:tab/>
      </w:r>
      <w:r>
        <w:t>Ч</w:t>
      </w:r>
      <w:r w:rsidRPr="00C80FCB">
        <w:t>лен</w:t>
      </w:r>
      <w:r>
        <w:t>ы</w:t>
      </w:r>
      <w:r w:rsidRPr="00C80FCB">
        <w:t xml:space="preserve"> МСЭ-</w:t>
      </w:r>
      <w:r w:rsidRPr="00C80FCB">
        <w:rPr>
          <w:lang w:val="en-GB"/>
        </w:rPr>
        <w:t>D</w:t>
      </w:r>
      <w:r w:rsidRPr="00C80FCB">
        <w:t xml:space="preserve"> </w:t>
      </w:r>
      <w:r>
        <w:t>разделены на следующие группы</w:t>
      </w:r>
      <w:r w:rsidRPr="00C80FCB">
        <w:t xml:space="preserve">: </w:t>
      </w:r>
      <w:r w:rsidR="00A55E1B" w:rsidRPr="00C80FCB">
        <w:t xml:space="preserve">признанные </w:t>
      </w:r>
      <w:r w:rsidRPr="00C80FCB">
        <w:t xml:space="preserve">эксплуатационные </w:t>
      </w:r>
      <w:r>
        <w:t>организации</w:t>
      </w:r>
      <w:r w:rsidRPr="00C80FCB">
        <w:t xml:space="preserve"> (</w:t>
      </w:r>
      <w:r>
        <w:t>ПЭО</w:t>
      </w:r>
      <w:r w:rsidRPr="00C80FCB">
        <w:t>), научные и</w:t>
      </w:r>
      <w:r w:rsidR="00A55E1B">
        <w:t>ли</w:t>
      </w:r>
      <w:r w:rsidRPr="00C80FCB">
        <w:t xml:space="preserve"> </w:t>
      </w:r>
      <w:r w:rsidR="00A55E1B">
        <w:t xml:space="preserve">промышленные </w:t>
      </w:r>
      <w:r w:rsidRPr="00C80FCB">
        <w:t>организации, региональные организации</w:t>
      </w:r>
      <w:r>
        <w:t xml:space="preserve"> электросвязи</w:t>
      </w:r>
      <w:r w:rsidR="00A55E1B">
        <w:t>,</w:t>
      </w:r>
      <w:r w:rsidRPr="00C80FCB">
        <w:t xml:space="preserve"> региональные и другие международные организации, межправительственные организации, эксплуат</w:t>
      </w:r>
      <w:r w:rsidR="00A55E1B">
        <w:t xml:space="preserve">ирующие </w:t>
      </w:r>
      <w:r w:rsidRPr="00C80FCB">
        <w:t>спутниковы</w:t>
      </w:r>
      <w:r w:rsidR="00A55E1B">
        <w:t>е</w:t>
      </w:r>
      <w:r w:rsidRPr="00C80FCB">
        <w:t xml:space="preserve"> систем</w:t>
      </w:r>
      <w:r w:rsidR="00A55E1B">
        <w:t>ы</w:t>
      </w:r>
      <w:r w:rsidRPr="00C80FCB">
        <w:t>, а также академические</w:t>
      </w:r>
      <w:r>
        <w:t xml:space="preserve"> организации</w:t>
      </w:r>
      <w:r w:rsidRPr="00C80FCB">
        <w:t xml:space="preserve"> и </w:t>
      </w:r>
      <w:r>
        <w:t>научно-</w:t>
      </w:r>
      <w:r w:rsidRPr="00C80FCB">
        <w:t>исследовательские учреждения.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E7BD9" w14:textId="6A6BFB6D" w:rsidR="00EE489F" w:rsidRPr="00701E31" w:rsidRDefault="00EE489F" w:rsidP="00B24169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ind w:right="1"/>
      <w:rPr>
        <w:smallCaps/>
        <w:spacing w:val="24"/>
      </w:rPr>
    </w:pPr>
    <w:r w:rsidRPr="00972BCD">
      <w:tab/>
    </w:r>
    <w:r w:rsidRPr="004D0E96">
      <w:t>TDAG-</w:t>
    </w:r>
    <w:r w:rsidRPr="004D0E96">
      <w:rPr>
        <w:lang w:val="en-US"/>
      </w:rPr>
      <w:t>21</w:t>
    </w:r>
    <w:r w:rsidRPr="004D0E96">
      <w:t>/</w:t>
    </w:r>
    <w:r>
      <w:t>12</w:t>
    </w:r>
    <w:r w:rsidRPr="004D0E96">
      <w:t>-R</w:t>
    </w:r>
    <w:r w:rsidRPr="00701E31">
      <w:tab/>
      <w:t>Страница</w:t>
    </w:r>
    <w:r w:rsidRPr="00701E31">
      <w:rPr>
        <w:rStyle w:val="PageNumber"/>
      </w:rPr>
      <w:t xml:space="preserve"> </w:t>
    </w:r>
    <w:r w:rsidRPr="00DE3BA6">
      <w:rPr>
        <w:rStyle w:val="PageNumber"/>
      </w:rPr>
      <w:fldChar w:fldCharType="begin"/>
    </w:r>
    <w:r w:rsidRPr="00701E31">
      <w:rPr>
        <w:rStyle w:val="PageNumber"/>
      </w:rPr>
      <w:instrText xml:space="preserve"> </w:instrText>
    </w:r>
    <w:r w:rsidRPr="00DE3BA6">
      <w:rPr>
        <w:rStyle w:val="PageNumber"/>
      </w:rPr>
      <w:instrText>PAGE</w:instrText>
    </w:r>
    <w:r w:rsidRPr="00701E31">
      <w:rPr>
        <w:rStyle w:val="PageNumber"/>
      </w:rPr>
      <w:instrText xml:space="preserve"> </w:instrText>
    </w:r>
    <w:r w:rsidRPr="00DE3BA6">
      <w:rPr>
        <w:rStyle w:val="PageNumber"/>
      </w:rPr>
      <w:fldChar w:fldCharType="separate"/>
    </w:r>
    <w:r>
      <w:rPr>
        <w:rStyle w:val="PageNumber"/>
        <w:noProof/>
      </w:rPr>
      <w:t>2</w:t>
    </w:r>
    <w:r w:rsidRPr="00DE3BA6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B252B"/>
    <w:multiLevelType w:val="hybridMultilevel"/>
    <w:tmpl w:val="18F4A99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2C0B4D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241A02"/>
    <w:multiLevelType w:val="hybridMultilevel"/>
    <w:tmpl w:val="512433B4"/>
    <w:lvl w:ilvl="0" w:tplc="D8AA7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FE"/>
    <w:rsid w:val="00046C04"/>
    <w:rsid w:val="00091275"/>
    <w:rsid w:val="000E1DBE"/>
    <w:rsid w:val="00107E03"/>
    <w:rsid w:val="00111662"/>
    <w:rsid w:val="00125DF8"/>
    <w:rsid w:val="00134D3C"/>
    <w:rsid w:val="001530FB"/>
    <w:rsid w:val="00191479"/>
    <w:rsid w:val="001933DA"/>
    <w:rsid w:val="00197305"/>
    <w:rsid w:val="001C6DD3"/>
    <w:rsid w:val="001E3E78"/>
    <w:rsid w:val="00202D0A"/>
    <w:rsid w:val="002219FC"/>
    <w:rsid w:val="002236F8"/>
    <w:rsid w:val="00233B04"/>
    <w:rsid w:val="002353A9"/>
    <w:rsid w:val="002363C5"/>
    <w:rsid w:val="002502FE"/>
    <w:rsid w:val="00257C2C"/>
    <w:rsid w:val="00265F9F"/>
    <w:rsid w:val="00270876"/>
    <w:rsid w:val="002717CC"/>
    <w:rsid w:val="002931FA"/>
    <w:rsid w:val="002D4770"/>
    <w:rsid w:val="00316454"/>
    <w:rsid w:val="00366978"/>
    <w:rsid w:val="003A294B"/>
    <w:rsid w:val="003C6E83"/>
    <w:rsid w:val="003E6E87"/>
    <w:rsid w:val="0040328D"/>
    <w:rsid w:val="004143D5"/>
    <w:rsid w:val="00422053"/>
    <w:rsid w:val="004713B8"/>
    <w:rsid w:val="00492670"/>
    <w:rsid w:val="004A66D0"/>
    <w:rsid w:val="004D0E96"/>
    <w:rsid w:val="004E4490"/>
    <w:rsid w:val="005773D4"/>
    <w:rsid w:val="005A7AE1"/>
    <w:rsid w:val="005C0551"/>
    <w:rsid w:val="005D4DF3"/>
    <w:rsid w:val="005E006A"/>
    <w:rsid w:val="005E2653"/>
    <w:rsid w:val="0061367F"/>
    <w:rsid w:val="00631202"/>
    <w:rsid w:val="00655923"/>
    <w:rsid w:val="00661629"/>
    <w:rsid w:val="00694764"/>
    <w:rsid w:val="006F5E91"/>
    <w:rsid w:val="00701E31"/>
    <w:rsid w:val="007E6B3A"/>
    <w:rsid w:val="008112E9"/>
    <w:rsid w:val="0085038B"/>
    <w:rsid w:val="00875722"/>
    <w:rsid w:val="00884083"/>
    <w:rsid w:val="008C5119"/>
    <w:rsid w:val="008C576E"/>
    <w:rsid w:val="009135B4"/>
    <w:rsid w:val="00916B10"/>
    <w:rsid w:val="00933E0E"/>
    <w:rsid w:val="00942D94"/>
    <w:rsid w:val="00965DE3"/>
    <w:rsid w:val="009C5B8E"/>
    <w:rsid w:val="009D09B4"/>
    <w:rsid w:val="00A2093F"/>
    <w:rsid w:val="00A30897"/>
    <w:rsid w:val="00A44602"/>
    <w:rsid w:val="00A55E1B"/>
    <w:rsid w:val="00A64F9D"/>
    <w:rsid w:val="00A73D91"/>
    <w:rsid w:val="00AA42F8"/>
    <w:rsid w:val="00AC2E0E"/>
    <w:rsid w:val="00AC6023"/>
    <w:rsid w:val="00AE0BB7"/>
    <w:rsid w:val="00AE1BA7"/>
    <w:rsid w:val="00B222FE"/>
    <w:rsid w:val="00B24169"/>
    <w:rsid w:val="00B52E6E"/>
    <w:rsid w:val="00B726C0"/>
    <w:rsid w:val="00B75868"/>
    <w:rsid w:val="00B86DFA"/>
    <w:rsid w:val="00B9410B"/>
    <w:rsid w:val="00B961EF"/>
    <w:rsid w:val="00BD2C91"/>
    <w:rsid w:val="00BD7A1A"/>
    <w:rsid w:val="00C21B2F"/>
    <w:rsid w:val="00C3333A"/>
    <w:rsid w:val="00C33388"/>
    <w:rsid w:val="00C54D1A"/>
    <w:rsid w:val="00C62E82"/>
    <w:rsid w:val="00C71A6F"/>
    <w:rsid w:val="00C72BC5"/>
    <w:rsid w:val="00C73EF2"/>
    <w:rsid w:val="00C80FCB"/>
    <w:rsid w:val="00C84CCD"/>
    <w:rsid w:val="00CD1F3E"/>
    <w:rsid w:val="00CD34AE"/>
    <w:rsid w:val="00CE37A1"/>
    <w:rsid w:val="00CE5E7B"/>
    <w:rsid w:val="00D16175"/>
    <w:rsid w:val="00D41FCD"/>
    <w:rsid w:val="00D5699C"/>
    <w:rsid w:val="00D712FE"/>
    <w:rsid w:val="00D923CD"/>
    <w:rsid w:val="00D93FCC"/>
    <w:rsid w:val="00DA4610"/>
    <w:rsid w:val="00DC354B"/>
    <w:rsid w:val="00DD19E1"/>
    <w:rsid w:val="00DD5D8C"/>
    <w:rsid w:val="00E06A7D"/>
    <w:rsid w:val="00E30170"/>
    <w:rsid w:val="00E54FD2"/>
    <w:rsid w:val="00E82D31"/>
    <w:rsid w:val="00ED63F8"/>
    <w:rsid w:val="00EE153D"/>
    <w:rsid w:val="00EE489F"/>
    <w:rsid w:val="00F72A94"/>
    <w:rsid w:val="00F746B3"/>
    <w:rsid w:val="00F961B7"/>
    <w:rsid w:val="00FA2BC3"/>
    <w:rsid w:val="00FA6BDB"/>
    <w:rsid w:val="00FC1008"/>
    <w:rsid w:val="00FC5ABC"/>
    <w:rsid w:val="00F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38BA67"/>
  <w15:docId w15:val="{15149C44-EE05-4954-9840-24F51E22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0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61367F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C71A6F"/>
    <w:pPr>
      <w:spacing w:before="320"/>
      <w:outlineLvl w:val="1"/>
    </w:pPr>
    <w:rPr>
      <w:rFonts w:cs="Times New Roman Bold"/>
      <w:bCs/>
    </w:rPr>
  </w:style>
  <w:style w:type="paragraph" w:styleId="Heading3">
    <w:name w:val="heading 3"/>
    <w:basedOn w:val="Heading1"/>
    <w:next w:val="Normal"/>
    <w:link w:val="Heading3Char"/>
    <w:qFormat/>
    <w:rsid w:val="00CE37A1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CE37A1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E37A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E37A1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CE37A1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CE37A1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CE37A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E37A1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E37A1"/>
  </w:style>
  <w:style w:type="paragraph" w:customStyle="1" w:styleId="Appendixref">
    <w:name w:val="Appendix_ref"/>
    <w:basedOn w:val="Annexref"/>
    <w:next w:val="Normal"/>
    <w:rsid w:val="00CE37A1"/>
  </w:style>
  <w:style w:type="paragraph" w:customStyle="1" w:styleId="Appendixtitle">
    <w:name w:val="Appendix_title"/>
    <w:basedOn w:val="Annextitle"/>
    <w:next w:val="Normal"/>
    <w:rsid w:val="00CE37A1"/>
    <w:rPr>
      <w:sz w:val="22"/>
    </w:rPr>
  </w:style>
  <w:style w:type="paragraph" w:customStyle="1" w:styleId="Artheading">
    <w:name w:val="Art_heading"/>
    <w:basedOn w:val="Normal"/>
    <w:next w:val="Normal"/>
    <w:rsid w:val="00CE37A1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E37A1"/>
    <w:pPr>
      <w:keepNext/>
      <w:keepLines/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CE37A1"/>
  </w:style>
  <w:style w:type="paragraph" w:customStyle="1" w:styleId="Chaptitle">
    <w:name w:val="Chap_title"/>
    <w:basedOn w:val="Arttitle"/>
    <w:next w:val="Normal"/>
    <w:rsid w:val="00CE37A1"/>
  </w:style>
  <w:style w:type="paragraph" w:customStyle="1" w:styleId="Committee">
    <w:name w:val="Committee"/>
    <w:basedOn w:val="Normal"/>
    <w:qFormat/>
    <w:rsid w:val="00CE37A1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Date">
    <w:name w:val="Date"/>
    <w:basedOn w:val="Normal"/>
    <w:link w:val="DateChar"/>
    <w:rsid w:val="00CE37A1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CE37A1"/>
    <w:rPr>
      <w:rFonts w:eastAsia="Times New Roman" w:cs="Times New Roman"/>
      <w:sz w:val="20"/>
      <w:szCs w:val="20"/>
      <w:lang w:val="en-GB" w:eastAsia="en-US"/>
    </w:rPr>
  </w:style>
  <w:style w:type="paragraph" w:customStyle="1" w:styleId="enumlev1">
    <w:name w:val="enumlev1"/>
    <w:basedOn w:val="Normal"/>
    <w:rsid w:val="004A66D0"/>
    <w:pPr>
      <w:spacing w:before="80"/>
      <w:ind w:left="794" w:hanging="794"/>
    </w:pPr>
  </w:style>
  <w:style w:type="paragraph" w:customStyle="1" w:styleId="enumlev2">
    <w:name w:val="enumlev2"/>
    <w:basedOn w:val="enumlev1"/>
    <w:rsid w:val="001530FB"/>
    <w:pPr>
      <w:ind w:left="1191" w:hanging="397"/>
    </w:pPr>
  </w:style>
  <w:style w:type="paragraph" w:customStyle="1" w:styleId="enumlev3">
    <w:name w:val="enumlev3"/>
    <w:basedOn w:val="enumlev2"/>
    <w:rsid w:val="001530FB"/>
    <w:pPr>
      <w:ind w:left="1588"/>
    </w:pPr>
  </w:style>
  <w:style w:type="paragraph" w:styleId="Footer">
    <w:name w:val="footer"/>
    <w:basedOn w:val="Normal"/>
    <w:link w:val="FooterChar"/>
    <w:rsid w:val="00CE37A1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E37A1"/>
    <w:rPr>
      <w:rFonts w:eastAsia="Times New Roman" w:cs="Times New Roman"/>
      <w:caps/>
      <w:noProof/>
      <w:sz w:val="16"/>
      <w:szCs w:val="20"/>
      <w:lang w:val="en-GB" w:eastAsia="en-US"/>
    </w:rPr>
  </w:style>
  <w:style w:type="paragraph" w:customStyle="1" w:styleId="FirstFooter">
    <w:name w:val="FirstFooter"/>
    <w:basedOn w:val="Footer"/>
    <w:rsid w:val="00CE37A1"/>
    <w:rPr>
      <w:caps w:val="0"/>
    </w:rPr>
  </w:style>
  <w:style w:type="paragraph" w:customStyle="1" w:styleId="firstfooter0">
    <w:name w:val="firstfooter"/>
    <w:basedOn w:val="Normal"/>
    <w:rsid w:val="00CE3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rsid w:val="00CE37A1"/>
    <w:rPr>
      <w:color w:val="800080"/>
      <w:u w:val="single"/>
    </w:rPr>
  </w:style>
  <w:style w:type="character" w:styleId="FootnoteReference">
    <w:name w:val="footnote reference"/>
    <w:basedOn w:val="DefaultParagraphFont"/>
    <w:rsid w:val="00CE37A1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rsid w:val="00CE37A1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E37A1"/>
    <w:rPr>
      <w:rFonts w:eastAsia="Times New Roman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CE37A1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E37A1"/>
    <w:rPr>
      <w:rFonts w:eastAsia="Times New Roman" w:cs="Times New Roman"/>
      <w:sz w:val="18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61367F"/>
    <w:rPr>
      <w:rFonts w:ascii="Calibri" w:eastAsia="Times New Roman" w:hAnsi="Calibri" w:cs="Times New Roman"/>
      <w:b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C71A6F"/>
    <w:rPr>
      <w:rFonts w:ascii="Calibri" w:eastAsia="Times New Roman" w:hAnsi="Calibri" w:cs="Times New Roman Bold"/>
      <w:b/>
      <w:bCs/>
      <w:lang w:val="ru-RU" w:eastAsia="en-US"/>
    </w:rPr>
  </w:style>
  <w:style w:type="character" w:customStyle="1" w:styleId="Heading3Char">
    <w:name w:val="Heading 3 Char"/>
    <w:basedOn w:val="DefaultParagraphFont"/>
    <w:link w:val="Heading3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E37A1"/>
    <w:rPr>
      <w:rFonts w:eastAsia="Times New Roman" w:cs="Times New Roman"/>
      <w:b/>
      <w:szCs w:val="20"/>
      <w:lang w:val="en-GB" w:eastAsia="en-US"/>
    </w:rPr>
  </w:style>
  <w:style w:type="paragraph" w:customStyle="1" w:styleId="Headingb">
    <w:name w:val="Heading_b"/>
    <w:basedOn w:val="Heading3"/>
    <w:next w:val="Normal"/>
    <w:rsid w:val="001530FB"/>
    <w:pPr>
      <w:spacing w:before="160"/>
      <w:outlineLvl w:val="0"/>
    </w:pPr>
    <w:rPr>
      <w:rFonts w:cs="Times New Roman Bold"/>
    </w:rPr>
  </w:style>
  <w:style w:type="paragraph" w:customStyle="1" w:styleId="Headingi">
    <w:name w:val="Heading_i"/>
    <w:basedOn w:val="Heading3"/>
    <w:next w:val="Normal"/>
    <w:rsid w:val="00CE37A1"/>
    <w:pPr>
      <w:spacing w:before="160"/>
      <w:outlineLvl w:val="0"/>
    </w:pPr>
    <w:rPr>
      <w:b w:val="0"/>
      <w:i/>
    </w:rPr>
  </w:style>
  <w:style w:type="character" w:styleId="Hyperlink">
    <w:name w:val="Hyperlink"/>
    <w:basedOn w:val="DefaultParagraphFont"/>
    <w:rsid w:val="00CE37A1"/>
    <w:rPr>
      <w:color w:val="0000FF"/>
      <w:u w:val="single"/>
    </w:rPr>
  </w:style>
  <w:style w:type="paragraph" w:customStyle="1" w:styleId="MinusFootnote">
    <w:name w:val="MinusFootnote"/>
    <w:basedOn w:val="Normal"/>
    <w:rsid w:val="00CE37A1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CE37A1"/>
    <w:pPr>
      <w:spacing w:before="240"/>
    </w:pPr>
  </w:style>
  <w:style w:type="paragraph" w:styleId="NormalIndent">
    <w:name w:val="Normal Indent"/>
    <w:basedOn w:val="Normal"/>
    <w:rsid w:val="00CE37A1"/>
    <w:pPr>
      <w:ind w:left="567"/>
    </w:pPr>
  </w:style>
  <w:style w:type="paragraph" w:customStyle="1" w:styleId="Note">
    <w:name w:val="Note"/>
    <w:basedOn w:val="Normal"/>
    <w:rsid w:val="00CE37A1"/>
    <w:pPr>
      <w:tabs>
        <w:tab w:val="left" w:pos="851"/>
      </w:tabs>
    </w:pPr>
  </w:style>
  <w:style w:type="character" w:styleId="PageNumber">
    <w:name w:val="page number"/>
    <w:basedOn w:val="DefaultParagraphFont"/>
    <w:rsid w:val="00CE37A1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CE37A1"/>
  </w:style>
  <w:style w:type="paragraph" w:customStyle="1" w:styleId="RecNo">
    <w:name w:val="Rec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E37A1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CE37A1"/>
    <w:pPr>
      <w:ind w:left="567" w:hanging="567"/>
    </w:pPr>
  </w:style>
  <w:style w:type="paragraph" w:customStyle="1" w:styleId="Reftitle">
    <w:name w:val="Ref_title"/>
    <w:basedOn w:val="Normal"/>
    <w:next w:val="Reftext"/>
    <w:rsid w:val="00CE37A1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CE37A1"/>
  </w:style>
  <w:style w:type="paragraph" w:customStyle="1" w:styleId="Restitle">
    <w:name w:val="Res_title"/>
    <w:basedOn w:val="Annextitle"/>
    <w:next w:val="Normal"/>
    <w:rsid w:val="00CE37A1"/>
  </w:style>
  <w:style w:type="paragraph" w:customStyle="1" w:styleId="Section1">
    <w:name w:val="Section 1"/>
    <w:basedOn w:val="ChapNo"/>
    <w:next w:val="Normal"/>
    <w:rsid w:val="00CE37A1"/>
    <w:rPr>
      <w:caps w:val="0"/>
    </w:rPr>
  </w:style>
  <w:style w:type="paragraph" w:customStyle="1" w:styleId="Section2">
    <w:name w:val="Section 2"/>
    <w:basedOn w:val="Section1"/>
    <w:next w:val="Normal"/>
    <w:rsid w:val="00CE37A1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FA6BDB"/>
    <w:pPr>
      <w:framePr w:hSpace="180" w:wrap="around" w:vAnchor="page" w:hAnchor="margin" w:y="790"/>
      <w:spacing w:before="240" w:after="240"/>
      <w:jc w:val="center"/>
    </w:pPr>
    <w:rPr>
      <w:b/>
      <w:sz w:val="26"/>
      <w:szCs w:val="28"/>
      <w:lang w:eastAsia="zh-CN"/>
    </w:rPr>
  </w:style>
  <w:style w:type="table" w:styleId="TableGrid">
    <w:name w:val="Table Grid"/>
    <w:basedOn w:val="TableNormal"/>
    <w:uiPriority w:val="59"/>
    <w:rsid w:val="00CE37A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_text"/>
    <w:basedOn w:val="Normal"/>
    <w:rsid w:val="00CE37A1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E37A1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CE37A1"/>
    <w:pPr>
      <w:spacing w:before="120"/>
    </w:pPr>
  </w:style>
  <w:style w:type="paragraph" w:customStyle="1" w:styleId="TableNo">
    <w:name w:val="Table_No"/>
    <w:basedOn w:val="Normal"/>
    <w:next w:val="Normal"/>
    <w:rsid w:val="00884083"/>
    <w:pPr>
      <w:keepNext/>
      <w:spacing w:before="3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E37A1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4143D5"/>
    <w:pPr>
      <w:framePr w:hSpace="0" w:wrap="auto" w:vAnchor="margin" w:hAnchor="text" w:yAlign="inline"/>
      <w:spacing w:before="120" w:after="120"/>
    </w:pPr>
    <w:rPr>
      <w:b w:val="0"/>
      <w:caps/>
    </w:rPr>
  </w:style>
  <w:style w:type="paragraph" w:customStyle="1" w:styleId="Title2">
    <w:name w:val="Title 2"/>
    <w:basedOn w:val="Source"/>
    <w:next w:val="Normal"/>
    <w:rsid w:val="00CE37A1"/>
    <w:pPr>
      <w:framePr w:hSpace="0" w:wrap="auto" w:vAnchor="margin" w:hAnchor="text" w:yAlign="inline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E37A1"/>
    <w:rPr>
      <w:caps w:val="0"/>
    </w:rPr>
  </w:style>
  <w:style w:type="paragraph" w:customStyle="1" w:styleId="toc0">
    <w:name w:val="toc 0"/>
    <w:basedOn w:val="Normal"/>
    <w:next w:val="TOC1"/>
    <w:rsid w:val="00CE37A1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CE37A1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CE37A1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Proposal">
    <w:name w:val="Proposal"/>
    <w:basedOn w:val="Normal"/>
    <w:next w:val="Normal"/>
    <w:rsid w:val="00A44602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Theme="minorHAnsi" w:hAnsi="Times New Roman Bold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0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551"/>
    <w:rPr>
      <w:rFonts w:ascii="Calibri" w:eastAsia="Times New Roman" w:hAnsi="Calibri" w:cs="Times New Roman"/>
      <w:sz w:val="20"/>
      <w:szCs w:val="20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551"/>
    <w:rPr>
      <w:rFonts w:ascii="Calibri" w:eastAsia="Times New Roman" w:hAnsi="Calibri" w:cs="Times New Roman"/>
      <w:b/>
      <w:bCs/>
      <w:sz w:val="20"/>
      <w:szCs w:val="20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55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51"/>
    <w:rPr>
      <w:rFonts w:ascii="Segoe UI" w:eastAsia="Times New Roman" w:hAnsi="Segoe UI" w:cs="Segoe UI"/>
      <w:sz w:val="18"/>
      <w:szCs w:val="18"/>
      <w:lang w:val="ru-RU" w:eastAsia="en-US"/>
    </w:rPr>
  </w:style>
  <w:style w:type="paragraph" w:styleId="ListParagraph">
    <w:name w:val="List Paragraph"/>
    <w:basedOn w:val="Normal"/>
    <w:uiPriority w:val="34"/>
    <w:qFormat/>
    <w:rsid w:val="0009127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  <w:rPr>
      <w:rFonts w:asciiTheme="minorHAnsi" w:hAnsiTheme="minorHAnsi"/>
      <w:sz w:val="24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D4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en/ITU-D/Conferences/CRO/PublishingImages/CRO11/IAGDI-CRO%20Outcome%20Statement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TDAG/Pages/default.aspx" TargetMode="External"/><Relationship Id="rId1" Type="http://schemas.openxmlformats.org/officeDocument/2006/relationships/hyperlink" Target="mailto:cosmas.zavazava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DE6FE-8F50-4405-B74E-D1EC4B85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1750</Words>
  <Characters>9978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TDAG19</vt:lpstr>
      <vt:lpstr>TDAG19</vt:lpstr>
    </vt:vector>
  </TitlesOfParts>
  <Company>International Telecommunication Union (ITU)</Company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Antipina, Nadezda</dc:creator>
  <cp:keywords/>
  <dc:description/>
  <cp:lastModifiedBy>Fedosova, Elena</cp:lastModifiedBy>
  <cp:revision>6</cp:revision>
  <cp:lastPrinted>2015-03-02T13:42:00Z</cp:lastPrinted>
  <dcterms:created xsi:type="dcterms:W3CDTF">2021-05-06T09:29:00Z</dcterms:created>
  <dcterms:modified xsi:type="dcterms:W3CDTF">2021-05-06T12:50:00Z</dcterms:modified>
</cp:coreProperties>
</file>