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EF7069" w14:paraId="1C20896F" w14:textId="77777777" w:rsidTr="005221A2">
        <w:trPr>
          <w:cantSplit/>
          <w:trHeight w:val="1134"/>
        </w:trPr>
        <w:tc>
          <w:tcPr>
            <w:tcW w:w="2268" w:type="dxa"/>
          </w:tcPr>
          <w:p w14:paraId="45C5ED40" w14:textId="1F9903B0" w:rsidR="005221A2" w:rsidRPr="00EF7069" w:rsidRDefault="005221A2" w:rsidP="005221A2">
            <w:pPr>
              <w:tabs>
                <w:tab w:val="clear" w:pos="1191"/>
                <w:tab w:val="clear" w:pos="1588"/>
                <w:tab w:val="clear" w:pos="1985"/>
              </w:tabs>
              <w:spacing w:after="120"/>
              <w:ind w:left="34"/>
              <w:rPr>
                <w:b/>
                <w:bCs/>
                <w:sz w:val="32"/>
                <w:szCs w:val="32"/>
                <w:lang w:val="fr-FR"/>
              </w:rPr>
            </w:pPr>
            <w:r>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Default="005221A2" w:rsidP="005221A2">
            <w:pPr>
              <w:tabs>
                <w:tab w:val="clear" w:pos="1191"/>
                <w:tab w:val="clear" w:pos="1588"/>
                <w:tab w:val="clear" w:pos="1985"/>
              </w:tabs>
              <w:spacing w:before="280" w:after="120"/>
              <w:ind w:left="34"/>
              <w:rPr>
                <w:b/>
                <w:bCs/>
                <w:sz w:val="32"/>
                <w:szCs w:val="32"/>
                <w:lang w:val="fr-FR"/>
              </w:rPr>
            </w:pPr>
            <w:r w:rsidRPr="00EF7069">
              <w:rPr>
                <w:b/>
                <w:bCs/>
                <w:sz w:val="32"/>
                <w:szCs w:val="32"/>
                <w:lang w:val="fr-FR"/>
              </w:rPr>
              <w:t xml:space="preserve">Groupe consultatif pour le développement </w:t>
            </w:r>
            <w:r w:rsidRPr="00EF7069">
              <w:rPr>
                <w:b/>
                <w:bCs/>
                <w:sz w:val="32"/>
                <w:szCs w:val="32"/>
                <w:lang w:val="fr-FR"/>
              </w:rPr>
              <w:br/>
              <w:t>des télécommunications (GCDT)</w:t>
            </w:r>
          </w:p>
          <w:p w14:paraId="3DFE313D" w14:textId="3622BC23" w:rsidR="005221A2" w:rsidRPr="00EF7069" w:rsidRDefault="005221A2" w:rsidP="00D37A23">
            <w:pPr>
              <w:tabs>
                <w:tab w:val="clear" w:pos="1191"/>
                <w:tab w:val="clear" w:pos="1588"/>
                <w:tab w:val="clear" w:pos="1985"/>
              </w:tabs>
              <w:spacing w:before="100" w:after="120"/>
              <w:ind w:left="34"/>
              <w:rPr>
                <w:rFonts w:ascii="Verdana" w:hAnsi="Verdana"/>
                <w:sz w:val="28"/>
                <w:szCs w:val="28"/>
                <w:lang w:val="fr-FR"/>
              </w:rPr>
            </w:pPr>
            <w:r w:rsidRPr="00EF7069">
              <w:rPr>
                <w:b/>
                <w:bCs/>
                <w:sz w:val="26"/>
                <w:szCs w:val="26"/>
                <w:lang w:val="fr-FR"/>
              </w:rPr>
              <w:t>2</w:t>
            </w:r>
            <w:r>
              <w:rPr>
                <w:b/>
                <w:bCs/>
                <w:sz w:val="26"/>
                <w:szCs w:val="26"/>
                <w:lang w:val="fr-FR"/>
              </w:rPr>
              <w:t>8</w:t>
            </w:r>
            <w:r w:rsidRPr="00EF7069">
              <w:rPr>
                <w:b/>
                <w:bCs/>
                <w:sz w:val="26"/>
                <w:szCs w:val="26"/>
                <w:lang w:val="fr-FR"/>
              </w:rPr>
              <w:t>ème réunion, virtuelle</w:t>
            </w:r>
            <w:r>
              <w:rPr>
                <w:b/>
                <w:bCs/>
                <w:sz w:val="26"/>
                <w:szCs w:val="26"/>
                <w:lang w:val="fr-FR"/>
              </w:rPr>
              <w:t xml:space="preserve">, </w:t>
            </w:r>
            <w:r w:rsidRPr="005221A2">
              <w:rPr>
                <w:b/>
                <w:bCs/>
                <w:sz w:val="26"/>
                <w:szCs w:val="26"/>
                <w:lang w:val="fr-FR"/>
              </w:rPr>
              <w:t>2</w:t>
            </w:r>
            <w:r w:rsidR="00191189">
              <w:rPr>
                <w:b/>
                <w:bCs/>
                <w:sz w:val="26"/>
                <w:szCs w:val="26"/>
                <w:lang w:val="fr-FR"/>
              </w:rPr>
              <w:t>4</w:t>
            </w:r>
            <w:r w:rsidRPr="005221A2">
              <w:rPr>
                <w:b/>
                <w:bCs/>
                <w:sz w:val="26"/>
                <w:szCs w:val="26"/>
                <w:lang w:val="fr-FR"/>
              </w:rPr>
              <w:t xml:space="preserve">-28 </w:t>
            </w:r>
            <w:r>
              <w:rPr>
                <w:b/>
                <w:bCs/>
                <w:sz w:val="26"/>
                <w:szCs w:val="26"/>
                <w:lang w:val="fr-FR"/>
              </w:rPr>
              <w:t xml:space="preserve">mai </w:t>
            </w:r>
            <w:r w:rsidRPr="005221A2">
              <w:rPr>
                <w:b/>
                <w:bCs/>
                <w:sz w:val="26"/>
                <w:szCs w:val="26"/>
                <w:lang w:val="fr-FR"/>
              </w:rPr>
              <w:t>2021</w:t>
            </w:r>
          </w:p>
        </w:tc>
        <w:tc>
          <w:tcPr>
            <w:tcW w:w="1524" w:type="dxa"/>
          </w:tcPr>
          <w:p w14:paraId="5BB3CF32" w14:textId="2BFBE1BC" w:rsidR="005221A2" w:rsidRPr="00EF7069" w:rsidRDefault="002E38ED" w:rsidP="005221A2">
            <w:pPr>
              <w:spacing w:before="240"/>
              <w:ind w:right="142"/>
              <w:jc w:val="right"/>
              <w:rPr>
                <w:lang w:val="fr-FR"/>
              </w:rPr>
            </w:pPr>
            <w:r>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F7069" w14:paraId="27F9265D" w14:textId="77777777" w:rsidTr="005221A2">
        <w:trPr>
          <w:cantSplit/>
        </w:trPr>
        <w:tc>
          <w:tcPr>
            <w:tcW w:w="6379" w:type="dxa"/>
            <w:gridSpan w:val="2"/>
            <w:tcBorders>
              <w:top w:val="single" w:sz="12" w:space="0" w:color="auto"/>
            </w:tcBorders>
          </w:tcPr>
          <w:p w14:paraId="274519C1" w14:textId="77777777" w:rsidR="00683C32" w:rsidRPr="007E515B"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7E515B" w:rsidRDefault="00683C32" w:rsidP="00107E85">
            <w:pPr>
              <w:spacing w:before="0"/>
              <w:rPr>
                <w:b/>
                <w:bCs/>
                <w:sz w:val="20"/>
                <w:lang w:val="fr-FR"/>
              </w:rPr>
            </w:pPr>
          </w:p>
        </w:tc>
      </w:tr>
      <w:tr w:rsidR="00683C32" w:rsidRPr="00EF7069" w14:paraId="46C2A819" w14:textId="77777777" w:rsidTr="005221A2">
        <w:trPr>
          <w:cantSplit/>
        </w:trPr>
        <w:tc>
          <w:tcPr>
            <w:tcW w:w="6379" w:type="dxa"/>
            <w:gridSpan w:val="2"/>
          </w:tcPr>
          <w:p w14:paraId="1C4186C5" w14:textId="77777777" w:rsidR="00683C32" w:rsidRPr="007E515B" w:rsidRDefault="00683C32" w:rsidP="00400CCF">
            <w:pPr>
              <w:pStyle w:val="Committee"/>
              <w:spacing w:before="0"/>
              <w:rPr>
                <w:b w:val="0"/>
                <w:szCs w:val="24"/>
                <w:lang w:val="fr-FR"/>
              </w:rPr>
            </w:pPr>
          </w:p>
        </w:tc>
        <w:tc>
          <w:tcPr>
            <w:tcW w:w="3509" w:type="dxa"/>
            <w:gridSpan w:val="2"/>
          </w:tcPr>
          <w:p w14:paraId="18DBE3E6" w14:textId="0E9F8350" w:rsidR="00683C32" w:rsidRPr="007E515B" w:rsidRDefault="0096201B" w:rsidP="00B648C7">
            <w:pPr>
              <w:spacing w:before="0"/>
              <w:jc w:val="both"/>
              <w:rPr>
                <w:bCs/>
                <w:szCs w:val="24"/>
                <w:lang w:val="fr-FR"/>
              </w:rPr>
            </w:pPr>
            <w:r w:rsidRPr="007E515B">
              <w:rPr>
                <w:b/>
                <w:bCs/>
                <w:lang w:val="fr-FR"/>
              </w:rPr>
              <w:t xml:space="preserve">Document </w:t>
            </w:r>
            <w:bookmarkStart w:id="0" w:name="DocRef1"/>
            <w:bookmarkEnd w:id="0"/>
            <w:r w:rsidRPr="007E515B">
              <w:rPr>
                <w:b/>
                <w:bCs/>
                <w:lang w:val="fr-FR"/>
              </w:rPr>
              <w:t>TDAG</w:t>
            </w:r>
            <w:r w:rsidR="003242AB" w:rsidRPr="007E515B">
              <w:rPr>
                <w:b/>
                <w:bCs/>
                <w:lang w:val="fr-FR"/>
              </w:rPr>
              <w:t>-</w:t>
            </w:r>
            <w:r w:rsidR="00B648C7" w:rsidRPr="007E515B">
              <w:rPr>
                <w:b/>
                <w:bCs/>
                <w:lang w:val="fr-FR"/>
              </w:rPr>
              <w:t>2</w:t>
            </w:r>
            <w:bookmarkStart w:id="1" w:name="DocNo1"/>
            <w:bookmarkEnd w:id="1"/>
            <w:r w:rsidR="005221A2" w:rsidRPr="007E515B">
              <w:rPr>
                <w:b/>
                <w:bCs/>
                <w:lang w:val="fr-FR"/>
              </w:rPr>
              <w:t>1</w:t>
            </w:r>
            <w:r w:rsidR="0009076F" w:rsidRPr="007E515B">
              <w:rPr>
                <w:b/>
                <w:bCs/>
                <w:lang w:val="fr-FR"/>
              </w:rPr>
              <w:t>/</w:t>
            </w:r>
            <w:r w:rsidR="00C803F2">
              <w:rPr>
                <w:b/>
                <w:bCs/>
                <w:lang w:val="fr-FR"/>
              </w:rPr>
              <w:t>12</w:t>
            </w:r>
            <w:r w:rsidRPr="007E515B">
              <w:rPr>
                <w:b/>
                <w:bCs/>
                <w:lang w:val="fr-FR"/>
              </w:rPr>
              <w:t>-</w:t>
            </w:r>
            <w:r w:rsidR="00D37A23" w:rsidRPr="007E515B">
              <w:rPr>
                <w:b/>
                <w:bCs/>
                <w:lang w:val="fr-FR"/>
              </w:rPr>
              <w:t>F</w:t>
            </w:r>
          </w:p>
        </w:tc>
      </w:tr>
      <w:tr w:rsidR="00683C32" w:rsidRPr="00EF7069" w14:paraId="3E4E062E" w14:textId="77777777" w:rsidTr="005221A2">
        <w:trPr>
          <w:cantSplit/>
        </w:trPr>
        <w:tc>
          <w:tcPr>
            <w:tcW w:w="6379" w:type="dxa"/>
            <w:gridSpan w:val="2"/>
          </w:tcPr>
          <w:p w14:paraId="34B7B41B" w14:textId="77777777" w:rsidR="00683C32" w:rsidRPr="007E515B" w:rsidRDefault="00683C32" w:rsidP="00400CCF">
            <w:pPr>
              <w:spacing w:before="0"/>
              <w:rPr>
                <w:b/>
                <w:bCs/>
                <w:smallCaps/>
                <w:szCs w:val="24"/>
                <w:lang w:val="fr-FR"/>
              </w:rPr>
            </w:pPr>
          </w:p>
        </w:tc>
        <w:tc>
          <w:tcPr>
            <w:tcW w:w="3509" w:type="dxa"/>
            <w:gridSpan w:val="2"/>
          </w:tcPr>
          <w:p w14:paraId="06852E4D" w14:textId="4E34425D" w:rsidR="00683C32" w:rsidRPr="007E515B" w:rsidRDefault="00C803F2" w:rsidP="00B648C7">
            <w:pPr>
              <w:spacing w:before="0"/>
              <w:rPr>
                <w:b/>
                <w:szCs w:val="24"/>
                <w:lang w:val="fr-FR"/>
              </w:rPr>
            </w:pPr>
            <w:bookmarkStart w:id="2" w:name="CreationDate"/>
            <w:bookmarkEnd w:id="2"/>
            <w:r>
              <w:rPr>
                <w:b/>
                <w:bCs/>
                <w:szCs w:val="28"/>
                <w:lang w:val="fr-FR"/>
              </w:rPr>
              <w:t>13 avril</w:t>
            </w:r>
            <w:r w:rsidR="00CE0422" w:rsidRPr="007E515B">
              <w:rPr>
                <w:b/>
                <w:bCs/>
                <w:szCs w:val="28"/>
                <w:lang w:val="fr-FR"/>
              </w:rPr>
              <w:t xml:space="preserve"> 20</w:t>
            </w:r>
            <w:r w:rsidR="00B648C7" w:rsidRPr="007E515B">
              <w:rPr>
                <w:b/>
                <w:bCs/>
                <w:szCs w:val="28"/>
                <w:lang w:val="fr-FR"/>
              </w:rPr>
              <w:t>2</w:t>
            </w:r>
            <w:r w:rsidR="002C248F" w:rsidRPr="007E515B">
              <w:rPr>
                <w:b/>
                <w:bCs/>
                <w:szCs w:val="28"/>
                <w:lang w:val="fr-FR"/>
              </w:rPr>
              <w:t>1</w:t>
            </w:r>
          </w:p>
        </w:tc>
      </w:tr>
      <w:tr w:rsidR="00683C32" w:rsidRPr="00EF7069" w14:paraId="3834278A" w14:textId="77777777" w:rsidTr="005221A2">
        <w:trPr>
          <w:cantSplit/>
        </w:trPr>
        <w:tc>
          <w:tcPr>
            <w:tcW w:w="6379" w:type="dxa"/>
            <w:gridSpan w:val="2"/>
          </w:tcPr>
          <w:p w14:paraId="524FF41E" w14:textId="77777777" w:rsidR="00683C32" w:rsidRPr="007E515B" w:rsidRDefault="00683C32" w:rsidP="00400CCF">
            <w:pPr>
              <w:spacing w:before="0"/>
              <w:rPr>
                <w:b/>
                <w:bCs/>
                <w:smallCaps/>
                <w:szCs w:val="24"/>
                <w:lang w:val="fr-FR"/>
              </w:rPr>
            </w:pPr>
          </w:p>
        </w:tc>
        <w:tc>
          <w:tcPr>
            <w:tcW w:w="3509" w:type="dxa"/>
            <w:gridSpan w:val="2"/>
          </w:tcPr>
          <w:p w14:paraId="605501D5" w14:textId="395EB052" w:rsidR="00514D2F" w:rsidRPr="007E515B" w:rsidRDefault="0096201B" w:rsidP="00400CCF">
            <w:pPr>
              <w:spacing w:before="0"/>
              <w:rPr>
                <w:szCs w:val="24"/>
                <w:lang w:val="fr-FR"/>
              </w:rPr>
            </w:pPr>
            <w:r w:rsidRPr="007E515B">
              <w:rPr>
                <w:b/>
                <w:lang w:val="fr-FR"/>
              </w:rPr>
              <w:t>Original:</w:t>
            </w:r>
            <w:bookmarkStart w:id="3" w:name="Original"/>
            <w:bookmarkEnd w:id="3"/>
            <w:r w:rsidR="00CE0422" w:rsidRPr="007E515B">
              <w:rPr>
                <w:b/>
                <w:lang w:val="fr-FR"/>
              </w:rPr>
              <w:t xml:space="preserve"> </w:t>
            </w:r>
            <w:r w:rsidR="009B008D" w:rsidRPr="007E515B">
              <w:rPr>
                <w:b/>
                <w:lang w:val="fr-FR"/>
              </w:rPr>
              <w:t>anglais</w:t>
            </w:r>
          </w:p>
        </w:tc>
      </w:tr>
      <w:tr w:rsidR="00A13162" w:rsidRPr="00C805AA" w14:paraId="29562115" w14:textId="77777777" w:rsidTr="00107E85">
        <w:trPr>
          <w:cantSplit/>
          <w:trHeight w:val="852"/>
        </w:trPr>
        <w:tc>
          <w:tcPr>
            <w:tcW w:w="9888" w:type="dxa"/>
            <w:gridSpan w:val="4"/>
          </w:tcPr>
          <w:p w14:paraId="43DDA6D5" w14:textId="401CD8DC" w:rsidR="00A13162" w:rsidRPr="007E515B" w:rsidRDefault="00C803F2" w:rsidP="0030353C">
            <w:pPr>
              <w:pStyle w:val="Source"/>
              <w:rPr>
                <w:lang w:val="fr-FR"/>
              </w:rPr>
            </w:pPr>
            <w:bookmarkStart w:id="4" w:name="Source"/>
            <w:bookmarkEnd w:id="4"/>
            <w:r w:rsidRPr="00C803F2">
              <w:rPr>
                <w:bCs/>
                <w:lang w:val="fr-FR"/>
              </w:rPr>
              <w:t>Directrice du Bureau de développement des télécommunications</w:t>
            </w:r>
          </w:p>
        </w:tc>
      </w:tr>
      <w:tr w:rsidR="00AC6F14" w:rsidRPr="00C805AA" w14:paraId="7644819D" w14:textId="77777777" w:rsidTr="00107E85">
        <w:trPr>
          <w:cantSplit/>
        </w:trPr>
        <w:tc>
          <w:tcPr>
            <w:tcW w:w="9888" w:type="dxa"/>
            <w:gridSpan w:val="4"/>
          </w:tcPr>
          <w:p w14:paraId="683FE517" w14:textId="2F19E03A" w:rsidR="00AC6F14" w:rsidRPr="007E515B" w:rsidRDefault="00C803F2" w:rsidP="00F535D6">
            <w:pPr>
              <w:pStyle w:val="Title1"/>
              <w:rPr>
                <w:lang w:val="fr-FR"/>
              </w:rPr>
            </w:pPr>
            <w:bookmarkStart w:id="5" w:name="Title"/>
            <w:bookmarkEnd w:id="5"/>
            <w:r w:rsidRPr="00C803F2">
              <w:rPr>
                <w:lang w:val="fr-FR"/>
              </w:rPr>
              <w:t>MEMBRES DU SECTEUR ET ASSOCIÉS DE L'UIT-D ET ÉTABLISSEMENTS UNIVERSITAIRES PARTICIPANT AUX TRAVAUX DE L'UIT-D</w:t>
            </w:r>
          </w:p>
        </w:tc>
      </w:tr>
      <w:tr w:rsidR="00A721F4" w:rsidRPr="00C805AA" w14:paraId="0E912AC2" w14:textId="77777777" w:rsidTr="00A721F4">
        <w:trPr>
          <w:cantSplit/>
        </w:trPr>
        <w:tc>
          <w:tcPr>
            <w:tcW w:w="9888" w:type="dxa"/>
            <w:gridSpan w:val="4"/>
            <w:tcBorders>
              <w:bottom w:val="single" w:sz="4" w:space="0" w:color="auto"/>
            </w:tcBorders>
          </w:tcPr>
          <w:p w14:paraId="3D2D5135" w14:textId="77777777" w:rsidR="00A721F4" w:rsidRPr="007E515B" w:rsidRDefault="00A721F4" w:rsidP="0030353C">
            <w:pPr>
              <w:rPr>
                <w:lang w:val="fr-FR"/>
              </w:rPr>
            </w:pPr>
          </w:p>
        </w:tc>
      </w:tr>
      <w:tr w:rsidR="00A721F4" w:rsidRPr="00C803F2"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7E515B" w:rsidRDefault="00D37A23" w:rsidP="00EA0C51">
            <w:pPr>
              <w:spacing w:after="120"/>
              <w:rPr>
                <w:b/>
                <w:bCs/>
                <w:szCs w:val="24"/>
                <w:lang w:val="fr-FR"/>
              </w:rPr>
            </w:pPr>
            <w:r w:rsidRPr="007E515B">
              <w:rPr>
                <w:b/>
                <w:bCs/>
                <w:szCs w:val="24"/>
                <w:lang w:val="fr-FR"/>
              </w:rPr>
              <w:t>Résumé</w:t>
            </w:r>
            <w:r w:rsidR="00A721F4" w:rsidRPr="007E515B">
              <w:rPr>
                <w:b/>
                <w:bCs/>
                <w:szCs w:val="24"/>
                <w:lang w:val="fr-FR"/>
              </w:rPr>
              <w:t>:</w:t>
            </w:r>
          </w:p>
          <w:p w14:paraId="47745426" w14:textId="36AC89AB" w:rsidR="005221A2" w:rsidRPr="007E515B" w:rsidRDefault="00C803F2" w:rsidP="005221A2">
            <w:pPr>
              <w:spacing w:after="120"/>
              <w:rPr>
                <w:szCs w:val="24"/>
                <w:lang w:val="fr-CH"/>
              </w:rPr>
            </w:pPr>
            <w:r w:rsidRPr="00C803F2">
              <w:rPr>
                <w:lang w:val="fr-FR"/>
              </w:rPr>
              <w:t>Le présent document donne un aperçu de l'évolution de la composition de l'UIT-D. Il contient en outre des recommandations concernant les mesures à prendre pour accroître le nombre de membres de l'UIT-D conformément aux résultats de la Conférence mondiale de développement des télécommunications de 2017 (CMDT-17) et de la Conférence de plénipotentiaires de 2018. L'UIT-D comprend des Membres de Secteur, des Associés et des établissements universitaires</w:t>
            </w:r>
            <w:bookmarkStart w:id="6" w:name="dorlang"/>
            <w:bookmarkEnd w:id="6"/>
            <w:r w:rsidRPr="00C803F2">
              <w:rPr>
                <w:rStyle w:val="FootnoteReference"/>
                <w:lang w:val="fr-FR"/>
              </w:rPr>
              <w:footnoteReference w:id="1"/>
            </w:r>
            <w:r w:rsidRPr="00C803F2">
              <w:rPr>
                <w:lang w:val="fr-FR"/>
              </w:rPr>
              <w:t>.</w:t>
            </w:r>
          </w:p>
          <w:p w14:paraId="238E500E" w14:textId="33A88DD0" w:rsidR="00A721F4" w:rsidRPr="007E515B" w:rsidRDefault="00D37A23" w:rsidP="00EA0C51">
            <w:pPr>
              <w:spacing w:after="120"/>
              <w:rPr>
                <w:b/>
                <w:bCs/>
                <w:szCs w:val="24"/>
                <w:lang w:val="fr-FR"/>
              </w:rPr>
            </w:pPr>
            <w:r w:rsidRPr="007E515B">
              <w:rPr>
                <w:b/>
                <w:bCs/>
                <w:lang w:val="fr-FR"/>
              </w:rPr>
              <w:t>Suite à donner</w:t>
            </w:r>
            <w:r w:rsidR="00A721F4" w:rsidRPr="007E515B">
              <w:rPr>
                <w:b/>
                <w:bCs/>
                <w:lang w:val="fr-FR"/>
              </w:rPr>
              <w:t>:</w:t>
            </w:r>
          </w:p>
          <w:p w14:paraId="1032B5F3" w14:textId="45BAD3D7" w:rsidR="005221A2" w:rsidRPr="00C803F2" w:rsidRDefault="00C803F2" w:rsidP="005221A2">
            <w:pPr>
              <w:spacing w:after="120"/>
              <w:rPr>
                <w:szCs w:val="24"/>
                <w:lang w:val="fr-FR"/>
              </w:rPr>
            </w:pPr>
            <w:r w:rsidRPr="00C803F2">
              <w:rPr>
                <w:lang w:val="fr-FR"/>
              </w:rPr>
              <w:t>Le GCDT est invité à prendre note du présent document et à fournir les orientations qu'il jugera nécessaires.</w:t>
            </w:r>
          </w:p>
          <w:p w14:paraId="4E7A67C4" w14:textId="318D14E2" w:rsidR="00A721F4" w:rsidRPr="007E515B" w:rsidRDefault="00A721F4" w:rsidP="00EA0C51">
            <w:pPr>
              <w:spacing w:after="120"/>
              <w:rPr>
                <w:b/>
                <w:bCs/>
                <w:szCs w:val="24"/>
                <w:lang w:val="fr-FR"/>
              </w:rPr>
            </w:pPr>
            <w:r w:rsidRPr="007E515B">
              <w:rPr>
                <w:b/>
                <w:bCs/>
                <w:szCs w:val="24"/>
                <w:lang w:val="fr-FR"/>
              </w:rPr>
              <w:t>R</w:t>
            </w:r>
            <w:r w:rsidR="00D37A23" w:rsidRPr="007E515B">
              <w:rPr>
                <w:b/>
                <w:bCs/>
                <w:szCs w:val="24"/>
                <w:lang w:val="fr-FR"/>
              </w:rPr>
              <w:t>é</w:t>
            </w:r>
            <w:r w:rsidRPr="007E515B">
              <w:rPr>
                <w:b/>
                <w:bCs/>
                <w:szCs w:val="24"/>
                <w:lang w:val="fr-FR"/>
              </w:rPr>
              <w:t>f</w:t>
            </w:r>
            <w:r w:rsidR="00D37A23" w:rsidRPr="007E515B">
              <w:rPr>
                <w:b/>
                <w:bCs/>
                <w:szCs w:val="24"/>
                <w:lang w:val="fr-FR"/>
              </w:rPr>
              <w:t>é</w:t>
            </w:r>
            <w:r w:rsidRPr="007E515B">
              <w:rPr>
                <w:b/>
                <w:bCs/>
                <w:szCs w:val="24"/>
                <w:lang w:val="fr-FR"/>
              </w:rPr>
              <w:t>rences:</w:t>
            </w:r>
          </w:p>
          <w:p w14:paraId="48EBB74C" w14:textId="7F9DF14C" w:rsidR="00A721F4" w:rsidRPr="00C803F2" w:rsidRDefault="00C803F2" w:rsidP="005221A2">
            <w:pPr>
              <w:spacing w:after="120"/>
              <w:rPr>
                <w:szCs w:val="24"/>
                <w:lang w:val="fr-FR"/>
              </w:rPr>
            </w:pPr>
            <w:r w:rsidRPr="00C803F2">
              <w:rPr>
                <w:lang w:val="fr-FR"/>
              </w:rPr>
              <w:t>Résolution 71 (Rév.Buenos Aires, 2017) de la CMDT; Résolutions 169 (Rév. Dubaï, 2018), 205 (Dubaï, 2018) et 209 (Dubaï, 2018) de la Conférence de plénipotentiaires.</w:t>
            </w:r>
          </w:p>
        </w:tc>
      </w:tr>
    </w:tbl>
    <w:p w14:paraId="5ED9C669" w14:textId="77777777" w:rsidR="00AC6F14" w:rsidRPr="00EF7069" w:rsidRDefault="00AC6F14" w:rsidP="00EA0C51">
      <w:pPr>
        <w:spacing w:after="120"/>
        <w:rPr>
          <w:lang w:val="fr-FR"/>
        </w:rPr>
      </w:pPr>
    </w:p>
    <w:p w14:paraId="3020A08C" w14:textId="77777777" w:rsidR="00923CF1" w:rsidRPr="00EF7069" w:rsidRDefault="00923CF1">
      <w:pPr>
        <w:tabs>
          <w:tab w:val="clear" w:pos="794"/>
          <w:tab w:val="clear" w:pos="1191"/>
          <w:tab w:val="clear" w:pos="1588"/>
          <w:tab w:val="clear" w:pos="1985"/>
        </w:tabs>
        <w:overflowPunct/>
        <w:autoSpaceDE/>
        <w:autoSpaceDN/>
        <w:adjustRightInd/>
        <w:spacing w:before="0"/>
        <w:textAlignment w:val="auto"/>
        <w:rPr>
          <w:lang w:val="fr-FR"/>
        </w:rPr>
      </w:pPr>
      <w:r w:rsidRPr="00EF7069">
        <w:rPr>
          <w:lang w:val="fr-FR"/>
        </w:rPr>
        <w:br w:type="page"/>
      </w:r>
    </w:p>
    <w:p w14:paraId="26F0EF6F" w14:textId="77777777" w:rsidR="00C803F2" w:rsidRPr="00C803F2" w:rsidRDefault="00C803F2" w:rsidP="00C803F2">
      <w:pPr>
        <w:pStyle w:val="Heading1"/>
      </w:pPr>
      <w:r w:rsidRPr="00C803F2">
        <w:lastRenderedPageBreak/>
        <w:t>1</w:t>
      </w:r>
      <w:r w:rsidRPr="00C803F2">
        <w:tab/>
        <w:t>Rappel</w:t>
      </w:r>
    </w:p>
    <w:p w14:paraId="041E419B" w14:textId="77777777" w:rsidR="00C803F2" w:rsidRPr="00D15B9B" w:rsidRDefault="00C803F2" w:rsidP="00C803F2">
      <w:pPr>
        <w:rPr>
          <w:lang w:val="fr-FR"/>
        </w:rPr>
      </w:pPr>
      <w:r w:rsidRPr="00D15B9B">
        <w:rPr>
          <w:lang w:val="fr-FR"/>
        </w:rPr>
        <w:t>La Conférence mondiale de développement des télécommunications tenue en 2017 (CMDT-17) a modifié et adopté la Résolution 71 (Rév.Buenos Aires, 2017</w:t>
      </w:r>
      <w:r w:rsidRPr="00D15B9B">
        <w:rPr>
          <w:rStyle w:val="FootnoteReference"/>
          <w:lang w:val="fr-FR"/>
        </w:rPr>
        <w:footnoteReference w:id="2"/>
      </w:r>
      <w:r w:rsidRPr="00D15B9B">
        <w:rPr>
          <w:lang w:val="fr-FR"/>
        </w:rPr>
        <w:t>) afin de promouvoir une participation active des actuels Membres de Secteur, Associés et établissements universitaires participant aux activités de l'UIT-D, y compris la participation aux travaux des commissions d'études de l'UIT-D – et d'attirer de nouveaux membres des secteurs public, privé et universitaire.</w:t>
      </w:r>
    </w:p>
    <w:p w14:paraId="6EBBE962" w14:textId="056B50BA" w:rsidR="00EC6FED" w:rsidRDefault="00C803F2" w:rsidP="00C803F2">
      <w:pPr>
        <w:rPr>
          <w:lang w:val="fr-FR"/>
        </w:rPr>
      </w:pPr>
      <w:r w:rsidRPr="00D15B9B">
        <w:rPr>
          <w:lang w:val="fr-FR"/>
        </w:rPr>
        <w:t>La Résolution 71 (Rév.Buenos Aires, 2017) a mis davantage en lumière l'évolution du rôle du secteur privé au sein de l'UIT-D, puisque le BDT est chargé de continuer d'organiser des réunions de hauts dirigeants du secteur, par exemple des réunions du Groupe consultatif de professionnels chargé des questions de développement (IAGDI). Un large éventail de représentants du secteur privé, parmi des Membres du Secteur de l'UIT-D de toutes les régions participe aux travaux du Groupe IAGDI. Cette Résolution reconnaît en outre le travail accompli pendant les réunions des Directeurs de la réglementation du secteur privé.</w:t>
      </w:r>
    </w:p>
    <w:p w14:paraId="3AB62BDD" w14:textId="7D0664A5" w:rsidR="00C803F2" w:rsidRPr="00F74993" w:rsidRDefault="00C803F2" w:rsidP="002D1A35">
      <w:pPr>
        <w:pStyle w:val="Heading1"/>
        <w:rPr>
          <w:lang w:val="fr-FR"/>
        </w:rPr>
      </w:pPr>
      <w:r w:rsidRPr="00F74993">
        <w:rPr>
          <w:lang w:val="fr-FR"/>
        </w:rPr>
        <w:t>2</w:t>
      </w:r>
      <w:r w:rsidRPr="00F74993">
        <w:rPr>
          <w:lang w:val="fr-FR"/>
        </w:rPr>
        <w:tab/>
        <w:t>Composition de l'UIT-D</w:t>
      </w:r>
    </w:p>
    <w:p w14:paraId="6064CBF2" w14:textId="7CF06E1C" w:rsidR="00C803F2" w:rsidRPr="00F74993" w:rsidRDefault="00C803F2" w:rsidP="009F6EC0">
      <w:pPr>
        <w:rPr>
          <w:rFonts w:ascii="Calibri" w:eastAsia="SimSun" w:hAnsi="Calibri" w:cs="Arial"/>
          <w:szCs w:val="24"/>
          <w:lang w:val="fr-FR" w:eastAsia="zh-CN"/>
        </w:rPr>
      </w:pPr>
      <w:r w:rsidRPr="00D15B9B">
        <w:rPr>
          <w:lang w:val="fr-FR"/>
        </w:rPr>
        <w:t>Le tableau ci-dessous montre l'évolution de la composition de l'UIT-D (Membres de Secteur, Associés et établissements universitaires</w:t>
      </w:r>
      <w:r w:rsidRPr="00D15B9B">
        <w:rPr>
          <w:rStyle w:val="FootnoteReference"/>
          <w:szCs w:val="24"/>
          <w:lang w:val="fr-FR"/>
        </w:rPr>
        <w:footnoteReference w:id="3"/>
      </w:r>
      <w:r w:rsidRPr="00D15B9B">
        <w:rPr>
          <w:lang w:val="fr-FR"/>
        </w:rPr>
        <w:t>) entre 20</w:t>
      </w:r>
      <w:r>
        <w:rPr>
          <w:lang w:val="fr-FR"/>
        </w:rPr>
        <w:t>10</w:t>
      </w:r>
      <w:r w:rsidRPr="00D15B9B">
        <w:rPr>
          <w:lang w:val="fr-FR"/>
        </w:rPr>
        <w:t xml:space="preserve"> et </w:t>
      </w:r>
      <w:r>
        <w:rPr>
          <w:lang w:val="fr-FR"/>
        </w:rPr>
        <w:t xml:space="preserve">mars </w:t>
      </w:r>
      <w:r w:rsidRPr="00D15B9B">
        <w:rPr>
          <w:lang w:val="fr-FR"/>
        </w:rPr>
        <w:t>20</w:t>
      </w:r>
      <w:r>
        <w:rPr>
          <w:lang w:val="fr-FR"/>
        </w:rPr>
        <w:t>21</w:t>
      </w:r>
      <w:r w:rsidRPr="00D15B9B">
        <w:rPr>
          <w:lang w:val="fr-FR"/>
        </w:rPr>
        <w:t>.</w:t>
      </w:r>
      <w:r>
        <w:rPr>
          <w:lang w:val="fr-FR"/>
        </w:rPr>
        <w:t xml:space="preserve"> </w:t>
      </w:r>
      <w:r w:rsidR="00F74993" w:rsidRPr="00F74993">
        <w:rPr>
          <w:rFonts w:ascii="Calibri" w:eastAsia="SimSun" w:hAnsi="Calibri" w:cs="Arial"/>
          <w:szCs w:val="24"/>
          <w:lang w:val="fr-FR" w:eastAsia="zh-CN"/>
        </w:rPr>
        <w:t xml:space="preserve">Après une période difficile </w:t>
      </w:r>
      <w:r w:rsidR="00F74993">
        <w:rPr>
          <w:rFonts w:ascii="Calibri" w:eastAsia="SimSun" w:hAnsi="Calibri" w:cs="Arial"/>
          <w:szCs w:val="24"/>
          <w:lang w:val="fr-FR" w:eastAsia="zh-CN"/>
        </w:rPr>
        <w:t>marqué</w:t>
      </w:r>
      <w:r w:rsidR="00F74993" w:rsidRPr="00F74993">
        <w:rPr>
          <w:rFonts w:ascii="Calibri" w:eastAsia="SimSun" w:hAnsi="Calibri" w:cs="Arial"/>
          <w:szCs w:val="24"/>
          <w:lang w:val="fr-FR" w:eastAsia="zh-CN"/>
        </w:rPr>
        <w:t>e par une baisse</w:t>
      </w:r>
      <w:r w:rsidR="00F74993">
        <w:rPr>
          <w:rFonts w:ascii="Calibri" w:eastAsia="SimSun" w:hAnsi="Calibri" w:cs="Arial"/>
          <w:szCs w:val="24"/>
          <w:lang w:val="fr-FR" w:eastAsia="zh-CN"/>
        </w:rPr>
        <w:t xml:space="preserve"> du nombre de membres</w:t>
      </w:r>
      <w:r w:rsidR="002932BA">
        <w:rPr>
          <w:rFonts w:ascii="Calibri" w:eastAsia="SimSun" w:hAnsi="Calibri" w:cs="Arial"/>
          <w:szCs w:val="24"/>
          <w:lang w:val="fr-FR" w:eastAsia="zh-CN"/>
        </w:rPr>
        <w:t xml:space="preserve"> </w:t>
      </w:r>
      <w:r w:rsidR="00614FDE">
        <w:rPr>
          <w:rFonts w:ascii="Calibri" w:eastAsia="SimSun" w:hAnsi="Calibri" w:cs="Arial"/>
          <w:szCs w:val="24"/>
          <w:lang w:val="fr-FR" w:eastAsia="zh-CN"/>
        </w:rPr>
        <w:t>de l'UIT-D</w:t>
      </w:r>
      <w:r w:rsidRPr="00F74993">
        <w:rPr>
          <w:rFonts w:ascii="Calibri" w:eastAsia="SimSun" w:hAnsi="Calibri" w:cs="Arial"/>
          <w:szCs w:val="24"/>
          <w:lang w:val="fr-FR" w:eastAsia="zh-CN"/>
        </w:rPr>
        <w:t xml:space="preserve">, </w:t>
      </w:r>
      <w:r w:rsidR="006E6BAD">
        <w:rPr>
          <w:rFonts w:ascii="Calibri" w:eastAsia="SimSun" w:hAnsi="Calibri" w:cs="Arial"/>
          <w:szCs w:val="24"/>
          <w:lang w:val="fr-FR" w:eastAsia="zh-CN"/>
        </w:rPr>
        <w:t xml:space="preserve">10 nouvelles entités sont devenues Membres </w:t>
      </w:r>
      <w:r w:rsidR="00614FDE">
        <w:rPr>
          <w:rFonts w:ascii="Calibri" w:eastAsia="SimSun" w:hAnsi="Calibri" w:cs="Arial"/>
          <w:szCs w:val="24"/>
          <w:lang w:val="fr-FR" w:eastAsia="zh-CN"/>
        </w:rPr>
        <w:t xml:space="preserve">de </w:t>
      </w:r>
      <w:r w:rsidR="00F74993">
        <w:rPr>
          <w:rFonts w:ascii="Calibri" w:eastAsia="SimSun" w:hAnsi="Calibri" w:cs="Arial"/>
          <w:szCs w:val="24"/>
          <w:lang w:val="fr-FR" w:eastAsia="zh-CN"/>
        </w:rPr>
        <w:t>Secteur e</w:t>
      </w:r>
      <w:r w:rsidRPr="00F74993">
        <w:rPr>
          <w:rFonts w:ascii="Calibri" w:eastAsia="SimSun" w:hAnsi="Calibri" w:cs="Arial"/>
          <w:szCs w:val="24"/>
          <w:lang w:val="fr-FR" w:eastAsia="zh-CN"/>
        </w:rPr>
        <w:t xml:space="preserve">n 2020 </w:t>
      </w:r>
      <w:r w:rsidR="00F74993">
        <w:rPr>
          <w:rFonts w:ascii="Calibri" w:eastAsia="SimSun" w:hAnsi="Calibri" w:cs="Arial"/>
          <w:szCs w:val="24"/>
          <w:lang w:val="fr-FR" w:eastAsia="zh-CN"/>
        </w:rPr>
        <w:t>et lors du premier trimestre de</w:t>
      </w:r>
      <w:r w:rsidRPr="00F74993">
        <w:rPr>
          <w:rFonts w:ascii="Calibri" w:eastAsia="SimSun" w:hAnsi="Calibri" w:cs="Arial"/>
          <w:szCs w:val="24"/>
          <w:lang w:val="fr-FR" w:eastAsia="zh-CN"/>
        </w:rPr>
        <w:t xml:space="preserve"> 2021, </w:t>
      </w:r>
      <w:r w:rsidR="00F74993">
        <w:rPr>
          <w:rFonts w:ascii="Calibri" w:eastAsia="SimSun" w:hAnsi="Calibri" w:cs="Arial"/>
          <w:szCs w:val="24"/>
          <w:lang w:val="fr-FR" w:eastAsia="zh-CN"/>
        </w:rPr>
        <w:t>comme indiqué dans les sections</w:t>
      </w:r>
      <w:r w:rsidRPr="00F74993">
        <w:rPr>
          <w:rFonts w:ascii="Calibri" w:eastAsia="SimSun" w:hAnsi="Calibri" w:cs="Arial"/>
          <w:szCs w:val="24"/>
          <w:lang w:val="fr-FR" w:eastAsia="zh-CN"/>
        </w:rPr>
        <w:t xml:space="preserve"> 3.1 </w:t>
      </w:r>
      <w:r w:rsidR="00F74993">
        <w:rPr>
          <w:rFonts w:ascii="Calibri" w:eastAsia="SimSun" w:hAnsi="Calibri" w:cs="Arial"/>
          <w:szCs w:val="24"/>
          <w:lang w:val="fr-FR" w:eastAsia="zh-CN"/>
        </w:rPr>
        <w:t>et</w:t>
      </w:r>
      <w:r w:rsidRPr="00F74993">
        <w:rPr>
          <w:rFonts w:ascii="Calibri" w:eastAsia="SimSun" w:hAnsi="Calibri" w:cs="Arial"/>
          <w:szCs w:val="24"/>
          <w:lang w:val="fr-FR" w:eastAsia="zh-CN"/>
        </w:rPr>
        <w:t xml:space="preserve"> 3.2 </w:t>
      </w:r>
      <w:r w:rsidR="00F74993">
        <w:rPr>
          <w:rFonts w:ascii="Calibri" w:eastAsia="SimSun" w:hAnsi="Calibri" w:cs="Arial"/>
          <w:szCs w:val="24"/>
          <w:lang w:val="fr-FR" w:eastAsia="zh-CN"/>
        </w:rPr>
        <w:t>ci-après</w:t>
      </w:r>
      <w:r w:rsidRPr="00F74993">
        <w:rPr>
          <w:rFonts w:ascii="Calibri" w:eastAsia="SimSun" w:hAnsi="Calibri" w:cs="Arial"/>
          <w:szCs w:val="24"/>
          <w:lang w:val="fr-FR" w:eastAsia="zh-CN"/>
        </w:rPr>
        <w:t>.</w:t>
      </w:r>
    </w:p>
    <w:p w14:paraId="15F0E4EC" w14:textId="6FD9CD7E" w:rsidR="00C803F2" w:rsidRPr="001B0354" w:rsidRDefault="00FA7FDC" w:rsidP="006D765E">
      <w:pPr>
        <w:rPr>
          <w:rFonts w:eastAsia="SimSun"/>
          <w:lang w:val="fr-FR" w:eastAsia="zh-CN"/>
        </w:rPr>
      </w:pPr>
      <w:r>
        <w:rPr>
          <w:rFonts w:eastAsia="SimSun"/>
          <w:lang w:val="fr-FR" w:eastAsia="zh-CN"/>
        </w:rPr>
        <w:t>Suite à</w:t>
      </w:r>
      <w:r w:rsidR="001B0354" w:rsidRPr="001B0354">
        <w:rPr>
          <w:rFonts w:eastAsia="SimSun"/>
          <w:lang w:val="fr-FR" w:eastAsia="zh-CN"/>
        </w:rPr>
        <w:t xml:space="preserve"> la mise en œuvre des nouvelles </w:t>
      </w:r>
      <w:r w:rsidR="00213B69">
        <w:rPr>
          <w:rFonts w:eastAsia="SimSun"/>
          <w:lang w:val="fr-FR" w:eastAsia="zh-CN"/>
        </w:rPr>
        <w:t xml:space="preserve">stratégies </w:t>
      </w:r>
      <w:r w:rsidR="001B0354" w:rsidRPr="001B0354">
        <w:rPr>
          <w:rFonts w:eastAsia="SimSun"/>
          <w:lang w:val="fr-FR" w:eastAsia="zh-CN"/>
        </w:rPr>
        <w:t xml:space="preserve">de </w:t>
      </w:r>
      <w:r>
        <w:rPr>
          <w:rFonts w:eastAsia="SimSun"/>
          <w:lang w:val="fr-FR" w:eastAsia="zh-CN"/>
        </w:rPr>
        <w:t>sensibilisation</w:t>
      </w:r>
      <w:r w:rsidR="00C803F2" w:rsidRPr="001B0354">
        <w:rPr>
          <w:rFonts w:eastAsia="SimSun"/>
          <w:lang w:val="fr-FR" w:eastAsia="zh-CN"/>
        </w:rPr>
        <w:t xml:space="preserve"> </w:t>
      </w:r>
      <w:r>
        <w:rPr>
          <w:rFonts w:eastAsia="SimSun"/>
          <w:lang w:val="fr-FR" w:eastAsia="zh-CN"/>
        </w:rPr>
        <w:t>et de fidélisation</w:t>
      </w:r>
      <w:r w:rsidR="00C803F2" w:rsidRPr="001B0354">
        <w:rPr>
          <w:rFonts w:eastAsia="SimSun"/>
          <w:lang w:val="fr-FR" w:eastAsia="zh-CN"/>
        </w:rPr>
        <w:t xml:space="preserve">, </w:t>
      </w:r>
      <w:r w:rsidR="001B0354" w:rsidRPr="001B0354">
        <w:rPr>
          <w:rFonts w:eastAsia="SimSun"/>
          <w:lang w:val="fr-FR" w:eastAsia="zh-CN"/>
        </w:rPr>
        <w:t xml:space="preserve">et </w:t>
      </w:r>
      <w:r>
        <w:rPr>
          <w:rFonts w:eastAsia="SimSun"/>
          <w:lang w:val="fr-FR" w:eastAsia="zh-CN"/>
        </w:rPr>
        <w:t>malgré les</w:t>
      </w:r>
      <w:r w:rsidR="001B0354" w:rsidRPr="001B0354">
        <w:rPr>
          <w:rFonts w:eastAsia="SimSun"/>
          <w:lang w:val="fr-FR" w:eastAsia="zh-CN"/>
        </w:rPr>
        <w:t xml:space="preserve"> préoccupations </w:t>
      </w:r>
      <w:r w:rsidR="00213B69">
        <w:rPr>
          <w:rFonts w:eastAsia="SimSun"/>
          <w:lang w:val="fr-FR" w:eastAsia="zh-CN"/>
        </w:rPr>
        <w:t>d'ordre financier</w:t>
      </w:r>
      <w:r w:rsidR="001B0354" w:rsidRPr="001B0354">
        <w:rPr>
          <w:rFonts w:eastAsia="SimSun"/>
          <w:lang w:val="fr-FR" w:eastAsia="zh-CN"/>
        </w:rPr>
        <w:t xml:space="preserve"> liées </w:t>
      </w:r>
      <w:r w:rsidR="00614FDE">
        <w:rPr>
          <w:rFonts w:eastAsia="SimSun"/>
          <w:lang w:val="fr-FR" w:eastAsia="zh-CN"/>
        </w:rPr>
        <w:t xml:space="preserve">au </w:t>
      </w:r>
      <w:r w:rsidR="00C803F2" w:rsidRPr="001B0354">
        <w:rPr>
          <w:rFonts w:eastAsia="SimSun"/>
          <w:lang w:val="fr-FR" w:eastAsia="zh-CN"/>
        </w:rPr>
        <w:t xml:space="preserve">COVID-19, </w:t>
      </w:r>
      <w:r w:rsidR="001B0354" w:rsidRPr="001B0354">
        <w:rPr>
          <w:rFonts w:eastAsia="SimSun"/>
          <w:lang w:val="fr-FR" w:eastAsia="zh-CN"/>
        </w:rPr>
        <w:t xml:space="preserve">il convient de noter que </w:t>
      </w:r>
      <w:r w:rsidR="001358A1">
        <w:rPr>
          <w:rFonts w:eastAsia="SimSun"/>
          <w:lang w:val="fr-FR" w:eastAsia="zh-CN"/>
        </w:rPr>
        <w:t>l'UIT-D a accueilli deux fois plus de</w:t>
      </w:r>
      <w:r w:rsidR="00213B69">
        <w:rPr>
          <w:rFonts w:eastAsia="SimSun"/>
          <w:lang w:val="fr-FR" w:eastAsia="zh-CN"/>
        </w:rPr>
        <w:t xml:space="preserve"> nouveaux Membres de Secteur au premier trimestre de 2021 qu'au premier trimestre de l'année précédente</w:t>
      </w:r>
      <w:r w:rsidR="00986A9A">
        <w:rPr>
          <w:rFonts w:eastAsia="SimSun"/>
          <w:lang w:val="fr-FR" w:eastAsia="zh-CN"/>
        </w:rPr>
        <w:t xml:space="preserve">. </w:t>
      </w:r>
      <w:r w:rsidR="0011188E">
        <w:rPr>
          <w:rFonts w:eastAsia="SimSun"/>
          <w:lang w:val="fr-FR" w:eastAsia="zh-CN"/>
        </w:rPr>
        <w:t xml:space="preserve">En effet, </w:t>
      </w:r>
      <w:r w:rsidR="001B0354">
        <w:rPr>
          <w:rFonts w:eastAsia="SimSun"/>
          <w:lang w:val="fr-FR" w:eastAsia="zh-CN"/>
        </w:rPr>
        <w:t xml:space="preserve">4 </w:t>
      </w:r>
      <w:r w:rsidR="00213B69">
        <w:rPr>
          <w:rFonts w:eastAsia="SimSun"/>
          <w:lang w:val="fr-FR" w:eastAsia="zh-CN"/>
        </w:rPr>
        <w:t xml:space="preserve">nouvelles entités sont devenues Membres </w:t>
      </w:r>
      <w:r w:rsidR="00614FDE">
        <w:rPr>
          <w:rFonts w:eastAsia="SimSun"/>
          <w:lang w:val="fr-FR" w:eastAsia="zh-CN"/>
        </w:rPr>
        <w:t xml:space="preserve">de </w:t>
      </w:r>
      <w:r w:rsidR="00213B69">
        <w:rPr>
          <w:rFonts w:eastAsia="SimSun"/>
          <w:lang w:val="fr-FR" w:eastAsia="zh-CN"/>
        </w:rPr>
        <w:t xml:space="preserve">Secteur </w:t>
      </w:r>
      <w:r w:rsidR="0011188E">
        <w:rPr>
          <w:rFonts w:eastAsia="SimSun"/>
          <w:lang w:val="fr-FR" w:eastAsia="zh-CN"/>
        </w:rPr>
        <w:t>depuis janvier 2021</w:t>
      </w:r>
      <w:r w:rsidR="00213B69">
        <w:rPr>
          <w:rFonts w:eastAsia="SimSun"/>
          <w:lang w:val="fr-FR" w:eastAsia="zh-CN"/>
        </w:rPr>
        <w:t xml:space="preserve">, tandis que </w:t>
      </w:r>
      <w:r w:rsidR="001B0354">
        <w:rPr>
          <w:rFonts w:eastAsia="SimSun"/>
          <w:lang w:val="fr-FR" w:eastAsia="zh-CN"/>
        </w:rPr>
        <w:t xml:space="preserve">5 autres entités </w:t>
      </w:r>
      <w:r>
        <w:rPr>
          <w:rFonts w:eastAsia="SimSun"/>
          <w:lang w:val="fr-FR" w:eastAsia="zh-CN"/>
        </w:rPr>
        <w:t xml:space="preserve">ont </w:t>
      </w:r>
      <w:r w:rsidR="0011188E">
        <w:rPr>
          <w:rFonts w:eastAsia="SimSun"/>
          <w:lang w:val="fr-FR" w:eastAsia="zh-CN"/>
        </w:rPr>
        <w:t xml:space="preserve">déjà </w:t>
      </w:r>
      <w:r>
        <w:rPr>
          <w:rFonts w:eastAsia="SimSun"/>
          <w:lang w:val="fr-FR" w:eastAsia="zh-CN"/>
        </w:rPr>
        <w:t>reçu l'approbation de leur</w:t>
      </w:r>
      <w:r w:rsidR="00986A9A">
        <w:rPr>
          <w:rFonts w:eastAsia="SimSun"/>
          <w:lang w:val="fr-FR" w:eastAsia="zh-CN"/>
        </w:rPr>
        <w:t xml:space="preserve"> administration respective</w:t>
      </w:r>
      <w:r>
        <w:rPr>
          <w:rFonts w:eastAsia="SimSun"/>
          <w:lang w:val="fr-FR" w:eastAsia="zh-CN"/>
        </w:rPr>
        <w:t xml:space="preserve"> de rejoindre l'UIT-D</w:t>
      </w:r>
      <w:r w:rsidR="00C803F2" w:rsidRPr="001B0354">
        <w:rPr>
          <w:rFonts w:eastAsia="SimSun"/>
          <w:lang w:val="fr-FR" w:eastAsia="zh-CN"/>
        </w:rPr>
        <w:t xml:space="preserve"> </w:t>
      </w:r>
      <w:r w:rsidR="001B0354">
        <w:rPr>
          <w:rFonts w:eastAsia="SimSun"/>
          <w:lang w:val="fr-FR" w:eastAsia="zh-CN"/>
        </w:rPr>
        <w:t>et</w:t>
      </w:r>
      <w:r w:rsidR="00C803F2" w:rsidRPr="001B0354">
        <w:rPr>
          <w:rFonts w:eastAsia="SimSun"/>
          <w:lang w:val="fr-FR" w:eastAsia="zh-CN"/>
        </w:rPr>
        <w:t xml:space="preserve"> </w:t>
      </w:r>
      <w:r w:rsidR="001B0354">
        <w:rPr>
          <w:rFonts w:eastAsia="SimSun"/>
          <w:lang w:val="fr-FR" w:eastAsia="zh-CN"/>
        </w:rPr>
        <w:t>devraient devenir membres à part entière lors du deuxième trimestre</w:t>
      </w:r>
      <w:r w:rsidR="00C803F2" w:rsidRPr="001B0354">
        <w:rPr>
          <w:rFonts w:eastAsia="SimSun"/>
          <w:lang w:val="fr-FR" w:eastAsia="zh-CN"/>
        </w:rPr>
        <w:t xml:space="preserve"> </w:t>
      </w:r>
      <w:r w:rsidR="001B0354">
        <w:rPr>
          <w:rFonts w:eastAsia="SimSun"/>
          <w:lang w:val="fr-FR" w:eastAsia="zh-CN"/>
        </w:rPr>
        <w:t>de</w:t>
      </w:r>
      <w:r w:rsidR="00C803F2" w:rsidRPr="001B0354">
        <w:rPr>
          <w:rFonts w:eastAsia="SimSun"/>
          <w:lang w:val="fr-FR" w:eastAsia="zh-CN"/>
        </w:rPr>
        <w:t xml:space="preserve"> 2021.</w:t>
      </w:r>
    </w:p>
    <w:p w14:paraId="01049291" w14:textId="1E121DF5" w:rsidR="00C803F2" w:rsidRPr="00FA7FDC" w:rsidRDefault="00FA7FDC" w:rsidP="002D1A35">
      <w:pPr>
        <w:rPr>
          <w:rFonts w:eastAsia="SimSun"/>
          <w:lang w:val="fr-FR" w:eastAsia="zh-CN"/>
        </w:rPr>
      </w:pPr>
      <w:r w:rsidRPr="00FA7FDC">
        <w:rPr>
          <w:rFonts w:eastAsia="SimSun"/>
          <w:lang w:val="fr-FR" w:eastAsia="zh-CN"/>
        </w:rPr>
        <w:t xml:space="preserve">Les efforts de fidélisation ont également </w:t>
      </w:r>
      <w:r w:rsidR="0011188E">
        <w:rPr>
          <w:rFonts w:eastAsia="SimSun"/>
          <w:lang w:val="fr-FR" w:eastAsia="zh-CN"/>
        </w:rPr>
        <w:t>produit des résultats</w:t>
      </w:r>
      <w:r w:rsidR="008F7E36">
        <w:rPr>
          <w:rFonts w:eastAsia="SimSun"/>
          <w:lang w:val="fr-FR" w:eastAsia="zh-CN"/>
        </w:rPr>
        <w:t>, puisqu'</w:t>
      </w:r>
      <w:r w:rsidRPr="00FA7FDC">
        <w:rPr>
          <w:rFonts w:eastAsia="SimSun"/>
          <w:lang w:val="fr-FR" w:eastAsia="zh-CN"/>
        </w:rPr>
        <w:t xml:space="preserve">un </w:t>
      </w:r>
      <w:r>
        <w:rPr>
          <w:rFonts w:eastAsia="SimSun"/>
          <w:lang w:val="fr-FR" w:eastAsia="zh-CN"/>
        </w:rPr>
        <w:t xml:space="preserve">seul </w:t>
      </w:r>
      <w:r w:rsidRPr="00FA7FDC">
        <w:rPr>
          <w:rFonts w:eastAsia="SimSun"/>
          <w:lang w:val="fr-FR" w:eastAsia="zh-CN"/>
        </w:rPr>
        <w:t xml:space="preserve">Membre de Secteur </w:t>
      </w:r>
      <w:r>
        <w:rPr>
          <w:rFonts w:eastAsia="SimSun"/>
          <w:lang w:val="fr-FR" w:eastAsia="zh-CN"/>
        </w:rPr>
        <w:t xml:space="preserve">a quitté l'UIT-D </w:t>
      </w:r>
      <w:r w:rsidRPr="00FA7FDC">
        <w:rPr>
          <w:rFonts w:eastAsia="SimSun"/>
          <w:lang w:val="fr-FR" w:eastAsia="zh-CN"/>
        </w:rPr>
        <w:t>au premier trimestre de 2021, contre 7 lors de la m</w:t>
      </w:r>
      <w:r>
        <w:rPr>
          <w:rFonts w:eastAsia="SimSun"/>
          <w:lang w:val="fr-FR" w:eastAsia="zh-CN"/>
        </w:rPr>
        <w:t>ême période en 2020</w:t>
      </w:r>
      <w:r w:rsidR="00C803F2" w:rsidRPr="00FA7FDC">
        <w:rPr>
          <w:rFonts w:eastAsia="SimSun"/>
          <w:lang w:val="fr-FR" w:eastAsia="zh-CN"/>
        </w:rPr>
        <w:t xml:space="preserve">. </w:t>
      </w:r>
      <w:r w:rsidR="00D25A91">
        <w:rPr>
          <w:rFonts w:eastAsia="SimSun"/>
          <w:lang w:val="fr-FR" w:eastAsia="zh-CN"/>
        </w:rPr>
        <w:t>Enfin, u</w:t>
      </w:r>
      <w:r w:rsidRPr="00FA7FDC">
        <w:rPr>
          <w:rFonts w:eastAsia="SimSun"/>
          <w:lang w:val="fr-FR" w:eastAsia="zh-CN"/>
        </w:rPr>
        <w:t xml:space="preserve">n Associé est devenu Membre de Secteur </w:t>
      </w:r>
      <w:r>
        <w:rPr>
          <w:rFonts w:eastAsia="SimSun"/>
          <w:lang w:val="fr-FR" w:eastAsia="zh-CN"/>
        </w:rPr>
        <w:t>d</w:t>
      </w:r>
      <w:r w:rsidRPr="00FA7FDC">
        <w:rPr>
          <w:rFonts w:eastAsia="SimSun"/>
          <w:lang w:val="fr-FR" w:eastAsia="zh-CN"/>
        </w:rPr>
        <w:t>urant le premier trimestre de</w:t>
      </w:r>
      <w:r w:rsidR="00C803F2" w:rsidRPr="00FA7FDC">
        <w:rPr>
          <w:rFonts w:eastAsia="SimSun"/>
          <w:lang w:val="fr-FR" w:eastAsia="zh-CN"/>
        </w:rPr>
        <w:t xml:space="preserve"> 2021.</w:t>
      </w:r>
    </w:p>
    <w:p w14:paraId="3641A5BE" w14:textId="247EF6FA" w:rsidR="00C803F2" w:rsidRPr="00D15B9B" w:rsidRDefault="00C803F2" w:rsidP="0018619F">
      <w:pPr>
        <w:pStyle w:val="Tabletitle"/>
        <w:rPr>
          <w:lang w:val="fr-FR"/>
        </w:rPr>
      </w:pPr>
      <w:r w:rsidRPr="00D15B9B">
        <w:rPr>
          <w:lang w:val="fr-FR"/>
        </w:rPr>
        <w:lastRenderedPageBreak/>
        <w:t>Tableau – Évolution de la composition de l'UIT-D (Membres de Secteur, Associés</w:t>
      </w:r>
      <w:r>
        <w:rPr>
          <w:lang w:val="fr-FR"/>
        </w:rPr>
        <w:t> </w:t>
      </w:r>
      <w:r w:rsidRPr="00D15B9B">
        <w:rPr>
          <w:lang w:val="fr-FR"/>
        </w:rPr>
        <w:t>et</w:t>
      </w:r>
      <w:r>
        <w:rPr>
          <w:lang w:val="fr-FR"/>
        </w:rPr>
        <w:t> </w:t>
      </w:r>
      <w:r w:rsidRPr="00D15B9B">
        <w:rPr>
          <w:lang w:val="fr-FR"/>
        </w:rPr>
        <w:t>établissements universitaires participant aux travaux de</w:t>
      </w:r>
      <w:r w:rsidR="0018619F">
        <w:rPr>
          <w:lang w:val="fr-FR"/>
        </w:rPr>
        <w:t> </w:t>
      </w:r>
      <w:r w:rsidRPr="00D15B9B">
        <w:rPr>
          <w:lang w:val="fr-FR"/>
        </w:rPr>
        <w:t>ce</w:t>
      </w:r>
      <w:r w:rsidR="0018619F">
        <w:rPr>
          <w:lang w:val="fr-FR"/>
        </w:rPr>
        <w:t> </w:t>
      </w:r>
      <w:r w:rsidRPr="00D15B9B">
        <w:rPr>
          <w:lang w:val="fr-FR"/>
        </w:rPr>
        <w:t>Secteur</w:t>
      </w:r>
      <w:r w:rsidRPr="003E5493">
        <w:rPr>
          <w:rStyle w:val="FootnoteReference"/>
          <w:b w:val="0"/>
          <w:bCs/>
          <w:lang w:val="fr-FR"/>
        </w:rPr>
        <w:footnoteReference w:id="4"/>
      </w:r>
      <w:r w:rsidRPr="00D15B9B">
        <w:rPr>
          <w:lang w:val="fr-FR"/>
        </w:rPr>
        <w:t>)</w:t>
      </w:r>
      <w:r w:rsidR="0018619F">
        <w:rPr>
          <w:lang w:val="fr-FR"/>
        </w:rPr>
        <w:t> </w:t>
      </w:r>
      <w:r w:rsidRPr="00D15B9B">
        <w:rPr>
          <w:lang w:val="fr-FR"/>
        </w:rPr>
        <w:t>entre</w:t>
      </w:r>
      <w:r w:rsidR="0018619F">
        <w:rPr>
          <w:lang w:val="fr-FR"/>
        </w:rPr>
        <w:t> </w:t>
      </w:r>
      <w:r w:rsidRPr="00D15B9B">
        <w:rPr>
          <w:lang w:val="fr-FR"/>
        </w:rPr>
        <w:t>20</w:t>
      </w:r>
      <w:r>
        <w:rPr>
          <w:lang w:val="fr-FR"/>
        </w:rPr>
        <w:t>10</w:t>
      </w:r>
      <w:r w:rsidR="0018619F">
        <w:rPr>
          <w:lang w:val="fr-FR"/>
        </w:rPr>
        <w:t> </w:t>
      </w:r>
      <w:r w:rsidRPr="00D15B9B">
        <w:rPr>
          <w:lang w:val="fr-FR"/>
        </w:rPr>
        <w:t>et</w:t>
      </w:r>
      <w:r w:rsidR="0018619F">
        <w:rPr>
          <w:lang w:val="fr-FR"/>
        </w:rPr>
        <w:t> </w:t>
      </w:r>
      <w:r w:rsidRPr="00D15B9B">
        <w:rPr>
          <w:lang w:val="fr-FR"/>
        </w:rPr>
        <w:t>20</w:t>
      </w:r>
      <w:r>
        <w:rPr>
          <w:lang w:val="fr-FR"/>
        </w:rPr>
        <w:t>21</w:t>
      </w:r>
    </w:p>
    <w:tbl>
      <w:tblPr>
        <w:tblW w:w="10065" w:type="dxa"/>
        <w:jc w:val="center"/>
        <w:tblCellMar>
          <w:left w:w="0" w:type="dxa"/>
          <w:right w:w="0" w:type="dxa"/>
        </w:tblCellMar>
        <w:tblLook w:val="04A0" w:firstRow="1" w:lastRow="0" w:firstColumn="1" w:lastColumn="0" w:noHBand="0" w:noVBand="1"/>
      </w:tblPr>
      <w:tblGrid>
        <w:gridCol w:w="2020"/>
        <w:gridCol w:w="663"/>
        <w:gridCol w:w="663"/>
        <w:gridCol w:w="663"/>
        <w:gridCol w:w="663"/>
        <w:gridCol w:w="663"/>
        <w:gridCol w:w="663"/>
        <w:gridCol w:w="663"/>
        <w:gridCol w:w="663"/>
        <w:gridCol w:w="663"/>
        <w:gridCol w:w="583"/>
        <w:gridCol w:w="514"/>
        <w:gridCol w:w="981"/>
      </w:tblGrid>
      <w:tr w:rsidR="00C803F2" w:rsidRPr="00D15B9B" w14:paraId="3C418E37" w14:textId="492179BA" w:rsidTr="0064787A">
        <w:trPr>
          <w:tblHeader/>
          <w:jc w:val="center"/>
        </w:trPr>
        <w:tc>
          <w:tcPr>
            <w:tcW w:w="2020" w:type="dxa"/>
            <w:tcBorders>
              <w:top w:val="nil"/>
              <w:left w:val="nil"/>
              <w:bottom w:val="single" w:sz="4" w:space="0" w:color="auto"/>
              <w:right w:val="single" w:sz="4" w:space="0" w:color="auto"/>
            </w:tcBorders>
            <w:tcMar>
              <w:top w:w="0" w:type="dxa"/>
              <w:left w:w="108" w:type="dxa"/>
              <w:bottom w:w="0" w:type="dxa"/>
              <w:right w:w="108" w:type="dxa"/>
            </w:tcMar>
            <w:hideMark/>
          </w:tcPr>
          <w:p w14:paraId="0F804570" w14:textId="77777777" w:rsidR="00C803F2" w:rsidRPr="00D15B9B" w:rsidRDefault="00C803F2" w:rsidP="00C803F2">
            <w:pPr>
              <w:pStyle w:val="Tablehead"/>
              <w:rPr>
                <w:lang w:val="fr-FR" w:eastAsia="zh-CN"/>
              </w:rPr>
            </w:pP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324DAE19" w14:textId="77777777" w:rsidR="00C803F2" w:rsidRPr="00D15B9B" w:rsidRDefault="00C803F2" w:rsidP="00C803F2">
            <w:pPr>
              <w:pStyle w:val="Tablehead"/>
              <w:rPr>
                <w:lang w:val="fr-FR" w:eastAsia="zh-CN"/>
              </w:rPr>
            </w:pPr>
            <w:r w:rsidRPr="00D15B9B">
              <w:rPr>
                <w:lang w:val="fr-FR" w:eastAsia="zh-CN"/>
              </w:rPr>
              <w:t>2010</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691CCB2C" w14:textId="77777777" w:rsidR="00C803F2" w:rsidRPr="00D15B9B" w:rsidRDefault="00C803F2" w:rsidP="00C803F2">
            <w:pPr>
              <w:pStyle w:val="Tablehead"/>
              <w:rPr>
                <w:lang w:val="fr-FR" w:eastAsia="zh-CN"/>
              </w:rPr>
            </w:pPr>
            <w:r w:rsidRPr="00D15B9B">
              <w:rPr>
                <w:lang w:val="fr-FR" w:eastAsia="zh-CN"/>
              </w:rPr>
              <w:t>2011</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10AB4BE0" w14:textId="77777777" w:rsidR="00C803F2" w:rsidRPr="00D15B9B" w:rsidRDefault="00C803F2" w:rsidP="00C803F2">
            <w:pPr>
              <w:pStyle w:val="Tablehead"/>
              <w:rPr>
                <w:lang w:val="fr-FR" w:eastAsia="zh-CN"/>
              </w:rPr>
            </w:pPr>
            <w:r w:rsidRPr="00D15B9B">
              <w:rPr>
                <w:lang w:val="fr-FR" w:eastAsia="zh-CN"/>
              </w:rPr>
              <w:t>2012</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168A91A4" w14:textId="77777777" w:rsidR="00C803F2" w:rsidRPr="00D15B9B" w:rsidRDefault="00C803F2" w:rsidP="00C803F2">
            <w:pPr>
              <w:pStyle w:val="Tablehead"/>
              <w:rPr>
                <w:lang w:val="fr-FR" w:eastAsia="zh-CN"/>
              </w:rPr>
            </w:pPr>
            <w:r w:rsidRPr="00D15B9B">
              <w:rPr>
                <w:lang w:val="fr-FR" w:eastAsia="zh-CN"/>
              </w:rPr>
              <w:t>2013</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5D01FC12" w14:textId="77777777" w:rsidR="00C803F2" w:rsidRPr="00D15B9B" w:rsidRDefault="00C803F2" w:rsidP="00C803F2">
            <w:pPr>
              <w:pStyle w:val="Tablehead"/>
              <w:rPr>
                <w:lang w:val="fr-FR" w:eastAsia="zh-CN"/>
              </w:rPr>
            </w:pPr>
            <w:r w:rsidRPr="00D15B9B">
              <w:rPr>
                <w:lang w:val="fr-FR" w:eastAsia="zh-CN"/>
              </w:rPr>
              <w:t>2014</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303020EC" w14:textId="77777777" w:rsidR="00C803F2" w:rsidRPr="00D15B9B" w:rsidRDefault="00C803F2" w:rsidP="00C803F2">
            <w:pPr>
              <w:pStyle w:val="Tablehead"/>
              <w:rPr>
                <w:lang w:val="fr-FR" w:eastAsia="zh-CN"/>
              </w:rPr>
            </w:pPr>
            <w:r w:rsidRPr="00D15B9B">
              <w:rPr>
                <w:lang w:val="fr-FR" w:eastAsia="zh-CN"/>
              </w:rPr>
              <w:t>2015</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416BC42B" w14:textId="77777777" w:rsidR="00C803F2" w:rsidRPr="00D15B9B" w:rsidRDefault="00C803F2" w:rsidP="00C803F2">
            <w:pPr>
              <w:pStyle w:val="Tablehead"/>
              <w:rPr>
                <w:lang w:val="fr-FR" w:eastAsia="zh-CN"/>
              </w:rPr>
            </w:pPr>
            <w:r w:rsidRPr="00D15B9B">
              <w:rPr>
                <w:lang w:val="fr-FR" w:eastAsia="zh-CN"/>
              </w:rPr>
              <w:t>2016</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hideMark/>
          </w:tcPr>
          <w:p w14:paraId="5E517591" w14:textId="77777777" w:rsidR="00C803F2" w:rsidRPr="00D15B9B" w:rsidRDefault="00C803F2" w:rsidP="00C803F2">
            <w:pPr>
              <w:pStyle w:val="Tablehead"/>
              <w:rPr>
                <w:lang w:val="fr-FR" w:eastAsia="zh-CN"/>
              </w:rPr>
            </w:pPr>
            <w:r w:rsidRPr="00D15B9B">
              <w:rPr>
                <w:lang w:val="fr-FR" w:eastAsia="zh-CN"/>
              </w:rPr>
              <w:t>2017</w:t>
            </w:r>
          </w:p>
        </w:tc>
        <w:tc>
          <w:tcPr>
            <w:tcW w:w="663" w:type="dxa"/>
            <w:tcBorders>
              <w:top w:val="single" w:sz="4" w:space="0" w:color="auto"/>
              <w:left w:val="nil"/>
              <w:bottom w:val="single" w:sz="4" w:space="0" w:color="auto"/>
              <w:right w:val="single" w:sz="4" w:space="0" w:color="auto"/>
            </w:tcBorders>
            <w:shd w:val="clear" w:color="auto" w:fill="95B3D7" w:themeFill="accent1" w:themeFillTint="99"/>
            <w:tcMar>
              <w:top w:w="0" w:type="dxa"/>
              <w:left w:w="108" w:type="dxa"/>
              <w:bottom w:w="0" w:type="dxa"/>
              <w:right w:w="108" w:type="dxa"/>
            </w:tcMar>
            <w:hideMark/>
          </w:tcPr>
          <w:p w14:paraId="7618349B" w14:textId="77777777" w:rsidR="00C803F2" w:rsidRPr="00D15B9B" w:rsidRDefault="00C803F2" w:rsidP="00C803F2">
            <w:pPr>
              <w:pStyle w:val="Tablehead"/>
              <w:rPr>
                <w:lang w:val="fr-FR" w:eastAsia="zh-CN"/>
              </w:rPr>
            </w:pPr>
            <w:r w:rsidRPr="00D15B9B">
              <w:rPr>
                <w:lang w:val="fr-FR" w:eastAsia="zh-CN"/>
              </w:rPr>
              <w:t>2018</w:t>
            </w:r>
          </w:p>
        </w:tc>
        <w:tc>
          <w:tcPr>
            <w:tcW w:w="58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9A724F5" w14:textId="77777777" w:rsidR="00C803F2" w:rsidRPr="00D15B9B" w:rsidRDefault="00C803F2" w:rsidP="00C803F2">
            <w:pPr>
              <w:pStyle w:val="Tablehead"/>
              <w:rPr>
                <w:lang w:val="fr-FR" w:eastAsia="zh-CN"/>
              </w:rPr>
            </w:pPr>
            <w:r w:rsidRPr="00D15B9B">
              <w:rPr>
                <w:lang w:val="fr-FR" w:eastAsia="zh-CN"/>
              </w:rPr>
              <w:t>2019</w:t>
            </w:r>
          </w:p>
        </w:tc>
        <w:tc>
          <w:tcPr>
            <w:tcW w:w="5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7BA9E7B" w14:textId="2154BDC7" w:rsidR="00C803F2" w:rsidRPr="00C803F2" w:rsidRDefault="00C803F2" w:rsidP="00C803F2">
            <w:pPr>
              <w:pStyle w:val="Tablehead"/>
            </w:pPr>
            <w:r w:rsidRPr="00C803F2">
              <w:t>2020</w:t>
            </w:r>
          </w:p>
        </w:tc>
        <w:tc>
          <w:tcPr>
            <w:tcW w:w="98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D5E9C8B" w14:textId="59C74DB1" w:rsidR="00C803F2" w:rsidRPr="00C803F2" w:rsidRDefault="00C803F2" w:rsidP="00C803F2">
            <w:pPr>
              <w:pStyle w:val="Tablehead"/>
            </w:pPr>
            <w:r w:rsidRPr="00C803F2">
              <w:t>Mars 2021</w:t>
            </w:r>
          </w:p>
        </w:tc>
      </w:tr>
      <w:tr w:rsidR="00C803F2" w:rsidRPr="00D15B9B" w14:paraId="6E5E1183" w14:textId="6D09232B" w:rsidTr="0064787A">
        <w:trPr>
          <w:jc w:val="center"/>
        </w:trPr>
        <w:tc>
          <w:tcPr>
            <w:tcW w:w="2020" w:type="dxa"/>
            <w:tcBorders>
              <w:top w:val="single" w:sz="4"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hideMark/>
          </w:tcPr>
          <w:p w14:paraId="39F9AB33" w14:textId="77777777" w:rsidR="00C803F2" w:rsidRPr="0056586C" w:rsidRDefault="00C803F2" w:rsidP="00C803F2">
            <w:pPr>
              <w:pStyle w:val="Tabletext"/>
              <w:rPr>
                <w:b/>
                <w:bCs/>
                <w:lang w:eastAsia="zh-CN"/>
              </w:rPr>
            </w:pPr>
            <w:r w:rsidRPr="0056586C">
              <w:rPr>
                <w:b/>
                <w:bCs/>
                <w:lang w:eastAsia="zh-CN"/>
              </w:rPr>
              <w:t>Membres de Secteur</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F9695" w14:textId="77777777" w:rsidR="00C803F2" w:rsidRPr="00D15B9B" w:rsidRDefault="00C803F2" w:rsidP="00C803F2">
            <w:pPr>
              <w:pStyle w:val="Tabletext"/>
              <w:jc w:val="center"/>
              <w:rPr>
                <w:lang w:val="fr-FR" w:eastAsia="zh-CN"/>
              </w:rPr>
            </w:pPr>
            <w:r w:rsidRPr="00D15B9B">
              <w:rPr>
                <w:lang w:val="fr-FR" w:eastAsia="zh-CN"/>
              </w:rPr>
              <w:t>311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0B99B" w14:textId="77777777" w:rsidR="00C803F2" w:rsidRPr="00D15B9B" w:rsidRDefault="00C803F2" w:rsidP="00C803F2">
            <w:pPr>
              <w:pStyle w:val="Tabletext"/>
              <w:jc w:val="center"/>
              <w:rPr>
                <w:lang w:val="fr-FR" w:eastAsia="zh-CN"/>
              </w:rPr>
            </w:pPr>
            <w:r w:rsidRPr="00D15B9B">
              <w:rPr>
                <w:lang w:val="fr-FR" w:eastAsia="zh-CN"/>
              </w:rPr>
              <w:t>323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D433A" w14:textId="77777777" w:rsidR="00C803F2" w:rsidRPr="00D15B9B" w:rsidRDefault="00C803F2" w:rsidP="00C803F2">
            <w:pPr>
              <w:pStyle w:val="Tabletext"/>
              <w:jc w:val="center"/>
              <w:rPr>
                <w:lang w:val="fr-FR" w:eastAsia="zh-CN"/>
              </w:rPr>
            </w:pPr>
            <w:r w:rsidRPr="00D15B9B">
              <w:rPr>
                <w:lang w:val="fr-FR" w:eastAsia="zh-CN"/>
              </w:rPr>
              <w:t>330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8F2B1" w14:textId="77777777" w:rsidR="00C803F2" w:rsidRPr="00D15B9B" w:rsidRDefault="00C803F2" w:rsidP="00C803F2">
            <w:pPr>
              <w:pStyle w:val="Tabletext"/>
              <w:jc w:val="center"/>
              <w:rPr>
                <w:lang w:val="fr-FR" w:eastAsia="zh-CN"/>
              </w:rPr>
            </w:pPr>
            <w:r w:rsidRPr="00D15B9B">
              <w:rPr>
                <w:lang w:val="fr-FR" w:eastAsia="zh-CN"/>
              </w:rPr>
              <w:t>346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35C5A" w14:textId="77777777" w:rsidR="00C803F2" w:rsidRPr="00D15B9B" w:rsidRDefault="00C803F2" w:rsidP="00C803F2">
            <w:pPr>
              <w:pStyle w:val="Tabletext"/>
              <w:jc w:val="center"/>
              <w:rPr>
                <w:lang w:val="fr-FR" w:eastAsia="zh-CN"/>
              </w:rPr>
            </w:pPr>
            <w:r w:rsidRPr="00D15B9B">
              <w:rPr>
                <w:lang w:val="fr-FR" w:eastAsia="zh-CN"/>
              </w:rPr>
              <w:t>338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A9979" w14:textId="77777777" w:rsidR="00C803F2" w:rsidRPr="00D15B9B" w:rsidRDefault="00C803F2" w:rsidP="00C803F2">
            <w:pPr>
              <w:pStyle w:val="Tabletext"/>
              <w:jc w:val="center"/>
              <w:rPr>
                <w:lang w:val="fr-FR" w:eastAsia="zh-CN"/>
              </w:rPr>
            </w:pPr>
            <w:r w:rsidRPr="00D15B9B">
              <w:rPr>
                <w:lang w:val="fr-FR" w:eastAsia="zh-CN"/>
              </w:rPr>
              <w:t>340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0E9A51" w14:textId="77777777" w:rsidR="00C803F2" w:rsidRPr="00D15B9B" w:rsidRDefault="00C803F2" w:rsidP="00C803F2">
            <w:pPr>
              <w:pStyle w:val="Tabletext"/>
              <w:jc w:val="center"/>
              <w:rPr>
                <w:lang w:val="fr-FR" w:eastAsia="zh-CN"/>
              </w:rPr>
            </w:pPr>
            <w:r w:rsidRPr="00D15B9B">
              <w:rPr>
                <w:lang w:val="fr-FR" w:eastAsia="zh-CN"/>
              </w:rPr>
              <w:t>331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2C382" w14:textId="77777777" w:rsidR="00C803F2" w:rsidRPr="00D15B9B" w:rsidRDefault="00C803F2" w:rsidP="00C803F2">
            <w:pPr>
              <w:pStyle w:val="Tabletext"/>
              <w:jc w:val="center"/>
              <w:rPr>
                <w:lang w:val="fr-FR" w:eastAsia="zh-CN"/>
              </w:rPr>
            </w:pPr>
            <w:r w:rsidRPr="00D15B9B">
              <w:rPr>
                <w:lang w:val="fr-FR" w:eastAsia="zh-CN"/>
              </w:rPr>
              <w:t>318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320E7" w14:textId="77777777" w:rsidR="00C803F2" w:rsidRPr="00D15B9B" w:rsidRDefault="00C803F2" w:rsidP="00C803F2">
            <w:pPr>
              <w:pStyle w:val="Tabletext"/>
              <w:jc w:val="center"/>
              <w:rPr>
                <w:lang w:val="fr-FR" w:eastAsia="zh-CN"/>
              </w:rPr>
            </w:pPr>
            <w:r w:rsidRPr="00D15B9B">
              <w:rPr>
                <w:lang w:val="fr-FR" w:eastAsia="zh-CN"/>
              </w:rPr>
              <w:t>310</w:t>
            </w:r>
          </w:p>
        </w:tc>
        <w:tc>
          <w:tcPr>
            <w:tcW w:w="583" w:type="dxa"/>
            <w:tcBorders>
              <w:top w:val="single" w:sz="4" w:space="0" w:color="auto"/>
              <w:left w:val="single" w:sz="4" w:space="0" w:color="auto"/>
              <w:bottom w:val="single" w:sz="4" w:space="0" w:color="auto"/>
              <w:right w:val="single" w:sz="4" w:space="0" w:color="auto"/>
            </w:tcBorders>
            <w:hideMark/>
          </w:tcPr>
          <w:p w14:paraId="0D220D1F" w14:textId="77777777" w:rsidR="00C803F2" w:rsidRPr="00D15B9B" w:rsidRDefault="00C803F2" w:rsidP="00C803F2">
            <w:pPr>
              <w:pStyle w:val="Tabletext"/>
              <w:jc w:val="center"/>
              <w:rPr>
                <w:lang w:val="fr-FR" w:eastAsia="zh-CN"/>
              </w:rPr>
            </w:pPr>
            <w:r w:rsidRPr="00D15B9B">
              <w:rPr>
                <w:lang w:val="fr-FR" w:eastAsia="zh-CN"/>
              </w:rPr>
              <w:t>307</w:t>
            </w:r>
          </w:p>
        </w:tc>
        <w:tc>
          <w:tcPr>
            <w:tcW w:w="514" w:type="dxa"/>
            <w:tcBorders>
              <w:top w:val="single" w:sz="4" w:space="0" w:color="auto"/>
              <w:left w:val="single" w:sz="4" w:space="0" w:color="auto"/>
              <w:bottom w:val="single" w:sz="4" w:space="0" w:color="auto"/>
              <w:right w:val="single" w:sz="4" w:space="0" w:color="auto"/>
            </w:tcBorders>
          </w:tcPr>
          <w:p w14:paraId="2DFB3C54" w14:textId="0BBEBB74" w:rsidR="00C803F2" w:rsidRPr="00D15B9B" w:rsidRDefault="00C803F2" w:rsidP="00C803F2">
            <w:pPr>
              <w:pStyle w:val="Tabletext"/>
              <w:jc w:val="center"/>
              <w:rPr>
                <w:lang w:val="fr-FR" w:eastAsia="zh-CN"/>
              </w:rPr>
            </w:pPr>
            <w:r w:rsidRPr="00AB339D">
              <w:rPr>
                <w:rFonts w:ascii="Calibri" w:hAnsi="Calibri" w:cs="Calibri"/>
                <w:szCs w:val="22"/>
                <w:lang w:eastAsia="zh-CN"/>
              </w:rPr>
              <w:t>298</w:t>
            </w:r>
          </w:p>
        </w:tc>
        <w:tc>
          <w:tcPr>
            <w:tcW w:w="981" w:type="dxa"/>
            <w:tcBorders>
              <w:top w:val="single" w:sz="4" w:space="0" w:color="auto"/>
              <w:left w:val="single" w:sz="4" w:space="0" w:color="auto"/>
              <w:bottom w:val="single" w:sz="4" w:space="0" w:color="auto"/>
              <w:right w:val="single" w:sz="4" w:space="0" w:color="auto"/>
            </w:tcBorders>
            <w:shd w:val="pct10" w:color="auto" w:fill="auto"/>
          </w:tcPr>
          <w:p w14:paraId="1A46238F" w14:textId="2F29F675" w:rsidR="00C803F2" w:rsidRPr="00D15B9B" w:rsidRDefault="00C803F2" w:rsidP="00C803F2">
            <w:pPr>
              <w:pStyle w:val="Tabletext"/>
              <w:jc w:val="center"/>
              <w:rPr>
                <w:lang w:val="fr-FR" w:eastAsia="zh-CN"/>
              </w:rPr>
            </w:pPr>
            <w:r w:rsidRPr="00AB339D">
              <w:rPr>
                <w:rFonts w:ascii="Calibri" w:hAnsi="Calibri" w:cs="Calibri"/>
                <w:szCs w:val="22"/>
                <w:lang w:eastAsia="zh-CN"/>
              </w:rPr>
              <w:t>301</w:t>
            </w:r>
          </w:p>
        </w:tc>
      </w:tr>
      <w:tr w:rsidR="00C803F2" w:rsidRPr="00D15B9B" w14:paraId="11B6092C" w14:textId="48DE3CD0" w:rsidTr="0064787A">
        <w:trPr>
          <w:jc w:val="center"/>
        </w:trPr>
        <w:tc>
          <w:tcPr>
            <w:tcW w:w="2020" w:type="dxa"/>
            <w:tcBorders>
              <w:top w:val="single" w:sz="8"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hideMark/>
          </w:tcPr>
          <w:p w14:paraId="29D2B1B9" w14:textId="77777777" w:rsidR="00C803F2" w:rsidRPr="0056586C" w:rsidRDefault="00C803F2" w:rsidP="00C803F2">
            <w:pPr>
              <w:pStyle w:val="Tabletext"/>
              <w:rPr>
                <w:b/>
                <w:bCs/>
                <w:lang w:eastAsia="zh-CN"/>
              </w:rPr>
            </w:pPr>
            <w:r w:rsidRPr="0056586C">
              <w:rPr>
                <w:b/>
                <w:bCs/>
                <w:lang w:eastAsia="zh-CN"/>
              </w:rPr>
              <w:t>Associés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42B8D" w14:textId="77777777" w:rsidR="00C803F2" w:rsidRPr="00D15B9B" w:rsidRDefault="00C803F2" w:rsidP="00C803F2">
            <w:pPr>
              <w:pStyle w:val="Tabletext"/>
              <w:jc w:val="center"/>
              <w:rPr>
                <w:lang w:val="fr-FR" w:eastAsia="zh-CN"/>
              </w:rPr>
            </w:pPr>
            <w:r w:rsidRPr="00D15B9B">
              <w:rPr>
                <w:lang w:val="fr-FR" w:eastAsia="zh-CN"/>
              </w:rPr>
              <w:t>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7B8C8" w14:textId="77777777" w:rsidR="00C803F2" w:rsidRPr="00D15B9B" w:rsidRDefault="00C803F2" w:rsidP="00C803F2">
            <w:pPr>
              <w:pStyle w:val="Tabletext"/>
              <w:jc w:val="center"/>
              <w:rPr>
                <w:lang w:val="fr-FR" w:eastAsia="zh-CN"/>
              </w:rPr>
            </w:pPr>
            <w:r w:rsidRPr="00D15B9B">
              <w:rPr>
                <w:lang w:val="fr-FR" w:eastAsia="zh-CN"/>
              </w:rPr>
              <w:t>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8B489" w14:textId="77777777" w:rsidR="00C803F2" w:rsidRPr="00D15B9B" w:rsidRDefault="00C803F2" w:rsidP="00C803F2">
            <w:pPr>
              <w:pStyle w:val="Tabletext"/>
              <w:jc w:val="center"/>
              <w:rPr>
                <w:lang w:val="fr-FR" w:eastAsia="zh-CN"/>
              </w:rPr>
            </w:pPr>
            <w:r w:rsidRPr="00D15B9B">
              <w:rPr>
                <w:lang w:val="fr-FR" w:eastAsia="zh-CN"/>
              </w:rPr>
              <w:t>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2CA7B" w14:textId="77777777" w:rsidR="00C803F2" w:rsidRPr="00D15B9B" w:rsidRDefault="00C803F2" w:rsidP="00C803F2">
            <w:pPr>
              <w:pStyle w:val="Tabletext"/>
              <w:jc w:val="center"/>
              <w:rPr>
                <w:lang w:val="fr-FR" w:eastAsia="zh-CN"/>
              </w:rPr>
            </w:pPr>
            <w:r w:rsidRPr="00D15B9B">
              <w:rPr>
                <w:lang w:val="fr-FR" w:eastAsia="zh-CN"/>
              </w:rPr>
              <w:t>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E9AEF" w14:textId="77777777" w:rsidR="00C803F2" w:rsidRPr="00D15B9B" w:rsidRDefault="00C803F2" w:rsidP="00C803F2">
            <w:pPr>
              <w:pStyle w:val="Tabletext"/>
              <w:jc w:val="center"/>
              <w:rPr>
                <w:lang w:val="fr-FR" w:eastAsia="zh-CN"/>
              </w:rPr>
            </w:pPr>
            <w:r w:rsidRPr="00D15B9B">
              <w:rPr>
                <w:lang w:val="fr-FR" w:eastAsia="zh-CN"/>
              </w:rPr>
              <w:t>10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AC340" w14:textId="77777777" w:rsidR="00C803F2" w:rsidRPr="00D15B9B" w:rsidRDefault="00C803F2" w:rsidP="00C803F2">
            <w:pPr>
              <w:pStyle w:val="Tabletext"/>
              <w:jc w:val="center"/>
              <w:rPr>
                <w:lang w:val="fr-FR" w:eastAsia="zh-CN"/>
              </w:rPr>
            </w:pPr>
            <w:r w:rsidRPr="00D15B9B">
              <w:rPr>
                <w:lang w:val="fr-FR" w:eastAsia="zh-CN"/>
              </w:rPr>
              <w:t>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154D3" w14:textId="77777777" w:rsidR="00C803F2" w:rsidRPr="00D15B9B" w:rsidRDefault="00C803F2" w:rsidP="00C803F2">
            <w:pPr>
              <w:pStyle w:val="Tabletext"/>
              <w:jc w:val="center"/>
              <w:rPr>
                <w:lang w:val="fr-FR" w:eastAsia="zh-CN"/>
              </w:rPr>
            </w:pPr>
            <w:r w:rsidRPr="00D15B9B">
              <w:rPr>
                <w:lang w:val="fr-FR" w:eastAsia="zh-CN"/>
              </w:rPr>
              <w:t>12</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0161D" w14:textId="77777777" w:rsidR="00C803F2" w:rsidRPr="00D15B9B" w:rsidRDefault="00C803F2" w:rsidP="00C803F2">
            <w:pPr>
              <w:pStyle w:val="Tabletext"/>
              <w:jc w:val="center"/>
              <w:rPr>
                <w:lang w:val="fr-FR" w:eastAsia="zh-CN"/>
              </w:rPr>
            </w:pPr>
            <w:r w:rsidRPr="00D15B9B">
              <w:rPr>
                <w:lang w:val="fr-FR" w:eastAsia="zh-CN"/>
              </w:rPr>
              <w:t>12</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D534B" w14:textId="77777777" w:rsidR="00C803F2" w:rsidRPr="00D15B9B" w:rsidRDefault="00C803F2" w:rsidP="00C803F2">
            <w:pPr>
              <w:pStyle w:val="Tabletext"/>
              <w:jc w:val="center"/>
              <w:rPr>
                <w:lang w:val="fr-FR" w:eastAsia="zh-CN"/>
              </w:rPr>
            </w:pPr>
            <w:r w:rsidRPr="00D15B9B">
              <w:rPr>
                <w:lang w:val="fr-FR" w:eastAsia="zh-CN"/>
              </w:rPr>
              <w:t>14</w:t>
            </w:r>
          </w:p>
        </w:tc>
        <w:tc>
          <w:tcPr>
            <w:tcW w:w="583" w:type="dxa"/>
            <w:tcBorders>
              <w:top w:val="single" w:sz="4" w:space="0" w:color="auto"/>
              <w:left w:val="single" w:sz="4" w:space="0" w:color="auto"/>
              <w:bottom w:val="single" w:sz="4" w:space="0" w:color="auto"/>
              <w:right w:val="single" w:sz="4" w:space="0" w:color="auto"/>
            </w:tcBorders>
            <w:hideMark/>
          </w:tcPr>
          <w:p w14:paraId="4F41285B" w14:textId="77777777" w:rsidR="00C803F2" w:rsidRPr="00D15B9B" w:rsidRDefault="00C803F2" w:rsidP="00C803F2">
            <w:pPr>
              <w:pStyle w:val="Tabletext"/>
              <w:jc w:val="center"/>
              <w:rPr>
                <w:lang w:val="fr-FR" w:eastAsia="zh-CN"/>
              </w:rPr>
            </w:pPr>
            <w:r w:rsidRPr="00D15B9B">
              <w:rPr>
                <w:lang w:val="fr-FR" w:eastAsia="zh-CN"/>
              </w:rPr>
              <w:t>17</w:t>
            </w:r>
          </w:p>
        </w:tc>
        <w:tc>
          <w:tcPr>
            <w:tcW w:w="514" w:type="dxa"/>
            <w:tcBorders>
              <w:top w:val="single" w:sz="4" w:space="0" w:color="auto"/>
              <w:left w:val="single" w:sz="4" w:space="0" w:color="auto"/>
              <w:bottom w:val="single" w:sz="4" w:space="0" w:color="auto"/>
              <w:right w:val="single" w:sz="4" w:space="0" w:color="auto"/>
            </w:tcBorders>
          </w:tcPr>
          <w:p w14:paraId="0D1C71AA" w14:textId="77E0AB83" w:rsidR="00C803F2" w:rsidRPr="00D15B9B" w:rsidRDefault="00C803F2" w:rsidP="00C803F2">
            <w:pPr>
              <w:pStyle w:val="Tabletext"/>
              <w:jc w:val="center"/>
              <w:rPr>
                <w:lang w:val="fr-FR" w:eastAsia="zh-CN"/>
              </w:rPr>
            </w:pPr>
            <w:r w:rsidRPr="00AB339D">
              <w:rPr>
                <w:rFonts w:ascii="Calibri" w:hAnsi="Calibri" w:cs="Calibri"/>
                <w:szCs w:val="22"/>
                <w:lang w:eastAsia="zh-CN"/>
              </w:rPr>
              <w:t>21</w:t>
            </w:r>
          </w:p>
        </w:tc>
        <w:tc>
          <w:tcPr>
            <w:tcW w:w="981" w:type="dxa"/>
            <w:tcBorders>
              <w:top w:val="single" w:sz="4" w:space="0" w:color="auto"/>
              <w:left w:val="single" w:sz="4" w:space="0" w:color="auto"/>
              <w:bottom w:val="single" w:sz="4" w:space="0" w:color="auto"/>
              <w:right w:val="single" w:sz="4" w:space="0" w:color="auto"/>
            </w:tcBorders>
            <w:shd w:val="pct10" w:color="auto" w:fill="auto"/>
          </w:tcPr>
          <w:p w14:paraId="17414C7B" w14:textId="0120A599" w:rsidR="00C803F2" w:rsidRPr="00D15B9B" w:rsidRDefault="00C803F2" w:rsidP="00C803F2">
            <w:pPr>
              <w:pStyle w:val="Tabletext"/>
              <w:jc w:val="center"/>
              <w:rPr>
                <w:lang w:val="fr-FR" w:eastAsia="zh-CN"/>
              </w:rPr>
            </w:pPr>
            <w:r w:rsidRPr="00AB339D">
              <w:rPr>
                <w:rFonts w:ascii="Calibri" w:hAnsi="Calibri" w:cs="Calibri"/>
                <w:szCs w:val="22"/>
                <w:lang w:eastAsia="zh-CN"/>
              </w:rPr>
              <w:t>20</w:t>
            </w:r>
          </w:p>
        </w:tc>
      </w:tr>
      <w:tr w:rsidR="00C803F2" w:rsidRPr="00D15B9B" w14:paraId="6973C95D" w14:textId="12B7AA87" w:rsidTr="0064787A">
        <w:trPr>
          <w:jc w:val="center"/>
        </w:trPr>
        <w:tc>
          <w:tcPr>
            <w:tcW w:w="2020" w:type="dxa"/>
            <w:tcBorders>
              <w:top w:val="single" w:sz="8"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hideMark/>
          </w:tcPr>
          <w:p w14:paraId="0F8A95DC" w14:textId="77777777" w:rsidR="00C803F2" w:rsidRPr="0056586C" w:rsidRDefault="00C803F2" w:rsidP="00C803F2">
            <w:pPr>
              <w:pStyle w:val="Tabletext"/>
              <w:rPr>
                <w:b/>
                <w:bCs/>
                <w:lang w:eastAsia="zh-CN"/>
              </w:rPr>
            </w:pPr>
            <w:r w:rsidRPr="0056586C">
              <w:rPr>
                <w:b/>
                <w:bCs/>
                <w:lang w:eastAsia="zh-CN"/>
              </w:rPr>
              <w:t>Établissements universitaires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EDFA6" w14:textId="10DC8EF1" w:rsidR="00C803F2" w:rsidRPr="00D15B9B" w:rsidRDefault="0064787A" w:rsidP="00C803F2">
            <w:pPr>
              <w:pStyle w:val="Tabletext"/>
              <w:jc w:val="center"/>
              <w:rPr>
                <w:lang w:val="fr-FR" w:eastAsia="zh-CN"/>
              </w:rPr>
            </w:pPr>
            <w:r>
              <w:rPr>
                <w:lang w:val="fr-FR" w:eastAsia="zh-CN"/>
              </w:rPr>
              <w:t>–</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6CC80" w14:textId="77777777" w:rsidR="00C803F2" w:rsidRPr="00D15B9B" w:rsidRDefault="00C803F2" w:rsidP="00C803F2">
            <w:pPr>
              <w:pStyle w:val="Tabletext"/>
              <w:jc w:val="center"/>
              <w:rPr>
                <w:lang w:val="fr-FR" w:eastAsia="zh-CN"/>
              </w:rPr>
            </w:pPr>
            <w:r w:rsidRPr="00D15B9B">
              <w:rPr>
                <w:lang w:val="fr-FR" w:eastAsia="zh-CN"/>
              </w:rPr>
              <w:t>25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04B9A" w14:textId="77777777" w:rsidR="00C803F2" w:rsidRPr="00D15B9B" w:rsidRDefault="00C803F2" w:rsidP="00C803F2">
            <w:pPr>
              <w:pStyle w:val="Tabletext"/>
              <w:jc w:val="center"/>
              <w:rPr>
                <w:lang w:val="fr-FR" w:eastAsia="zh-CN"/>
              </w:rPr>
            </w:pPr>
            <w:r w:rsidRPr="00D15B9B">
              <w:rPr>
                <w:lang w:val="fr-FR" w:eastAsia="zh-CN"/>
              </w:rPr>
              <w:t>36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12B97" w14:textId="77777777" w:rsidR="00C803F2" w:rsidRPr="00D15B9B" w:rsidRDefault="00C803F2" w:rsidP="00C803F2">
            <w:pPr>
              <w:pStyle w:val="Tabletext"/>
              <w:jc w:val="center"/>
              <w:rPr>
                <w:lang w:val="fr-FR" w:eastAsia="zh-CN"/>
              </w:rPr>
            </w:pPr>
            <w:r w:rsidRPr="00D15B9B">
              <w:rPr>
                <w:lang w:val="fr-FR" w:eastAsia="zh-CN"/>
              </w:rPr>
              <w:t>45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1EEC2" w14:textId="77777777" w:rsidR="00C803F2" w:rsidRPr="00D15B9B" w:rsidRDefault="00C803F2" w:rsidP="00C803F2">
            <w:pPr>
              <w:pStyle w:val="Tabletext"/>
              <w:jc w:val="center"/>
              <w:rPr>
                <w:lang w:val="fr-FR" w:eastAsia="zh-CN"/>
              </w:rPr>
            </w:pPr>
            <w:r w:rsidRPr="00D15B9B">
              <w:rPr>
                <w:lang w:val="fr-FR" w:eastAsia="zh-CN"/>
              </w:rPr>
              <w:t>86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17D71" w14:textId="77777777" w:rsidR="00C803F2" w:rsidRPr="00D15B9B" w:rsidRDefault="00C803F2" w:rsidP="00C803F2">
            <w:pPr>
              <w:pStyle w:val="Tabletext"/>
              <w:jc w:val="center"/>
              <w:rPr>
                <w:lang w:val="fr-FR" w:eastAsia="zh-CN"/>
              </w:rPr>
            </w:pPr>
            <w:r w:rsidRPr="00D15B9B">
              <w:rPr>
                <w:lang w:val="fr-FR" w:eastAsia="zh-CN"/>
              </w:rPr>
              <w:t>109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6205A" w14:textId="77777777" w:rsidR="00C803F2" w:rsidRPr="00D15B9B" w:rsidRDefault="00C803F2" w:rsidP="00C803F2">
            <w:pPr>
              <w:pStyle w:val="Tabletext"/>
              <w:jc w:val="center"/>
              <w:rPr>
                <w:lang w:val="fr-FR" w:eastAsia="zh-CN"/>
              </w:rPr>
            </w:pPr>
            <w:r w:rsidRPr="00D15B9B">
              <w:rPr>
                <w:lang w:val="fr-FR" w:eastAsia="zh-CN"/>
              </w:rPr>
              <w:t>107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427C2" w14:textId="77777777" w:rsidR="00C803F2" w:rsidRPr="00D15B9B" w:rsidRDefault="00C803F2" w:rsidP="00C803F2">
            <w:pPr>
              <w:pStyle w:val="Tabletext"/>
              <w:jc w:val="center"/>
              <w:rPr>
                <w:lang w:val="fr-FR" w:eastAsia="zh-CN"/>
              </w:rPr>
            </w:pPr>
            <w:r w:rsidRPr="00D15B9B">
              <w:rPr>
                <w:lang w:val="fr-FR" w:eastAsia="zh-CN"/>
              </w:rPr>
              <w:t>125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6427A" w14:textId="77777777" w:rsidR="00C803F2" w:rsidRPr="00D15B9B" w:rsidRDefault="00C803F2" w:rsidP="00C803F2">
            <w:pPr>
              <w:pStyle w:val="Tabletext"/>
              <w:jc w:val="center"/>
              <w:rPr>
                <w:lang w:val="fr-FR" w:eastAsia="zh-CN"/>
              </w:rPr>
            </w:pPr>
            <w:r w:rsidRPr="00D15B9B">
              <w:rPr>
                <w:lang w:val="fr-FR" w:eastAsia="zh-CN"/>
              </w:rPr>
              <w:t>156</w:t>
            </w:r>
          </w:p>
        </w:tc>
        <w:tc>
          <w:tcPr>
            <w:tcW w:w="583" w:type="dxa"/>
            <w:tcBorders>
              <w:top w:val="single" w:sz="4" w:space="0" w:color="auto"/>
              <w:left w:val="single" w:sz="4" w:space="0" w:color="auto"/>
              <w:bottom w:val="single" w:sz="4" w:space="0" w:color="auto"/>
              <w:right w:val="single" w:sz="4" w:space="0" w:color="auto"/>
            </w:tcBorders>
            <w:hideMark/>
          </w:tcPr>
          <w:p w14:paraId="70F105AE" w14:textId="77777777" w:rsidR="00C803F2" w:rsidRPr="00D15B9B" w:rsidRDefault="00C803F2" w:rsidP="00C803F2">
            <w:pPr>
              <w:pStyle w:val="Tabletext"/>
              <w:jc w:val="center"/>
              <w:rPr>
                <w:lang w:val="fr-FR" w:eastAsia="zh-CN"/>
              </w:rPr>
            </w:pPr>
            <w:r w:rsidRPr="00D15B9B">
              <w:rPr>
                <w:lang w:val="fr-FR" w:eastAsia="zh-CN"/>
              </w:rPr>
              <w:t>163</w:t>
            </w:r>
          </w:p>
        </w:tc>
        <w:tc>
          <w:tcPr>
            <w:tcW w:w="514" w:type="dxa"/>
            <w:tcBorders>
              <w:top w:val="single" w:sz="4" w:space="0" w:color="auto"/>
              <w:left w:val="single" w:sz="4" w:space="0" w:color="auto"/>
              <w:bottom w:val="single" w:sz="4" w:space="0" w:color="auto"/>
              <w:right w:val="single" w:sz="4" w:space="0" w:color="auto"/>
            </w:tcBorders>
          </w:tcPr>
          <w:p w14:paraId="42C74A5C" w14:textId="5C7D8C5D" w:rsidR="00C803F2" w:rsidRPr="00D15B9B" w:rsidRDefault="00C803F2" w:rsidP="00C803F2">
            <w:pPr>
              <w:pStyle w:val="Tabletext"/>
              <w:jc w:val="center"/>
              <w:rPr>
                <w:lang w:val="fr-FR" w:eastAsia="zh-CN"/>
              </w:rPr>
            </w:pPr>
            <w:r w:rsidRPr="00AB339D">
              <w:rPr>
                <w:rFonts w:ascii="Calibri" w:hAnsi="Calibri" w:cs="Calibri"/>
                <w:szCs w:val="22"/>
                <w:lang w:eastAsia="zh-CN"/>
              </w:rPr>
              <w:t>162</w:t>
            </w:r>
          </w:p>
        </w:tc>
        <w:tc>
          <w:tcPr>
            <w:tcW w:w="981" w:type="dxa"/>
            <w:tcBorders>
              <w:top w:val="single" w:sz="4" w:space="0" w:color="auto"/>
              <w:left w:val="single" w:sz="4" w:space="0" w:color="auto"/>
              <w:bottom w:val="single" w:sz="4" w:space="0" w:color="auto"/>
              <w:right w:val="single" w:sz="4" w:space="0" w:color="auto"/>
            </w:tcBorders>
            <w:shd w:val="pct10" w:color="auto" w:fill="auto"/>
          </w:tcPr>
          <w:p w14:paraId="727C882E" w14:textId="577EA4F3" w:rsidR="00C803F2" w:rsidRPr="00D15B9B" w:rsidRDefault="00C803F2" w:rsidP="00C803F2">
            <w:pPr>
              <w:pStyle w:val="Tabletext"/>
              <w:jc w:val="center"/>
              <w:rPr>
                <w:lang w:val="fr-FR" w:eastAsia="zh-CN"/>
              </w:rPr>
            </w:pPr>
            <w:r w:rsidRPr="00AB339D">
              <w:rPr>
                <w:rFonts w:ascii="Calibri" w:hAnsi="Calibri" w:cs="Calibri"/>
                <w:szCs w:val="22"/>
                <w:lang w:eastAsia="zh-CN"/>
              </w:rPr>
              <w:t>163</w:t>
            </w:r>
          </w:p>
        </w:tc>
      </w:tr>
      <w:tr w:rsidR="00C803F2" w:rsidRPr="00D15B9B" w14:paraId="39C749E2" w14:textId="7CB3F25F" w:rsidTr="0064787A">
        <w:trPr>
          <w:jc w:val="center"/>
        </w:trPr>
        <w:tc>
          <w:tcPr>
            <w:tcW w:w="2020" w:type="dxa"/>
            <w:tcBorders>
              <w:top w:val="single" w:sz="8"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1A00D705" w14:textId="77777777" w:rsidR="00C803F2" w:rsidRPr="0056586C" w:rsidRDefault="00C803F2" w:rsidP="00C803F2">
            <w:pPr>
              <w:pStyle w:val="Tabletext"/>
              <w:rPr>
                <w:b/>
                <w:bCs/>
                <w:lang w:eastAsia="zh-CN"/>
              </w:rPr>
            </w:pPr>
            <w:r w:rsidRPr="0056586C">
              <w:rPr>
                <w:b/>
                <w:bCs/>
                <w:lang w:eastAsia="zh-CN"/>
              </w:rPr>
              <w:t>TOTAL</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13C40" w14:textId="77777777" w:rsidR="00C803F2" w:rsidRPr="00D15B9B" w:rsidRDefault="00C803F2" w:rsidP="00C803F2">
            <w:pPr>
              <w:pStyle w:val="Tabletext"/>
              <w:jc w:val="center"/>
              <w:rPr>
                <w:lang w:val="fr-FR" w:eastAsia="zh-CN"/>
              </w:rPr>
            </w:pPr>
            <w:r w:rsidRPr="00D15B9B">
              <w:rPr>
                <w:lang w:val="fr-FR" w:eastAsia="zh-CN"/>
              </w:rPr>
              <w:t>316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15B70" w14:textId="77777777" w:rsidR="00C803F2" w:rsidRPr="00D15B9B" w:rsidRDefault="00C803F2" w:rsidP="00C803F2">
            <w:pPr>
              <w:pStyle w:val="Tabletext"/>
              <w:jc w:val="center"/>
              <w:rPr>
                <w:lang w:val="fr-FR" w:eastAsia="zh-CN"/>
              </w:rPr>
            </w:pPr>
            <w:r w:rsidRPr="00D15B9B">
              <w:rPr>
                <w:lang w:val="fr-FR" w:eastAsia="zh-CN"/>
              </w:rPr>
              <w:t>354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D98A7" w14:textId="77777777" w:rsidR="00C803F2" w:rsidRPr="00D15B9B" w:rsidRDefault="00C803F2" w:rsidP="00C803F2">
            <w:pPr>
              <w:pStyle w:val="Tabletext"/>
              <w:jc w:val="center"/>
              <w:rPr>
                <w:lang w:val="fr-FR" w:eastAsia="zh-CN"/>
              </w:rPr>
            </w:pPr>
            <w:r w:rsidRPr="00D15B9B">
              <w:rPr>
                <w:lang w:val="fr-FR" w:eastAsia="zh-CN"/>
              </w:rPr>
              <w:t>373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604A7" w14:textId="77777777" w:rsidR="00C803F2" w:rsidRPr="00D15B9B" w:rsidRDefault="00C803F2" w:rsidP="00C803F2">
            <w:pPr>
              <w:pStyle w:val="Tabletext"/>
              <w:jc w:val="center"/>
              <w:rPr>
                <w:lang w:val="fr-FR" w:eastAsia="zh-CN"/>
              </w:rPr>
            </w:pPr>
            <w:r w:rsidRPr="00D15B9B">
              <w:rPr>
                <w:lang w:val="fr-FR" w:eastAsia="zh-CN"/>
              </w:rPr>
              <w:t>400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D472C" w14:textId="77777777" w:rsidR="00C803F2" w:rsidRPr="00D15B9B" w:rsidRDefault="00C803F2" w:rsidP="00C803F2">
            <w:pPr>
              <w:pStyle w:val="Tabletext"/>
              <w:jc w:val="center"/>
              <w:rPr>
                <w:lang w:val="fr-FR" w:eastAsia="zh-CN"/>
              </w:rPr>
            </w:pPr>
            <w:r w:rsidRPr="00D15B9B">
              <w:rPr>
                <w:lang w:val="fr-FR" w:eastAsia="zh-CN"/>
              </w:rPr>
              <w:t>434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027EC" w14:textId="77777777" w:rsidR="00C803F2" w:rsidRPr="00D15B9B" w:rsidRDefault="00C803F2" w:rsidP="00C803F2">
            <w:pPr>
              <w:pStyle w:val="Tabletext"/>
              <w:jc w:val="center"/>
              <w:rPr>
                <w:lang w:val="fr-FR" w:eastAsia="zh-CN"/>
              </w:rPr>
            </w:pPr>
            <w:r w:rsidRPr="00D15B9B">
              <w:rPr>
                <w:lang w:val="fr-FR" w:eastAsia="zh-CN"/>
              </w:rPr>
              <w:t>460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84068" w14:textId="77777777" w:rsidR="00C803F2" w:rsidRPr="00D15B9B" w:rsidRDefault="00C803F2" w:rsidP="00C803F2">
            <w:pPr>
              <w:pStyle w:val="Tabletext"/>
              <w:jc w:val="center"/>
              <w:rPr>
                <w:lang w:val="fr-FR" w:eastAsia="zh-CN"/>
              </w:rPr>
            </w:pPr>
            <w:r w:rsidRPr="00D15B9B">
              <w:rPr>
                <w:lang w:val="fr-FR" w:eastAsia="zh-CN"/>
              </w:rPr>
              <w:t>450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BAE0E" w14:textId="77777777" w:rsidR="00C803F2" w:rsidRPr="00D15B9B" w:rsidRDefault="00C803F2" w:rsidP="00C803F2">
            <w:pPr>
              <w:pStyle w:val="Tabletext"/>
              <w:jc w:val="center"/>
              <w:rPr>
                <w:lang w:val="fr-FR" w:eastAsia="zh-CN"/>
              </w:rPr>
            </w:pPr>
            <w:r w:rsidRPr="00D15B9B">
              <w:rPr>
                <w:lang w:val="fr-FR" w:eastAsia="zh-CN"/>
              </w:rPr>
              <w:t>455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0F228" w14:textId="77777777" w:rsidR="00C803F2" w:rsidRPr="00D15B9B" w:rsidRDefault="00C803F2" w:rsidP="00C803F2">
            <w:pPr>
              <w:pStyle w:val="Tabletext"/>
              <w:jc w:val="center"/>
              <w:rPr>
                <w:lang w:val="fr-FR" w:eastAsia="zh-CN"/>
              </w:rPr>
            </w:pPr>
            <w:r w:rsidRPr="00D15B9B">
              <w:rPr>
                <w:lang w:val="fr-FR" w:eastAsia="zh-CN"/>
              </w:rPr>
              <w:t>480</w:t>
            </w:r>
          </w:p>
        </w:tc>
        <w:tc>
          <w:tcPr>
            <w:tcW w:w="583" w:type="dxa"/>
            <w:tcBorders>
              <w:top w:val="single" w:sz="4" w:space="0" w:color="auto"/>
              <w:left w:val="single" w:sz="4" w:space="0" w:color="auto"/>
              <w:bottom w:val="single" w:sz="4" w:space="0" w:color="auto"/>
              <w:right w:val="single" w:sz="4" w:space="0" w:color="auto"/>
            </w:tcBorders>
            <w:hideMark/>
          </w:tcPr>
          <w:p w14:paraId="53A69C4E" w14:textId="77777777" w:rsidR="00C803F2" w:rsidRPr="00D15B9B" w:rsidRDefault="00C803F2" w:rsidP="00C803F2">
            <w:pPr>
              <w:pStyle w:val="Tabletext"/>
              <w:jc w:val="center"/>
              <w:rPr>
                <w:lang w:val="fr-FR" w:eastAsia="zh-CN"/>
              </w:rPr>
            </w:pPr>
            <w:r w:rsidRPr="00D15B9B">
              <w:rPr>
                <w:lang w:val="fr-FR" w:eastAsia="zh-CN"/>
              </w:rPr>
              <w:t>487</w:t>
            </w:r>
          </w:p>
        </w:tc>
        <w:tc>
          <w:tcPr>
            <w:tcW w:w="514" w:type="dxa"/>
            <w:tcBorders>
              <w:top w:val="single" w:sz="4" w:space="0" w:color="auto"/>
              <w:left w:val="single" w:sz="4" w:space="0" w:color="auto"/>
              <w:bottom w:val="single" w:sz="4" w:space="0" w:color="auto"/>
              <w:right w:val="single" w:sz="4" w:space="0" w:color="auto"/>
            </w:tcBorders>
          </w:tcPr>
          <w:p w14:paraId="30B2C74B" w14:textId="308AE96D" w:rsidR="00C803F2" w:rsidRPr="00D15B9B" w:rsidRDefault="00C803F2" w:rsidP="00C803F2">
            <w:pPr>
              <w:pStyle w:val="Tabletext"/>
              <w:jc w:val="center"/>
              <w:rPr>
                <w:lang w:val="fr-FR" w:eastAsia="zh-CN"/>
              </w:rPr>
            </w:pPr>
            <w:r w:rsidRPr="00AB339D">
              <w:rPr>
                <w:rFonts w:ascii="Calibri" w:hAnsi="Calibri" w:cs="Calibri"/>
                <w:szCs w:val="22"/>
                <w:lang w:eastAsia="zh-CN"/>
              </w:rPr>
              <w:t>481</w:t>
            </w:r>
          </w:p>
        </w:tc>
        <w:tc>
          <w:tcPr>
            <w:tcW w:w="981" w:type="dxa"/>
            <w:tcBorders>
              <w:top w:val="single" w:sz="4" w:space="0" w:color="auto"/>
              <w:left w:val="single" w:sz="4" w:space="0" w:color="auto"/>
              <w:bottom w:val="single" w:sz="4" w:space="0" w:color="auto"/>
              <w:right w:val="single" w:sz="4" w:space="0" w:color="auto"/>
            </w:tcBorders>
            <w:shd w:val="pct10" w:color="auto" w:fill="auto"/>
          </w:tcPr>
          <w:p w14:paraId="559445B0" w14:textId="5C29CAB2" w:rsidR="00C803F2" w:rsidRPr="00D15B9B" w:rsidRDefault="00C803F2" w:rsidP="00C803F2">
            <w:pPr>
              <w:pStyle w:val="Tabletext"/>
              <w:jc w:val="center"/>
              <w:rPr>
                <w:lang w:val="fr-FR" w:eastAsia="zh-CN"/>
              </w:rPr>
            </w:pPr>
            <w:r w:rsidRPr="00AB339D">
              <w:rPr>
                <w:rFonts w:ascii="Calibri" w:hAnsi="Calibri" w:cs="Calibri"/>
                <w:szCs w:val="22"/>
                <w:lang w:eastAsia="zh-CN"/>
              </w:rPr>
              <w:t>484</w:t>
            </w:r>
          </w:p>
        </w:tc>
      </w:tr>
    </w:tbl>
    <w:p w14:paraId="0BC05B48" w14:textId="0F5EB366" w:rsidR="00C803F2" w:rsidRPr="00C805AA" w:rsidRDefault="00C803F2" w:rsidP="00075ED1">
      <w:pPr>
        <w:pStyle w:val="Heading1"/>
        <w:rPr>
          <w:lang w:val="fr-FR"/>
        </w:rPr>
      </w:pPr>
      <w:r w:rsidRPr="00170259">
        <w:rPr>
          <w:lang w:val="fr-FR"/>
        </w:rPr>
        <w:t>3</w:t>
      </w:r>
      <w:r w:rsidRPr="00170259">
        <w:rPr>
          <w:lang w:val="fr-FR"/>
        </w:rPr>
        <w:tab/>
      </w:r>
      <w:r w:rsidR="00170259" w:rsidRPr="00170259">
        <w:rPr>
          <w:lang w:val="fr-FR"/>
        </w:rPr>
        <w:t>Membres de Secteur et Associés en 20</w:t>
      </w:r>
      <w:r w:rsidR="00170259">
        <w:rPr>
          <w:lang w:val="fr-FR"/>
        </w:rPr>
        <w:t xml:space="preserve">20 </w:t>
      </w:r>
      <w:r w:rsidR="00170259" w:rsidRPr="00170259">
        <w:rPr>
          <w:lang w:val="fr-FR"/>
        </w:rPr>
        <w:t>–</w:t>
      </w:r>
      <w:r w:rsidR="00170259">
        <w:rPr>
          <w:lang w:val="fr-FR"/>
        </w:rPr>
        <w:t xml:space="preserve"> </w:t>
      </w:r>
      <w:r w:rsidR="008F7E36">
        <w:rPr>
          <w:bCs/>
          <w:lang w:val="fr-FR"/>
        </w:rPr>
        <w:t>premier trimestre de</w:t>
      </w:r>
      <w:r w:rsidR="00170259" w:rsidRPr="00170259">
        <w:rPr>
          <w:bCs/>
          <w:lang w:val="fr-FR"/>
        </w:rPr>
        <w:t xml:space="preserve"> 2021</w:t>
      </w:r>
    </w:p>
    <w:p w14:paraId="44CB1ACC" w14:textId="2BF57848" w:rsidR="00170259" w:rsidRPr="008F7E36" w:rsidRDefault="008F7E36" w:rsidP="00547DD1">
      <w:pPr>
        <w:rPr>
          <w:lang w:val="fr-FR"/>
        </w:rPr>
      </w:pPr>
      <w:r w:rsidRPr="008F7E36">
        <w:rPr>
          <w:lang w:val="fr-FR"/>
        </w:rPr>
        <w:t>E</w:t>
      </w:r>
      <w:r w:rsidR="00170259" w:rsidRPr="008F7E36">
        <w:rPr>
          <w:lang w:val="fr-FR"/>
        </w:rPr>
        <w:t xml:space="preserve">n 2020, </w:t>
      </w:r>
      <w:r w:rsidR="00170259" w:rsidRPr="008F7E36">
        <w:rPr>
          <w:b/>
          <w:i/>
          <w:lang w:val="fr-FR"/>
        </w:rPr>
        <w:t xml:space="preserve">10 </w:t>
      </w:r>
      <w:r w:rsidR="00F71B94">
        <w:rPr>
          <w:b/>
          <w:i/>
          <w:lang w:val="fr-FR"/>
        </w:rPr>
        <w:t xml:space="preserve">nouvelles entités </w:t>
      </w:r>
      <w:r w:rsidR="00F71B94" w:rsidRPr="00F71B94">
        <w:rPr>
          <w:lang w:val="fr-FR"/>
        </w:rPr>
        <w:t>sont devenues</w:t>
      </w:r>
      <w:r w:rsidR="005E3389">
        <w:rPr>
          <w:b/>
          <w:i/>
          <w:lang w:val="fr-FR"/>
        </w:rPr>
        <w:t xml:space="preserve"> Membres du</w:t>
      </w:r>
      <w:r w:rsidRPr="008F7E36">
        <w:rPr>
          <w:b/>
          <w:i/>
          <w:lang w:val="fr-FR"/>
        </w:rPr>
        <w:t xml:space="preserve"> Secteur</w:t>
      </w:r>
      <w:r w:rsidR="005E3389">
        <w:rPr>
          <w:b/>
          <w:i/>
          <w:lang w:val="fr-FR"/>
        </w:rPr>
        <w:t xml:space="preserve"> </w:t>
      </w:r>
      <w:r w:rsidR="005E3389" w:rsidRPr="005E3389">
        <w:rPr>
          <w:lang w:val="fr-FR"/>
        </w:rPr>
        <w:t>de l'UIT-D</w:t>
      </w:r>
      <w:r w:rsidR="00170259" w:rsidRPr="008F7E36">
        <w:rPr>
          <w:lang w:val="fr-FR"/>
        </w:rPr>
        <w:t>: African Network Information Centre Ltd (</w:t>
      </w:r>
      <w:r>
        <w:rPr>
          <w:lang w:val="fr-FR"/>
        </w:rPr>
        <w:t>Maurice</w:t>
      </w:r>
      <w:r w:rsidR="00170259" w:rsidRPr="008F7E36">
        <w:rPr>
          <w:lang w:val="fr-FR"/>
        </w:rPr>
        <w:t xml:space="preserve">), </w:t>
      </w:r>
      <w:r w:rsidR="00CD548B">
        <w:rPr>
          <w:lang w:val="fr-FR"/>
        </w:rPr>
        <w:t>le Registre américain des numéros Internet</w:t>
      </w:r>
      <w:r w:rsidR="00170259" w:rsidRPr="008F7E36">
        <w:rPr>
          <w:lang w:val="fr-FR"/>
        </w:rPr>
        <w:t xml:space="preserve"> (</w:t>
      </w:r>
      <w:r>
        <w:rPr>
          <w:lang w:val="fr-FR"/>
        </w:rPr>
        <w:t>États-Unis d'Amérique</w:t>
      </w:r>
      <w:r w:rsidR="00170259" w:rsidRPr="008F7E36">
        <w:rPr>
          <w:lang w:val="fr-FR"/>
        </w:rPr>
        <w:t>), Bitsight Technologies (</w:t>
      </w:r>
      <w:r>
        <w:rPr>
          <w:lang w:val="fr-FR"/>
        </w:rPr>
        <w:t>États-Unis d'Amérique</w:t>
      </w:r>
      <w:r w:rsidR="00170259" w:rsidRPr="008F7E36">
        <w:rPr>
          <w:lang w:val="fr-FR"/>
        </w:rPr>
        <w:t xml:space="preserve">), </w:t>
      </w:r>
      <w:r w:rsidR="00CD548B">
        <w:rPr>
          <w:lang w:val="fr-FR"/>
        </w:rPr>
        <w:t>l'Organisation internationale des télécommunications mobiles par satellite</w:t>
      </w:r>
      <w:r w:rsidR="00170259" w:rsidRPr="008F7E36">
        <w:rPr>
          <w:lang w:val="fr-FR"/>
        </w:rPr>
        <w:t xml:space="preserve"> (</w:t>
      </w:r>
      <w:r>
        <w:rPr>
          <w:lang w:val="fr-FR"/>
        </w:rPr>
        <w:t>Royaume-Uni</w:t>
      </w:r>
      <w:r w:rsidR="00170259" w:rsidRPr="008F7E36">
        <w:rPr>
          <w:lang w:val="fr-FR"/>
        </w:rPr>
        <w:t>), KAMALEON (Mozambique), Polyverse Corporation (</w:t>
      </w:r>
      <w:r>
        <w:rPr>
          <w:lang w:val="fr-FR"/>
        </w:rPr>
        <w:t>États-Unis d'Amérique</w:t>
      </w:r>
      <w:r w:rsidR="00170259" w:rsidRPr="008F7E36">
        <w:rPr>
          <w:lang w:val="fr-FR"/>
        </w:rPr>
        <w:t>), SBA Communications (</w:t>
      </w:r>
      <w:r>
        <w:rPr>
          <w:lang w:val="fr-FR"/>
        </w:rPr>
        <w:t>États-Unis d'Amérique), Welchman Keen (Singapour</w:t>
      </w:r>
      <w:r w:rsidR="00170259" w:rsidRPr="008F7E36">
        <w:rPr>
          <w:lang w:val="fr-FR"/>
        </w:rPr>
        <w:t xml:space="preserve">), </w:t>
      </w:r>
      <w:r w:rsidR="00CD548B">
        <w:rPr>
          <w:lang w:val="fr-FR"/>
        </w:rPr>
        <w:t xml:space="preserve">le </w:t>
      </w:r>
      <w:r w:rsidR="00170259" w:rsidRPr="008F7E36">
        <w:rPr>
          <w:lang w:val="fr-FR"/>
        </w:rPr>
        <w:t>Wireless World Research Forum (</w:t>
      </w:r>
      <w:r>
        <w:rPr>
          <w:lang w:val="fr-FR"/>
        </w:rPr>
        <w:t>Suisse</w:t>
      </w:r>
      <w:r w:rsidR="00A57F2E">
        <w:rPr>
          <w:lang w:val="fr-FR"/>
        </w:rPr>
        <w:t xml:space="preserve">) et </w:t>
      </w:r>
      <w:r w:rsidR="00CD548B">
        <w:rPr>
          <w:lang w:val="fr-FR"/>
        </w:rPr>
        <w:t xml:space="preserve">le </w:t>
      </w:r>
      <w:r w:rsidR="00170259" w:rsidRPr="008F7E36">
        <w:rPr>
          <w:lang w:val="fr-FR"/>
        </w:rPr>
        <w:t xml:space="preserve">Registro de Direcciones de Internet para América Latina y Caribe (Uruguay). </w:t>
      </w:r>
      <w:r w:rsidRPr="008F7E36">
        <w:rPr>
          <w:lang w:val="fr-FR"/>
        </w:rPr>
        <w:t xml:space="preserve">L'UIT-D a </w:t>
      </w:r>
      <w:r w:rsidR="00F71B94">
        <w:rPr>
          <w:lang w:val="fr-FR"/>
        </w:rPr>
        <w:t>également vu l'arrivée de</w:t>
      </w:r>
      <w:r w:rsidR="00170259" w:rsidRPr="008F7E36">
        <w:rPr>
          <w:lang w:val="fr-FR"/>
        </w:rPr>
        <w:t xml:space="preserve"> </w:t>
      </w:r>
      <w:r w:rsidR="00170259" w:rsidRPr="008F7E36">
        <w:rPr>
          <w:b/>
          <w:bCs/>
          <w:i/>
          <w:iCs/>
          <w:lang w:val="fr-FR"/>
        </w:rPr>
        <w:t>4</w:t>
      </w:r>
      <w:r w:rsidR="00170259" w:rsidRPr="008F7E36">
        <w:rPr>
          <w:b/>
          <w:i/>
          <w:lang w:val="fr-FR"/>
        </w:rPr>
        <w:t xml:space="preserve"> </w:t>
      </w:r>
      <w:r w:rsidRPr="008F7E36">
        <w:rPr>
          <w:b/>
          <w:i/>
          <w:lang w:val="fr-FR"/>
        </w:rPr>
        <w:t>nouveaux Associés</w:t>
      </w:r>
      <w:r w:rsidR="00170259" w:rsidRPr="008F7E36">
        <w:rPr>
          <w:lang w:val="fr-FR"/>
        </w:rPr>
        <w:t xml:space="preserve">: </w:t>
      </w:r>
      <w:r w:rsidR="00CD548B">
        <w:rPr>
          <w:lang w:val="fr-FR"/>
        </w:rPr>
        <w:t xml:space="preserve">le Centre de formation spécialisée en informatique </w:t>
      </w:r>
      <w:r w:rsidR="00170259" w:rsidRPr="008F7E36">
        <w:rPr>
          <w:lang w:val="fr-FR"/>
        </w:rPr>
        <w:t>Almaahad Almutagadem (S</w:t>
      </w:r>
      <w:r>
        <w:rPr>
          <w:lang w:val="fr-FR"/>
        </w:rPr>
        <w:t>o</w:t>
      </w:r>
      <w:r w:rsidR="00170259" w:rsidRPr="008F7E36">
        <w:rPr>
          <w:lang w:val="fr-FR"/>
        </w:rPr>
        <w:t>udan), Just-ICT Dubai (</w:t>
      </w:r>
      <w:r>
        <w:rPr>
          <w:lang w:val="fr-FR"/>
        </w:rPr>
        <w:t>Émirats arabes unis</w:t>
      </w:r>
      <w:r w:rsidR="00170259" w:rsidRPr="008F7E36">
        <w:rPr>
          <w:lang w:val="fr-FR"/>
        </w:rPr>
        <w:t xml:space="preserve">), </w:t>
      </w:r>
      <w:r w:rsidR="00CD548B">
        <w:rPr>
          <w:lang w:val="fr-FR"/>
        </w:rPr>
        <w:t xml:space="preserve">la Fondation </w:t>
      </w:r>
      <w:r w:rsidR="00170259" w:rsidRPr="008F7E36">
        <w:rPr>
          <w:lang w:val="fr-FR"/>
        </w:rPr>
        <w:t>OISTE (</w:t>
      </w:r>
      <w:r>
        <w:rPr>
          <w:lang w:val="fr-FR"/>
        </w:rPr>
        <w:t>Suisse</w:t>
      </w:r>
      <w:r w:rsidR="00A57F2E">
        <w:rPr>
          <w:lang w:val="fr-FR"/>
        </w:rPr>
        <w:t xml:space="preserve">) et </w:t>
      </w:r>
      <w:r w:rsidR="00170259" w:rsidRPr="008F7E36">
        <w:rPr>
          <w:lang w:val="fr-FR"/>
        </w:rPr>
        <w:t>Promotion de la Technologie (</w:t>
      </w:r>
      <w:r>
        <w:rPr>
          <w:lang w:val="fr-FR"/>
        </w:rPr>
        <w:t>République démocratique du</w:t>
      </w:r>
      <w:r w:rsidR="00170259" w:rsidRPr="008F7E36">
        <w:rPr>
          <w:lang w:val="fr-FR"/>
        </w:rPr>
        <w:t xml:space="preserve"> Congo). </w:t>
      </w:r>
    </w:p>
    <w:p w14:paraId="18B65008" w14:textId="3B70E6CA" w:rsidR="00170259" w:rsidRPr="00310B27" w:rsidRDefault="00310B27" w:rsidP="00547DD1">
      <w:pPr>
        <w:rPr>
          <w:lang w:val="fr-FR"/>
        </w:rPr>
      </w:pPr>
      <w:r w:rsidRPr="00310B27">
        <w:rPr>
          <w:lang w:val="fr-FR"/>
        </w:rPr>
        <w:t xml:space="preserve">Durant le premier </w:t>
      </w:r>
      <w:r>
        <w:rPr>
          <w:lang w:val="fr-FR"/>
        </w:rPr>
        <w:t>trimestre</w:t>
      </w:r>
      <w:r w:rsidRPr="00310B27">
        <w:rPr>
          <w:lang w:val="fr-FR"/>
        </w:rPr>
        <w:t xml:space="preserve"> de</w:t>
      </w:r>
      <w:r w:rsidR="00170259" w:rsidRPr="00310B27">
        <w:rPr>
          <w:lang w:val="fr-FR"/>
        </w:rPr>
        <w:t xml:space="preserve"> 2021, </w:t>
      </w:r>
      <w:r w:rsidR="00170259" w:rsidRPr="00310B27">
        <w:rPr>
          <w:b/>
          <w:bCs/>
          <w:i/>
          <w:iCs/>
          <w:lang w:val="fr-FR"/>
        </w:rPr>
        <w:t xml:space="preserve">4 </w:t>
      </w:r>
      <w:r w:rsidRPr="00310B27">
        <w:rPr>
          <w:b/>
          <w:bCs/>
          <w:i/>
          <w:iCs/>
          <w:lang w:val="fr-FR"/>
        </w:rPr>
        <w:t>n</w:t>
      </w:r>
      <w:r w:rsidR="005E3389">
        <w:rPr>
          <w:b/>
          <w:bCs/>
          <w:i/>
          <w:iCs/>
          <w:lang w:val="fr-FR"/>
        </w:rPr>
        <w:t xml:space="preserve">ouvelles entités </w:t>
      </w:r>
      <w:r w:rsidR="005E3389" w:rsidRPr="005E3389">
        <w:rPr>
          <w:bCs/>
          <w:iCs/>
          <w:lang w:val="fr-FR"/>
        </w:rPr>
        <w:t>sont devenues</w:t>
      </w:r>
      <w:r w:rsidR="005E3389">
        <w:rPr>
          <w:b/>
          <w:bCs/>
          <w:i/>
          <w:iCs/>
          <w:lang w:val="fr-FR"/>
        </w:rPr>
        <w:t xml:space="preserve"> Membres du</w:t>
      </w:r>
      <w:r w:rsidRPr="00310B27">
        <w:rPr>
          <w:b/>
          <w:bCs/>
          <w:i/>
          <w:iCs/>
          <w:lang w:val="fr-FR"/>
        </w:rPr>
        <w:t xml:space="preserve"> Secteur</w:t>
      </w:r>
      <w:r w:rsidR="005E3389">
        <w:rPr>
          <w:b/>
          <w:bCs/>
          <w:i/>
          <w:iCs/>
          <w:lang w:val="fr-FR"/>
        </w:rPr>
        <w:t xml:space="preserve"> </w:t>
      </w:r>
      <w:r w:rsidR="005E3389" w:rsidRPr="005E3389">
        <w:rPr>
          <w:bCs/>
          <w:iCs/>
          <w:lang w:val="fr-FR"/>
        </w:rPr>
        <w:t>de l'UIT-D</w:t>
      </w:r>
      <w:r w:rsidR="00170259" w:rsidRPr="00310B27">
        <w:rPr>
          <w:lang w:val="fr-FR"/>
        </w:rPr>
        <w:t>: Axon Partners Group (</w:t>
      </w:r>
      <w:r>
        <w:rPr>
          <w:lang w:val="fr-FR"/>
        </w:rPr>
        <w:t xml:space="preserve">Espagne), </w:t>
      </w:r>
      <w:r w:rsidR="00CD0F13">
        <w:rPr>
          <w:lang w:val="fr-FR"/>
        </w:rPr>
        <w:t xml:space="preserve">le cabinet de conseil en matière de risques </w:t>
      </w:r>
      <w:r>
        <w:rPr>
          <w:lang w:val="fr-FR"/>
        </w:rPr>
        <w:t>Deloitte (Italie</w:t>
      </w:r>
      <w:r w:rsidR="00170259" w:rsidRPr="00310B27">
        <w:rPr>
          <w:lang w:val="fr-FR"/>
        </w:rPr>
        <w:t>), New Jersey Fiber Exchange (</w:t>
      </w:r>
      <w:r>
        <w:rPr>
          <w:lang w:val="fr-FR"/>
        </w:rPr>
        <w:t>États-Unis d'Amérique)</w:t>
      </w:r>
      <w:r w:rsidR="00170259" w:rsidRPr="00310B27">
        <w:rPr>
          <w:lang w:val="fr-FR"/>
        </w:rPr>
        <w:t xml:space="preserve"> </w:t>
      </w:r>
      <w:r>
        <w:rPr>
          <w:lang w:val="fr-FR"/>
        </w:rPr>
        <w:t>et</w:t>
      </w:r>
      <w:r w:rsidR="00170259" w:rsidRPr="00310B27">
        <w:rPr>
          <w:lang w:val="fr-FR"/>
        </w:rPr>
        <w:t xml:space="preserve"> Security Alliance Limited (</w:t>
      </w:r>
      <w:r w:rsidR="0064787A">
        <w:rPr>
          <w:lang w:val="fr-FR"/>
        </w:rPr>
        <w:t>Royaume</w:t>
      </w:r>
      <w:r w:rsidR="0064787A">
        <w:rPr>
          <w:lang w:val="fr-FR"/>
        </w:rPr>
        <w:noBreakHyphen/>
      </w:r>
      <w:r w:rsidR="00B852C1">
        <w:rPr>
          <w:lang w:val="fr-FR"/>
        </w:rPr>
        <w:t>Uni</w:t>
      </w:r>
      <w:r w:rsidR="00170259" w:rsidRPr="00310B27">
        <w:rPr>
          <w:lang w:val="fr-FR"/>
        </w:rPr>
        <w:t xml:space="preserve">). </w:t>
      </w:r>
      <w:r w:rsidRPr="00310B27">
        <w:rPr>
          <w:lang w:val="fr-FR"/>
        </w:rPr>
        <w:t>De plus</w:t>
      </w:r>
      <w:r w:rsidR="00170259" w:rsidRPr="00310B27">
        <w:rPr>
          <w:lang w:val="fr-FR"/>
        </w:rPr>
        <w:t xml:space="preserve">, </w:t>
      </w:r>
      <w:r w:rsidR="00170259" w:rsidRPr="00310B27">
        <w:rPr>
          <w:b/>
          <w:bCs/>
          <w:i/>
          <w:iCs/>
          <w:lang w:val="fr-FR"/>
        </w:rPr>
        <w:t xml:space="preserve">5 </w:t>
      </w:r>
      <w:r w:rsidRPr="00310B27">
        <w:rPr>
          <w:b/>
          <w:bCs/>
          <w:i/>
          <w:iCs/>
          <w:lang w:val="fr-FR"/>
        </w:rPr>
        <w:t>nouveaux Membres de Secteur</w:t>
      </w:r>
      <w:r w:rsidR="00170259" w:rsidRPr="00310B27">
        <w:rPr>
          <w:lang w:val="fr-FR"/>
        </w:rPr>
        <w:t xml:space="preserve"> </w:t>
      </w:r>
      <w:r w:rsidR="00511BEE">
        <w:rPr>
          <w:lang w:val="fr-FR"/>
        </w:rPr>
        <w:t xml:space="preserve">arrivent au </w:t>
      </w:r>
      <w:r w:rsidR="00CD0F13">
        <w:rPr>
          <w:lang w:val="fr-FR"/>
        </w:rPr>
        <w:t>terme</w:t>
      </w:r>
      <w:r w:rsidR="00511BEE">
        <w:rPr>
          <w:lang w:val="fr-FR"/>
        </w:rPr>
        <w:t xml:space="preserve"> de leur</w:t>
      </w:r>
      <w:r w:rsidR="00170259" w:rsidRPr="00310B27">
        <w:rPr>
          <w:lang w:val="fr-FR"/>
        </w:rPr>
        <w:t xml:space="preserve"> </w:t>
      </w:r>
      <w:r>
        <w:rPr>
          <w:lang w:val="fr-FR"/>
        </w:rPr>
        <w:t>processus d'affiliation</w:t>
      </w:r>
      <w:r w:rsidR="00170259" w:rsidRPr="00310B27">
        <w:rPr>
          <w:lang w:val="fr-FR"/>
        </w:rPr>
        <w:t xml:space="preserve"> </w:t>
      </w:r>
      <w:r w:rsidR="00D90A6C">
        <w:rPr>
          <w:lang w:val="fr-FR"/>
        </w:rPr>
        <w:t>et devraient devenir</w:t>
      </w:r>
      <w:r w:rsidRPr="00310B27">
        <w:rPr>
          <w:lang w:val="fr-FR"/>
        </w:rPr>
        <w:t xml:space="preserve"> membres à part entière au deuxième trimestre</w:t>
      </w:r>
      <w:r w:rsidR="00170259" w:rsidRPr="00310B27">
        <w:rPr>
          <w:lang w:val="fr-FR"/>
        </w:rPr>
        <w:t>.</w:t>
      </w:r>
    </w:p>
    <w:p w14:paraId="0265F22D" w14:textId="77777777" w:rsidR="00C06DD7" w:rsidRDefault="00C06DD7" w:rsidP="00170259">
      <w:pPr>
        <w:pStyle w:val="Heading2"/>
        <w:rPr>
          <w:lang w:val="fr-FR"/>
        </w:rPr>
      </w:pPr>
      <w:r>
        <w:rPr>
          <w:lang w:val="fr-FR"/>
        </w:rPr>
        <w:br w:type="page"/>
      </w:r>
    </w:p>
    <w:p w14:paraId="725456A9" w14:textId="4F476E79" w:rsidR="00170259" w:rsidRDefault="00170259" w:rsidP="00170259">
      <w:pPr>
        <w:pStyle w:val="Heading2"/>
        <w:rPr>
          <w:lang w:val="fr-FR"/>
        </w:rPr>
      </w:pPr>
      <w:r w:rsidRPr="00F74993">
        <w:rPr>
          <w:lang w:val="fr-FR"/>
        </w:rPr>
        <w:t>3.1</w:t>
      </w:r>
      <w:r w:rsidRPr="00F74993">
        <w:rPr>
          <w:lang w:val="fr-FR"/>
        </w:rPr>
        <w:tab/>
      </w:r>
      <w:r w:rsidRPr="00170259">
        <w:rPr>
          <w:lang w:val="fr-FR"/>
        </w:rPr>
        <w:t>Établissements universitaires en 20</w:t>
      </w:r>
      <w:r>
        <w:rPr>
          <w:lang w:val="fr-FR"/>
        </w:rPr>
        <w:t>20</w:t>
      </w:r>
    </w:p>
    <w:p w14:paraId="4E9121CB" w14:textId="6A3AC54E" w:rsidR="00170259" w:rsidRDefault="00170259" w:rsidP="009A6E82">
      <w:pPr>
        <w:rPr>
          <w:lang w:val="fr-FR"/>
        </w:rPr>
      </w:pPr>
      <w:r w:rsidRPr="00D15B9B">
        <w:rPr>
          <w:lang w:val="fr-FR"/>
        </w:rPr>
        <w:t xml:space="preserve">Les établissements universitaires </w:t>
      </w:r>
      <w:r w:rsidR="003207C6">
        <w:rPr>
          <w:lang w:val="fr-FR"/>
        </w:rPr>
        <w:t xml:space="preserve">membres </w:t>
      </w:r>
      <w:r w:rsidRPr="00D15B9B">
        <w:rPr>
          <w:lang w:val="fr-FR"/>
        </w:rPr>
        <w:t>s'acquittent d'un droit unique pour participer aux travaux des trois Secteurs</w:t>
      </w:r>
      <w:r w:rsidR="00F74BE8">
        <w:rPr>
          <w:lang w:val="fr-FR"/>
        </w:rPr>
        <w:t xml:space="preserve"> de l'UIT</w:t>
      </w:r>
      <w:r w:rsidRPr="00D15B9B">
        <w:rPr>
          <w:lang w:val="fr-FR"/>
        </w:rPr>
        <w:t>. Depuis 2011, plus de 2</w:t>
      </w:r>
      <w:r>
        <w:rPr>
          <w:lang w:val="fr-FR"/>
        </w:rPr>
        <w:t>2</w:t>
      </w:r>
      <w:r w:rsidRPr="00D15B9B">
        <w:rPr>
          <w:lang w:val="fr-FR"/>
        </w:rPr>
        <w:t>0 établissements universitaires ont choisi de participer aux travaux de l'UIT. En</w:t>
      </w:r>
      <w:r>
        <w:rPr>
          <w:lang w:val="fr-FR"/>
        </w:rPr>
        <w:t> </w:t>
      </w:r>
      <w:r w:rsidRPr="00D15B9B">
        <w:rPr>
          <w:lang w:val="fr-FR"/>
        </w:rPr>
        <w:t>20</w:t>
      </w:r>
      <w:r>
        <w:rPr>
          <w:lang w:val="fr-FR"/>
        </w:rPr>
        <w:t>20</w:t>
      </w:r>
      <w:r w:rsidRPr="00D15B9B">
        <w:rPr>
          <w:lang w:val="fr-FR"/>
        </w:rPr>
        <w:t xml:space="preserve">, grâce à des initiatives menées en coordination avec le Secrétariat général, </w:t>
      </w:r>
      <w:r w:rsidRPr="00D15B9B">
        <w:rPr>
          <w:b/>
          <w:bCs/>
          <w:i/>
          <w:iCs/>
          <w:lang w:val="fr-FR"/>
        </w:rPr>
        <w:t>2</w:t>
      </w:r>
      <w:r>
        <w:rPr>
          <w:b/>
          <w:bCs/>
          <w:i/>
          <w:iCs/>
          <w:lang w:val="fr-FR"/>
        </w:rPr>
        <w:t>6</w:t>
      </w:r>
      <w:r w:rsidRPr="00D15B9B">
        <w:rPr>
          <w:b/>
          <w:bCs/>
          <w:i/>
          <w:iCs/>
          <w:lang w:val="fr-FR"/>
        </w:rPr>
        <w:t xml:space="preserve"> nouveaux établissements universitaires</w:t>
      </w:r>
      <w:r w:rsidRPr="00D15B9B">
        <w:rPr>
          <w:lang w:val="fr-FR"/>
        </w:rPr>
        <w:t xml:space="preserve"> ont été admis à participer aux travaux des trois Secteurs de l'UIT</w:t>
      </w:r>
      <w:r w:rsidRPr="00D15B9B">
        <w:rPr>
          <w:rStyle w:val="FootnoteReference"/>
          <w:szCs w:val="24"/>
          <w:lang w:val="fr-FR"/>
        </w:rPr>
        <w:footnoteReference w:id="5"/>
      </w:r>
      <w:r>
        <w:rPr>
          <w:lang w:val="fr-FR"/>
        </w:rPr>
        <w:t>.</w:t>
      </w:r>
    </w:p>
    <w:p w14:paraId="6F498D2A" w14:textId="3DE25E31" w:rsidR="00170259" w:rsidRPr="006B7221" w:rsidRDefault="00170259" w:rsidP="00547DD1">
      <w:pPr>
        <w:pStyle w:val="Heading1"/>
        <w:rPr>
          <w:rFonts w:eastAsia="SimSun"/>
          <w:lang w:val="fr-FR" w:eastAsia="zh-CN"/>
        </w:rPr>
      </w:pPr>
      <w:r w:rsidRPr="006B7221">
        <w:rPr>
          <w:lang w:val="fr-FR"/>
        </w:rPr>
        <w:t>4</w:t>
      </w:r>
      <w:r w:rsidRPr="006B7221">
        <w:rPr>
          <w:lang w:val="fr-FR"/>
        </w:rPr>
        <w:tab/>
      </w:r>
      <w:r w:rsidR="006B7221" w:rsidRPr="00547DD1">
        <w:rPr>
          <w:rFonts w:eastAsia="SimSun"/>
          <w:lang w:val="fr-FR"/>
        </w:rPr>
        <w:t>Mesures</w:t>
      </w:r>
      <w:r w:rsidR="006B7221" w:rsidRPr="006B7221">
        <w:rPr>
          <w:rFonts w:eastAsia="SimSun"/>
          <w:lang w:val="fr-FR" w:eastAsia="zh-CN"/>
        </w:rPr>
        <w:t xml:space="preserve"> essentielles pour</w:t>
      </w:r>
      <w:r w:rsidRPr="006B7221">
        <w:rPr>
          <w:rFonts w:eastAsia="SimSun"/>
          <w:lang w:val="fr-FR" w:eastAsia="zh-CN"/>
        </w:rPr>
        <w:t xml:space="preserve"> </w:t>
      </w:r>
      <w:r w:rsidR="00690111">
        <w:rPr>
          <w:rFonts w:eastAsia="SimSun"/>
          <w:lang w:val="fr-FR" w:eastAsia="zh-CN"/>
        </w:rPr>
        <w:t xml:space="preserve">une participation </w:t>
      </w:r>
      <w:r w:rsidR="006B7221">
        <w:rPr>
          <w:rFonts w:eastAsia="SimSun"/>
          <w:lang w:val="fr-FR" w:eastAsia="zh-CN"/>
        </w:rPr>
        <w:t>efficace</w:t>
      </w:r>
      <w:r w:rsidRPr="006B7221">
        <w:rPr>
          <w:rFonts w:eastAsia="SimSun"/>
          <w:lang w:val="fr-FR" w:eastAsia="zh-CN"/>
        </w:rPr>
        <w:t xml:space="preserve"> </w:t>
      </w:r>
      <w:r w:rsidR="00690111">
        <w:rPr>
          <w:rFonts w:eastAsia="SimSun"/>
          <w:lang w:val="fr-FR" w:eastAsia="zh-CN"/>
        </w:rPr>
        <w:t xml:space="preserve">des </w:t>
      </w:r>
      <w:r w:rsidR="0064787A">
        <w:rPr>
          <w:rFonts w:eastAsia="SimSun"/>
          <w:lang w:val="fr-FR" w:eastAsia="zh-CN"/>
        </w:rPr>
        <w:t>Membres de l'UIT</w:t>
      </w:r>
      <w:r w:rsidR="0064787A">
        <w:rPr>
          <w:rFonts w:eastAsia="SimSun"/>
          <w:lang w:val="fr-FR" w:eastAsia="zh-CN"/>
        </w:rPr>
        <w:noBreakHyphen/>
      </w:r>
      <w:r w:rsidR="006B7221">
        <w:rPr>
          <w:rFonts w:eastAsia="SimSun"/>
          <w:lang w:val="fr-FR" w:eastAsia="zh-CN"/>
        </w:rPr>
        <w:t>D</w:t>
      </w:r>
    </w:p>
    <w:p w14:paraId="73B96B82" w14:textId="1CEBEB1F" w:rsidR="00170259" w:rsidRPr="00E84E1F" w:rsidRDefault="006B7221" w:rsidP="0018619F">
      <w:pPr>
        <w:rPr>
          <w:lang w:val="fr-FR"/>
        </w:rPr>
      </w:pPr>
      <w:r>
        <w:rPr>
          <w:lang w:val="fr-FR"/>
        </w:rPr>
        <w:t>La stratégie</w:t>
      </w:r>
      <w:r w:rsidR="00D55A20" w:rsidRPr="00D55A20">
        <w:rPr>
          <w:lang w:val="fr-FR"/>
        </w:rPr>
        <w:t xml:space="preserve"> </w:t>
      </w:r>
      <w:r w:rsidR="00DB5CF3">
        <w:rPr>
          <w:lang w:val="fr-FR"/>
        </w:rPr>
        <w:t>relative aux</w:t>
      </w:r>
      <w:r>
        <w:rPr>
          <w:lang w:val="fr-FR"/>
        </w:rPr>
        <w:t xml:space="preserve"> membres</w:t>
      </w:r>
      <w:r w:rsidR="00F427A6">
        <w:rPr>
          <w:lang w:val="fr-FR"/>
        </w:rPr>
        <w:t xml:space="preserve"> de l'UIT-D</w:t>
      </w:r>
      <w:r w:rsidR="00170259" w:rsidRPr="00D55A20">
        <w:rPr>
          <w:lang w:val="fr-FR"/>
        </w:rPr>
        <w:t xml:space="preserve">, </w:t>
      </w:r>
      <w:r w:rsidR="00D55A20" w:rsidRPr="00D55A20">
        <w:rPr>
          <w:lang w:val="fr-FR"/>
        </w:rPr>
        <w:t xml:space="preserve">actuellement en cours de mise en </w:t>
      </w:r>
      <w:r w:rsidR="001D19AC" w:rsidRPr="00D55A20">
        <w:rPr>
          <w:lang w:val="fr-FR"/>
        </w:rPr>
        <w:t>œuvre</w:t>
      </w:r>
      <w:r w:rsidR="00170259" w:rsidRPr="00D55A20">
        <w:rPr>
          <w:lang w:val="fr-FR"/>
        </w:rPr>
        <w:t xml:space="preserve">, </w:t>
      </w:r>
      <w:r w:rsidR="00D55A20" w:rsidRPr="00D55A20">
        <w:rPr>
          <w:lang w:val="fr-FR"/>
        </w:rPr>
        <w:t>est fondée sur deux</w:t>
      </w:r>
      <w:r w:rsidR="00170259" w:rsidRPr="00D55A20">
        <w:rPr>
          <w:lang w:val="fr-FR"/>
        </w:rPr>
        <w:t xml:space="preserve"> </w:t>
      </w:r>
      <w:r w:rsidR="00D55A20">
        <w:rPr>
          <w:lang w:val="fr-FR"/>
        </w:rPr>
        <w:t>chemins d'impact</w:t>
      </w:r>
      <w:r w:rsidR="001D19AC">
        <w:rPr>
          <w:lang w:val="fr-FR"/>
        </w:rPr>
        <w:t xml:space="preserve"> </w:t>
      </w:r>
      <w:r w:rsidR="00E84E1F">
        <w:rPr>
          <w:lang w:val="fr-FR"/>
        </w:rPr>
        <w:t>précis</w:t>
      </w:r>
      <w:r w:rsidR="00170259" w:rsidRPr="00D55A20">
        <w:rPr>
          <w:lang w:val="fr-FR"/>
        </w:rPr>
        <w:t xml:space="preserve">: </w:t>
      </w:r>
      <w:r w:rsidR="00E84E1F">
        <w:rPr>
          <w:lang w:val="fr-FR"/>
        </w:rPr>
        <w:t>sensibiliser davantage</w:t>
      </w:r>
      <w:r w:rsidR="001D19AC">
        <w:rPr>
          <w:lang w:val="fr-FR"/>
        </w:rPr>
        <w:t xml:space="preserve"> pour attirer de nouveaux membres et renforcer la participation des membres aux travaux de l'UIT-D</w:t>
      </w:r>
      <w:r w:rsidR="00170259" w:rsidRPr="00D55A20">
        <w:rPr>
          <w:lang w:val="fr-FR"/>
        </w:rPr>
        <w:t xml:space="preserve">. </w:t>
      </w:r>
      <w:r w:rsidR="001D19AC" w:rsidRPr="001D19AC">
        <w:rPr>
          <w:lang w:val="fr-FR"/>
        </w:rPr>
        <w:t>En plus d'intégrer la méthode de gestion axée sur les résultats</w:t>
      </w:r>
      <w:r w:rsidR="00170259" w:rsidRPr="001D19AC">
        <w:rPr>
          <w:lang w:val="fr-FR"/>
        </w:rPr>
        <w:t xml:space="preserve">, </w:t>
      </w:r>
      <w:r w:rsidR="00DB5CF3">
        <w:rPr>
          <w:lang w:val="fr-FR"/>
        </w:rPr>
        <w:t>elle englobe des</w:t>
      </w:r>
      <w:r w:rsidR="00170259" w:rsidRPr="001D19AC">
        <w:rPr>
          <w:lang w:val="fr-FR"/>
        </w:rPr>
        <w:t xml:space="preserve"> synergies </w:t>
      </w:r>
      <w:r w:rsidR="00DB5CF3">
        <w:rPr>
          <w:lang w:val="fr-FR"/>
        </w:rPr>
        <w:t xml:space="preserve">avec </w:t>
      </w:r>
      <w:r w:rsidR="00B47DE2">
        <w:rPr>
          <w:lang w:val="fr-FR"/>
        </w:rPr>
        <w:t xml:space="preserve">les </w:t>
      </w:r>
      <w:r w:rsidR="00DB5CF3">
        <w:rPr>
          <w:lang w:val="fr-FR"/>
        </w:rPr>
        <w:t xml:space="preserve">stratégies et </w:t>
      </w:r>
      <w:r w:rsidR="00B47DE2">
        <w:rPr>
          <w:lang w:val="fr-FR"/>
        </w:rPr>
        <w:t xml:space="preserve">les </w:t>
      </w:r>
      <w:r w:rsidR="00DB5CF3">
        <w:rPr>
          <w:lang w:val="fr-FR"/>
        </w:rPr>
        <w:t xml:space="preserve">plans </w:t>
      </w:r>
      <w:r w:rsidR="00B47DE2">
        <w:rPr>
          <w:lang w:val="fr-FR"/>
        </w:rPr>
        <w:t xml:space="preserve">en matière de projets et </w:t>
      </w:r>
      <w:r w:rsidR="00DB5CF3">
        <w:rPr>
          <w:lang w:val="fr-FR"/>
        </w:rPr>
        <w:t>de partenariats</w:t>
      </w:r>
      <w:r w:rsidR="00170259" w:rsidRPr="001D19AC">
        <w:rPr>
          <w:lang w:val="fr-FR"/>
        </w:rPr>
        <w:t xml:space="preserve">, </w:t>
      </w:r>
      <w:r w:rsidR="00B47DE2">
        <w:rPr>
          <w:lang w:val="fr-FR"/>
        </w:rPr>
        <w:t xml:space="preserve">les </w:t>
      </w:r>
      <w:r w:rsidR="00E84E1F">
        <w:rPr>
          <w:lang w:val="fr-FR"/>
        </w:rPr>
        <w:t xml:space="preserve">équipes spécialisées dans le </w:t>
      </w:r>
      <w:r w:rsidR="00170259" w:rsidRPr="001D19AC">
        <w:rPr>
          <w:lang w:val="fr-FR"/>
        </w:rPr>
        <w:t xml:space="preserve">marketing </w:t>
      </w:r>
      <w:r w:rsidR="00E84E1F">
        <w:rPr>
          <w:lang w:val="fr-FR"/>
        </w:rPr>
        <w:t>e</w:t>
      </w:r>
      <w:r>
        <w:rPr>
          <w:lang w:val="fr-FR"/>
        </w:rPr>
        <w:t>t la communication</w:t>
      </w:r>
      <w:r w:rsidR="00170259" w:rsidRPr="001D19AC">
        <w:rPr>
          <w:lang w:val="fr-FR"/>
        </w:rPr>
        <w:t xml:space="preserve"> </w:t>
      </w:r>
      <w:r w:rsidR="00E84E1F">
        <w:rPr>
          <w:lang w:val="fr-FR"/>
        </w:rPr>
        <w:t>au sein du</w:t>
      </w:r>
      <w:r w:rsidR="00170259" w:rsidRPr="001D19AC">
        <w:rPr>
          <w:lang w:val="fr-FR"/>
        </w:rPr>
        <w:t xml:space="preserve"> BDT </w:t>
      </w:r>
      <w:r w:rsidR="00E84E1F">
        <w:rPr>
          <w:lang w:val="fr-FR"/>
        </w:rPr>
        <w:t xml:space="preserve">et </w:t>
      </w:r>
      <w:r w:rsidR="00B47DE2">
        <w:rPr>
          <w:lang w:val="fr-FR"/>
        </w:rPr>
        <w:t xml:space="preserve">le </w:t>
      </w:r>
      <w:r w:rsidR="00E84E1F">
        <w:rPr>
          <w:lang w:val="fr-FR"/>
        </w:rPr>
        <w:t>Secrétariat général</w:t>
      </w:r>
      <w:r w:rsidR="00170259" w:rsidRPr="001D19AC">
        <w:rPr>
          <w:lang w:val="fr-FR"/>
        </w:rPr>
        <w:t xml:space="preserve">. </w:t>
      </w:r>
      <w:r w:rsidR="00E84E1F" w:rsidRPr="00E84E1F">
        <w:rPr>
          <w:lang w:val="fr-FR"/>
        </w:rPr>
        <w:t>De plus</w:t>
      </w:r>
      <w:r w:rsidR="00170259" w:rsidRPr="00E84E1F">
        <w:rPr>
          <w:lang w:val="fr-FR"/>
        </w:rPr>
        <w:t xml:space="preserve">, </w:t>
      </w:r>
      <w:r w:rsidR="00810C75">
        <w:rPr>
          <w:lang w:val="fr-FR"/>
        </w:rPr>
        <w:t>cette stratégie</w:t>
      </w:r>
      <w:r w:rsidR="00F64ACD">
        <w:rPr>
          <w:lang w:val="fr-FR"/>
        </w:rPr>
        <w:t xml:space="preserve"> est appuyée par des</w:t>
      </w:r>
      <w:r w:rsidR="00170259" w:rsidRPr="00E84E1F">
        <w:rPr>
          <w:lang w:val="fr-FR"/>
        </w:rPr>
        <w:t xml:space="preserve"> </w:t>
      </w:r>
      <w:r w:rsidR="00F64ACD">
        <w:rPr>
          <w:lang w:val="fr-FR"/>
        </w:rPr>
        <w:t>mesures</w:t>
      </w:r>
      <w:r w:rsidR="00E84E1F" w:rsidRPr="00E84E1F">
        <w:rPr>
          <w:lang w:val="fr-FR"/>
        </w:rPr>
        <w:t xml:space="preserve"> concrètes visant à sensibiliser et renforcer les capacités </w:t>
      </w:r>
      <w:r w:rsidR="00810C75">
        <w:rPr>
          <w:lang w:val="fr-FR"/>
        </w:rPr>
        <w:t>des fonctionnaires</w:t>
      </w:r>
      <w:r w:rsidR="00E84E1F" w:rsidRPr="00E84E1F">
        <w:rPr>
          <w:lang w:val="fr-FR"/>
        </w:rPr>
        <w:t xml:space="preserve"> du BDT, afin de suivre</w:t>
      </w:r>
      <w:r w:rsidR="00CD6591">
        <w:rPr>
          <w:lang w:val="fr-FR"/>
        </w:rPr>
        <w:t>, faire participer et fidéliser les membres et en prospecter de nouveaux</w:t>
      </w:r>
      <w:r w:rsidR="00170259" w:rsidRPr="00E84E1F">
        <w:rPr>
          <w:lang w:val="fr-FR"/>
        </w:rPr>
        <w:t>.</w:t>
      </w:r>
    </w:p>
    <w:p w14:paraId="2B5E3FC2" w14:textId="2D482248" w:rsidR="00170259" w:rsidRPr="006B7221" w:rsidRDefault="006B7221" w:rsidP="00170259">
      <w:pPr>
        <w:rPr>
          <w:lang w:val="fr-FR"/>
        </w:rPr>
      </w:pPr>
      <w:r w:rsidRPr="006B7221">
        <w:rPr>
          <w:lang w:val="fr-FR"/>
        </w:rPr>
        <w:t>Sur le plan de la sensibilisation</w:t>
      </w:r>
      <w:r w:rsidR="00170259" w:rsidRPr="006B7221">
        <w:rPr>
          <w:lang w:val="fr-FR"/>
        </w:rPr>
        <w:t xml:space="preserve">, </w:t>
      </w:r>
      <w:r w:rsidRPr="006B7221">
        <w:rPr>
          <w:lang w:val="fr-FR"/>
        </w:rPr>
        <w:t xml:space="preserve">l'accent est mis sur l'utilisation accrue </w:t>
      </w:r>
      <w:r w:rsidR="006D3EE5">
        <w:rPr>
          <w:lang w:val="fr-FR"/>
        </w:rPr>
        <w:t>d'outils de marketing numérique</w:t>
      </w:r>
      <w:r w:rsidRPr="006B7221">
        <w:rPr>
          <w:lang w:val="fr-FR"/>
        </w:rPr>
        <w:t xml:space="preserve"> pour évaluer, sélectionner et identifier</w:t>
      </w:r>
      <w:r w:rsidR="00170259" w:rsidRPr="006B7221">
        <w:rPr>
          <w:lang w:val="fr-FR"/>
        </w:rPr>
        <w:t xml:space="preserve"> </w:t>
      </w:r>
      <w:r w:rsidR="009A2E80">
        <w:rPr>
          <w:lang w:val="fr-FR"/>
        </w:rPr>
        <w:t>d</w:t>
      </w:r>
      <w:r w:rsidRPr="006B7221">
        <w:rPr>
          <w:lang w:val="fr-FR"/>
        </w:rPr>
        <w:t xml:space="preserve">es entités </w:t>
      </w:r>
      <w:r>
        <w:rPr>
          <w:lang w:val="fr-FR"/>
        </w:rPr>
        <w:t xml:space="preserve">éligibles </w:t>
      </w:r>
      <w:r w:rsidRPr="006B7221">
        <w:rPr>
          <w:lang w:val="fr-FR"/>
        </w:rPr>
        <w:t>potentielles dans le domaine des TIC</w:t>
      </w:r>
      <w:r w:rsidR="00170259" w:rsidRPr="006B7221">
        <w:rPr>
          <w:lang w:val="fr-FR"/>
        </w:rPr>
        <w:t xml:space="preserve">, </w:t>
      </w:r>
      <w:r w:rsidR="00701224">
        <w:rPr>
          <w:lang w:val="fr-FR"/>
        </w:rPr>
        <w:t xml:space="preserve">mais aussi pour </w:t>
      </w:r>
      <w:r>
        <w:rPr>
          <w:lang w:val="fr-FR"/>
        </w:rPr>
        <w:t>constituer des listes</w:t>
      </w:r>
      <w:r w:rsidR="003671A2">
        <w:rPr>
          <w:lang w:val="fr-FR"/>
        </w:rPr>
        <w:t xml:space="preserve"> </w:t>
      </w:r>
      <w:r w:rsidR="00425944">
        <w:rPr>
          <w:lang w:val="fr-FR"/>
        </w:rPr>
        <w:t>de prospects</w:t>
      </w:r>
      <w:r w:rsidR="003671A2">
        <w:rPr>
          <w:lang w:val="fr-FR"/>
        </w:rPr>
        <w:t xml:space="preserve"> par</w:t>
      </w:r>
      <w:r w:rsidR="00170259" w:rsidRPr="006B7221">
        <w:rPr>
          <w:lang w:val="fr-FR"/>
        </w:rPr>
        <w:t xml:space="preserve"> </w:t>
      </w:r>
      <w:r w:rsidR="003671A2">
        <w:rPr>
          <w:lang w:val="fr-FR"/>
        </w:rPr>
        <w:t>secteur d'activité</w:t>
      </w:r>
      <w:r w:rsidR="00170259" w:rsidRPr="006B7221">
        <w:rPr>
          <w:lang w:val="fr-FR"/>
        </w:rPr>
        <w:t xml:space="preserve">, </w:t>
      </w:r>
      <w:r w:rsidR="003671A2">
        <w:rPr>
          <w:lang w:val="fr-FR"/>
        </w:rPr>
        <w:t xml:space="preserve">cibler ces </w:t>
      </w:r>
      <w:r w:rsidR="001928A9">
        <w:rPr>
          <w:lang w:val="fr-FR"/>
        </w:rPr>
        <w:t>communautés</w:t>
      </w:r>
      <w:r w:rsidR="00170259" w:rsidRPr="006B7221">
        <w:rPr>
          <w:lang w:val="fr-FR"/>
        </w:rPr>
        <w:t xml:space="preserve"> </w:t>
      </w:r>
      <w:r w:rsidR="003E3B39">
        <w:rPr>
          <w:lang w:val="fr-FR"/>
        </w:rPr>
        <w:t xml:space="preserve">de prospects </w:t>
      </w:r>
      <w:r w:rsidR="003671A2">
        <w:rPr>
          <w:lang w:val="fr-FR"/>
        </w:rPr>
        <w:t xml:space="preserve">avec du contenu </w:t>
      </w:r>
      <w:r w:rsidR="00701224">
        <w:rPr>
          <w:lang w:val="fr-FR"/>
        </w:rPr>
        <w:t>présenté de façon attrayante qui correspond</w:t>
      </w:r>
      <w:r w:rsidR="003671A2">
        <w:rPr>
          <w:lang w:val="fr-FR"/>
        </w:rPr>
        <w:t xml:space="preserve"> à leurs intérêts</w:t>
      </w:r>
      <w:r w:rsidR="00170259" w:rsidRPr="006B7221">
        <w:rPr>
          <w:lang w:val="fr-FR"/>
        </w:rPr>
        <w:t xml:space="preserve">, </w:t>
      </w:r>
      <w:r w:rsidR="003671A2">
        <w:rPr>
          <w:lang w:val="fr-FR"/>
        </w:rPr>
        <w:t>faire connaître les produits et services du BDT et susciter un intérêt à leur égard</w:t>
      </w:r>
      <w:r w:rsidR="00170259" w:rsidRPr="006B7221">
        <w:rPr>
          <w:lang w:val="fr-FR"/>
        </w:rPr>
        <w:t xml:space="preserve">, </w:t>
      </w:r>
      <w:r w:rsidR="003671A2">
        <w:rPr>
          <w:lang w:val="fr-FR"/>
        </w:rPr>
        <w:t>éveiller l'intérêt pour les</w:t>
      </w:r>
      <w:r w:rsidR="00170259" w:rsidRPr="006B7221">
        <w:rPr>
          <w:lang w:val="fr-FR"/>
        </w:rPr>
        <w:t xml:space="preserve"> </w:t>
      </w:r>
      <w:r w:rsidR="00701224">
        <w:rPr>
          <w:lang w:val="fr-FR"/>
        </w:rPr>
        <w:t>offres et les</w:t>
      </w:r>
      <w:r w:rsidR="003671A2">
        <w:rPr>
          <w:lang w:val="fr-FR"/>
        </w:rPr>
        <w:t xml:space="preserve"> opportunités à disposition des membres, </w:t>
      </w:r>
      <w:r w:rsidR="00701224">
        <w:rPr>
          <w:lang w:val="fr-FR"/>
        </w:rPr>
        <w:t xml:space="preserve">et accueillir </w:t>
      </w:r>
      <w:r w:rsidR="00BF73E8">
        <w:rPr>
          <w:lang w:val="fr-FR"/>
        </w:rPr>
        <w:t xml:space="preserve">davantage </w:t>
      </w:r>
      <w:r w:rsidR="00701224">
        <w:rPr>
          <w:lang w:val="fr-FR"/>
        </w:rPr>
        <w:t>de nouveaux membres</w:t>
      </w:r>
      <w:r w:rsidR="00170259" w:rsidRPr="006B7221">
        <w:rPr>
          <w:lang w:val="fr-FR"/>
        </w:rPr>
        <w:t>.</w:t>
      </w:r>
    </w:p>
    <w:p w14:paraId="43FF6A06" w14:textId="2E1024B7" w:rsidR="00170259" w:rsidRPr="003671A2" w:rsidRDefault="003671A2" w:rsidP="00170259">
      <w:pPr>
        <w:rPr>
          <w:lang w:val="fr-FR"/>
        </w:rPr>
      </w:pPr>
      <w:r w:rsidRPr="003671A2">
        <w:rPr>
          <w:lang w:val="fr-FR"/>
        </w:rPr>
        <w:t>Depuis</w:t>
      </w:r>
      <w:r w:rsidR="00170259" w:rsidRPr="003671A2">
        <w:rPr>
          <w:lang w:val="fr-FR"/>
        </w:rPr>
        <w:t xml:space="preserve"> 2020, </w:t>
      </w:r>
      <w:r w:rsidRPr="003671A2">
        <w:rPr>
          <w:lang w:val="fr-FR"/>
        </w:rPr>
        <w:t>le</w:t>
      </w:r>
      <w:r w:rsidR="00170259" w:rsidRPr="003671A2">
        <w:rPr>
          <w:lang w:val="fr-FR"/>
        </w:rPr>
        <w:t xml:space="preserve"> BDT </w:t>
      </w:r>
      <w:r w:rsidRPr="003671A2">
        <w:rPr>
          <w:lang w:val="fr-FR"/>
        </w:rPr>
        <w:t xml:space="preserve">mène une série </w:t>
      </w:r>
      <w:r w:rsidR="002B793F">
        <w:rPr>
          <w:lang w:val="fr-FR"/>
        </w:rPr>
        <w:t>d'actions</w:t>
      </w:r>
      <w:r w:rsidRPr="003671A2">
        <w:rPr>
          <w:lang w:val="fr-FR"/>
        </w:rPr>
        <w:t xml:space="preserve"> visant à renforcer les interactions avec les membres de l'UIT-D et leur participation aux activités et programmes du Secteur</w:t>
      </w:r>
      <w:r w:rsidR="00170259" w:rsidRPr="003671A2">
        <w:rPr>
          <w:lang w:val="fr-FR"/>
        </w:rPr>
        <w:t>.</w:t>
      </w:r>
    </w:p>
    <w:p w14:paraId="406009DB" w14:textId="77777777" w:rsidR="00C06DD7" w:rsidRDefault="00C06DD7" w:rsidP="00170259">
      <w:pPr>
        <w:rPr>
          <w:lang w:val="fr-FR"/>
        </w:rPr>
      </w:pPr>
      <w:r>
        <w:rPr>
          <w:lang w:val="fr-FR"/>
        </w:rPr>
        <w:br w:type="page"/>
      </w:r>
    </w:p>
    <w:p w14:paraId="3E4BE81E" w14:textId="0580FC69" w:rsidR="00170259" w:rsidRPr="00803188" w:rsidRDefault="00D75055" w:rsidP="00170259">
      <w:pPr>
        <w:rPr>
          <w:lang w:val="fr-FR"/>
        </w:rPr>
      </w:pPr>
      <w:r w:rsidRPr="00803188">
        <w:rPr>
          <w:lang w:val="fr-FR"/>
        </w:rPr>
        <w:t>À cet égard</w:t>
      </w:r>
      <w:r w:rsidR="00170259" w:rsidRPr="00803188">
        <w:rPr>
          <w:lang w:val="fr-FR"/>
        </w:rPr>
        <w:t xml:space="preserve">, </w:t>
      </w:r>
      <w:r w:rsidRPr="00803188">
        <w:rPr>
          <w:lang w:val="fr-FR"/>
        </w:rPr>
        <w:t xml:space="preserve">le </w:t>
      </w:r>
      <w:r w:rsidR="00170259" w:rsidRPr="00803188">
        <w:rPr>
          <w:lang w:val="fr-FR"/>
        </w:rPr>
        <w:t xml:space="preserve">BDT </w:t>
      </w:r>
      <w:r w:rsidR="00803188" w:rsidRPr="00803188">
        <w:rPr>
          <w:lang w:val="fr-FR"/>
        </w:rPr>
        <w:t>a entrepris ce qui suit</w:t>
      </w:r>
      <w:r w:rsidR="00170259" w:rsidRPr="00803188">
        <w:rPr>
          <w:lang w:val="fr-FR"/>
        </w:rPr>
        <w:t>:</w:t>
      </w:r>
    </w:p>
    <w:p w14:paraId="0114A9BC" w14:textId="57AE2DE2" w:rsidR="00170259" w:rsidRPr="007004D4" w:rsidRDefault="00170259" w:rsidP="00D37D39">
      <w:pPr>
        <w:pStyle w:val="enumlev1"/>
        <w:rPr>
          <w:rFonts w:cs="Calibri"/>
          <w:shd w:val="clear" w:color="auto" w:fill="FFFFFF"/>
          <w:lang w:val="fr-FR"/>
        </w:rPr>
      </w:pPr>
      <w:r w:rsidRPr="00E24F07">
        <w:rPr>
          <w:lang w:val="fr-FR"/>
        </w:rPr>
        <w:t>–</w:t>
      </w:r>
      <w:r w:rsidRPr="0050063C">
        <w:rPr>
          <w:lang w:val="fr-FR"/>
        </w:rPr>
        <w:tab/>
      </w:r>
      <w:r w:rsidR="0050063C" w:rsidRPr="008F32EF">
        <w:rPr>
          <w:b/>
          <w:lang w:val="fr-FR"/>
        </w:rPr>
        <w:t>Le</w:t>
      </w:r>
      <w:r w:rsidRPr="008F32EF">
        <w:rPr>
          <w:b/>
          <w:lang w:val="fr-FR"/>
        </w:rPr>
        <w:t xml:space="preserve"> </w:t>
      </w:r>
      <w:r w:rsidR="0050063C" w:rsidRPr="0064787A">
        <w:rPr>
          <w:b/>
          <w:lang w:val="fr-FR"/>
        </w:rPr>
        <w:t>Groupe consultatif de professionnels chargé des questions de développement et</w:t>
      </w:r>
      <w:r w:rsidRPr="0064787A">
        <w:rPr>
          <w:b/>
          <w:lang w:val="fr-FR"/>
        </w:rPr>
        <w:t xml:space="preserve"> </w:t>
      </w:r>
      <w:r w:rsidR="0050063C" w:rsidRPr="0064787A">
        <w:rPr>
          <w:b/>
          <w:lang w:val="fr-FR"/>
        </w:rPr>
        <w:t>les Directeurs de la réglementation</w:t>
      </w:r>
      <w:r w:rsidRPr="0064787A">
        <w:rPr>
          <w:b/>
          <w:lang w:val="fr-FR"/>
        </w:rPr>
        <w:t xml:space="preserve"> </w:t>
      </w:r>
      <w:r w:rsidR="0050063C" w:rsidRPr="0064787A">
        <w:rPr>
          <w:b/>
          <w:lang w:val="fr-FR"/>
        </w:rPr>
        <w:t xml:space="preserve">du secteur privé </w:t>
      </w:r>
      <w:r w:rsidRPr="0064787A">
        <w:rPr>
          <w:b/>
          <w:lang w:val="fr-FR"/>
        </w:rPr>
        <w:t>(IAGD</w:t>
      </w:r>
      <w:r w:rsidR="006E6BAD" w:rsidRPr="0064787A">
        <w:rPr>
          <w:b/>
          <w:lang w:val="fr-FR"/>
        </w:rPr>
        <w:t>I</w:t>
      </w:r>
      <w:r w:rsidRPr="0064787A">
        <w:rPr>
          <w:b/>
          <w:lang w:val="fr-FR"/>
        </w:rPr>
        <w:t>-CRO)</w:t>
      </w:r>
      <w:r w:rsidRPr="0050063C">
        <w:rPr>
          <w:lang w:val="fr-FR"/>
        </w:rPr>
        <w:t xml:space="preserve"> </w:t>
      </w:r>
      <w:r w:rsidR="006A405D">
        <w:rPr>
          <w:lang w:val="fr-FR"/>
        </w:rPr>
        <w:t xml:space="preserve">se sont réunis </w:t>
      </w:r>
      <w:r w:rsidR="00B96AEA">
        <w:rPr>
          <w:lang w:val="fr-FR"/>
        </w:rPr>
        <w:t>virtuelle</w:t>
      </w:r>
      <w:r w:rsidR="006A405D">
        <w:rPr>
          <w:lang w:val="fr-FR"/>
        </w:rPr>
        <w:t>ment</w:t>
      </w:r>
      <w:r w:rsidR="00121317">
        <w:rPr>
          <w:lang w:val="fr-FR"/>
        </w:rPr>
        <w:t xml:space="preserve"> </w:t>
      </w:r>
      <w:r w:rsidR="0050063C">
        <w:rPr>
          <w:lang w:val="fr-FR"/>
        </w:rPr>
        <w:t>le 31 août</w:t>
      </w:r>
      <w:r w:rsidRPr="0050063C">
        <w:rPr>
          <w:lang w:val="fr-FR"/>
        </w:rPr>
        <w:t xml:space="preserve"> 2020 </w:t>
      </w:r>
      <w:r w:rsidR="00121317">
        <w:rPr>
          <w:lang w:val="fr-FR"/>
        </w:rPr>
        <w:t>avant le</w:t>
      </w:r>
      <w:r w:rsidRPr="0050063C">
        <w:rPr>
          <w:lang w:val="fr-FR"/>
        </w:rPr>
        <w:t xml:space="preserve"> </w:t>
      </w:r>
      <w:r w:rsidR="00121317">
        <w:rPr>
          <w:lang w:val="fr-FR"/>
        </w:rPr>
        <w:t>Colloque mondial des régulateurs</w:t>
      </w:r>
      <w:r w:rsidRPr="0050063C">
        <w:rPr>
          <w:lang w:val="fr-FR"/>
        </w:rPr>
        <w:t xml:space="preserve"> (GSR-20). </w:t>
      </w:r>
      <w:r w:rsidR="008F38D8">
        <w:rPr>
          <w:lang w:val="fr-FR"/>
        </w:rPr>
        <w:t>À cette occasion</w:t>
      </w:r>
      <w:r w:rsidRPr="00B96AEA">
        <w:rPr>
          <w:lang w:val="fr-FR"/>
        </w:rPr>
        <w:t xml:space="preserve">, </w:t>
      </w:r>
      <w:r w:rsidR="00B96AEA" w:rsidRPr="00B96AEA">
        <w:rPr>
          <w:lang w:val="fr-FR"/>
        </w:rPr>
        <w:t>l'</w:t>
      </w:r>
      <w:r w:rsidR="00742303">
        <w:rPr>
          <w:rFonts w:cs="Calibri"/>
          <w:shd w:val="clear" w:color="auto" w:fill="FFFFFF"/>
          <w:lang w:val="fr-FR"/>
        </w:rPr>
        <w:t xml:space="preserve">IAGDI et le </w:t>
      </w:r>
      <w:r w:rsidRPr="00B96AEA">
        <w:rPr>
          <w:rFonts w:cs="Calibri"/>
          <w:shd w:val="clear" w:color="auto" w:fill="FFFFFF"/>
          <w:lang w:val="fr-FR"/>
        </w:rPr>
        <w:t xml:space="preserve">CRO </w:t>
      </w:r>
      <w:r w:rsidR="00742303">
        <w:rPr>
          <w:rFonts w:cs="Calibri"/>
          <w:shd w:val="clear" w:color="auto" w:fill="FFFFFF"/>
          <w:lang w:val="fr-FR"/>
        </w:rPr>
        <w:t>ont</w:t>
      </w:r>
      <w:r w:rsidR="00B96AEA" w:rsidRPr="00B96AEA">
        <w:rPr>
          <w:rFonts w:cs="Calibri"/>
          <w:shd w:val="clear" w:color="auto" w:fill="FFFFFF"/>
          <w:lang w:val="fr-FR"/>
        </w:rPr>
        <w:t xml:space="preserve"> réaffirmé l'engagement de l'industrie et du secteur privé à soutenir les gouvernements lors de la phase de reprise </w:t>
      </w:r>
      <w:r w:rsidR="00B96AEA">
        <w:rPr>
          <w:rFonts w:cs="Calibri"/>
          <w:shd w:val="clear" w:color="auto" w:fill="FFFFFF"/>
          <w:lang w:val="fr-FR"/>
        </w:rPr>
        <w:t>consécutive à</w:t>
      </w:r>
      <w:r w:rsidR="0064787A">
        <w:rPr>
          <w:rFonts w:cs="Calibri"/>
          <w:shd w:val="clear" w:color="auto" w:fill="FFFFFF"/>
          <w:lang w:val="fr-FR"/>
        </w:rPr>
        <w:t xml:space="preserve"> la pandémie de </w:t>
      </w:r>
      <w:r w:rsidR="00B96AEA" w:rsidRPr="00B96AEA">
        <w:rPr>
          <w:rFonts w:cs="Calibri"/>
          <w:shd w:val="clear" w:color="auto" w:fill="FFFFFF"/>
          <w:lang w:val="fr-FR"/>
        </w:rPr>
        <w:t>COVID-19</w:t>
      </w:r>
      <w:r w:rsidRPr="00B96AEA">
        <w:rPr>
          <w:rFonts w:cs="Calibri"/>
          <w:shd w:val="clear" w:color="auto" w:fill="FFFFFF"/>
          <w:lang w:val="fr-FR"/>
        </w:rPr>
        <w:t xml:space="preserve">, </w:t>
      </w:r>
      <w:r w:rsidR="00B96AEA">
        <w:rPr>
          <w:rFonts w:cs="Calibri"/>
          <w:shd w:val="clear" w:color="auto" w:fill="FFFFFF"/>
          <w:lang w:val="fr-FR"/>
        </w:rPr>
        <w:t xml:space="preserve">à </w:t>
      </w:r>
      <w:r w:rsidR="005A4BB2">
        <w:rPr>
          <w:rFonts w:cs="Calibri"/>
          <w:shd w:val="clear" w:color="auto" w:fill="FFFFFF"/>
          <w:lang w:val="fr-FR"/>
        </w:rPr>
        <w:t>œuvrer</w:t>
      </w:r>
      <w:r w:rsidR="00B96AEA">
        <w:rPr>
          <w:rFonts w:cs="Calibri"/>
          <w:shd w:val="clear" w:color="auto" w:fill="FFFFFF"/>
          <w:lang w:val="fr-FR"/>
        </w:rPr>
        <w:t xml:space="preserve"> avec les gouvernements et les régulateurs </w:t>
      </w:r>
      <w:r w:rsidR="005A4BB2">
        <w:rPr>
          <w:rFonts w:cs="Calibri"/>
          <w:shd w:val="clear" w:color="auto" w:fill="FFFFFF"/>
          <w:lang w:val="fr-FR"/>
        </w:rPr>
        <w:t>en faveur d'une meilleure préparation</w:t>
      </w:r>
      <w:r w:rsidR="00B96AEA">
        <w:rPr>
          <w:rFonts w:cs="Calibri"/>
          <w:shd w:val="clear" w:color="auto" w:fill="FFFFFF"/>
          <w:lang w:val="fr-FR"/>
        </w:rPr>
        <w:t xml:space="preserve"> face à de futures crises semblables</w:t>
      </w:r>
      <w:r w:rsidRPr="00B96AEA">
        <w:rPr>
          <w:rFonts w:cs="Calibri"/>
          <w:shd w:val="clear" w:color="auto" w:fill="FFFFFF"/>
          <w:lang w:val="fr-FR"/>
        </w:rPr>
        <w:t xml:space="preserve">, </w:t>
      </w:r>
      <w:r w:rsidR="007004D4">
        <w:rPr>
          <w:rFonts w:cs="Calibri"/>
          <w:shd w:val="clear" w:color="auto" w:fill="FFFFFF"/>
          <w:lang w:val="fr-FR"/>
        </w:rPr>
        <w:t xml:space="preserve">et </w:t>
      </w:r>
      <w:r w:rsidR="00B96AEA">
        <w:rPr>
          <w:rFonts w:cs="Calibri"/>
          <w:shd w:val="clear" w:color="auto" w:fill="FFFFFF"/>
          <w:lang w:val="fr-FR"/>
        </w:rPr>
        <w:t xml:space="preserve">à </w:t>
      </w:r>
      <w:r w:rsidR="007004D4">
        <w:rPr>
          <w:rFonts w:cs="Calibri"/>
          <w:shd w:val="clear" w:color="auto" w:fill="FFFFFF"/>
          <w:lang w:val="fr-FR"/>
        </w:rPr>
        <w:t>contribuer</w:t>
      </w:r>
      <w:r w:rsidR="00B96AEA">
        <w:rPr>
          <w:rFonts w:cs="Calibri"/>
          <w:shd w:val="clear" w:color="auto" w:fill="FFFFFF"/>
          <w:lang w:val="fr-FR"/>
        </w:rPr>
        <w:t xml:space="preserve"> plus activement aux travaux </w:t>
      </w:r>
      <w:r w:rsidR="00E93EEB">
        <w:rPr>
          <w:rFonts w:cs="Calibri"/>
          <w:shd w:val="clear" w:color="auto" w:fill="FFFFFF"/>
          <w:lang w:val="fr-FR"/>
        </w:rPr>
        <w:t>portant sur le</w:t>
      </w:r>
      <w:r w:rsidR="005A4BB2">
        <w:rPr>
          <w:rFonts w:cs="Calibri"/>
          <w:shd w:val="clear" w:color="auto" w:fill="FFFFFF"/>
          <w:lang w:val="fr-FR"/>
        </w:rPr>
        <w:t xml:space="preserve"> développement des</w:t>
      </w:r>
      <w:r w:rsidR="00B96AEA">
        <w:rPr>
          <w:rFonts w:cs="Calibri"/>
          <w:shd w:val="clear" w:color="auto" w:fill="FFFFFF"/>
          <w:lang w:val="fr-FR"/>
        </w:rPr>
        <w:t xml:space="preserve"> TIC</w:t>
      </w:r>
      <w:r w:rsidRPr="00B96AEA">
        <w:rPr>
          <w:rFonts w:cs="Calibri"/>
          <w:shd w:val="clear" w:color="auto" w:fill="FFFFFF"/>
          <w:lang w:val="fr-FR"/>
        </w:rPr>
        <w:t xml:space="preserve">. </w:t>
      </w:r>
      <w:r w:rsidR="00B96AEA" w:rsidRPr="007004D4">
        <w:rPr>
          <w:lang w:val="fr-FR"/>
        </w:rPr>
        <w:t xml:space="preserve">Plus </w:t>
      </w:r>
      <w:r w:rsidR="007004D4" w:rsidRPr="007004D4">
        <w:rPr>
          <w:lang w:val="fr-FR"/>
        </w:rPr>
        <w:t xml:space="preserve">d'une centaine de hauts représentants du secteur ont </w:t>
      </w:r>
      <w:r w:rsidR="00E93EEB">
        <w:rPr>
          <w:lang w:val="fr-FR"/>
        </w:rPr>
        <w:t xml:space="preserve">souligné que la </w:t>
      </w:r>
      <w:r w:rsidR="004E40B7">
        <w:rPr>
          <w:lang w:val="fr-FR"/>
        </w:rPr>
        <w:t>mise en place</w:t>
      </w:r>
      <w:r w:rsidR="007004D4">
        <w:rPr>
          <w:lang w:val="fr-FR"/>
        </w:rPr>
        <w:t xml:space="preserve"> </w:t>
      </w:r>
      <w:r w:rsidR="005A4BB2">
        <w:rPr>
          <w:lang w:val="fr-FR"/>
        </w:rPr>
        <w:t>d'</w:t>
      </w:r>
      <w:r w:rsidR="007004D4">
        <w:rPr>
          <w:lang w:val="fr-FR"/>
        </w:rPr>
        <w:t>une connectivité</w:t>
      </w:r>
      <w:r w:rsidRPr="007004D4">
        <w:rPr>
          <w:lang w:val="fr-FR"/>
        </w:rPr>
        <w:t xml:space="preserve"> </w:t>
      </w:r>
      <w:r w:rsidR="008F38D8">
        <w:rPr>
          <w:lang w:val="fr-FR"/>
        </w:rPr>
        <w:t xml:space="preserve">large bande </w:t>
      </w:r>
      <w:r w:rsidR="007004D4">
        <w:rPr>
          <w:lang w:val="fr-FR"/>
        </w:rPr>
        <w:t>efficace</w:t>
      </w:r>
      <w:r w:rsidRPr="007004D4">
        <w:rPr>
          <w:lang w:val="fr-FR"/>
        </w:rPr>
        <w:t xml:space="preserve">, </w:t>
      </w:r>
      <w:r w:rsidR="007004D4">
        <w:rPr>
          <w:lang w:val="fr-FR"/>
        </w:rPr>
        <w:t>sûre</w:t>
      </w:r>
      <w:r w:rsidRPr="007004D4">
        <w:rPr>
          <w:lang w:val="fr-FR"/>
        </w:rPr>
        <w:t xml:space="preserve">, </w:t>
      </w:r>
      <w:r w:rsidR="007004D4">
        <w:rPr>
          <w:lang w:val="fr-FR"/>
        </w:rPr>
        <w:t>financièrement abordable et durable</w:t>
      </w:r>
      <w:r w:rsidR="00E93EEB">
        <w:rPr>
          <w:lang w:val="fr-FR"/>
        </w:rPr>
        <w:t xml:space="preserve"> pour tous devrait rester la priorité</w:t>
      </w:r>
      <w:r w:rsidRPr="007004D4">
        <w:rPr>
          <w:lang w:val="fr-FR"/>
        </w:rPr>
        <w:t xml:space="preserve"> </w:t>
      </w:r>
      <w:r w:rsidRPr="005A4BB2">
        <w:rPr>
          <w:lang w:val="fr-FR"/>
        </w:rPr>
        <w:t>(</w:t>
      </w:r>
      <w:r w:rsidR="007004D4" w:rsidRPr="005A4BB2">
        <w:rPr>
          <w:lang w:val="fr-FR"/>
        </w:rPr>
        <w:t xml:space="preserve">voir la </w:t>
      </w:r>
      <w:hyperlink r:id="rId10" w:history="1">
        <w:r w:rsidR="00742303" w:rsidRPr="005A4BB2">
          <w:rPr>
            <w:rStyle w:val="Hyperlink"/>
            <w:rFonts w:ascii="Calibri" w:hAnsi="Calibri"/>
            <w:szCs w:val="24"/>
            <w:lang w:val="fr-FR"/>
          </w:rPr>
          <w:t>déclaration de</w:t>
        </w:r>
        <w:r w:rsidR="00742303" w:rsidRPr="005A4BB2">
          <w:rPr>
            <w:rStyle w:val="Hyperlink"/>
            <w:rFonts w:ascii="Calibri" w:hAnsi="Calibri"/>
            <w:szCs w:val="24"/>
            <w:lang w:val="fr-FR"/>
          </w:rPr>
          <w:t xml:space="preserve"> </w:t>
        </w:r>
        <w:r w:rsidR="00742303" w:rsidRPr="005A4BB2">
          <w:rPr>
            <w:rStyle w:val="Hyperlink"/>
            <w:rFonts w:ascii="Calibri" w:hAnsi="Calibri"/>
            <w:szCs w:val="24"/>
            <w:lang w:val="fr-FR"/>
          </w:rPr>
          <w:t xml:space="preserve">l'IAGDI et du </w:t>
        </w:r>
        <w:r w:rsidR="007004D4" w:rsidRPr="005A4BB2">
          <w:rPr>
            <w:rStyle w:val="Hyperlink"/>
            <w:rFonts w:ascii="Calibri" w:hAnsi="Calibri"/>
            <w:szCs w:val="24"/>
            <w:lang w:val="fr-FR"/>
          </w:rPr>
          <w:t>CRO</w:t>
        </w:r>
      </w:hyperlink>
      <w:r w:rsidRPr="005A4BB2">
        <w:rPr>
          <w:color w:val="000000" w:themeColor="text1"/>
          <w:lang w:val="fr-FR"/>
        </w:rPr>
        <w:t xml:space="preserve">). </w:t>
      </w:r>
      <w:r w:rsidR="007004D4" w:rsidRPr="007004D4">
        <w:rPr>
          <w:rFonts w:cs="Calibri"/>
          <w:shd w:val="clear" w:color="auto" w:fill="FFFFFF"/>
          <w:lang w:val="fr-FR"/>
        </w:rPr>
        <w:t>De plus</w:t>
      </w:r>
      <w:r w:rsidRPr="007004D4">
        <w:rPr>
          <w:rFonts w:cs="Calibri"/>
          <w:shd w:val="clear" w:color="auto" w:fill="FFFFFF"/>
          <w:lang w:val="fr-FR"/>
        </w:rPr>
        <w:t xml:space="preserve">, </w:t>
      </w:r>
      <w:r w:rsidR="007004D4" w:rsidRPr="007004D4">
        <w:rPr>
          <w:rFonts w:cs="Calibri"/>
          <w:shd w:val="clear" w:color="auto" w:fill="FFFFFF"/>
          <w:lang w:val="fr-FR"/>
        </w:rPr>
        <w:t>deux</w:t>
      </w:r>
      <w:r w:rsidRPr="007004D4">
        <w:rPr>
          <w:rFonts w:cs="Calibri"/>
          <w:shd w:val="clear" w:color="auto" w:fill="FFFFFF"/>
          <w:lang w:val="fr-FR"/>
        </w:rPr>
        <w:t xml:space="preserve"> Vice-</w:t>
      </w:r>
      <w:r w:rsidR="007004D4" w:rsidRPr="007004D4">
        <w:rPr>
          <w:rFonts w:cs="Calibri"/>
          <w:shd w:val="clear" w:color="auto" w:fill="FFFFFF"/>
          <w:lang w:val="fr-FR"/>
        </w:rPr>
        <w:t>Président</w:t>
      </w:r>
      <w:r w:rsidR="00EC79AB">
        <w:rPr>
          <w:rFonts w:cs="Calibri"/>
          <w:shd w:val="clear" w:color="auto" w:fill="FFFFFF"/>
          <w:lang w:val="fr-FR"/>
        </w:rPr>
        <w:t>s ont été nommés</w:t>
      </w:r>
      <w:r w:rsidR="007004D4" w:rsidRPr="007004D4">
        <w:rPr>
          <w:rFonts w:cs="Calibri"/>
          <w:shd w:val="clear" w:color="auto" w:fill="FFFFFF"/>
          <w:lang w:val="fr-FR"/>
        </w:rPr>
        <w:t xml:space="preserve"> et ont </w:t>
      </w:r>
      <w:r w:rsidR="003200C1">
        <w:rPr>
          <w:rFonts w:cs="Calibri"/>
          <w:shd w:val="clear" w:color="auto" w:fill="FFFFFF"/>
          <w:lang w:val="fr-FR"/>
        </w:rPr>
        <w:t>fait un point</w:t>
      </w:r>
      <w:r w:rsidR="007004D4" w:rsidRPr="007004D4">
        <w:rPr>
          <w:rFonts w:cs="Calibri"/>
          <w:shd w:val="clear" w:color="auto" w:fill="FFFFFF"/>
          <w:lang w:val="fr-FR"/>
        </w:rPr>
        <w:t xml:space="preserve"> avec le Président</w:t>
      </w:r>
      <w:r w:rsidRPr="007004D4">
        <w:rPr>
          <w:rFonts w:cs="Calibri"/>
          <w:shd w:val="clear" w:color="auto" w:fill="FFFFFF"/>
          <w:lang w:val="fr-FR"/>
        </w:rPr>
        <w:t xml:space="preserve"> </w:t>
      </w:r>
      <w:r w:rsidR="003200C1">
        <w:rPr>
          <w:rFonts w:cs="Calibri"/>
          <w:shd w:val="clear" w:color="auto" w:fill="FFFFFF"/>
          <w:lang w:val="fr-FR"/>
        </w:rPr>
        <w:t xml:space="preserve">sur </w:t>
      </w:r>
      <w:r w:rsidR="007004D4" w:rsidRPr="007004D4">
        <w:rPr>
          <w:rFonts w:cs="Calibri"/>
          <w:shd w:val="clear" w:color="auto" w:fill="FFFFFF"/>
          <w:lang w:val="fr-FR"/>
        </w:rPr>
        <w:t xml:space="preserve">leurs réseaux existants </w:t>
      </w:r>
      <w:r w:rsidR="00554822">
        <w:rPr>
          <w:rFonts w:cs="Calibri"/>
          <w:shd w:val="clear" w:color="auto" w:fill="FFFFFF"/>
          <w:lang w:val="fr-FR"/>
        </w:rPr>
        <w:t>auprès desquels ils pourraient</w:t>
      </w:r>
      <w:r w:rsidR="007004D4" w:rsidRPr="007004D4">
        <w:rPr>
          <w:rFonts w:cs="Calibri"/>
          <w:shd w:val="clear" w:color="auto" w:fill="FFFFFF"/>
          <w:lang w:val="fr-FR"/>
        </w:rPr>
        <w:t xml:space="preserve"> p</w:t>
      </w:r>
      <w:r w:rsidR="00EC79AB">
        <w:rPr>
          <w:rFonts w:cs="Calibri"/>
          <w:shd w:val="clear" w:color="auto" w:fill="FFFFFF"/>
          <w:lang w:val="fr-FR"/>
        </w:rPr>
        <w:t>romouvoir le</w:t>
      </w:r>
      <w:r w:rsidR="00875876">
        <w:rPr>
          <w:rFonts w:cs="Calibri"/>
          <w:shd w:val="clear" w:color="auto" w:fill="FFFFFF"/>
          <w:lang w:val="fr-FR"/>
        </w:rPr>
        <w:t xml:space="preserve"> Secteur de l'UIT-D</w:t>
      </w:r>
      <w:r w:rsidR="00EC79AB">
        <w:rPr>
          <w:rFonts w:cs="Calibri"/>
          <w:shd w:val="clear" w:color="auto" w:fill="FFFFFF"/>
          <w:lang w:val="fr-FR"/>
        </w:rPr>
        <w:t xml:space="preserve"> </w:t>
      </w:r>
      <w:r w:rsidR="00875876">
        <w:rPr>
          <w:rFonts w:cs="Calibri"/>
          <w:shd w:val="clear" w:color="auto" w:fill="FFFFFF"/>
          <w:lang w:val="fr-FR"/>
        </w:rPr>
        <w:t>pour</w:t>
      </w:r>
      <w:r w:rsidR="00EC79AB">
        <w:rPr>
          <w:rFonts w:cs="Calibri"/>
          <w:shd w:val="clear" w:color="auto" w:fill="FFFFFF"/>
          <w:lang w:val="fr-FR"/>
        </w:rPr>
        <w:t xml:space="preserve"> recruter davantage</w:t>
      </w:r>
      <w:r w:rsidR="007004D4" w:rsidRPr="007004D4">
        <w:rPr>
          <w:rFonts w:cs="Calibri"/>
          <w:shd w:val="clear" w:color="auto" w:fill="FFFFFF"/>
          <w:lang w:val="fr-FR"/>
        </w:rPr>
        <w:t xml:space="preserve"> d'acteurs de l'in</w:t>
      </w:r>
      <w:r w:rsidR="008F38D8">
        <w:rPr>
          <w:rFonts w:cs="Calibri"/>
          <w:shd w:val="clear" w:color="auto" w:fill="FFFFFF"/>
          <w:lang w:val="fr-FR"/>
        </w:rPr>
        <w:t xml:space="preserve">dustrie et du secteur privé. Ils </w:t>
      </w:r>
      <w:r w:rsidR="007004D4">
        <w:rPr>
          <w:rFonts w:cs="Calibri"/>
          <w:shd w:val="clear" w:color="auto" w:fill="FFFFFF"/>
          <w:lang w:val="fr-FR"/>
        </w:rPr>
        <w:t xml:space="preserve">ont </w:t>
      </w:r>
      <w:r w:rsidR="008F38D8">
        <w:rPr>
          <w:rFonts w:cs="Calibri"/>
          <w:shd w:val="clear" w:color="auto" w:fill="FFFFFF"/>
          <w:lang w:val="fr-FR"/>
        </w:rPr>
        <w:t xml:space="preserve">aussi </w:t>
      </w:r>
      <w:r w:rsidR="007004D4">
        <w:rPr>
          <w:rFonts w:cs="Calibri"/>
          <w:shd w:val="clear" w:color="auto" w:fill="FFFFFF"/>
          <w:lang w:val="fr-FR"/>
        </w:rPr>
        <w:t>contribué à chacun des forums régionaux sur le développement</w:t>
      </w:r>
      <w:r w:rsidRPr="007004D4">
        <w:rPr>
          <w:rFonts w:cs="Calibri"/>
          <w:shd w:val="clear" w:color="auto" w:fill="FFFFFF"/>
          <w:lang w:val="fr-FR"/>
        </w:rPr>
        <w:t xml:space="preserve"> </w:t>
      </w:r>
      <w:r w:rsidR="007004D4">
        <w:rPr>
          <w:rFonts w:cs="Calibri"/>
          <w:shd w:val="clear" w:color="auto" w:fill="FFFFFF"/>
          <w:lang w:val="fr-FR"/>
        </w:rPr>
        <w:t>et aux travaux préparatoires en vue de la CMDT-21</w:t>
      </w:r>
      <w:r w:rsidR="00EC79AB">
        <w:rPr>
          <w:rFonts w:cs="Calibri"/>
          <w:shd w:val="clear" w:color="auto" w:fill="FFFFFF"/>
          <w:lang w:val="fr-FR"/>
        </w:rPr>
        <w:t xml:space="preserve"> menés actuellement</w:t>
      </w:r>
      <w:r w:rsidRPr="007004D4">
        <w:rPr>
          <w:rFonts w:cs="Calibri"/>
          <w:shd w:val="clear" w:color="auto" w:fill="FFFFFF"/>
          <w:lang w:val="fr-FR"/>
        </w:rPr>
        <w:t xml:space="preserve">. </w:t>
      </w:r>
      <w:r w:rsidR="007004D4" w:rsidRPr="007004D4">
        <w:rPr>
          <w:rFonts w:cs="Calibri"/>
          <w:shd w:val="clear" w:color="auto" w:fill="FFFFFF"/>
          <w:lang w:val="fr-FR"/>
        </w:rPr>
        <w:t xml:space="preserve">La prochaine réunion </w:t>
      </w:r>
      <w:r w:rsidR="00742303">
        <w:rPr>
          <w:rFonts w:cs="Calibri"/>
          <w:shd w:val="clear" w:color="auto" w:fill="FFFFFF"/>
          <w:lang w:val="fr-FR"/>
        </w:rPr>
        <w:t xml:space="preserve">conjointe </w:t>
      </w:r>
      <w:r w:rsidR="007004D4" w:rsidRPr="007004D4">
        <w:rPr>
          <w:rFonts w:cs="Calibri"/>
          <w:shd w:val="clear" w:color="auto" w:fill="FFFFFF"/>
          <w:lang w:val="fr-FR"/>
        </w:rPr>
        <w:t>de l'</w:t>
      </w:r>
      <w:r w:rsidR="00742303">
        <w:rPr>
          <w:rFonts w:cs="Calibri"/>
          <w:shd w:val="clear" w:color="auto" w:fill="FFFFFF"/>
          <w:lang w:val="fr-FR"/>
        </w:rPr>
        <w:t xml:space="preserve">IAGDI et du </w:t>
      </w:r>
      <w:r w:rsidRPr="007004D4">
        <w:rPr>
          <w:rFonts w:cs="Calibri"/>
          <w:shd w:val="clear" w:color="auto" w:fill="FFFFFF"/>
          <w:lang w:val="fr-FR"/>
        </w:rPr>
        <w:t xml:space="preserve">CRO </w:t>
      </w:r>
      <w:r w:rsidR="00B75CD7">
        <w:rPr>
          <w:rFonts w:cs="Calibri"/>
          <w:shd w:val="clear" w:color="auto" w:fill="FFFFFF"/>
          <w:lang w:val="fr-FR"/>
        </w:rPr>
        <w:t>se tiendra</w:t>
      </w:r>
      <w:r w:rsidRPr="007004D4">
        <w:rPr>
          <w:rFonts w:cs="Calibri"/>
          <w:shd w:val="clear" w:color="auto" w:fill="FFFFFF"/>
          <w:lang w:val="fr-FR"/>
        </w:rPr>
        <w:t xml:space="preserve"> (</w:t>
      </w:r>
      <w:r w:rsidR="007004D4" w:rsidRPr="007004D4">
        <w:rPr>
          <w:rFonts w:cs="Calibri"/>
          <w:shd w:val="clear" w:color="auto" w:fill="FFFFFF"/>
          <w:lang w:val="fr-FR"/>
        </w:rPr>
        <w:t xml:space="preserve">en </w:t>
      </w:r>
      <w:r w:rsidR="000335A7">
        <w:rPr>
          <w:rFonts w:cs="Calibri"/>
          <w:shd w:val="clear" w:color="auto" w:fill="FFFFFF"/>
          <w:lang w:val="fr-FR"/>
        </w:rPr>
        <w:t>ligne</w:t>
      </w:r>
      <w:r w:rsidRPr="007004D4">
        <w:rPr>
          <w:rFonts w:cs="Calibri"/>
          <w:shd w:val="clear" w:color="auto" w:fill="FFFFFF"/>
          <w:lang w:val="fr-FR"/>
        </w:rPr>
        <w:t xml:space="preserve">) </w:t>
      </w:r>
      <w:r w:rsidR="007004D4" w:rsidRPr="007004D4">
        <w:rPr>
          <w:rFonts w:cs="Calibri"/>
          <w:shd w:val="clear" w:color="auto" w:fill="FFFFFF"/>
          <w:lang w:val="fr-FR"/>
        </w:rPr>
        <w:t>le 21 juin</w:t>
      </w:r>
      <w:r w:rsidRPr="007004D4">
        <w:rPr>
          <w:rFonts w:cs="Calibri"/>
          <w:shd w:val="clear" w:color="auto" w:fill="FFFFFF"/>
          <w:lang w:val="fr-FR"/>
        </w:rPr>
        <w:t xml:space="preserve"> 2021, </w:t>
      </w:r>
      <w:r w:rsidR="00B75CD7">
        <w:rPr>
          <w:rFonts w:cs="Calibri"/>
          <w:shd w:val="clear" w:color="auto" w:fill="FFFFFF"/>
          <w:lang w:val="fr-FR"/>
        </w:rPr>
        <w:t>juste avant le</w:t>
      </w:r>
      <w:r w:rsidRPr="007004D4">
        <w:rPr>
          <w:rFonts w:cs="Calibri"/>
          <w:shd w:val="clear" w:color="auto" w:fill="FFFFFF"/>
          <w:lang w:val="fr-FR"/>
        </w:rPr>
        <w:t xml:space="preserve"> </w:t>
      </w:r>
      <w:r w:rsidRPr="007004D4">
        <w:rPr>
          <w:lang w:val="fr-FR"/>
        </w:rPr>
        <w:t>GSR-21.</w:t>
      </w:r>
    </w:p>
    <w:p w14:paraId="10C034D1" w14:textId="598CA262" w:rsidR="00170259" w:rsidRPr="00CA555A" w:rsidRDefault="00170259" w:rsidP="00E24F07">
      <w:pPr>
        <w:pStyle w:val="enumlev1"/>
        <w:rPr>
          <w:rFonts w:cs="Calibri"/>
          <w:shd w:val="clear" w:color="auto" w:fill="FFFFFF"/>
          <w:lang w:val="fr-FR"/>
        </w:rPr>
      </w:pPr>
      <w:r w:rsidRPr="00B75CD7">
        <w:rPr>
          <w:lang w:val="fr-FR"/>
        </w:rPr>
        <w:t>–</w:t>
      </w:r>
      <w:r w:rsidRPr="00B75CD7">
        <w:rPr>
          <w:b/>
          <w:bCs/>
          <w:lang w:val="fr-FR"/>
        </w:rPr>
        <w:tab/>
      </w:r>
      <w:r w:rsidR="00B75CD7" w:rsidRPr="00B75CD7">
        <w:rPr>
          <w:b/>
          <w:bCs/>
          <w:lang w:val="fr-FR"/>
        </w:rPr>
        <w:t>La série</w:t>
      </w:r>
      <w:r w:rsidRPr="00B75CD7">
        <w:rPr>
          <w:b/>
          <w:bCs/>
          <w:lang w:val="fr-FR"/>
        </w:rPr>
        <w:t xml:space="preserve"> </w:t>
      </w:r>
      <w:r w:rsidR="00B75CD7" w:rsidRPr="00B75CD7">
        <w:rPr>
          <w:b/>
          <w:bCs/>
          <w:lang w:val="fr-FR"/>
        </w:rPr>
        <w:t>Connaître les membres</w:t>
      </w:r>
      <w:r w:rsidRPr="00B75CD7">
        <w:rPr>
          <w:b/>
          <w:bCs/>
          <w:lang w:val="fr-FR"/>
        </w:rPr>
        <w:t xml:space="preserve"> </w:t>
      </w:r>
      <w:r w:rsidR="00B75CD7" w:rsidRPr="00B75CD7">
        <w:rPr>
          <w:lang w:val="fr-FR"/>
        </w:rPr>
        <w:t xml:space="preserve">a été lancée sous la forme d'une plate-forme de dialogue </w:t>
      </w:r>
      <w:r w:rsidR="00911F5F">
        <w:rPr>
          <w:lang w:val="fr-FR"/>
        </w:rPr>
        <w:t>destinée aux</w:t>
      </w:r>
      <w:r w:rsidR="00B75CD7" w:rsidRPr="00B75CD7">
        <w:rPr>
          <w:lang w:val="fr-FR"/>
        </w:rPr>
        <w:t xml:space="preserve"> Membres du Secteur du développement des télécommunications</w:t>
      </w:r>
      <w:r w:rsidRPr="00B75CD7">
        <w:rPr>
          <w:lang w:val="fr-FR"/>
        </w:rPr>
        <w:t xml:space="preserve"> </w:t>
      </w:r>
      <w:r w:rsidR="00B75CD7">
        <w:rPr>
          <w:lang w:val="fr-FR"/>
        </w:rPr>
        <w:t>(UIT</w:t>
      </w:r>
      <w:r w:rsidRPr="00B75CD7">
        <w:rPr>
          <w:lang w:val="fr-FR"/>
        </w:rPr>
        <w:t xml:space="preserve">-D), </w:t>
      </w:r>
      <w:r w:rsidR="008F38D8">
        <w:rPr>
          <w:lang w:val="fr-FR"/>
        </w:rPr>
        <w:t>répartis</w:t>
      </w:r>
      <w:r w:rsidR="00B75CD7">
        <w:rPr>
          <w:lang w:val="fr-FR"/>
        </w:rPr>
        <w:t xml:space="preserve"> </w:t>
      </w:r>
      <w:r w:rsidR="009E2B6E">
        <w:rPr>
          <w:lang w:val="fr-FR"/>
        </w:rPr>
        <w:t xml:space="preserve">par </w:t>
      </w:r>
      <w:r w:rsidR="00B75CD7">
        <w:rPr>
          <w:lang w:val="fr-FR"/>
        </w:rPr>
        <w:t>communautés</w:t>
      </w:r>
      <w:r>
        <w:rPr>
          <w:rStyle w:val="FootnoteReference"/>
        </w:rPr>
        <w:footnoteReference w:id="6"/>
      </w:r>
      <w:r w:rsidR="00B75CD7">
        <w:rPr>
          <w:lang w:val="fr-FR"/>
        </w:rPr>
        <w:t>,</w:t>
      </w:r>
      <w:r w:rsidRPr="00B75CD7">
        <w:rPr>
          <w:lang w:val="fr-FR"/>
        </w:rPr>
        <w:t xml:space="preserve"> </w:t>
      </w:r>
      <w:r w:rsidR="00421D86">
        <w:rPr>
          <w:lang w:val="fr-FR"/>
        </w:rPr>
        <w:t xml:space="preserve">afin qu'ils puissent interagir et </w:t>
      </w:r>
      <w:r w:rsidR="00B75CD7">
        <w:rPr>
          <w:lang w:val="fr-FR"/>
        </w:rPr>
        <w:t>échanger leurs points de vue avec</w:t>
      </w:r>
      <w:r w:rsidRPr="00B75CD7">
        <w:rPr>
          <w:lang w:val="fr-FR"/>
        </w:rPr>
        <w:t xml:space="preserve"> </w:t>
      </w:r>
      <w:r w:rsidR="00B75CD7">
        <w:rPr>
          <w:lang w:val="fr-FR"/>
        </w:rPr>
        <w:t>la direction du Bureau de développement des télécommunications</w:t>
      </w:r>
      <w:r w:rsidRPr="00B75CD7">
        <w:rPr>
          <w:lang w:val="fr-FR"/>
        </w:rPr>
        <w:t xml:space="preserve"> (BDT). </w:t>
      </w:r>
      <w:r w:rsidR="00A054FE">
        <w:rPr>
          <w:lang w:val="fr-FR"/>
        </w:rPr>
        <w:t>Cette plate-forme</w:t>
      </w:r>
      <w:r w:rsidR="00421D86">
        <w:rPr>
          <w:lang w:val="fr-FR"/>
        </w:rPr>
        <w:t xml:space="preserve"> permet également au</w:t>
      </w:r>
      <w:r w:rsidR="00157295">
        <w:rPr>
          <w:lang w:val="fr-FR"/>
        </w:rPr>
        <w:t xml:space="preserve"> BDT </w:t>
      </w:r>
      <w:r w:rsidR="00421D86">
        <w:rPr>
          <w:lang w:val="fr-FR"/>
        </w:rPr>
        <w:t>de</w:t>
      </w:r>
      <w:r w:rsidR="00157295">
        <w:rPr>
          <w:lang w:val="fr-FR"/>
        </w:rPr>
        <w:t xml:space="preserve"> fournir des </w:t>
      </w:r>
      <w:r w:rsidR="00840D46">
        <w:rPr>
          <w:lang w:val="fr-FR"/>
        </w:rPr>
        <w:t xml:space="preserve">informations actualisées </w:t>
      </w:r>
      <w:r w:rsidR="00157295">
        <w:rPr>
          <w:lang w:val="fr-FR"/>
        </w:rPr>
        <w:t xml:space="preserve">sur ses travaux en cours et prévus, </w:t>
      </w:r>
      <w:r w:rsidR="00421D86">
        <w:rPr>
          <w:lang w:val="fr-FR"/>
        </w:rPr>
        <w:t>et</w:t>
      </w:r>
      <w:r w:rsidR="00CA555A" w:rsidRPr="00CA555A">
        <w:rPr>
          <w:lang w:val="fr-FR"/>
        </w:rPr>
        <w:t xml:space="preserve"> </w:t>
      </w:r>
      <w:r w:rsidR="00421D86">
        <w:rPr>
          <w:lang w:val="fr-FR"/>
        </w:rPr>
        <w:t xml:space="preserve">de recueillir l'avis </w:t>
      </w:r>
      <w:r w:rsidR="00CA555A" w:rsidRPr="00CA555A">
        <w:rPr>
          <w:lang w:val="fr-FR"/>
        </w:rPr>
        <w:t xml:space="preserve">des Membres sur la manière </w:t>
      </w:r>
      <w:r w:rsidR="00CA555A">
        <w:rPr>
          <w:lang w:val="fr-FR"/>
        </w:rPr>
        <w:t>de renforcer</w:t>
      </w:r>
      <w:r w:rsidR="00CA555A" w:rsidRPr="00CA555A">
        <w:rPr>
          <w:lang w:val="fr-FR"/>
        </w:rPr>
        <w:t xml:space="preserve"> les relations et la participation</w:t>
      </w:r>
      <w:r w:rsidRPr="00CA555A">
        <w:rPr>
          <w:lang w:val="fr-FR"/>
        </w:rPr>
        <w:t xml:space="preserve">. </w:t>
      </w:r>
      <w:r w:rsidR="00CA555A" w:rsidRPr="00CA555A">
        <w:rPr>
          <w:lang w:val="fr-FR"/>
        </w:rPr>
        <w:t xml:space="preserve">La session à l'intention </w:t>
      </w:r>
      <w:r w:rsidR="00157295">
        <w:rPr>
          <w:lang w:val="fr-FR"/>
        </w:rPr>
        <w:t xml:space="preserve">de la communauté </w:t>
      </w:r>
      <w:r w:rsidR="00CA555A" w:rsidRPr="00CA555A">
        <w:rPr>
          <w:lang w:val="fr-FR"/>
        </w:rPr>
        <w:t>des établissements universitaires et des instituts de recherche aura lieu le 15 avril 2021</w:t>
      </w:r>
      <w:r w:rsidR="00421D86">
        <w:rPr>
          <w:lang w:val="fr-FR"/>
        </w:rPr>
        <w:t xml:space="preserve">. </w:t>
      </w:r>
      <w:r w:rsidR="008F38D8">
        <w:rPr>
          <w:lang w:val="fr-FR"/>
        </w:rPr>
        <w:t>Les autres</w:t>
      </w:r>
      <w:r w:rsidR="00CA555A">
        <w:rPr>
          <w:lang w:val="fr-FR"/>
        </w:rPr>
        <w:t xml:space="preserve"> </w:t>
      </w:r>
      <w:r w:rsidR="00157295">
        <w:rPr>
          <w:lang w:val="fr-FR"/>
        </w:rPr>
        <w:t>communautés</w:t>
      </w:r>
      <w:r w:rsidR="00CA555A">
        <w:rPr>
          <w:lang w:val="fr-FR"/>
        </w:rPr>
        <w:t xml:space="preserve"> de Membres de l'UIT-D</w:t>
      </w:r>
      <w:r w:rsidRPr="00CA555A">
        <w:rPr>
          <w:lang w:val="fr-FR"/>
        </w:rPr>
        <w:t xml:space="preserve"> </w:t>
      </w:r>
      <w:r w:rsidR="008F38D8">
        <w:rPr>
          <w:lang w:val="fr-FR"/>
        </w:rPr>
        <w:t>suivront au cours de l'année une session qui leur sera consacrée</w:t>
      </w:r>
      <w:r w:rsidRPr="00CA555A">
        <w:rPr>
          <w:lang w:val="fr-FR"/>
        </w:rPr>
        <w:t>.</w:t>
      </w:r>
    </w:p>
    <w:p w14:paraId="38B6ED26" w14:textId="70C8F9CA" w:rsidR="00170259" w:rsidRPr="00CA1C06" w:rsidRDefault="00170259" w:rsidP="00170259">
      <w:pPr>
        <w:pStyle w:val="enumlev1"/>
        <w:rPr>
          <w:lang w:val="fr-FR"/>
        </w:rPr>
      </w:pPr>
      <w:r w:rsidRPr="007F57CC">
        <w:rPr>
          <w:lang w:val="fr-FR"/>
        </w:rPr>
        <w:t>–</w:t>
      </w:r>
      <w:r w:rsidRPr="007F57CC">
        <w:rPr>
          <w:b/>
          <w:bCs/>
          <w:lang w:val="fr-FR"/>
        </w:rPr>
        <w:tab/>
      </w:r>
      <w:r w:rsidR="007F57CC" w:rsidRPr="007F57CC">
        <w:rPr>
          <w:b/>
          <w:bCs/>
          <w:lang w:val="fr-FR"/>
        </w:rPr>
        <w:t xml:space="preserve">La série </w:t>
      </w:r>
      <w:r w:rsidR="000F4193">
        <w:rPr>
          <w:b/>
          <w:bCs/>
          <w:lang w:val="fr-FR"/>
        </w:rPr>
        <w:t>de discussion</w:t>
      </w:r>
      <w:r w:rsidR="009E2B6E">
        <w:rPr>
          <w:b/>
          <w:bCs/>
          <w:lang w:val="fr-FR"/>
        </w:rPr>
        <w:t>s</w:t>
      </w:r>
      <w:r w:rsidR="000F4193">
        <w:rPr>
          <w:b/>
          <w:bCs/>
          <w:lang w:val="fr-FR"/>
        </w:rPr>
        <w:t xml:space="preserve"> sur les technologies </w:t>
      </w:r>
      <w:r w:rsidR="007F57CC" w:rsidRPr="007F57CC">
        <w:rPr>
          <w:lang w:val="fr-FR"/>
        </w:rPr>
        <w:t>a également été lancée sous la forme d'une plate-forme d'échange</w:t>
      </w:r>
      <w:r w:rsidR="007A74AB">
        <w:rPr>
          <w:lang w:val="fr-FR"/>
        </w:rPr>
        <w:t>s</w:t>
      </w:r>
      <w:r w:rsidRPr="007F57CC">
        <w:rPr>
          <w:lang w:val="fr-FR"/>
        </w:rPr>
        <w:t xml:space="preserve"> </w:t>
      </w:r>
      <w:r w:rsidR="007F57CC" w:rsidRPr="007F57CC">
        <w:rPr>
          <w:lang w:val="fr-FR"/>
        </w:rPr>
        <w:t xml:space="preserve">conçue pour et avec les </w:t>
      </w:r>
      <w:r w:rsidR="009E2B6E">
        <w:rPr>
          <w:lang w:val="fr-FR"/>
        </w:rPr>
        <w:t>m</w:t>
      </w:r>
      <w:r w:rsidR="009E2B6E" w:rsidRPr="007F57CC">
        <w:rPr>
          <w:lang w:val="fr-FR"/>
        </w:rPr>
        <w:t xml:space="preserve">embres </w:t>
      </w:r>
      <w:r w:rsidR="007F57CC" w:rsidRPr="007F57CC">
        <w:rPr>
          <w:lang w:val="fr-FR"/>
        </w:rPr>
        <w:t>de l'UIT-D</w:t>
      </w:r>
      <w:r w:rsidRPr="007F57CC">
        <w:rPr>
          <w:lang w:val="fr-FR"/>
        </w:rPr>
        <w:t xml:space="preserve">, </w:t>
      </w:r>
      <w:r w:rsidR="007F57CC">
        <w:rPr>
          <w:lang w:val="fr-FR"/>
        </w:rPr>
        <w:t xml:space="preserve">également </w:t>
      </w:r>
      <w:r w:rsidR="009E2B6E">
        <w:rPr>
          <w:lang w:val="fr-FR"/>
        </w:rPr>
        <w:t xml:space="preserve">répartis par </w:t>
      </w:r>
      <w:r w:rsidR="00FE1A89">
        <w:rPr>
          <w:lang w:val="fr-FR"/>
        </w:rPr>
        <w:t>communautés</w:t>
      </w:r>
      <w:r w:rsidRPr="007F57CC">
        <w:rPr>
          <w:lang w:val="fr-FR"/>
        </w:rPr>
        <w:t xml:space="preserve">, </w:t>
      </w:r>
      <w:r w:rsidR="007A74AB">
        <w:rPr>
          <w:lang w:val="fr-FR"/>
        </w:rPr>
        <w:t xml:space="preserve">pour leur permettre d'échanger sur leurs technologies et leurs approches innovantes dans le domaine des TIC et du développement et de la connectivité, </w:t>
      </w:r>
      <w:r w:rsidR="007A74AB" w:rsidRPr="007F57CC">
        <w:rPr>
          <w:lang w:val="fr-FR"/>
        </w:rPr>
        <w:t>de</w:t>
      </w:r>
      <w:r w:rsidR="007A74AB">
        <w:rPr>
          <w:lang w:val="fr-FR"/>
        </w:rPr>
        <w:t xml:space="preserve"> discuter</w:t>
      </w:r>
      <w:r w:rsidRPr="007F57CC">
        <w:rPr>
          <w:lang w:val="fr-FR"/>
        </w:rPr>
        <w:t xml:space="preserve"> </w:t>
      </w:r>
      <w:r w:rsidR="007A74AB">
        <w:rPr>
          <w:lang w:val="fr-FR"/>
        </w:rPr>
        <w:t>avec leurs homologues</w:t>
      </w:r>
      <w:r w:rsidRPr="007F57CC">
        <w:rPr>
          <w:lang w:val="fr-FR"/>
        </w:rPr>
        <w:t xml:space="preserve"> </w:t>
      </w:r>
      <w:r w:rsidR="00FE1A89">
        <w:rPr>
          <w:lang w:val="fr-FR"/>
        </w:rPr>
        <w:t xml:space="preserve">du secteur </w:t>
      </w:r>
      <w:r w:rsidR="007A74AB">
        <w:rPr>
          <w:lang w:val="fr-FR"/>
        </w:rPr>
        <w:t>de leur communauté respective et avec les experts du</w:t>
      </w:r>
      <w:r w:rsidR="00FE1A89">
        <w:rPr>
          <w:lang w:val="fr-FR"/>
        </w:rPr>
        <w:t xml:space="preserve"> BDT, et de </w:t>
      </w:r>
      <w:r w:rsidR="007A74AB">
        <w:rPr>
          <w:lang w:val="fr-FR"/>
        </w:rPr>
        <w:t>trouver de</w:t>
      </w:r>
      <w:r w:rsidRPr="007F57CC">
        <w:rPr>
          <w:lang w:val="fr-FR"/>
        </w:rPr>
        <w:t xml:space="preserve"> </w:t>
      </w:r>
      <w:r w:rsidR="007A74AB">
        <w:rPr>
          <w:lang w:val="fr-FR"/>
        </w:rPr>
        <w:t>nouveaux domaines de collaboration</w:t>
      </w:r>
      <w:r w:rsidRPr="007F57CC">
        <w:rPr>
          <w:lang w:val="fr-FR"/>
        </w:rPr>
        <w:t xml:space="preserve">. </w:t>
      </w:r>
      <w:r w:rsidR="000F4193">
        <w:rPr>
          <w:lang w:val="fr-FR"/>
        </w:rPr>
        <w:t>La première manifestation</w:t>
      </w:r>
      <w:r w:rsidR="007A74AB" w:rsidRPr="007A74AB">
        <w:rPr>
          <w:lang w:val="fr-FR"/>
        </w:rPr>
        <w:t xml:space="preserve"> a eu lieu le 18 février 2021</w:t>
      </w:r>
      <w:r w:rsidRPr="007A74AB">
        <w:rPr>
          <w:lang w:val="fr-FR"/>
        </w:rPr>
        <w:t xml:space="preserve"> </w:t>
      </w:r>
      <w:r w:rsidR="007A74AB" w:rsidRPr="007A74AB">
        <w:rPr>
          <w:lang w:val="fr-FR"/>
        </w:rPr>
        <w:t>à l'intention des</w:t>
      </w:r>
      <w:r w:rsidRPr="007A74AB">
        <w:rPr>
          <w:lang w:val="fr-FR"/>
        </w:rPr>
        <w:t xml:space="preserve"> </w:t>
      </w:r>
      <w:r w:rsidR="00E51347">
        <w:rPr>
          <w:lang w:val="fr-FR"/>
        </w:rPr>
        <w:t>exploitations reconnues</w:t>
      </w:r>
      <w:r w:rsidR="007A74AB">
        <w:rPr>
          <w:lang w:val="fr-FR"/>
        </w:rPr>
        <w:t>.</w:t>
      </w:r>
      <w:r w:rsidRPr="007A74AB">
        <w:rPr>
          <w:lang w:val="fr-FR"/>
        </w:rPr>
        <w:t xml:space="preserve"> </w:t>
      </w:r>
      <w:r w:rsidR="000F4193">
        <w:rPr>
          <w:lang w:val="fr-FR"/>
        </w:rPr>
        <w:t xml:space="preserve">Elle </w:t>
      </w:r>
      <w:r w:rsidR="005B3804" w:rsidRPr="005B3804">
        <w:rPr>
          <w:lang w:val="fr-FR"/>
        </w:rPr>
        <w:t>a été particulièrement apprécié</w:t>
      </w:r>
      <w:r w:rsidR="000F4193">
        <w:rPr>
          <w:lang w:val="fr-FR"/>
        </w:rPr>
        <w:t>e</w:t>
      </w:r>
      <w:r w:rsidR="005B3804" w:rsidRPr="005B3804">
        <w:rPr>
          <w:lang w:val="fr-FR"/>
        </w:rPr>
        <w:t xml:space="preserve"> et a éveillé l'intérêt de membres potentiels</w:t>
      </w:r>
      <w:r w:rsidRPr="005B3804">
        <w:rPr>
          <w:lang w:val="fr-FR"/>
        </w:rPr>
        <w:t xml:space="preserve">. </w:t>
      </w:r>
      <w:r w:rsidR="000F4193">
        <w:rPr>
          <w:lang w:val="fr-FR"/>
        </w:rPr>
        <w:t>La deuxième manifestation</w:t>
      </w:r>
      <w:r w:rsidR="00CA1C06" w:rsidRPr="00CA1C06">
        <w:rPr>
          <w:lang w:val="fr-FR"/>
        </w:rPr>
        <w:t xml:space="preserve"> se tiendra le</w:t>
      </w:r>
      <w:r w:rsidRPr="00CA1C06">
        <w:rPr>
          <w:lang w:val="fr-FR"/>
        </w:rPr>
        <w:t xml:space="preserve"> 27 </w:t>
      </w:r>
      <w:r w:rsidR="00CA1C06" w:rsidRPr="00CA1C06">
        <w:rPr>
          <w:lang w:val="fr-FR"/>
        </w:rPr>
        <w:t>avril</w:t>
      </w:r>
      <w:r w:rsidRPr="00CA1C06">
        <w:rPr>
          <w:lang w:val="fr-FR"/>
        </w:rPr>
        <w:t xml:space="preserve"> 2021 </w:t>
      </w:r>
      <w:r w:rsidR="00CA1C06" w:rsidRPr="00CA1C06">
        <w:rPr>
          <w:lang w:val="fr-FR"/>
        </w:rPr>
        <w:t>à l'intention des organism</w:t>
      </w:r>
      <w:r w:rsidR="001F6FAB">
        <w:rPr>
          <w:lang w:val="fr-FR"/>
        </w:rPr>
        <w:t>es scientifiques ou industriels</w:t>
      </w:r>
      <w:r w:rsidR="00CA1C06" w:rsidRPr="00CA1C06">
        <w:rPr>
          <w:lang w:val="fr-FR"/>
        </w:rPr>
        <w:t xml:space="preserve"> et sera suivi</w:t>
      </w:r>
      <w:r w:rsidR="007742D2">
        <w:rPr>
          <w:lang w:val="fr-FR"/>
        </w:rPr>
        <w:t>e</w:t>
      </w:r>
      <w:r w:rsidR="00CA1C06" w:rsidRPr="00CA1C06">
        <w:rPr>
          <w:lang w:val="fr-FR"/>
        </w:rPr>
        <w:t xml:space="preserve"> d'autres </w:t>
      </w:r>
      <w:r w:rsidR="00A62CE5">
        <w:rPr>
          <w:lang w:val="fr-FR"/>
        </w:rPr>
        <w:t>manifestations</w:t>
      </w:r>
      <w:r w:rsidR="00CA1C06" w:rsidRPr="00CA1C06">
        <w:rPr>
          <w:lang w:val="fr-FR"/>
        </w:rPr>
        <w:t xml:space="preserve"> </w:t>
      </w:r>
      <w:r w:rsidR="00A62CE5">
        <w:rPr>
          <w:lang w:val="fr-FR"/>
        </w:rPr>
        <w:t>s'adressant</w:t>
      </w:r>
      <w:r w:rsidR="00CA1C06" w:rsidRPr="00CA1C06">
        <w:rPr>
          <w:lang w:val="fr-FR"/>
        </w:rPr>
        <w:t xml:space="preserve"> à d'autres </w:t>
      </w:r>
      <w:r w:rsidR="007742D2">
        <w:rPr>
          <w:lang w:val="fr-FR"/>
        </w:rPr>
        <w:t>communautés</w:t>
      </w:r>
      <w:r w:rsidR="00CA1C06" w:rsidRPr="00CA1C06">
        <w:rPr>
          <w:lang w:val="fr-FR"/>
        </w:rPr>
        <w:t xml:space="preserve"> de membres au cours de l'année</w:t>
      </w:r>
      <w:r w:rsidRPr="00CA1C06">
        <w:rPr>
          <w:lang w:val="fr-FR"/>
        </w:rPr>
        <w:t>.</w:t>
      </w:r>
    </w:p>
    <w:p w14:paraId="5D1410D4" w14:textId="77777777" w:rsidR="00C06DD7" w:rsidRDefault="00C06DD7" w:rsidP="00170259">
      <w:pPr>
        <w:pStyle w:val="enumlev1"/>
        <w:rPr>
          <w:rFonts w:cs="Calibri"/>
          <w:shd w:val="clear" w:color="auto" w:fill="FFFFFF"/>
          <w:lang w:val="fr-FR"/>
        </w:rPr>
      </w:pPr>
      <w:r>
        <w:rPr>
          <w:rFonts w:cs="Calibri"/>
          <w:shd w:val="clear" w:color="auto" w:fill="FFFFFF"/>
          <w:lang w:val="fr-FR"/>
        </w:rPr>
        <w:br w:type="page"/>
      </w:r>
    </w:p>
    <w:p w14:paraId="5CB4AB20" w14:textId="452D0EF2" w:rsidR="00170259" w:rsidRPr="009F1F31" w:rsidRDefault="00170259" w:rsidP="00170259">
      <w:pPr>
        <w:pStyle w:val="enumlev1"/>
        <w:rPr>
          <w:lang w:val="fr-FR"/>
        </w:rPr>
      </w:pPr>
      <w:r w:rsidRPr="00A36204">
        <w:rPr>
          <w:rFonts w:cs="Calibri"/>
          <w:shd w:val="clear" w:color="auto" w:fill="FFFFFF"/>
          <w:lang w:val="fr-FR"/>
        </w:rPr>
        <w:t>–</w:t>
      </w:r>
      <w:r w:rsidRPr="00A36204">
        <w:rPr>
          <w:rFonts w:cs="Calibri"/>
          <w:b/>
          <w:bCs/>
          <w:shd w:val="clear" w:color="auto" w:fill="FFFFFF"/>
          <w:lang w:val="fr-FR"/>
        </w:rPr>
        <w:tab/>
      </w:r>
      <w:r w:rsidR="00B077EE">
        <w:rPr>
          <w:rFonts w:cs="Calibri"/>
          <w:b/>
          <w:bCs/>
          <w:shd w:val="clear" w:color="auto" w:fill="FFFFFF"/>
          <w:lang w:val="fr-FR"/>
        </w:rPr>
        <w:t>Le</w:t>
      </w:r>
      <w:r w:rsidR="005B3804" w:rsidRPr="00A36204">
        <w:rPr>
          <w:rFonts w:cs="Calibri"/>
          <w:b/>
          <w:bCs/>
          <w:shd w:val="clear" w:color="auto" w:fill="FFFFFF"/>
          <w:lang w:val="fr-FR"/>
        </w:rPr>
        <w:t xml:space="preserve"> renforcement des capacités </w:t>
      </w:r>
      <w:r w:rsidR="00BC020D">
        <w:rPr>
          <w:rFonts w:cs="Calibri"/>
          <w:b/>
          <w:bCs/>
          <w:shd w:val="clear" w:color="auto" w:fill="FFFFFF"/>
          <w:lang w:val="fr-FR"/>
        </w:rPr>
        <w:t>des fonctionnaires</w:t>
      </w:r>
      <w:r w:rsidR="005B3804" w:rsidRPr="00A36204">
        <w:rPr>
          <w:rFonts w:cs="Calibri"/>
          <w:b/>
          <w:bCs/>
          <w:shd w:val="clear" w:color="auto" w:fill="FFFFFF"/>
          <w:lang w:val="fr-FR"/>
        </w:rPr>
        <w:t xml:space="preserve"> </w:t>
      </w:r>
      <w:r w:rsidR="00B077EE">
        <w:rPr>
          <w:rFonts w:cs="Calibri"/>
          <w:b/>
          <w:bCs/>
          <w:shd w:val="clear" w:color="auto" w:fill="FFFFFF"/>
          <w:lang w:val="fr-FR"/>
        </w:rPr>
        <w:t>sur</w:t>
      </w:r>
      <w:r w:rsidR="00A36204" w:rsidRPr="00A36204">
        <w:rPr>
          <w:rFonts w:cs="Calibri"/>
          <w:b/>
          <w:bCs/>
          <w:shd w:val="clear" w:color="auto" w:fill="FFFFFF"/>
          <w:lang w:val="fr-FR"/>
        </w:rPr>
        <w:t xml:space="preserve"> les </w:t>
      </w:r>
      <w:r w:rsidR="00B077EE">
        <w:rPr>
          <w:rFonts w:cs="Calibri"/>
          <w:b/>
          <w:bCs/>
          <w:shd w:val="clear" w:color="auto" w:fill="FFFFFF"/>
          <w:lang w:val="fr-FR"/>
        </w:rPr>
        <w:t xml:space="preserve">questions concernant les </w:t>
      </w:r>
      <w:r w:rsidR="00A36204" w:rsidRPr="00A36204">
        <w:rPr>
          <w:rFonts w:cs="Calibri"/>
          <w:b/>
          <w:bCs/>
          <w:shd w:val="clear" w:color="auto" w:fill="FFFFFF"/>
          <w:lang w:val="fr-FR"/>
        </w:rPr>
        <w:t>Membres</w:t>
      </w:r>
      <w:r w:rsidRPr="00A36204">
        <w:rPr>
          <w:rFonts w:cs="Calibri"/>
          <w:shd w:val="clear" w:color="auto" w:fill="FFFFFF"/>
          <w:lang w:val="fr-FR"/>
        </w:rPr>
        <w:t xml:space="preserve"> </w:t>
      </w:r>
      <w:r w:rsidR="00A36204">
        <w:rPr>
          <w:rFonts w:cs="Calibri"/>
          <w:shd w:val="clear" w:color="auto" w:fill="FFFFFF"/>
          <w:lang w:val="fr-FR"/>
        </w:rPr>
        <w:t xml:space="preserve">est </w:t>
      </w:r>
      <w:r w:rsidR="00B077EE">
        <w:rPr>
          <w:rFonts w:cs="Calibri"/>
          <w:shd w:val="clear" w:color="auto" w:fill="FFFFFF"/>
          <w:lang w:val="fr-FR"/>
        </w:rPr>
        <w:t>essentiel</w:t>
      </w:r>
      <w:r w:rsidR="00A36204">
        <w:rPr>
          <w:rFonts w:cs="Calibri"/>
          <w:shd w:val="clear" w:color="auto" w:fill="FFFFFF"/>
          <w:lang w:val="fr-FR"/>
        </w:rPr>
        <w:t xml:space="preserve"> </w:t>
      </w:r>
      <w:r w:rsidR="00C371C9">
        <w:rPr>
          <w:rFonts w:cs="Calibri"/>
          <w:shd w:val="clear" w:color="auto" w:fill="FFFFFF"/>
          <w:lang w:val="fr-FR"/>
        </w:rPr>
        <w:t>à</w:t>
      </w:r>
      <w:r w:rsidR="00A36204">
        <w:rPr>
          <w:rFonts w:cs="Calibri"/>
          <w:shd w:val="clear" w:color="auto" w:fill="FFFFFF"/>
          <w:lang w:val="fr-FR"/>
        </w:rPr>
        <w:t xml:space="preserve"> la réussite de la stratégie du BDT </w:t>
      </w:r>
      <w:r w:rsidR="00D42555">
        <w:rPr>
          <w:rFonts w:cs="Calibri"/>
          <w:shd w:val="clear" w:color="auto" w:fill="FFFFFF"/>
          <w:lang w:val="fr-FR"/>
        </w:rPr>
        <w:t>relative aux</w:t>
      </w:r>
      <w:r w:rsidR="008F32EF">
        <w:rPr>
          <w:rFonts w:cs="Calibri"/>
          <w:shd w:val="clear" w:color="auto" w:fill="FFFFFF"/>
          <w:lang w:val="fr-FR"/>
        </w:rPr>
        <w:t xml:space="preserve"> Membres de l'UIT</w:t>
      </w:r>
      <w:r w:rsidR="008F32EF">
        <w:rPr>
          <w:rFonts w:cs="Calibri"/>
          <w:shd w:val="clear" w:color="auto" w:fill="FFFFFF"/>
          <w:lang w:val="fr-FR"/>
        </w:rPr>
        <w:noBreakHyphen/>
      </w:r>
      <w:r w:rsidR="00A36204">
        <w:rPr>
          <w:rFonts w:cs="Calibri"/>
          <w:shd w:val="clear" w:color="auto" w:fill="FFFFFF"/>
          <w:lang w:val="fr-FR"/>
        </w:rPr>
        <w:t>D</w:t>
      </w:r>
      <w:r w:rsidR="00B077EE">
        <w:rPr>
          <w:lang w:val="fr-FR"/>
        </w:rPr>
        <w:t xml:space="preserve">. Celle-ci </w:t>
      </w:r>
      <w:r w:rsidR="00A36204" w:rsidRPr="00A36204">
        <w:rPr>
          <w:lang w:val="fr-FR"/>
        </w:rPr>
        <w:t xml:space="preserve">vise à renforcer la sensibilisation et les capacités </w:t>
      </w:r>
      <w:r w:rsidR="00EF46A2">
        <w:rPr>
          <w:lang w:val="fr-FR"/>
        </w:rPr>
        <w:t>des fonctionnaires</w:t>
      </w:r>
      <w:r w:rsidR="008F32EF">
        <w:rPr>
          <w:lang w:val="fr-FR"/>
        </w:rPr>
        <w:t xml:space="preserve"> du </w:t>
      </w:r>
      <w:r w:rsidR="00A36204" w:rsidRPr="00A36204">
        <w:rPr>
          <w:lang w:val="fr-FR"/>
        </w:rPr>
        <w:t>BDT</w:t>
      </w:r>
      <w:r w:rsidRPr="00A36204">
        <w:rPr>
          <w:lang w:val="fr-FR"/>
        </w:rPr>
        <w:t xml:space="preserve">, </w:t>
      </w:r>
      <w:r w:rsidR="00A36204">
        <w:rPr>
          <w:lang w:val="fr-FR"/>
        </w:rPr>
        <w:t>à la fois au siège de l'Union et hors siège,</w:t>
      </w:r>
      <w:r w:rsidRPr="00A36204">
        <w:rPr>
          <w:lang w:val="fr-FR"/>
        </w:rPr>
        <w:t xml:space="preserve"> </w:t>
      </w:r>
      <w:r w:rsidR="00A36204">
        <w:rPr>
          <w:lang w:val="fr-FR"/>
        </w:rPr>
        <w:t xml:space="preserve">pour prospecter et attirer des membres et </w:t>
      </w:r>
      <w:r w:rsidR="00F427A6">
        <w:rPr>
          <w:lang w:val="fr-FR"/>
        </w:rPr>
        <w:t xml:space="preserve">les </w:t>
      </w:r>
      <w:r w:rsidR="00A36204">
        <w:rPr>
          <w:lang w:val="fr-FR"/>
        </w:rPr>
        <w:t>fidéliser</w:t>
      </w:r>
      <w:r w:rsidRPr="00A36204">
        <w:rPr>
          <w:lang w:val="fr-FR"/>
        </w:rPr>
        <w:t xml:space="preserve">. </w:t>
      </w:r>
      <w:r w:rsidR="000F20FC" w:rsidRPr="000F20FC">
        <w:rPr>
          <w:lang w:val="fr-FR"/>
        </w:rPr>
        <w:t xml:space="preserve">Des séances d'information </w:t>
      </w:r>
      <w:r w:rsidR="00B077EE">
        <w:rPr>
          <w:lang w:val="fr-FR"/>
        </w:rPr>
        <w:t>consacrées à ce sujet</w:t>
      </w:r>
      <w:r w:rsidR="000F20FC" w:rsidRPr="000F20FC">
        <w:rPr>
          <w:lang w:val="fr-FR"/>
        </w:rPr>
        <w:t xml:space="preserve"> et personnalisées pour chaque fonctionnaire de chaque </w:t>
      </w:r>
      <w:r w:rsidR="000F20FC">
        <w:rPr>
          <w:lang w:val="fr-FR"/>
        </w:rPr>
        <w:t>ré</w:t>
      </w:r>
      <w:r w:rsidR="000F20FC" w:rsidRPr="000F20FC">
        <w:rPr>
          <w:lang w:val="fr-FR"/>
        </w:rPr>
        <w:t xml:space="preserve">gion </w:t>
      </w:r>
      <w:r w:rsidR="009F1F31">
        <w:rPr>
          <w:lang w:val="fr-FR"/>
        </w:rPr>
        <w:t xml:space="preserve">ont été </w:t>
      </w:r>
      <w:r w:rsidR="00F76610">
        <w:rPr>
          <w:lang w:val="fr-FR"/>
        </w:rPr>
        <w:t>organisées</w:t>
      </w:r>
      <w:r w:rsidR="009F1F31">
        <w:rPr>
          <w:lang w:val="fr-FR"/>
        </w:rPr>
        <w:t>. Les fonctionnaires ont été sensibilisés à l'ensemble des actions de sensibilisation et de fidélisation</w:t>
      </w:r>
      <w:r w:rsidRPr="000F20FC">
        <w:rPr>
          <w:lang w:val="fr-FR"/>
        </w:rPr>
        <w:t xml:space="preserve">, </w:t>
      </w:r>
      <w:r w:rsidR="00ED6E6C">
        <w:rPr>
          <w:lang w:val="fr-FR"/>
        </w:rPr>
        <w:t>aux</w:t>
      </w:r>
      <w:r w:rsidR="009F1F31">
        <w:rPr>
          <w:lang w:val="fr-FR"/>
        </w:rPr>
        <w:t xml:space="preserve"> matériels de </w:t>
      </w:r>
      <w:bookmarkStart w:id="8" w:name="_GoBack"/>
      <w:bookmarkEnd w:id="8"/>
      <w:r w:rsidR="009F1F31">
        <w:rPr>
          <w:lang w:val="fr-FR"/>
        </w:rPr>
        <w:t xml:space="preserve">promotion existants, </w:t>
      </w:r>
      <w:r w:rsidR="00ED6E6C">
        <w:rPr>
          <w:lang w:val="fr-FR"/>
        </w:rPr>
        <w:t>aux</w:t>
      </w:r>
      <w:r w:rsidR="009F1F31">
        <w:rPr>
          <w:lang w:val="fr-FR"/>
        </w:rPr>
        <w:t xml:space="preserve"> outils et </w:t>
      </w:r>
      <w:r w:rsidR="00ED6E6C">
        <w:rPr>
          <w:lang w:val="fr-FR"/>
        </w:rPr>
        <w:t>aux</w:t>
      </w:r>
      <w:r w:rsidR="009F1F31">
        <w:rPr>
          <w:lang w:val="fr-FR"/>
        </w:rPr>
        <w:t xml:space="preserve"> ressources disponibles</w:t>
      </w:r>
      <w:r w:rsidRPr="000F20FC">
        <w:rPr>
          <w:lang w:val="fr-FR"/>
        </w:rPr>
        <w:t xml:space="preserve">. </w:t>
      </w:r>
      <w:r w:rsidR="009F1F31" w:rsidRPr="009F1F31">
        <w:rPr>
          <w:lang w:val="fr-FR"/>
        </w:rPr>
        <w:t>Ces</w:t>
      </w:r>
      <w:r w:rsidRPr="009F1F31">
        <w:rPr>
          <w:lang w:val="fr-FR"/>
        </w:rPr>
        <w:t xml:space="preserve"> </w:t>
      </w:r>
      <w:r w:rsidR="004B4101">
        <w:rPr>
          <w:lang w:val="fr-FR"/>
        </w:rPr>
        <w:t>séances</w:t>
      </w:r>
      <w:r w:rsidRPr="009F1F31">
        <w:rPr>
          <w:lang w:val="fr-FR"/>
        </w:rPr>
        <w:t xml:space="preserve"> </w:t>
      </w:r>
      <w:r w:rsidR="009F1F31" w:rsidRPr="009F1F31">
        <w:rPr>
          <w:lang w:val="fr-FR"/>
        </w:rPr>
        <w:t xml:space="preserve">ont </w:t>
      </w:r>
      <w:r w:rsidR="00880CBD">
        <w:rPr>
          <w:lang w:val="fr-FR"/>
        </w:rPr>
        <w:t>permis de réduire</w:t>
      </w:r>
      <w:r w:rsidRPr="009F1F31">
        <w:rPr>
          <w:lang w:val="fr-FR"/>
        </w:rPr>
        <w:t xml:space="preserve"> </w:t>
      </w:r>
      <w:r w:rsidR="009F1F31" w:rsidRPr="009F1F31">
        <w:rPr>
          <w:lang w:val="fr-FR"/>
        </w:rPr>
        <w:t xml:space="preserve">les disparités en matière de connaissances sur les règles et les processus applicables aux membres, les </w:t>
      </w:r>
      <w:r w:rsidR="009F1F31">
        <w:rPr>
          <w:lang w:val="fr-FR"/>
        </w:rPr>
        <w:t>appro</w:t>
      </w:r>
      <w:r w:rsidR="009F1F31" w:rsidRPr="009F1F31">
        <w:rPr>
          <w:lang w:val="fr-FR"/>
        </w:rPr>
        <w:t xml:space="preserve">ches, </w:t>
      </w:r>
      <w:r w:rsidR="009F1F31">
        <w:rPr>
          <w:lang w:val="fr-FR"/>
        </w:rPr>
        <w:t>les difficultés et les opportunités liées à la fidélisation</w:t>
      </w:r>
      <w:r w:rsidRPr="009F1F31">
        <w:rPr>
          <w:lang w:val="fr-FR"/>
        </w:rPr>
        <w:t>.</w:t>
      </w:r>
    </w:p>
    <w:p w14:paraId="1A15C464" w14:textId="733D1CD2" w:rsidR="00170259" w:rsidRPr="005566C3" w:rsidRDefault="00170259" w:rsidP="00170259">
      <w:pPr>
        <w:pStyle w:val="enumlev1"/>
        <w:rPr>
          <w:lang w:val="fr-FR"/>
        </w:rPr>
      </w:pPr>
      <w:r w:rsidRPr="00BE4EF3">
        <w:rPr>
          <w:lang w:val="fr-FR"/>
        </w:rPr>
        <w:t>–</w:t>
      </w:r>
      <w:r w:rsidRPr="00BE4EF3">
        <w:rPr>
          <w:b/>
          <w:bCs/>
          <w:lang w:val="fr-FR"/>
        </w:rPr>
        <w:tab/>
      </w:r>
      <w:r w:rsidR="00BE4EF3">
        <w:rPr>
          <w:b/>
          <w:bCs/>
          <w:lang w:val="fr-FR"/>
        </w:rPr>
        <w:t>Convaincre les membres</w:t>
      </w:r>
      <w:r w:rsidR="00BE4EF3">
        <w:rPr>
          <w:lang w:val="fr-FR"/>
        </w:rPr>
        <w:t xml:space="preserve">: dans le cas où des membres </w:t>
      </w:r>
      <w:r w:rsidR="00C371C9">
        <w:rPr>
          <w:lang w:val="fr-FR"/>
        </w:rPr>
        <w:t>actuels</w:t>
      </w:r>
      <w:r w:rsidR="00BE4EF3">
        <w:rPr>
          <w:lang w:val="fr-FR"/>
        </w:rPr>
        <w:t xml:space="preserve"> manifestent leur intention de </w:t>
      </w:r>
      <w:r w:rsidR="00ED6E6C">
        <w:rPr>
          <w:lang w:val="fr-FR"/>
        </w:rPr>
        <w:t>quitter l'UIT-D</w:t>
      </w:r>
      <w:r w:rsidRPr="00BE4EF3">
        <w:rPr>
          <w:lang w:val="fr-FR"/>
        </w:rPr>
        <w:t xml:space="preserve">, </w:t>
      </w:r>
      <w:r w:rsidR="009F1F31" w:rsidRPr="00BE4EF3">
        <w:rPr>
          <w:lang w:val="fr-FR"/>
        </w:rPr>
        <w:t xml:space="preserve">des </w:t>
      </w:r>
      <w:r w:rsidR="00A3447A">
        <w:rPr>
          <w:lang w:val="fr-FR"/>
        </w:rPr>
        <w:t>séances</w:t>
      </w:r>
      <w:r w:rsidR="009F1F31" w:rsidRPr="00BE4EF3">
        <w:rPr>
          <w:lang w:val="fr-FR"/>
        </w:rPr>
        <w:t xml:space="preserve"> en t</w:t>
      </w:r>
      <w:r w:rsidR="00A3447A">
        <w:rPr>
          <w:lang w:val="fr-FR"/>
        </w:rPr>
        <w:t>ête-à-</w:t>
      </w:r>
      <w:r w:rsidR="009F1F31" w:rsidRPr="00BE4EF3">
        <w:rPr>
          <w:lang w:val="fr-FR"/>
        </w:rPr>
        <w:t>tête</w:t>
      </w:r>
      <w:r w:rsidRPr="00BE4EF3">
        <w:rPr>
          <w:lang w:val="fr-FR"/>
        </w:rPr>
        <w:t xml:space="preserve"> </w:t>
      </w:r>
      <w:r w:rsidR="009F1F31" w:rsidRPr="00BE4EF3">
        <w:rPr>
          <w:lang w:val="fr-FR"/>
        </w:rPr>
        <w:t xml:space="preserve">sont </w:t>
      </w:r>
      <w:r w:rsidR="00A3447A">
        <w:rPr>
          <w:lang w:val="fr-FR"/>
        </w:rPr>
        <w:t>organisées</w:t>
      </w:r>
      <w:r w:rsidR="009F1F31" w:rsidRPr="00BE4EF3">
        <w:rPr>
          <w:lang w:val="fr-FR"/>
        </w:rPr>
        <w:t xml:space="preserve"> </w:t>
      </w:r>
      <w:r w:rsidR="00F26824">
        <w:rPr>
          <w:lang w:val="fr-FR"/>
        </w:rPr>
        <w:t>afin de</w:t>
      </w:r>
      <w:r w:rsidR="009F1F31" w:rsidRPr="00BE4EF3">
        <w:rPr>
          <w:lang w:val="fr-FR"/>
        </w:rPr>
        <w:t xml:space="preserve"> comprendre les </w:t>
      </w:r>
      <w:r w:rsidR="00ED6E6C">
        <w:rPr>
          <w:lang w:val="fr-FR"/>
        </w:rPr>
        <w:t xml:space="preserve">raisons pour lesquelles ils veulent mettre un terme à leur participation </w:t>
      </w:r>
      <w:r w:rsidR="00BE4EF3">
        <w:rPr>
          <w:lang w:val="fr-FR"/>
        </w:rPr>
        <w:t xml:space="preserve">et les convaincre de </w:t>
      </w:r>
      <w:r w:rsidR="00163824">
        <w:rPr>
          <w:lang w:val="fr-FR"/>
        </w:rPr>
        <w:t>rester membres</w:t>
      </w:r>
      <w:r w:rsidRPr="00BE4EF3">
        <w:rPr>
          <w:lang w:val="fr-FR"/>
        </w:rPr>
        <w:t xml:space="preserve">. </w:t>
      </w:r>
      <w:r w:rsidR="00912380">
        <w:rPr>
          <w:lang w:val="fr-FR"/>
        </w:rPr>
        <w:t>Ce travail a payé</w:t>
      </w:r>
      <w:r w:rsidR="005566C3" w:rsidRPr="005566C3">
        <w:rPr>
          <w:lang w:val="fr-FR"/>
        </w:rPr>
        <w:t xml:space="preserve"> dans certaines situations, puisqu'il est </w:t>
      </w:r>
      <w:r w:rsidR="005566C3">
        <w:rPr>
          <w:lang w:val="fr-FR"/>
        </w:rPr>
        <w:t>arrivé</w:t>
      </w:r>
      <w:r w:rsidR="005566C3" w:rsidRPr="005566C3">
        <w:rPr>
          <w:lang w:val="fr-FR"/>
        </w:rPr>
        <w:t xml:space="preserve"> que des membres changent d'avis</w:t>
      </w:r>
      <w:r w:rsidRPr="005566C3">
        <w:rPr>
          <w:lang w:val="fr-FR"/>
        </w:rPr>
        <w:t>.</w:t>
      </w:r>
    </w:p>
    <w:p w14:paraId="48A83434" w14:textId="7066F924" w:rsidR="00170259" w:rsidRPr="00501AF6" w:rsidRDefault="00170259" w:rsidP="00170259">
      <w:pPr>
        <w:pStyle w:val="enumlev1"/>
        <w:rPr>
          <w:lang w:val="fr-FR"/>
        </w:rPr>
      </w:pPr>
      <w:r w:rsidRPr="00501AF6">
        <w:rPr>
          <w:lang w:val="fr-FR"/>
        </w:rPr>
        <w:t>–</w:t>
      </w:r>
      <w:r w:rsidRPr="00501AF6">
        <w:rPr>
          <w:b/>
          <w:bCs/>
          <w:lang w:val="fr-FR"/>
        </w:rPr>
        <w:tab/>
        <w:t xml:space="preserve">Adoption </w:t>
      </w:r>
      <w:r w:rsidR="005566C3" w:rsidRPr="00501AF6">
        <w:rPr>
          <w:b/>
          <w:bCs/>
          <w:lang w:val="fr-FR"/>
        </w:rPr>
        <w:t>d'une nouvelle stratégie relative aux membres</w:t>
      </w:r>
      <w:r w:rsidRPr="00501AF6">
        <w:rPr>
          <w:b/>
          <w:bCs/>
          <w:lang w:val="fr-FR"/>
        </w:rPr>
        <w:t xml:space="preserve"> </w:t>
      </w:r>
      <w:r w:rsidR="00501AF6" w:rsidRPr="00501AF6">
        <w:rPr>
          <w:lang w:val="fr-FR"/>
        </w:rPr>
        <w:t>conforme à celles sur les partenariats et la mobilisation des ressources</w:t>
      </w:r>
      <w:r w:rsidR="00F427A6">
        <w:rPr>
          <w:lang w:val="fr-FR"/>
        </w:rPr>
        <w:t>,</w:t>
      </w:r>
      <w:r w:rsidRPr="00501AF6">
        <w:rPr>
          <w:lang w:val="fr-FR"/>
        </w:rPr>
        <w:t xml:space="preserve"> </w:t>
      </w:r>
      <w:r w:rsidR="00501AF6">
        <w:rPr>
          <w:lang w:val="fr-FR"/>
        </w:rPr>
        <w:t>et la gestion de projets</w:t>
      </w:r>
      <w:r w:rsidR="00042C28">
        <w:rPr>
          <w:lang w:val="fr-FR"/>
        </w:rPr>
        <w:t xml:space="preserve">, </w:t>
      </w:r>
      <w:r w:rsidR="00F427A6">
        <w:rPr>
          <w:lang w:val="fr-FR"/>
        </w:rPr>
        <w:t xml:space="preserve">afin de garantir </w:t>
      </w:r>
      <w:r w:rsidR="00042C28">
        <w:rPr>
          <w:lang w:val="fr-FR"/>
        </w:rPr>
        <w:t>des échanges fructueux</w:t>
      </w:r>
      <w:r w:rsidR="00F427A6">
        <w:rPr>
          <w:lang w:val="fr-FR"/>
        </w:rPr>
        <w:t xml:space="preserve"> entre les trois Services</w:t>
      </w:r>
      <w:r w:rsidRPr="00501AF6">
        <w:rPr>
          <w:lang w:val="fr-FR"/>
        </w:rPr>
        <w:t>.</w:t>
      </w:r>
    </w:p>
    <w:p w14:paraId="3557EA7F" w14:textId="77777777" w:rsidR="00170259" w:rsidRPr="00614FDE" w:rsidRDefault="00170259" w:rsidP="00170259">
      <w:pPr>
        <w:pStyle w:val="Heading1"/>
        <w:rPr>
          <w:rFonts w:eastAsia="SimSun"/>
          <w:lang w:val="fr-FR" w:eastAsia="zh-CN"/>
        </w:rPr>
      </w:pPr>
      <w:r w:rsidRPr="00614FDE">
        <w:rPr>
          <w:lang w:val="fr-FR"/>
        </w:rPr>
        <w:t>5</w:t>
      </w:r>
      <w:r w:rsidRPr="00614FDE">
        <w:rPr>
          <w:lang w:val="fr-FR"/>
        </w:rPr>
        <w:tab/>
      </w:r>
      <w:r w:rsidRPr="00614FDE">
        <w:rPr>
          <w:rFonts w:eastAsia="SimSun"/>
          <w:lang w:val="fr-FR" w:eastAsia="zh-CN"/>
        </w:rPr>
        <w:t>Conclusions</w:t>
      </w:r>
    </w:p>
    <w:p w14:paraId="08CBD6A4" w14:textId="58A84283" w:rsidR="00170259" w:rsidRPr="00042C28" w:rsidRDefault="00042C28" w:rsidP="00170259">
      <w:pPr>
        <w:rPr>
          <w:lang w:val="fr-FR"/>
        </w:rPr>
      </w:pPr>
      <w:r w:rsidRPr="00042C28">
        <w:rPr>
          <w:lang w:val="fr-FR"/>
        </w:rPr>
        <w:t>Le BDT est déterminé à</w:t>
      </w:r>
      <w:r w:rsidR="00170259" w:rsidRPr="00042C28">
        <w:rPr>
          <w:lang w:val="fr-FR"/>
        </w:rPr>
        <w:t>:</w:t>
      </w:r>
    </w:p>
    <w:p w14:paraId="0EF61684" w14:textId="116ABFC4" w:rsidR="00170259" w:rsidRPr="00042C28" w:rsidRDefault="00170259" w:rsidP="00170259">
      <w:pPr>
        <w:pStyle w:val="enumlev1"/>
        <w:rPr>
          <w:lang w:val="fr-FR"/>
        </w:rPr>
      </w:pPr>
      <w:r w:rsidRPr="00042C28">
        <w:rPr>
          <w:lang w:val="fr-FR"/>
        </w:rPr>
        <w:t>a)</w:t>
      </w:r>
      <w:r w:rsidRPr="00042C28">
        <w:rPr>
          <w:lang w:val="fr-FR"/>
        </w:rPr>
        <w:tab/>
      </w:r>
      <w:r w:rsidR="00042C28" w:rsidRPr="00042C28">
        <w:rPr>
          <w:lang w:val="fr-FR"/>
        </w:rPr>
        <w:t>continuer à faire cro</w:t>
      </w:r>
      <w:r w:rsidR="00EE4D6B">
        <w:rPr>
          <w:lang w:val="fr-FR"/>
        </w:rPr>
        <w:t>ître le nombre de Membres du</w:t>
      </w:r>
      <w:r w:rsidR="00042C28" w:rsidRPr="00042C28">
        <w:rPr>
          <w:lang w:val="fr-FR"/>
        </w:rPr>
        <w:t xml:space="preserve"> Secteur de l'UIT-D</w:t>
      </w:r>
      <w:r w:rsidR="00AB3D0A">
        <w:rPr>
          <w:lang w:val="fr-FR"/>
        </w:rPr>
        <w:t xml:space="preserve">, </w:t>
      </w:r>
      <w:r w:rsidR="00042C28">
        <w:rPr>
          <w:lang w:val="fr-FR"/>
        </w:rPr>
        <w:t xml:space="preserve">tout en </w:t>
      </w:r>
      <w:r w:rsidR="00AB3D0A">
        <w:rPr>
          <w:lang w:val="fr-FR"/>
        </w:rPr>
        <w:t>fidélisant</w:t>
      </w:r>
      <w:r w:rsidR="00042C28">
        <w:rPr>
          <w:lang w:val="fr-FR"/>
        </w:rPr>
        <w:t xml:space="preserve"> les membres actuels en proposant une valeur ajoutée</w:t>
      </w:r>
      <w:r w:rsidRPr="00042C28">
        <w:rPr>
          <w:lang w:val="fr-FR"/>
        </w:rPr>
        <w:t>;</w:t>
      </w:r>
    </w:p>
    <w:p w14:paraId="11CA7DA1" w14:textId="3970C5FA" w:rsidR="00170259" w:rsidRPr="00AB3D0A" w:rsidRDefault="00170259" w:rsidP="00170259">
      <w:pPr>
        <w:pStyle w:val="enumlev1"/>
        <w:rPr>
          <w:lang w:val="fr-FR"/>
        </w:rPr>
      </w:pPr>
      <w:r w:rsidRPr="00AB3D0A">
        <w:rPr>
          <w:lang w:val="fr-FR"/>
        </w:rPr>
        <w:t>b)</w:t>
      </w:r>
      <w:r w:rsidRPr="00AB3D0A">
        <w:rPr>
          <w:lang w:val="fr-FR"/>
        </w:rPr>
        <w:tab/>
      </w:r>
      <w:r w:rsidR="00AB3D0A" w:rsidRPr="00AB3D0A">
        <w:rPr>
          <w:lang w:val="fr-FR"/>
        </w:rPr>
        <w:t>renforcer</w:t>
      </w:r>
      <w:r w:rsidR="00EE4D6B">
        <w:rPr>
          <w:lang w:val="fr-FR"/>
        </w:rPr>
        <w:t xml:space="preserve"> la participation des Membres du</w:t>
      </w:r>
      <w:r w:rsidR="00AB3D0A" w:rsidRPr="00AB3D0A">
        <w:rPr>
          <w:lang w:val="fr-FR"/>
        </w:rPr>
        <w:t xml:space="preserve"> Secteur de l'UIT-D aux travaux du Secteur</w:t>
      </w:r>
      <w:r w:rsidRPr="00AB3D0A">
        <w:rPr>
          <w:lang w:val="fr-FR"/>
        </w:rPr>
        <w:t xml:space="preserve"> </w:t>
      </w:r>
      <w:r w:rsidR="00AB3D0A" w:rsidRPr="00AB3D0A">
        <w:rPr>
          <w:lang w:val="fr-FR"/>
        </w:rPr>
        <w:t xml:space="preserve">et </w:t>
      </w:r>
      <w:r w:rsidR="00D42F31">
        <w:rPr>
          <w:lang w:val="fr-FR"/>
        </w:rPr>
        <w:t xml:space="preserve">créer un </w:t>
      </w:r>
      <w:r w:rsidR="00EE4D6B">
        <w:rPr>
          <w:lang w:val="fr-FR"/>
        </w:rPr>
        <w:t>cadre favorable à</w:t>
      </w:r>
      <w:r w:rsidR="00D42F31">
        <w:rPr>
          <w:lang w:val="fr-FR"/>
        </w:rPr>
        <w:t xml:space="preserve"> l'ét</w:t>
      </w:r>
      <w:r w:rsidR="00EE4D6B">
        <w:rPr>
          <w:lang w:val="fr-FR"/>
        </w:rPr>
        <w:t>ablissement de partenariats et à l</w:t>
      </w:r>
      <w:r w:rsidR="00D42F31">
        <w:rPr>
          <w:lang w:val="fr-FR"/>
        </w:rPr>
        <w:t>a mobilisation de ressources, afin de financer des projets et des initiatives à fort impact</w:t>
      </w:r>
      <w:r w:rsidRPr="00AB3D0A">
        <w:rPr>
          <w:lang w:val="fr-FR"/>
        </w:rPr>
        <w:t>;</w:t>
      </w:r>
    </w:p>
    <w:p w14:paraId="20423B65" w14:textId="0022EDCE" w:rsidR="00170259" w:rsidRPr="00D42F31" w:rsidRDefault="00170259" w:rsidP="00170259">
      <w:pPr>
        <w:pStyle w:val="enumlev1"/>
        <w:rPr>
          <w:lang w:val="fr-FR"/>
        </w:rPr>
      </w:pPr>
      <w:r w:rsidRPr="00D42F31">
        <w:rPr>
          <w:lang w:val="fr-FR"/>
        </w:rPr>
        <w:t>c)</w:t>
      </w:r>
      <w:r w:rsidRPr="00D42F31">
        <w:rPr>
          <w:lang w:val="fr-FR"/>
        </w:rPr>
        <w:tab/>
      </w:r>
      <w:r w:rsidR="00D42F31" w:rsidRPr="00D42F31">
        <w:rPr>
          <w:lang w:val="fr-FR"/>
        </w:rPr>
        <w:t>renforcer la</w:t>
      </w:r>
      <w:r w:rsidRPr="00D42F31">
        <w:rPr>
          <w:lang w:val="fr-FR"/>
        </w:rPr>
        <w:t xml:space="preserve"> participation </w:t>
      </w:r>
      <w:r w:rsidR="00D42F31" w:rsidRPr="00D42F31">
        <w:rPr>
          <w:lang w:val="fr-FR"/>
        </w:rPr>
        <w:t xml:space="preserve">des Membres du Secteur de l'UIT-D aux activités </w:t>
      </w:r>
      <w:r w:rsidR="00D42F31">
        <w:rPr>
          <w:lang w:val="fr-FR"/>
        </w:rPr>
        <w:t xml:space="preserve">et aux manifestations </w:t>
      </w:r>
      <w:r w:rsidR="00D42F31" w:rsidRPr="00D42F31">
        <w:rPr>
          <w:lang w:val="fr-FR"/>
        </w:rPr>
        <w:t>du Secteur</w:t>
      </w:r>
      <w:r w:rsidRPr="00D42F31">
        <w:rPr>
          <w:lang w:val="fr-FR"/>
        </w:rPr>
        <w:t xml:space="preserve"> </w:t>
      </w:r>
      <w:r w:rsidR="00D42F31">
        <w:rPr>
          <w:lang w:val="fr-FR"/>
        </w:rPr>
        <w:t>qui produisent des résultats</w:t>
      </w:r>
      <w:r w:rsidRPr="00D42F31">
        <w:rPr>
          <w:lang w:val="fr-FR"/>
        </w:rPr>
        <w:t>;</w:t>
      </w:r>
    </w:p>
    <w:p w14:paraId="0A2E9BD5" w14:textId="24A85414" w:rsidR="00170259" w:rsidRDefault="00170259" w:rsidP="006E28F5">
      <w:pPr>
        <w:pStyle w:val="enumlev1"/>
        <w:rPr>
          <w:lang w:val="fr-FR"/>
        </w:rPr>
      </w:pPr>
      <w:r w:rsidRPr="00170259">
        <w:rPr>
          <w:lang w:val="fr-FR"/>
        </w:rPr>
        <w:t>d)</w:t>
      </w:r>
      <w:r w:rsidRPr="00170259">
        <w:rPr>
          <w:lang w:val="fr-FR"/>
        </w:rPr>
        <w:tab/>
        <w:t xml:space="preserve">améliorer en permanence les outils et les services afin de faciliter la participation </w:t>
      </w:r>
      <w:r w:rsidR="00D42F31">
        <w:rPr>
          <w:lang w:val="fr-FR"/>
        </w:rPr>
        <w:t xml:space="preserve">et l'engagement </w:t>
      </w:r>
      <w:r w:rsidRPr="00170259">
        <w:rPr>
          <w:lang w:val="fr-FR"/>
        </w:rPr>
        <w:t>des membres.</w:t>
      </w:r>
    </w:p>
    <w:p w14:paraId="68AE5755" w14:textId="77777777" w:rsidR="008F32EF" w:rsidRPr="006E28F5" w:rsidRDefault="008F32EF" w:rsidP="006E28F5">
      <w:pPr>
        <w:pStyle w:val="enumlev1"/>
        <w:rPr>
          <w:lang w:val="fr-FR"/>
        </w:rPr>
      </w:pPr>
    </w:p>
    <w:p w14:paraId="17BB5CE3" w14:textId="77777777" w:rsidR="00170259" w:rsidRDefault="00170259" w:rsidP="00170259">
      <w:pPr>
        <w:spacing w:before="360"/>
        <w:jc w:val="center"/>
      </w:pPr>
      <w:bookmarkStart w:id="9" w:name="Proposal"/>
      <w:bookmarkEnd w:id="9"/>
      <w:r>
        <w:t>______________</w:t>
      </w:r>
    </w:p>
    <w:sectPr w:rsidR="00170259"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7A74AB" w:rsidRDefault="007A74AB">
      <w:r>
        <w:separator/>
      </w:r>
    </w:p>
  </w:endnote>
  <w:endnote w:type="continuationSeparator" w:id="0">
    <w:p w14:paraId="20C3E17F" w14:textId="77777777" w:rsidR="007A74AB" w:rsidRDefault="007A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DB9A" w14:textId="76014080" w:rsidR="007A74AB" w:rsidRDefault="00C805AA" w:rsidP="00C805AA">
    <w:pPr>
      <w:pStyle w:val="Footer"/>
    </w:pPr>
    <w:fldSimple w:instr=" FILENAME \p  \* MERGEFORMAT ">
      <w:r>
        <w:t>P:\FRA\ITU-D\CONF-D\TDAG21\000\012F.docx</w:t>
      </w:r>
    </w:fldSimple>
    <w:r w:rsidR="007A74AB">
      <w:t xml:space="preserve"> (486968)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A74AB" w:rsidRPr="00C805AA" w14:paraId="60D8084E" w14:textId="77777777" w:rsidTr="007A74AB">
      <w:tc>
        <w:tcPr>
          <w:tcW w:w="1526" w:type="dxa"/>
          <w:tcBorders>
            <w:top w:val="single" w:sz="4" w:space="0" w:color="000000"/>
          </w:tcBorders>
          <w:shd w:val="clear" w:color="auto" w:fill="auto"/>
        </w:tcPr>
        <w:p w14:paraId="754884C4" w14:textId="77777777" w:rsidR="007A74AB" w:rsidRPr="004D495C" w:rsidRDefault="007A74A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7A74AB" w:rsidRPr="004D495C" w:rsidRDefault="007A74AB"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6E603E6" w:rsidR="007A74AB" w:rsidRPr="00C803F2" w:rsidRDefault="007A74AB" w:rsidP="0059420B">
          <w:pPr>
            <w:pStyle w:val="FirstFooter"/>
            <w:tabs>
              <w:tab w:val="left" w:pos="2302"/>
            </w:tabs>
            <w:rPr>
              <w:sz w:val="18"/>
              <w:szCs w:val="18"/>
            </w:rPr>
          </w:pPr>
          <w:r w:rsidRPr="00C803F2">
            <w:rPr>
              <w:sz w:val="18"/>
              <w:szCs w:val="18"/>
              <w:lang w:val="fr-CH"/>
            </w:rPr>
            <w:t>M. Cosmas Zavazava, Chef du Département des partenariats pour le développement numérique, Bureau de développement des télécommunications</w:t>
          </w:r>
        </w:p>
      </w:tc>
      <w:bookmarkStart w:id="10" w:name="OrgName"/>
      <w:bookmarkEnd w:id="10"/>
    </w:tr>
    <w:tr w:rsidR="007A74AB" w:rsidRPr="004D495C" w14:paraId="0B563E22" w14:textId="77777777" w:rsidTr="007A74AB">
      <w:tc>
        <w:tcPr>
          <w:tcW w:w="1526" w:type="dxa"/>
          <w:shd w:val="clear" w:color="auto" w:fill="auto"/>
        </w:tcPr>
        <w:p w14:paraId="5AC383C8" w14:textId="77777777" w:rsidR="007A74AB" w:rsidRPr="00C803F2" w:rsidRDefault="007A74AB" w:rsidP="0059420B">
          <w:pPr>
            <w:pStyle w:val="FirstFooter"/>
            <w:tabs>
              <w:tab w:val="left" w:pos="1559"/>
              <w:tab w:val="left" w:pos="3828"/>
            </w:tabs>
            <w:rPr>
              <w:sz w:val="20"/>
            </w:rPr>
          </w:pPr>
        </w:p>
      </w:tc>
      <w:tc>
        <w:tcPr>
          <w:tcW w:w="2410" w:type="dxa"/>
          <w:shd w:val="clear" w:color="auto" w:fill="auto"/>
        </w:tcPr>
        <w:p w14:paraId="19A37BA1" w14:textId="1907678E" w:rsidR="007A74AB" w:rsidRPr="004D495C" w:rsidRDefault="007A74AB"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51B5D8A8" w:rsidR="007A74AB" w:rsidRPr="00AF7A97" w:rsidRDefault="007A74AB" w:rsidP="0059420B">
          <w:pPr>
            <w:pStyle w:val="FirstFooter"/>
            <w:tabs>
              <w:tab w:val="left" w:pos="2302"/>
            </w:tabs>
            <w:rPr>
              <w:sz w:val="18"/>
              <w:szCs w:val="18"/>
              <w:lang w:val="en-US"/>
            </w:rPr>
          </w:pPr>
          <w:r w:rsidRPr="00C803F2">
            <w:rPr>
              <w:sz w:val="18"/>
              <w:szCs w:val="18"/>
              <w:lang w:val="fr-CH"/>
            </w:rPr>
            <w:t>+41 22 730 5447</w:t>
          </w:r>
        </w:p>
      </w:tc>
      <w:bookmarkStart w:id="11" w:name="PhoneNo"/>
      <w:bookmarkEnd w:id="11"/>
    </w:tr>
    <w:tr w:rsidR="007A74AB" w:rsidRPr="004D495C" w14:paraId="4F182B07" w14:textId="77777777" w:rsidTr="007A74AB">
      <w:tc>
        <w:tcPr>
          <w:tcW w:w="1526" w:type="dxa"/>
          <w:shd w:val="clear" w:color="auto" w:fill="auto"/>
        </w:tcPr>
        <w:p w14:paraId="069A5427" w14:textId="77777777" w:rsidR="007A74AB" w:rsidRPr="004D495C" w:rsidRDefault="007A74AB" w:rsidP="0059420B">
          <w:pPr>
            <w:pStyle w:val="FirstFooter"/>
            <w:tabs>
              <w:tab w:val="left" w:pos="1559"/>
              <w:tab w:val="left" w:pos="3828"/>
            </w:tabs>
            <w:rPr>
              <w:sz w:val="20"/>
              <w:lang w:val="en-US"/>
            </w:rPr>
          </w:pPr>
        </w:p>
      </w:tc>
      <w:tc>
        <w:tcPr>
          <w:tcW w:w="2410" w:type="dxa"/>
          <w:shd w:val="clear" w:color="auto" w:fill="auto"/>
        </w:tcPr>
        <w:p w14:paraId="699B1FAD" w14:textId="0375578C" w:rsidR="007A74AB" w:rsidRPr="004D495C" w:rsidRDefault="007A74AB" w:rsidP="0059420B">
          <w:pPr>
            <w:pStyle w:val="FirstFooter"/>
            <w:tabs>
              <w:tab w:val="left" w:pos="2302"/>
            </w:tabs>
            <w:rPr>
              <w:sz w:val="18"/>
              <w:szCs w:val="18"/>
              <w:lang w:val="en-US"/>
            </w:rPr>
          </w:pPr>
          <w:r w:rsidRPr="009D3681">
            <w:rPr>
              <w:sz w:val="18"/>
              <w:szCs w:val="18"/>
            </w:rPr>
            <w:t>Courriel:</w:t>
          </w:r>
        </w:p>
      </w:tc>
      <w:tc>
        <w:tcPr>
          <w:tcW w:w="5987" w:type="dxa"/>
        </w:tcPr>
        <w:p w14:paraId="7F1B22EF" w14:textId="3116ADFF" w:rsidR="007A74AB" w:rsidRPr="00AF7A97" w:rsidRDefault="00C06DD7" w:rsidP="0059420B">
          <w:pPr>
            <w:pStyle w:val="FirstFooter"/>
            <w:tabs>
              <w:tab w:val="left" w:pos="2302"/>
            </w:tabs>
            <w:rPr>
              <w:sz w:val="18"/>
              <w:szCs w:val="18"/>
              <w:lang w:val="en-US"/>
            </w:rPr>
          </w:pPr>
          <w:hyperlink r:id="rId1" w:history="1">
            <w:r w:rsidR="007A74AB" w:rsidRPr="002128D5">
              <w:rPr>
                <w:rStyle w:val="Hyperlink"/>
                <w:sz w:val="18"/>
                <w:szCs w:val="18"/>
                <w:lang w:val="en-US"/>
              </w:rPr>
              <w:t>cosmas.zavazava@itu.int</w:t>
            </w:r>
          </w:hyperlink>
        </w:p>
      </w:tc>
      <w:bookmarkStart w:id="12" w:name="Email"/>
      <w:bookmarkEnd w:id="12"/>
    </w:tr>
  </w:tbl>
  <w:p w14:paraId="04CE603F" w14:textId="0C39F2D0" w:rsidR="007A74AB" w:rsidRPr="0059420B" w:rsidRDefault="00C06DD7" w:rsidP="0064787A">
    <w:pPr>
      <w:pStyle w:val="Footer"/>
      <w:spacing w:before="120"/>
      <w:jc w:val="center"/>
      <w:rPr>
        <w:lang w:val="en-GB"/>
      </w:rPr>
    </w:pPr>
    <w:hyperlink r:id="rId2" w:history="1">
      <w:r w:rsidR="007A74AB">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7A74AB" w:rsidRDefault="007A74AB">
      <w:r>
        <w:t>____________________</w:t>
      </w:r>
    </w:p>
  </w:footnote>
  <w:footnote w:type="continuationSeparator" w:id="0">
    <w:p w14:paraId="61A2D153" w14:textId="77777777" w:rsidR="007A74AB" w:rsidRDefault="007A74AB">
      <w:r>
        <w:continuationSeparator/>
      </w:r>
    </w:p>
  </w:footnote>
  <w:footnote w:id="1">
    <w:p w14:paraId="142A2869" w14:textId="77777777" w:rsidR="007A74AB" w:rsidRPr="00C803F2" w:rsidRDefault="007A74AB" w:rsidP="00C803F2">
      <w:pPr>
        <w:pStyle w:val="FootnoteText"/>
        <w:spacing w:after="240"/>
        <w:rPr>
          <w:lang w:val="fr-FR"/>
        </w:rPr>
      </w:pPr>
      <w:r w:rsidRPr="007A4086">
        <w:rPr>
          <w:rStyle w:val="FootnoteReference"/>
        </w:rPr>
        <w:footnoteRef/>
      </w:r>
      <w:r w:rsidRPr="00C803F2">
        <w:rPr>
          <w:lang w:val="fr-FR"/>
        </w:rPr>
        <w:tab/>
      </w:r>
      <w:r w:rsidRPr="00C803F2">
        <w:rPr>
          <w:sz w:val="22"/>
          <w:szCs w:val="22"/>
          <w:lang w:val="fr-FR"/>
        </w:rPr>
        <w:t>Voir la Résolution 169 (Guadalajara, 2010) de la Conférence de plénipotentiaires, qui a créé une nouvelle catégorie de membres permettant aux établissements universitaires de participer aux travaux de l'UIT.</w:t>
      </w:r>
    </w:p>
  </w:footnote>
  <w:footnote w:id="2">
    <w:p w14:paraId="5C9FD8A4" w14:textId="77777777" w:rsidR="007A74AB" w:rsidRPr="00C803F2" w:rsidRDefault="007A74AB" w:rsidP="00C803F2">
      <w:pPr>
        <w:pStyle w:val="FootnoteText"/>
        <w:rPr>
          <w:lang w:val="fr-FR"/>
        </w:rPr>
      </w:pPr>
      <w:r w:rsidRPr="007A4086">
        <w:rPr>
          <w:rStyle w:val="FootnoteReference"/>
        </w:rPr>
        <w:footnoteRef/>
      </w:r>
      <w:r w:rsidRPr="00C803F2">
        <w:rPr>
          <w:lang w:val="fr-FR"/>
        </w:rPr>
        <w:tab/>
      </w:r>
      <w:r w:rsidRPr="00C803F2">
        <w:rPr>
          <w:sz w:val="22"/>
          <w:szCs w:val="22"/>
          <w:lang w:val="fr-FR"/>
        </w:rPr>
        <w:t>Résolution 71 (Rév.Buenos Aires, 2017)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76FA13B6" w14:textId="77777777" w:rsidR="007A74AB" w:rsidRPr="00C803F2" w:rsidRDefault="007A74AB" w:rsidP="0064787A">
      <w:pPr>
        <w:pStyle w:val="FootnoteText"/>
        <w:spacing w:before="80"/>
        <w:rPr>
          <w:lang w:val="fr-FR"/>
        </w:rPr>
      </w:pPr>
      <w:r w:rsidRPr="007A4086">
        <w:rPr>
          <w:rStyle w:val="FootnoteReference"/>
        </w:rPr>
        <w:footnoteRef/>
      </w:r>
      <w:r w:rsidRPr="00C803F2">
        <w:rPr>
          <w:lang w:val="fr-FR"/>
        </w:rPr>
        <w:tab/>
      </w:r>
      <w:r w:rsidRPr="00C803F2">
        <w:rPr>
          <w:sz w:val="22"/>
          <w:szCs w:val="22"/>
          <w:lang w:val="fr-FR"/>
        </w:rPr>
        <w:t>Voir la Résolution 169 (Guadalajara, 2010) de la Conférence de plénipotentiaires, qui a créé une nouvelle catégorie permettant aux établissements universitaires de participer aux travaux de l'UIT.</w:t>
      </w:r>
    </w:p>
  </w:footnote>
  <w:footnote w:id="4">
    <w:p w14:paraId="2D6A3779" w14:textId="5E8E1918" w:rsidR="007A74AB" w:rsidRPr="00C803F2" w:rsidRDefault="007A74AB" w:rsidP="0064787A">
      <w:pPr>
        <w:pStyle w:val="FootnoteText"/>
        <w:spacing w:before="80"/>
        <w:rPr>
          <w:lang w:val="fr-FR"/>
        </w:rPr>
      </w:pPr>
      <w:r w:rsidRPr="007A4086">
        <w:rPr>
          <w:rStyle w:val="FootnoteReference"/>
        </w:rPr>
        <w:footnoteRef/>
      </w:r>
      <w:bookmarkStart w:id="7" w:name="lt_pId093"/>
      <w:r w:rsidRPr="00C803F2">
        <w:rPr>
          <w:lang w:val="fr-FR"/>
        </w:rPr>
        <w:tab/>
        <w:t xml:space="preserve">Les établissements universitaires </w:t>
      </w:r>
      <w:r w:rsidR="00CD548B">
        <w:rPr>
          <w:lang w:val="fr-FR"/>
        </w:rPr>
        <w:t xml:space="preserve">membres </w:t>
      </w:r>
      <w:r w:rsidRPr="00C803F2">
        <w:rPr>
          <w:lang w:val="fr-FR"/>
        </w:rPr>
        <w:t>participent aux travaux</w:t>
      </w:r>
      <w:r w:rsidR="0064787A">
        <w:rPr>
          <w:lang w:val="fr-FR"/>
        </w:rPr>
        <w:t xml:space="preserve"> des trois Secteurs de l'UIT, y </w:t>
      </w:r>
      <w:r w:rsidRPr="00C803F2">
        <w:rPr>
          <w:lang w:val="fr-FR"/>
        </w:rPr>
        <w:t>compris à ceux des groupes consultatifs des trois Secteurs.</w:t>
      </w:r>
      <w:bookmarkEnd w:id="7"/>
      <w:r w:rsidRPr="00C803F2">
        <w:rPr>
          <w:lang w:val="fr-FR"/>
        </w:rPr>
        <w:t xml:space="preserve"> </w:t>
      </w:r>
      <w:r>
        <w:rPr>
          <w:lang w:val="fr-FR"/>
        </w:rPr>
        <w:t>Ils</w:t>
      </w:r>
      <w:r w:rsidRPr="00C803F2">
        <w:rPr>
          <w:lang w:val="fr-FR"/>
        </w:rPr>
        <w:t xml:space="preserve"> participent également à d'autres conférences mondiales et régionales, ateliers et activités de l'Union, à l'exception des conférences de plénipotentiaires, des conférences mondiales des radiocommunications, des conférences mondiales des télécommunications internationales et du Conseil de l'UIT, conformément au règlement intérieur des différents Secteurs.</w:t>
      </w:r>
    </w:p>
  </w:footnote>
  <w:footnote w:id="5">
    <w:p w14:paraId="45DDDB9B" w14:textId="6BD21603" w:rsidR="007A74AB" w:rsidRPr="00F74BE8" w:rsidRDefault="007A74AB" w:rsidP="0064787A">
      <w:pPr>
        <w:pStyle w:val="FootnoteText"/>
        <w:spacing w:before="80"/>
        <w:rPr>
          <w:lang w:val="fr-FR"/>
        </w:rPr>
      </w:pPr>
      <w:r w:rsidRPr="007A4086">
        <w:rPr>
          <w:rStyle w:val="FootnoteReference"/>
        </w:rPr>
        <w:footnoteRef/>
      </w:r>
      <w:r w:rsidRPr="00F74BE8">
        <w:rPr>
          <w:lang w:val="fr-FR"/>
        </w:rPr>
        <w:tab/>
      </w:r>
      <w:r>
        <w:rPr>
          <w:sz w:val="22"/>
          <w:szCs w:val="22"/>
          <w:lang w:val="fr-FR"/>
        </w:rPr>
        <w:t>Université des sciences et des technologies du roi Abda</w:t>
      </w:r>
      <w:r w:rsidRPr="00F74BE8">
        <w:rPr>
          <w:sz w:val="22"/>
          <w:szCs w:val="22"/>
          <w:lang w:val="fr-FR"/>
        </w:rPr>
        <w:t xml:space="preserve">llah (Arabie saoudite), Universidad Nacional de San Luis (Argentine), </w:t>
      </w:r>
      <w:r>
        <w:rPr>
          <w:sz w:val="22"/>
          <w:szCs w:val="22"/>
          <w:lang w:val="fr-FR"/>
        </w:rPr>
        <w:t>Institut indien de technologie</w:t>
      </w:r>
      <w:r w:rsidRPr="00F74BE8">
        <w:rPr>
          <w:sz w:val="22"/>
          <w:szCs w:val="22"/>
          <w:lang w:val="fr-FR"/>
        </w:rPr>
        <w:t xml:space="preserve"> </w:t>
      </w:r>
      <w:r>
        <w:rPr>
          <w:sz w:val="22"/>
          <w:szCs w:val="22"/>
          <w:lang w:val="fr-FR"/>
        </w:rPr>
        <w:t>d'</w:t>
      </w:r>
      <w:r w:rsidRPr="00F74BE8">
        <w:rPr>
          <w:sz w:val="22"/>
          <w:szCs w:val="22"/>
          <w:lang w:val="fr-FR"/>
        </w:rPr>
        <w:t xml:space="preserve">Hyderabad (Inde), Universidad Nacional de Río Cuarto (Argentine), Universidad Nacional de Tucumán (Argentine), Universidad Nacional de Cordoba (Argentine), </w:t>
      </w:r>
      <w:r>
        <w:rPr>
          <w:sz w:val="22"/>
          <w:szCs w:val="22"/>
          <w:lang w:val="fr-FR"/>
        </w:rPr>
        <w:t>É</w:t>
      </w:r>
      <w:r w:rsidRPr="00F74BE8">
        <w:rPr>
          <w:sz w:val="22"/>
          <w:szCs w:val="22"/>
          <w:lang w:val="fr-FR"/>
        </w:rPr>
        <w:t xml:space="preserve">cole Polytechnique Fédérale de Lausanne (Suisse), </w:t>
      </w:r>
      <w:r>
        <w:rPr>
          <w:sz w:val="22"/>
          <w:szCs w:val="22"/>
          <w:lang w:val="fr-FR"/>
        </w:rPr>
        <w:t>Institut indien de technologie de</w:t>
      </w:r>
      <w:r w:rsidRPr="00F74BE8">
        <w:rPr>
          <w:sz w:val="22"/>
          <w:szCs w:val="22"/>
          <w:lang w:val="fr-FR"/>
        </w:rPr>
        <w:t xml:space="preserve"> Madras (Inde), Université Szechenyi Istvan (Hongrie), Université George Washington (États-Unis d'Amérique), Institut Monash Data Futures (Australie), </w:t>
      </w:r>
      <w:r>
        <w:rPr>
          <w:sz w:val="22"/>
          <w:szCs w:val="22"/>
          <w:lang w:val="fr-FR"/>
        </w:rPr>
        <w:t>Conseil pour la recherche scientifique et industrielle</w:t>
      </w:r>
      <w:r w:rsidRPr="00F74BE8">
        <w:rPr>
          <w:sz w:val="22"/>
          <w:szCs w:val="22"/>
          <w:lang w:val="fr-FR"/>
        </w:rPr>
        <w:t xml:space="preserve"> (</w:t>
      </w:r>
      <w:r w:rsidR="00EC09F2">
        <w:rPr>
          <w:sz w:val="22"/>
          <w:szCs w:val="22"/>
          <w:lang w:val="fr-FR"/>
        </w:rPr>
        <w:t>République sudafricaine</w:t>
      </w:r>
      <w:r w:rsidRPr="00F74BE8">
        <w:rPr>
          <w:sz w:val="22"/>
          <w:szCs w:val="22"/>
          <w:lang w:val="fr-FR"/>
        </w:rPr>
        <w:t xml:space="preserve">), </w:t>
      </w:r>
      <w:r>
        <w:rPr>
          <w:sz w:val="22"/>
          <w:szCs w:val="22"/>
          <w:lang w:val="fr-FR"/>
        </w:rPr>
        <w:t>Institut de technologie de Harbin</w:t>
      </w:r>
      <w:r w:rsidRPr="00F74BE8">
        <w:rPr>
          <w:sz w:val="22"/>
          <w:szCs w:val="22"/>
          <w:lang w:val="fr-FR"/>
        </w:rPr>
        <w:t xml:space="preserve"> (Chine), Université de Wuhan (Chine), </w:t>
      </w:r>
      <w:r>
        <w:rPr>
          <w:sz w:val="22"/>
          <w:szCs w:val="22"/>
          <w:lang w:val="fr-FR"/>
        </w:rPr>
        <w:t xml:space="preserve">Université des sciences et des technologies de </w:t>
      </w:r>
      <w:r w:rsidRPr="00F74BE8">
        <w:rPr>
          <w:sz w:val="22"/>
          <w:szCs w:val="22"/>
          <w:lang w:val="fr-FR"/>
        </w:rPr>
        <w:t xml:space="preserve">Huazhong (Chine), </w:t>
      </w:r>
      <w:r>
        <w:rPr>
          <w:sz w:val="22"/>
          <w:szCs w:val="22"/>
          <w:lang w:val="fr-FR"/>
        </w:rPr>
        <w:t xml:space="preserve">Université </w:t>
      </w:r>
      <w:r w:rsidRPr="00F74BE8">
        <w:rPr>
          <w:sz w:val="22"/>
          <w:szCs w:val="22"/>
          <w:lang w:val="fr-FR"/>
        </w:rPr>
        <w:t xml:space="preserve">Northeastern (États-Unis d'Amérique), Université de Stanford (États-Unis d'Amérique), </w:t>
      </w:r>
      <w:r>
        <w:rPr>
          <w:sz w:val="22"/>
          <w:szCs w:val="22"/>
          <w:lang w:val="fr-FR"/>
        </w:rPr>
        <w:t xml:space="preserve">Institut de l'automatisation de </w:t>
      </w:r>
      <w:r w:rsidRPr="00F74BE8">
        <w:rPr>
          <w:sz w:val="22"/>
          <w:szCs w:val="22"/>
          <w:lang w:val="fr-FR"/>
        </w:rPr>
        <w:t>Shenyan</w:t>
      </w:r>
      <w:r>
        <w:rPr>
          <w:sz w:val="22"/>
          <w:szCs w:val="22"/>
          <w:lang w:val="fr-FR"/>
        </w:rPr>
        <w:t>g (Chine</w:t>
      </w:r>
      <w:r w:rsidRPr="00F74BE8">
        <w:rPr>
          <w:sz w:val="22"/>
          <w:szCs w:val="22"/>
          <w:lang w:val="fr-FR"/>
        </w:rPr>
        <w:t xml:space="preserve">), </w:t>
      </w:r>
      <w:r>
        <w:rPr>
          <w:sz w:val="22"/>
          <w:szCs w:val="22"/>
          <w:lang w:val="fr-FR"/>
        </w:rPr>
        <w:t xml:space="preserve">Université </w:t>
      </w:r>
      <w:r w:rsidR="00EC09F2">
        <w:rPr>
          <w:sz w:val="22"/>
          <w:szCs w:val="22"/>
          <w:lang w:val="fr-FR"/>
        </w:rPr>
        <w:t xml:space="preserve">polytechnique du Nord-Ouest </w:t>
      </w:r>
      <w:r>
        <w:rPr>
          <w:sz w:val="22"/>
          <w:szCs w:val="22"/>
          <w:lang w:val="fr-FR"/>
        </w:rPr>
        <w:t>(Chine</w:t>
      </w:r>
      <w:r w:rsidRPr="00F74BE8">
        <w:rPr>
          <w:sz w:val="22"/>
          <w:szCs w:val="22"/>
          <w:lang w:val="fr-FR"/>
        </w:rPr>
        <w:t xml:space="preserve">), </w:t>
      </w:r>
      <w:r>
        <w:rPr>
          <w:sz w:val="22"/>
          <w:szCs w:val="22"/>
          <w:lang w:val="fr-FR"/>
        </w:rPr>
        <w:t>Institut de recherche sur l'intelligence artificielle de prochaine génération de Nanjing (Chine</w:t>
      </w:r>
      <w:r w:rsidRPr="00F74BE8">
        <w:rPr>
          <w:sz w:val="22"/>
          <w:szCs w:val="22"/>
          <w:lang w:val="fr-FR"/>
        </w:rPr>
        <w:t xml:space="preserve">), </w:t>
      </w:r>
      <w:r>
        <w:rPr>
          <w:sz w:val="22"/>
          <w:szCs w:val="22"/>
          <w:lang w:val="fr-FR"/>
        </w:rPr>
        <w:t xml:space="preserve">Académie </w:t>
      </w:r>
      <w:r w:rsidR="00EC09F2">
        <w:rPr>
          <w:sz w:val="22"/>
          <w:szCs w:val="22"/>
          <w:lang w:val="fr-FR"/>
        </w:rPr>
        <w:t xml:space="preserve">des mégadonnées </w:t>
      </w:r>
      <w:r>
        <w:rPr>
          <w:sz w:val="22"/>
          <w:szCs w:val="22"/>
          <w:lang w:val="fr-FR"/>
        </w:rPr>
        <w:t>de l'Institut des technologies informatiques (Chine</w:t>
      </w:r>
      <w:r w:rsidRPr="00F74BE8">
        <w:rPr>
          <w:sz w:val="22"/>
          <w:szCs w:val="22"/>
          <w:lang w:val="fr-FR"/>
        </w:rPr>
        <w:t xml:space="preserve">), </w:t>
      </w:r>
      <w:r>
        <w:rPr>
          <w:sz w:val="22"/>
          <w:szCs w:val="22"/>
          <w:lang w:val="fr-FR"/>
        </w:rPr>
        <w:t xml:space="preserve">Université </w:t>
      </w:r>
      <w:r w:rsidRPr="00F74BE8">
        <w:rPr>
          <w:sz w:val="22"/>
          <w:szCs w:val="22"/>
          <w:lang w:val="fr-FR"/>
        </w:rPr>
        <w:t>SEISA (</w:t>
      </w:r>
      <w:r>
        <w:rPr>
          <w:sz w:val="22"/>
          <w:szCs w:val="22"/>
          <w:lang w:val="fr-FR"/>
        </w:rPr>
        <w:t>Japon</w:t>
      </w:r>
      <w:r w:rsidRPr="00F74BE8">
        <w:rPr>
          <w:sz w:val="22"/>
          <w:szCs w:val="22"/>
          <w:lang w:val="fr-FR"/>
        </w:rPr>
        <w:t xml:space="preserve">), </w:t>
      </w:r>
      <w:r>
        <w:rPr>
          <w:sz w:val="22"/>
          <w:szCs w:val="22"/>
          <w:lang w:val="fr-FR"/>
        </w:rPr>
        <w:t>Institut d'État de recherche sur les réseaux d'alimentation électrique du Hubei (Chine</w:t>
      </w:r>
      <w:r w:rsidRPr="00F74BE8">
        <w:rPr>
          <w:sz w:val="22"/>
          <w:szCs w:val="22"/>
          <w:lang w:val="fr-FR"/>
        </w:rPr>
        <w:t>),</w:t>
      </w:r>
      <w:r>
        <w:rPr>
          <w:sz w:val="22"/>
          <w:szCs w:val="22"/>
          <w:lang w:val="fr-FR"/>
        </w:rPr>
        <w:t xml:space="preserve"> Université Tongji (Chine</w:t>
      </w:r>
      <w:r w:rsidRPr="00F74BE8">
        <w:rPr>
          <w:sz w:val="22"/>
          <w:szCs w:val="22"/>
          <w:lang w:val="fr-FR"/>
        </w:rPr>
        <w:t xml:space="preserve">), </w:t>
      </w:r>
      <w:r w:rsidRPr="00EB2356">
        <w:rPr>
          <w:sz w:val="22"/>
          <w:szCs w:val="22"/>
          <w:lang w:val="fr-FR"/>
        </w:rPr>
        <w:t xml:space="preserve">Université </w:t>
      </w:r>
      <w:r>
        <w:rPr>
          <w:sz w:val="22"/>
          <w:szCs w:val="22"/>
          <w:lang w:val="fr-FR"/>
        </w:rPr>
        <w:t xml:space="preserve">privée </w:t>
      </w:r>
      <w:r w:rsidRPr="00EB2356">
        <w:rPr>
          <w:sz w:val="22"/>
          <w:szCs w:val="22"/>
          <w:lang w:val="fr-FR"/>
        </w:rPr>
        <w:t xml:space="preserve">d'ingénierie et d'économie de Kostanaï baptisée en l'honneur de M. Dulatov </w:t>
      </w:r>
      <w:r w:rsidRPr="00F74BE8">
        <w:rPr>
          <w:sz w:val="22"/>
          <w:szCs w:val="22"/>
          <w:lang w:val="fr-FR"/>
        </w:rPr>
        <w:t>(</w:t>
      </w:r>
      <w:r>
        <w:rPr>
          <w:sz w:val="22"/>
          <w:szCs w:val="22"/>
          <w:lang w:val="fr-FR"/>
        </w:rPr>
        <w:t>Kazakhstan), Zhejiang Lab (Chine</w:t>
      </w:r>
      <w:r w:rsidRPr="00F74BE8">
        <w:rPr>
          <w:sz w:val="22"/>
          <w:szCs w:val="22"/>
          <w:lang w:val="fr-FR"/>
        </w:rPr>
        <w:t>).</w:t>
      </w:r>
    </w:p>
  </w:footnote>
  <w:footnote w:id="6">
    <w:p w14:paraId="5C7A3F6A" w14:textId="41CDE8A6" w:rsidR="007A74AB" w:rsidRPr="00C11798" w:rsidRDefault="007A74AB" w:rsidP="008F32EF">
      <w:pPr>
        <w:pStyle w:val="FootnoteText"/>
        <w:keepLines w:val="0"/>
        <w:ind w:left="0" w:firstLine="0"/>
        <w:rPr>
          <w:sz w:val="20"/>
          <w:lang w:val="fr-FR"/>
        </w:rPr>
      </w:pPr>
      <w:r w:rsidRPr="00A244BC">
        <w:rPr>
          <w:rStyle w:val="FootnoteReference"/>
          <w:sz w:val="20"/>
        </w:rPr>
        <w:footnoteRef/>
      </w:r>
      <w:r w:rsidRPr="00C11798">
        <w:rPr>
          <w:sz w:val="20"/>
          <w:lang w:val="fr-FR"/>
        </w:rPr>
        <w:tab/>
      </w:r>
      <w:r w:rsidR="00C11798" w:rsidRPr="008F32EF">
        <w:rPr>
          <w:sz w:val="22"/>
          <w:szCs w:val="22"/>
          <w:lang w:val="fr-FR"/>
        </w:rPr>
        <w:t>Les memb</w:t>
      </w:r>
      <w:r w:rsidR="00C371C9" w:rsidRPr="008F32EF">
        <w:rPr>
          <w:sz w:val="22"/>
          <w:szCs w:val="22"/>
          <w:lang w:val="fr-FR"/>
        </w:rPr>
        <w:t xml:space="preserve">res de l'UIT-D ont été </w:t>
      </w:r>
      <w:r w:rsidR="009E2B6E" w:rsidRPr="008F32EF">
        <w:rPr>
          <w:sz w:val="22"/>
          <w:szCs w:val="22"/>
          <w:lang w:val="fr-FR"/>
        </w:rPr>
        <w:t xml:space="preserve">répartis par </w:t>
      </w:r>
      <w:r w:rsidR="00C371C9" w:rsidRPr="008F32EF">
        <w:rPr>
          <w:sz w:val="22"/>
          <w:szCs w:val="22"/>
          <w:lang w:val="fr-FR"/>
        </w:rPr>
        <w:t xml:space="preserve">communautés </w:t>
      </w:r>
      <w:r w:rsidR="00C11798" w:rsidRPr="008F32EF">
        <w:rPr>
          <w:sz w:val="22"/>
          <w:szCs w:val="22"/>
          <w:lang w:val="fr-FR"/>
        </w:rPr>
        <w:t>comme suit</w:t>
      </w:r>
      <w:r w:rsidRPr="008F32EF">
        <w:rPr>
          <w:sz w:val="22"/>
          <w:szCs w:val="22"/>
          <w:lang w:val="fr-FR"/>
        </w:rPr>
        <w:t xml:space="preserve">: </w:t>
      </w:r>
      <w:r w:rsidR="00C11798" w:rsidRPr="008F32EF">
        <w:rPr>
          <w:sz w:val="22"/>
          <w:szCs w:val="22"/>
          <w:lang w:val="fr-FR"/>
        </w:rPr>
        <w:t>exploitations reconnues</w:t>
      </w:r>
      <w:r w:rsidRPr="008F32EF">
        <w:rPr>
          <w:sz w:val="22"/>
          <w:szCs w:val="22"/>
          <w:lang w:val="fr-FR"/>
        </w:rPr>
        <w:t xml:space="preserve">, </w:t>
      </w:r>
      <w:r w:rsidR="00C11798" w:rsidRPr="008F32EF">
        <w:rPr>
          <w:sz w:val="22"/>
          <w:szCs w:val="22"/>
          <w:lang w:val="fr-FR"/>
        </w:rPr>
        <w:t>organismes scientifiques ou industriels</w:t>
      </w:r>
      <w:r w:rsidRPr="008F32EF">
        <w:rPr>
          <w:sz w:val="22"/>
          <w:szCs w:val="22"/>
          <w:lang w:val="fr-FR"/>
        </w:rPr>
        <w:t xml:space="preserve">, </w:t>
      </w:r>
      <w:r w:rsidR="00C11798" w:rsidRPr="008F32EF">
        <w:rPr>
          <w:sz w:val="22"/>
          <w:szCs w:val="22"/>
          <w:lang w:val="fr-FR"/>
        </w:rPr>
        <w:t>organisations régionales de télécommunication</w:t>
      </w:r>
      <w:r w:rsidR="00C24171" w:rsidRPr="008F32EF">
        <w:rPr>
          <w:sz w:val="22"/>
          <w:szCs w:val="22"/>
          <w:lang w:val="fr-FR"/>
        </w:rPr>
        <w:t xml:space="preserve"> et </w:t>
      </w:r>
      <w:r w:rsidR="00C11798" w:rsidRPr="008F32EF">
        <w:rPr>
          <w:sz w:val="22"/>
          <w:szCs w:val="22"/>
          <w:lang w:val="fr-FR"/>
        </w:rPr>
        <w:t>organisations régionales et autres organisations internationales</w:t>
      </w:r>
      <w:r w:rsidRPr="008F32EF">
        <w:rPr>
          <w:sz w:val="22"/>
          <w:szCs w:val="22"/>
          <w:lang w:val="fr-FR"/>
        </w:rPr>
        <w:t xml:space="preserve">, </w:t>
      </w:r>
      <w:r w:rsidR="00C11798" w:rsidRPr="008F32EF">
        <w:rPr>
          <w:sz w:val="22"/>
          <w:szCs w:val="22"/>
          <w:lang w:val="fr-FR"/>
        </w:rPr>
        <w:t>organisations intergouvernementales exploitant des systèmes à satellites</w:t>
      </w:r>
      <w:r w:rsidRPr="008F32EF">
        <w:rPr>
          <w:sz w:val="22"/>
          <w:szCs w:val="22"/>
          <w:lang w:val="fr-FR"/>
        </w:rPr>
        <w:t xml:space="preserve">, </w:t>
      </w:r>
      <w:r w:rsidR="00C11798" w:rsidRPr="008F32EF">
        <w:rPr>
          <w:sz w:val="22"/>
          <w:szCs w:val="22"/>
          <w:lang w:val="fr-FR"/>
        </w:rPr>
        <w:t>et établissements universitaires et instituts de recherche</w:t>
      </w:r>
      <w:r w:rsidRPr="008F32EF">
        <w:rPr>
          <w:sz w:val="22"/>
          <w:szCs w:val="2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3B176410" w:rsidR="007A74AB" w:rsidRPr="006D271A" w:rsidRDefault="007A74AB"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12</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06DD7">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241A02"/>
    <w:multiLevelType w:val="hybridMultilevel"/>
    <w:tmpl w:val="512433B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16D1"/>
    <w:rsid w:val="0002520B"/>
    <w:rsid w:val="000335A7"/>
    <w:rsid w:val="00037A9E"/>
    <w:rsid w:val="00037F91"/>
    <w:rsid w:val="00042C28"/>
    <w:rsid w:val="000534C9"/>
    <w:rsid w:val="000539F1"/>
    <w:rsid w:val="00054747"/>
    <w:rsid w:val="00055A2A"/>
    <w:rsid w:val="000615C1"/>
    <w:rsid w:val="00061675"/>
    <w:rsid w:val="000743AA"/>
    <w:rsid w:val="00075ED1"/>
    <w:rsid w:val="0009076F"/>
    <w:rsid w:val="0009225C"/>
    <w:rsid w:val="000A17C4"/>
    <w:rsid w:val="000A36A4"/>
    <w:rsid w:val="000B2352"/>
    <w:rsid w:val="000C7B84"/>
    <w:rsid w:val="000D081A"/>
    <w:rsid w:val="000D261B"/>
    <w:rsid w:val="000D58A3"/>
    <w:rsid w:val="000E3ED4"/>
    <w:rsid w:val="000E3F9C"/>
    <w:rsid w:val="000F1550"/>
    <w:rsid w:val="000F20FC"/>
    <w:rsid w:val="000F251B"/>
    <w:rsid w:val="000F4193"/>
    <w:rsid w:val="000F5FE8"/>
    <w:rsid w:val="000F6644"/>
    <w:rsid w:val="00100833"/>
    <w:rsid w:val="00102F72"/>
    <w:rsid w:val="00107E85"/>
    <w:rsid w:val="0011188E"/>
    <w:rsid w:val="00113EE8"/>
    <w:rsid w:val="0011455A"/>
    <w:rsid w:val="00114A65"/>
    <w:rsid w:val="00121317"/>
    <w:rsid w:val="00133061"/>
    <w:rsid w:val="001358A1"/>
    <w:rsid w:val="00141699"/>
    <w:rsid w:val="00147000"/>
    <w:rsid w:val="00157295"/>
    <w:rsid w:val="00163091"/>
    <w:rsid w:val="00163824"/>
    <w:rsid w:val="001645CB"/>
    <w:rsid w:val="00166305"/>
    <w:rsid w:val="00167545"/>
    <w:rsid w:val="00170259"/>
    <w:rsid w:val="001703C6"/>
    <w:rsid w:val="00173781"/>
    <w:rsid w:val="00175ADF"/>
    <w:rsid w:val="00175CAE"/>
    <w:rsid w:val="00176A56"/>
    <w:rsid w:val="001828DB"/>
    <w:rsid w:val="001850FE"/>
    <w:rsid w:val="00185135"/>
    <w:rsid w:val="0018619F"/>
    <w:rsid w:val="0019037C"/>
    <w:rsid w:val="001905A9"/>
    <w:rsid w:val="00191189"/>
    <w:rsid w:val="00191273"/>
    <w:rsid w:val="001928A9"/>
    <w:rsid w:val="001942A7"/>
    <w:rsid w:val="0019587B"/>
    <w:rsid w:val="001A163D"/>
    <w:rsid w:val="001A441E"/>
    <w:rsid w:val="001A6733"/>
    <w:rsid w:val="001B0354"/>
    <w:rsid w:val="001B357F"/>
    <w:rsid w:val="001B520F"/>
    <w:rsid w:val="001C3444"/>
    <w:rsid w:val="001C3702"/>
    <w:rsid w:val="001C4656"/>
    <w:rsid w:val="001C46BC"/>
    <w:rsid w:val="001D19AC"/>
    <w:rsid w:val="001F23E6"/>
    <w:rsid w:val="001F4238"/>
    <w:rsid w:val="001F6FAB"/>
    <w:rsid w:val="00200A38"/>
    <w:rsid w:val="00200A46"/>
    <w:rsid w:val="00202482"/>
    <w:rsid w:val="00205FFB"/>
    <w:rsid w:val="00211B6F"/>
    <w:rsid w:val="00213B69"/>
    <w:rsid w:val="00217CC3"/>
    <w:rsid w:val="00220AB6"/>
    <w:rsid w:val="0022120F"/>
    <w:rsid w:val="0022754A"/>
    <w:rsid w:val="00236560"/>
    <w:rsid w:val="0023662E"/>
    <w:rsid w:val="00245D0F"/>
    <w:rsid w:val="002539D9"/>
    <w:rsid w:val="002548C3"/>
    <w:rsid w:val="00257ACD"/>
    <w:rsid w:val="00261D63"/>
    <w:rsid w:val="00262908"/>
    <w:rsid w:val="002650F4"/>
    <w:rsid w:val="002715FD"/>
    <w:rsid w:val="002770B1"/>
    <w:rsid w:val="00285B33"/>
    <w:rsid w:val="00287A3C"/>
    <w:rsid w:val="002932BA"/>
    <w:rsid w:val="002A2FC6"/>
    <w:rsid w:val="002B793F"/>
    <w:rsid w:val="002C1EC7"/>
    <w:rsid w:val="002C248F"/>
    <w:rsid w:val="002C3015"/>
    <w:rsid w:val="002C4342"/>
    <w:rsid w:val="002C7EA3"/>
    <w:rsid w:val="002D1A35"/>
    <w:rsid w:val="002D20AE"/>
    <w:rsid w:val="002D6C61"/>
    <w:rsid w:val="002E2104"/>
    <w:rsid w:val="002E2DAC"/>
    <w:rsid w:val="002E38ED"/>
    <w:rsid w:val="002E6963"/>
    <w:rsid w:val="002E6F8F"/>
    <w:rsid w:val="002F05D8"/>
    <w:rsid w:val="002F2DE0"/>
    <w:rsid w:val="002F5E25"/>
    <w:rsid w:val="0030353C"/>
    <w:rsid w:val="00310B27"/>
    <w:rsid w:val="00310DAB"/>
    <w:rsid w:val="003125C3"/>
    <w:rsid w:val="00312AE6"/>
    <w:rsid w:val="00317D1A"/>
    <w:rsid w:val="003200C1"/>
    <w:rsid w:val="003207C6"/>
    <w:rsid w:val="003211FF"/>
    <w:rsid w:val="003242AB"/>
    <w:rsid w:val="00327247"/>
    <w:rsid w:val="00327A9D"/>
    <w:rsid w:val="003302D6"/>
    <w:rsid w:val="0033130E"/>
    <w:rsid w:val="0033269C"/>
    <w:rsid w:val="00351C79"/>
    <w:rsid w:val="0035516C"/>
    <w:rsid w:val="00355A4C"/>
    <w:rsid w:val="003604FB"/>
    <w:rsid w:val="00360B73"/>
    <w:rsid w:val="003642CD"/>
    <w:rsid w:val="003671A2"/>
    <w:rsid w:val="00380B71"/>
    <w:rsid w:val="0038365A"/>
    <w:rsid w:val="0038440A"/>
    <w:rsid w:val="00386A89"/>
    <w:rsid w:val="00390626"/>
    <w:rsid w:val="0039648E"/>
    <w:rsid w:val="003A5AFE"/>
    <w:rsid w:val="003A5D5F"/>
    <w:rsid w:val="003A7FFE"/>
    <w:rsid w:val="003B0A63"/>
    <w:rsid w:val="003B50E1"/>
    <w:rsid w:val="003C1746"/>
    <w:rsid w:val="003C2AA9"/>
    <w:rsid w:val="003C58BF"/>
    <w:rsid w:val="003D451D"/>
    <w:rsid w:val="003D7F4E"/>
    <w:rsid w:val="003E3B39"/>
    <w:rsid w:val="003E5F41"/>
    <w:rsid w:val="003F2DD8"/>
    <w:rsid w:val="003F3F2D"/>
    <w:rsid w:val="003F50B2"/>
    <w:rsid w:val="00400CCF"/>
    <w:rsid w:val="00401BFF"/>
    <w:rsid w:val="00404424"/>
    <w:rsid w:val="0041156B"/>
    <w:rsid w:val="004122C5"/>
    <w:rsid w:val="00413B78"/>
    <w:rsid w:val="00416DDE"/>
    <w:rsid w:val="00421D86"/>
    <w:rsid w:val="00425944"/>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4101"/>
    <w:rsid w:val="004C3BD6"/>
    <w:rsid w:val="004D2CC3"/>
    <w:rsid w:val="004D35CB"/>
    <w:rsid w:val="004D5CB3"/>
    <w:rsid w:val="004D7DAB"/>
    <w:rsid w:val="004E20E5"/>
    <w:rsid w:val="004E40B7"/>
    <w:rsid w:val="004E64EA"/>
    <w:rsid w:val="004E6B2D"/>
    <w:rsid w:val="004E7828"/>
    <w:rsid w:val="004F46AA"/>
    <w:rsid w:val="004F6A70"/>
    <w:rsid w:val="0050063C"/>
    <w:rsid w:val="00500AD7"/>
    <w:rsid w:val="00501AF6"/>
    <w:rsid w:val="00502ABF"/>
    <w:rsid w:val="00504DB0"/>
    <w:rsid w:val="00507C35"/>
    <w:rsid w:val="00510735"/>
    <w:rsid w:val="00511BEE"/>
    <w:rsid w:val="00514D2F"/>
    <w:rsid w:val="00516526"/>
    <w:rsid w:val="005221A2"/>
    <w:rsid w:val="0054420E"/>
    <w:rsid w:val="00544D1B"/>
    <w:rsid w:val="00545DC0"/>
    <w:rsid w:val="00545F6C"/>
    <w:rsid w:val="005477D9"/>
    <w:rsid w:val="00547DD1"/>
    <w:rsid w:val="00554822"/>
    <w:rsid w:val="005566C3"/>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360"/>
    <w:rsid w:val="005A33B0"/>
    <w:rsid w:val="005A4BB2"/>
    <w:rsid w:val="005B3107"/>
    <w:rsid w:val="005B3804"/>
    <w:rsid w:val="005C2DC2"/>
    <w:rsid w:val="005C304A"/>
    <w:rsid w:val="005C3D69"/>
    <w:rsid w:val="005C7C98"/>
    <w:rsid w:val="005D2C3A"/>
    <w:rsid w:val="005D55A4"/>
    <w:rsid w:val="005D57C8"/>
    <w:rsid w:val="005D5E97"/>
    <w:rsid w:val="005D7761"/>
    <w:rsid w:val="005E0278"/>
    <w:rsid w:val="005E090D"/>
    <w:rsid w:val="005E3389"/>
    <w:rsid w:val="005E3CA0"/>
    <w:rsid w:val="005E44B1"/>
    <w:rsid w:val="005E67B0"/>
    <w:rsid w:val="005E7047"/>
    <w:rsid w:val="005E777F"/>
    <w:rsid w:val="005F1CA7"/>
    <w:rsid w:val="005F43DD"/>
    <w:rsid w:val="005F51A9"/>
    <w:rsid w:val="005F6BE1"/>
    <w:rsid w:val="005F7416"/>
    <w:rsid w:val="00600C11"/>
    <w:rsid w:val="00606B89"/>
    <w:rsid w:val="00611EAF"/>
    <w:rsid w:val="006143B0"/>
    <w:rsid w:val="00614FDE"/>
    <w:rsid w:val="00623F30"/>
    <w:rsid w:val="00625FB8"/>
    <w:rsid w:val="006261BD"/>
    <w:rsid w:val="00635ACD"/>
    <w:rsid w:val="00635EDB"/>
    <w:rsid w:val="0064734E"/>
    <w:rsid w:val="0064787A"/>
    <w:rsid w:val="00650137"/>
    <w:rsid w:val="006509D7"/>
    <w:rsid w:val="00651CE8"/>
    <w:rsid w:val="0065521B"/>
    <w:rsid w:val="00671EF6"/>
    <w:rsid w:val="0067205B"/>
    <w:rsid w:val="006748F8"/>
    <w:rsid w:val="00680489"/>
    <w:rsid w:val="00682AC0"/>
    <w:rsid w:val="00683C32"/>
    <w:rsid w:val="00687345"/>
    <w:rsid w:val="00690111"/>
    <w:rsid w:val="00690BB2"/>
    <w:rsid w:val="00693D09"/>
    <w:rsid w:val="0069408B"/>
    <w:rsid w:val="00695A2F"/>
    <w:rsid w:val="006A405D"/>
    <w:rsid w:val="006A6549"/>
    <w:rsid w:val="006A7710"/>
    <w:rsid w:val="006A7A61"/>
    <w:rsid w:val="006B1E59"/>
    <w:rsid w:val="006B2FFB"/>
    <w:rsid w:val="006B7221"/>
    <w:rsid w:val="006C10A2"/>
    <w:rsid w:val="006C1F18"/>
    <w:rsid w:val="006D3EE5"/>
    <w:rsid w:val="006D40D5"/>
    <w:rsid w:val="006D765E"/>
    <w:rsid w:val="006E28F5"/>
    <w:rsid w:val="006E6BAD"/>
    <w:rsid w:val="006F009A"/>
    <w:rsid w:val="006F3D93"/>
    <w:rsid w:val="007004D4"/>
    <w:rsid w:val="00701224"/>
    <w:rsid w:val="007019B1"/>
    <w:rsid w:val="00702182"/>
    <w:rsid w:val="00705C5C"/>
    <w:rsid w:val="007115A7"/>
    <w:rsid w:val="00721657"/>
    <w:rsid w:val="007279A8"/>
    <w:rsid w:val="00727B1A"/>
    <w:rsid w:val="00741337"/>
    <w:rsid w:val="00742303"/>
    <w:rsid w:val="00752258"/>
    <w:rsid w:val="007529E1"/>
    <w:rsid w:val="00762880"/>
    <w:rsid w:val="00762AD6"/>
    <w:rsid w:val="00762E02"/>
    <w:rsid w:val="00772290"/>
    <w:rsid w:val="007742D2"/>
    <w:rsid w:val="00777265"/>
    <w:rsid w:val="007805E7"/>
    <w:rsid w:val="0078222A"/>
    <w:rsid w:val="00787D48"/>
    <w:rsid w:val="00795294"/>
    <w:rsid w:val="007A4E50"/>
    <w:rsid w:val="007A74AB"/>
    <w:rsid w:val="007B18A7"/>
    <w:rsid w:val="007B250E"/>
    <w:rsid w:val="007C27FC"/>
    <w:rsid w:val="007C51FF"/>
    <w:rsid w:val="007D50E4"/>
    <w:rsid w:val="007E2DC5"/>
    <w:rsid w:val="007E515B"/>
    <w:rsid w:val="007F1CC7"/>
    <w:rsid w:val="007F57CC"/>
    <w:rsid w:val="008027AC"/>
    <w:rsid w:val="008028CE"/>
    <w:rsid w:val="00803188"/>
    <w:rsid w:val="0080332E"/>
    <w:rsid w:val="00810C75"/>
    <w:rsid w:val="008141E0"/>
    <w:rsid w:val="008159D6"/>
    <w:rsid w:val="00816EE1"/>
    <w:rsid w:val="00816F88"/>
    <w:rsid w:val="00821996"/>
    <w:rsid w:val="00822323"/>
    <w:rsid w:val="00827BC6"/>
    <w:rsid w:val="008300AD"/>
    <w:rsid w:val="00833024"/>
    <w:rsid w:val="008370A0"/>
    <w:rsid w:val="00840D46"/>
    <w:rsid w:val="008419B1"/>
    <w:rsid w:val="00844A56"/>
    <w:rsid w:val="00845B11"/>
    <w:rsid w:val="00852081"/>
    <w:rsid w:val="00853630"/>
    <w:rsid w:val="00872B6E"/>
    <w:rsid w:val="00874DFD"/>
    <w:rsid w:val="00875876"/>
    <w:rsid w:val="008802F9"/>
    <w:rsid w:val="00880CBD"/>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1149"/>
    <w:rsid w:val="008D5E4F"/>
    <w:rsid w:val="008E2335"/>
    <w:rsid w:val="008F14F5"/>
    <w:rsid w:val="008F32EF"/>
    <w:rsid w:val="008F38D8"/>
    <w:rsid w:val="008F71C1"/>
    <w:rsid w:val="008F7356"/>
    <w:rsid w:val="008F7E36"/>
    <w:rsid w:val="00902D41"/>
    <w:rsid w:val="00902F49"/>
    <w:rsid w:val="00904230"/>
    <w:rsid w:val="00911F5F"/>
    <w:rsid w:val="00912380"/>
    <w:rsid w:val="00914004"/>
    <w:rsid w:val="00922EC1"/>
    <w:rsid w:val="00923CF1"/>
    <w:rsid w:val="009301F1"/>
    <w:rsid w:val="009307DF"/>
    <w:rsid w:val="009359B8"/>
    <w:rsid w:val="00935FF0"/>
    <w:rsid w:val="00941EA9"/>
    <w:rsid w:val="009431F8"/>
    <w:rsid w:val="00947A35"/>
    <w:rsid w:val="0096201B"/>
    <w:rsid w:val="00962081"/>
    <w:rsid w:val="00966CB5"/>
    <w:rsid w:val="00975786"/>
    <w:rsid w:val="00981CB7"/>
    <w:rsid w:val="00983E1F"/>
    <w:rsid w:val="00986A9A"/>
    <w:rsid w:val="00993F46"/>
    <w:rsid w:val="00997358"/>
    <w:rsid w:val="009A2E80"/>
    <w:rsid w:val="009A452B"/>
    <w:rsid w:val="009A6E82"/>
    <w:rsid w:val="009B008D"/>
    <w:rsid w:val="009B050C"/>
    <w:rsid w:val="009B087F"/>
    <w:rsid w:val="009B1052"/>
    <w:rsid w:val="009B2AF4"/>
    <w:rsid w:val="009C110B"/>
    <w:rsid w:val="009C5441"/>
    <w:rsid w:val="009D088E"/>
    <w:rsid w:val="009D119F"/>
    <w:rsid w:val="009D49A2"/>
    <w:rsid w:val="009E0F72"/>
    <w:rsid w:val="009E2B6E"/>
    <w:rsid w:val="009F1F31"/>
    <w:rsid w:val="009F3940"/>
    <w:rsid w:val="009F3EB2"/>
    <w:rsid w:val="009F6EB1"/>
    <w:rsid w:val="009F6EC0"/>
    <w:rsid w:val="00A054FE"/>
    <w:rsid w:val="00A11D05"/>
    <w:rsid w:val="00A13162"/>
    <w:rsid w:val="00A20267"/>
    <w:rsid w:val="00A3158C"/>
    <w:rsid w:val="00A32DF3"/>
    <w:rsid w:val="00A33E32"/>
    <w:rsid w:val="00A3447A"/>
    <w:rsid w:val="00A35E20"/>
    <w:rsid w:val="00A36204"/>
    <w:rsid w:val="00A36F6D"/>
    <w:rsid w:val="00A50CA0"/>
    <w:rsid w:val="00A525CC"/>
    <w:rsid w:val="00A53E7C"/>
    <w:rsid w:val="00A57F2E"/>
    <w:rsid w:val="00A60087"/>
    <w:rsid w:val="00A62CE5"/>
    <w:rsid w:val="00A705E8"/>
    <w:rsid w:val="00A721F4"/>
    <w:rsid w:val="00A81778"/>
    <w:rsid w:val="00A8279F"/>
    <w:rsid w:val="00A9392C"/>
    <w:rsid w:val="00A9462B"/>
    <w:rsid w:val="00A97D59"/>
    <w:rsid w:val="00AA3E09"/>
    <w:rsid w:val="00AA4BEF"/>
    <w:rsid w:val="00AA736A"/>
    <w:rsid w:val="00AB1659"/>
    <w:rsid w:val="00AB3D0A"/>
    <w:rsid w:val="00AB3EE6"/>
    <w:rsid w:val="00AB4962"/>
    <w:rsid w:val="00AB734E"/>
    <w:rsid w:val="00AB740F"/>
    <w:rsid w:val="00AC6F14"/>
    <w:rsid w:val="00AC7221"/>
    <w:rsid w:val="00AE5961"/>
    <w:rsid w:val="00AE7A6E"/>
    <w:rsid w:val="00AF0745"/>
    <w:rsid w:val="00AF4971"/>
    <w:rsid w:val="00AF5276"/>
    <w:rsid w:val="00AF7C86"/>
    <w:rsid w:val="00B01046"/>
    <w:rsid w:val="00B077EE"/>
    <w:rsid w:val="00B27859"/>
    <w:rsid w:val="00B310F9"/>
    <w:rsid w:val="00B33F49"/>
    <w:rsid w:val="00B37866"/>
    <w:rsid w:val="00B412FB"/>
    <w:rsid w:val="00B41A8B"/>
    <w:rsid w:val="00B4576B"/>
    <w:rsid w:val="00B46350"/>
    <w:rsid w:val="00B46DF3"/>
    <w:rsid w:val="00B47DE2"/>
    <w:rsid w:val="00B648C7"/>
    <w:rsid w:val="00B66E8F"/>
    <w:rsid w:val="00B75CD7"/>
    <w:rsid w:val="00B80157"/>
    <w:rsid w:val="00B83D5E"/>
    <w:rsid w:val="00B8460A"/>
    <w:rsid w:val="00B852C1"/>
    <w:rsid w:val="00B8650D"/>
    <w:rsid w:val="00B879B4"/>
    <w:rsid w:val="00B900D3"/>
    <w:rsid w:val="00B90F07"/>
    <w:rsid w:val="00B9327A"/>
    <w:rsid w:val="00B96AEA"/>
    <w:rsid w:val="00B97BB9"/>
    <w:rsid w:val="00BA0009"/>
    <w:rsid w:val="00BB1863"/>
    <w:rsid w:val="00BB25EE"/>
    <w:rsid w:val="00BB363A"/>
    <w:rsid w:val="00BC020D"/>
    <w:rsid w:val="00BC10A0"/>
    <w:rsid w:val="00BC7BA2"/>
    <w:rsid w:val="00BD426B"/>
    <w:rsid w:val="00BD79F0"/>
    <w:rsid w:val="00BE2B4D"/>
    <w:rsid w:val="00BE4EF3"/>
    <w:rsid w:val="00BF73E8"/>
    <w:rsid w:val="00C015F8"/>
    <w:rsid w:val="00C02917"/>
    <w:rsid w:val="00C02C2A"/>
    <w:rsid w:val="00C06DD7"/>
    <w:rsid w:val="00C07B18"/>
    <w:rsid w:val="00C07E26"/>
    <w:rsid w:val="00C1011C"/>
    <w:rsid w:val="00C11798"/>
    <w:rsid w:val="00C12F94"/>
    <w:rsid w:val="00C177C5"/>
    <w:rsid w:val="00C17E61"/>
    <w:rsid w:val="00C24171"/>
    <w:rsid w:val="00C271A7"/>
    <w:rsid w:val="00C34EC3"/>
    <w:rsid w:val="00C371C9"/>
    <w:rsid w:val="00C4038C"/>
    <w:rsid w:val="00C41FFA"/>
    <w:rsid w:val="00C42BA2"/>
    <w:rsid w:val="00C44066"/>
    <w:rsid w:val="00C44E13"/>
    <w:rsid w:val="00C60A41"/>
    <w:rsid w:val="00C62DE8"/>
    <w:rsid w:val="00C62DFB"/>
    <w:rsid w:val="00C630E6"/>
    <w:rsid w:val="00C63812"/>
    <w:rsid w:val="00C63CFE"/>
    <w:rsid w:val="00C64AF3"/>
    <w:rsid w:val="00C66F4D"/>
    <w:rsid w:val="00C67BB5"/>
    <w:rsid w:val="00C72713"/>
    <w:rsid w:val="00C803F2"/>
    <w:rsid w:val="00C805AA"/>
    <w:rsid w:val="00C848EF"/>
    <w:rsid w:val="00C86600"/>
    <w:rsid w:val="00C87BCA"/>
    <w:rsid w:val="00C87EED"/>
    <w:rsid w:val="00C94506"/>
    <w:rsid w:val="00C954BC"/>
    <w:rsid w:val="00CA1C06"/>
    <w:rsid w:val="00CA1F0B"/>
    <w:rsid w:val="00CA2B04"/>
    <w:rsid w:val="00CA4436"/>
    <w:rsid w:val="00CA555A"/>
    <w:rsid w:val="00CB110F"/>
    <w:rsid w:val="00CB2A2E"/>
    <w:rsid w:val="00CB338A"/>
    <w:rsid w:val="00CB79C5"/>
    <w:rsid w:val="00CC411F"/>
    <w:rsid w:val="00CC4B75"/>
    <w:rsid w:val="00CC732E"/>
    <w:rsid w:val="00CD0F13"/>
    <w:rsid w:val="00CD2FCD"/>
    <w:rsid w:val="00CD548B"/>
    <w:rsid w:val="00CD5AF8"/>
    <w:rsid w:val="00CD6591"/>
    <w:rsid w:val="00CD7207"/>
    <w:rsid w:val="00CE0422"/>
    <w:rsid w:val="00CE0DBE"/>
    <w:rsid w:val="00CE5E4D"/>
    <w:rsid w:val="00CF02C4"/>
    <w:rsid w:val="00CF167F"/>
    <w:rsid w:val="00CF72E5"/>
    <w:rsid w:val="00CF76A7"/>
    <w:rsid w:val="00D013EE"/>
    <w:rsid w:val="00D01F54"/>
    <w:rsid w:val="00D040F7"/>
    <w:rsid w:val="00D04A76"/>
    <w:rsid w:val="00D10FC7"/>
    <w:rsid w:val="00D1519F"/>
    <w:rsid w:val="00D20E99"/>
    <w:rsid w:val="00D21C83"/>
    <w:rsid w:val="00D25A91"/>
    <w:rsid w:val="00D35BDD"/>
    <w:rsid w:val="00D37A23"/>
    <w:rsid w:val="00D37D39"/>
    <w:rsid w:val="00D42555"/>
    <w:rsid w:val="00D42F31"/>
    <w:rsid w:val="00D52591"/>
    <w:rsid w:val="00D55A20"/>
    <w:rsid w:val="00D63006"/>
    <w:rsid w:val="00D70D5C"/>
    <w:rsid w:val="00D72301"/>
    <w:rsid w:val="00D75055"/>
    <w:rsid w:val="00D90A6C"/>
    <w:rsid w:val="00D911DE"/>
    <w:rsid w:val="00D91B97"/>
    <w:rsid w:val="00D93ACC"/>
    <w:rsid w:val="00D93C08"/>
    <w:rsid w:val="00D95DAC"/>
    <w:rsid w:val="00DA0B53"/>
    <w:rsid w:val="00DB1171"/>
    <w:rsid w:val="00DB1519"/>
    <w:rsid w:val="00DB2840"/>
    <w:rsid w:val="00DB5CF3"/>
    <w:rsid w:val="00DC1BD3"/>
    <w:rsid w:val="00DC2C1A"/>
    <w:rsid w:val="00DD66B4"/>
    <w:rsid w:val="00DE1972"/>
    <w:rsid w:val="00DE27AB"/>
    <w:rsid w:val="00DF2AB3"/>
    <w:rsid w:val="00DF7250"/>
    <w:rsid w:val="00E00CAA"/>
    <w:rsid w:val="00E03EBF"/>
    <w:rsid w:val="00E05209"/>
    <w:rsid w:val="00E11BCF"/>
    <w:rsid w:val="00E2258E"/>
    <w:rsid w:val="00E24F07"/>
    <w:rsid w:val="00E260C2"/>
    <w:rsid w:val="00E27162"/>
    <w:rsid w:val="00E32596"/>
    <w:rsid w:val="00E368F7"/>
    <w:rsid w:val="00E36EB8"/>
    <w:rsid w:val="00E37FB8"/>
    <w:rsid w:val="00E40B07"/>
    <w:rsid w:val="00E42326"/>
    <w:rsid w:val="00E43544"/>
    <w:rsid w:val="00E44D89"/>
    <w:rsid w:val="00E477EA"/>
    <w:rsid w:val="00E51347"/>
    <w:rsid w:val="00E55807"/>
    <w:rsid w:val="00E63B14"/>
    <w:rsid w:val="00E65CA0"/>
    <w:rsid w:val="00E70D9F"/>
    <w:rsid w:val="00E83810"/>
    <w:rsid w:val="00E84E1F"/>
    <w:rsid w:val="00E86933"/>
    <w:rsid w:val="00E93EEB"/>
    <w:rsid w:val="00E9605B"/>
    <w:rsid w:val="00E97298"/>
    <w:rsid w:val="00E97753"/>
    <w:rsid w:val="00EA0C51"/>
    <w:rsid w:val="00EA7DE7"/>
    <w:rsid w:val="00EB2356"/>
    <w:rsid w:val="00EB7A8A"/>
    <w:rsid w:val="00EC09F2"/>
    <w:rsid w:val="00EC14C7"/>
    <w:rsid w:val="00EC6FED"/>
    <w:rsid w:val="00EC79AB"/>
    <w:rsid w:val="00EC7F3B"/>
    <w:rsid w:val="00ED5299"/>
    <w:rsid w:val="00ED6E6C"/>
    <w:rsid w:val="00EE3A64"/>
    <w:rsid w:val="00EE4D6B"/>
    <w:rsid w:val="00EE50E5"/>
    <w:rsid w:val="00EE7169"/>
    <w:rsid w:val="00EF01CF"/>
    <w:rsid w:val="00EF46A2"/>
    <w:rsid w:val="00EF7069"/>
    <w:rsid w:val="00F03590"/>
    <w:rsid w:val="00F03622"/>
    <w:rsid w:val="00F077FD"/>
    <w:rsid w:val="00F204F3"/>
    <w:rsid w:val="00F218AB"/>
    <w:rsid w:val="00F238B3"/>
    <w:rsid w:val="00F24FED"/>
    <w:rsid w:val="00F25586"/>
    <w:rsid w:val="00F2651D"/>
    <w:rsid w:val="00F26824"/>
    <w:rsid w:val="00F27362"/>
    <w:rsid w:val="00F31498"/>
    <w:rsid w:val="00F32FEF"/>
    <w:rsid w:val="00F41B1C"/>
    <w:rsid w:val="00F427A6"/>
    <w:rsid w:val="00F42E13"/>
    <w:rsid w:val="00F42F1C"/>
    <w:rsid w:val="00F43B44"/>
    <w:rsid w:val="00F440E5"/>
    <w:rsid w:val="00F448F6"/>
    <w:rsid w:val="00F52741"/>
    <w:rsid w:val="00F535D6"/>
    <w:rsid w:val="00F53D8A"/>
    <w:rsid w:val="00F626F7"/>
    <w:rsid w:val="00F64ACD"/>
    <w:rsid w:val="00F71B94"/>
    <w:rsid w:val="00F736F9"/>
    <w:rsid w:val="00F73833"/>
    <w:rsid w:val="00F74993"/>
    <w:rsid w:val="00F74BE8"/>
    <w:rsid w:val="00F76610"/>
    <w:rsid w:val="00F9211C"/>
    <w:rsid w:val="00FA095D"/>
    <w:rsid w:val="00FA6C8B"/>
    <w:rsid w:val="00FA6CDA"/>
    <w:rsid w:val="00FA7C89"/>
    <w:rsid w:val="00FA7FDC"/>
    <w:rsid w:val="00FB3809"/>
    <w:rsid w:val="00FB4139"/>
    <w:rsid w:val="00FB476E"/>
    <w:rsid w:val="00FC0BF7"/>
    <w:rsid w:val="00FC0D90"/>
    <w:rsid w:val="00FC7D8C"/>
    <w:rsid w:val="00FD3980"/>
    <w:rsid w:val="00FD431E"/>
    <w:rsid w:val="00FD5A2C"/>
    <w:rsid w:val="00FE03F8"/>
    <w:rsid w:val="00FE0D47"/>
    <w:rsid w:val="00FE1A89"/>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C803F2"/>
    <w:rPr>
      <w:color w:val="605E5C"/>
      <w:shd w:val="clear" w:color="auto" w:fill="E1DFDD"/>
    </w:rPr>
  </w:style>
  <w:style w:type="character" w:customStyle="1" w:styleId="FootnoteTextChar">
    <w:name w:val="Footnote Text Char"/>
    <w:basedOn w:val="DefaultParagraphFont"/>
    <w:link w:val="FootnoteText"/>
    <w:uiPriority w:val="99"/>
    <w:rsid w:val="00C803F2"/>
    <w:rPr>
      <w:rFonts w:asciiTheme="minorHAnsi" w:hAnsiTheme="minorHAnsi"/>
      <w:sz w:val="24"/>
      <w:lang w:val="en-GB" w:eastAsia="en-US"/>
    </w:rPr>
  </w:style>
  <w:style w:type="character" w:styleId="FollowedHyperlink">
    <w:name w:val="FollowedHyperlink"/>
    <w:basedOn w:val="DefaultParagraphFont"/>
    <w:semiHidden/>
    <w:unhideWhenUsed/>
    <w:rsid w:val="007004D4"/>
    <w:rPr>
      <w:color w:val="800080" w:themeColor="followedHyperlink"/>
      <w:u w:val="single"/>
    </w:rPr>
  </w:style>
  <w:style w:type="paragraph" w:styleId="BalloonText">
    <w:name w:val="Balloon Text"/>
    <w:basedOn w:val="Normal"/>
    <w:link w:val="BalloonTextChar"/>
    <w:semiHidden/>
    <w:unhideWhenUsed/>
    <w:rsid w:val="002D1A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1A3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D/Conferences/CRO/PublishingImages/CRO11/IAGDI-CRO%20Outcome%20Statemen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7485-1B4A-482E-9185-DA0AD358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1936</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6</cp:revision>
  <cp:lastPrinted>2014-11-04T09:22:00Z</cp:lastPrinted>
  <dcterms:created xsi:type="dcterms:W3CDTF">2021-04-28T11:37:00Z</dcterms:created>
  <dcterms:modified xsi:type="dcterms:W3CDTF">2021-04-28T12:02:00Z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