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00AD4677">
        <w:trPr>
          <w:cantSplit/>
          <w:trHeight w:val="1134"/>
        </w:trPr>
        <w:tc>
          <w:tcPr>
            <w:tcW w:w="2410" w:type="dxa"/>
          </w:tcPr>
          <w:p w14:paraId="5BB7E038" w14:textId="4A88B7D6" w:rsidR="00AD4677" w:rsidRDefault="00AD4677" w:rsidP="00AD4677">
            <w:pPr>
              <w:tabs>
                <w:tab w:val="clear" w:pos="1191"/>
                <w:tab w:val="clear" w:pos="1588"/>
                <w:tab w:val="clear" w:pos="1985"/>
              </w:tabs>
              <w:spacing w:after="120"/>
              <w:ind w:left="34"/>
              <w:rPr>
                <w:b/>
                <w:bCs/>
                <w:sz w:val="32"/>
                <w:szCs w:val="32"/>
              </w:rPr>
            </w:pPr>
            <w:bookmarkStart w:id="0" w:name="_GoBack"/>
            <w:bookmarkEnd w:id="0"/>
            <w:r>
              <w:rPr>
                <w:rFonts w:cstheme="minorHAnsi"/>
                <w:noProof/>
              </w:rPr>
              <w:drawing>
                <wp:inline distT="0" distB="0" distL="0" distR="0" wp14:anchorId="7A01642E" wp14:editId="226D37F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AD4677">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01DC69EC" w:rsidR="00AD4677" w:rsidRPr="00844A56" w:rsidRDefault="00AD4677" w:rsidP="00B648C7">
            <w:pPr>
              <w:tabs>
                <w:tab w:val="clear" w:pos="1191"/>
                <w:tab w:val="clear" w:pos="1588"/>
                <w:tab w:val="clear" w:pos="1985"/>
              </w:tabs>
              <w:spacing w:before="100" w:after="120"/>
              <w:ind w:left="34"/>
              <w:rPr>
                <w:rFonts w:ascii="Verdana" w:hAnsi="Verdana"/>
                <w:sz w:val="28"/>
                <w:szCs w:val="28"/>
              </w:rPr>
            </w:pPr>
            <w:r>
              <w:rPr>
                <w:b/>
                <w:bCs/>
                <w:sz w:val="26"/>
                <w:szCs w:val="26"/>
              </w:rPr>
              <w:t>28th Meeting, Virtual, 2</w:t>
            </w:r>
            <w:r w:rsidR="00BB02B5">
              <w:rPr>
                <w:b/>
                <w:bCs/>
                <w:sz w:val="26"/>
                <w:szCs w:val="26"/>
              </w:rPr>
              <w:t>4</w:t>
            </w:r>
            <w:r>
              <w:rPr>
                <w:b/>
                <w:bCs/>
                <w:sz w:val="26"/>
                <w:szCs w:val="26"/>
              </w:rPr>
              <w:t>-28 May 2021</w:t>
            </w:r>
          </w:p>
        </w:tc>
        <w:tc>
          <w:tcPr>
            <w:tcW w:w="1524" w:type="dxa"/>
          </w:tcPr>
          <w:p w14:paraId="67E7B4C4" w14:textId="0F52E4CC" w:rsidR="00AD4677" w:rsidRPr="00683C32" w:rsidRDefault="00AD4677" w:rsidP="00AD4677">
            <w:pPr>
              <w:spacing w:before="24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1037CF7C"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1" w:name="DocRef1"/>
            <w:bookmarkEnd w:id="1"/>
            <w:r>
              <w:rPr>
                <w:b/>
                <w:bCs/>
                <w:lang w:val="en-US"/>
              </w:rPr>
              <w:t>TDAG</w:t>
            </w:r>
            <w:r w:rsidR="003242AB">
              <w:rPr>
                <w:b/>
                <w:bCs/>
                <w:lang w:val="en-US"/>
              </w:rPr>
              <w:t>-</w:t>
            </w:r>
            <w:r w:rsidR="00B648C7">
              <w:rPr>
                <w:b/>
                <w:bCs/>
                <w:lang w:val="en-US"/>
              </w:rPr>
              <w:t>2</w:t>
            </w:r>
            <w:bookmarkStart w:id="2" w:name="DocNo1"/>
            <w:bookmarkEnd w:id="2"/>
            <w:r w:rsidR="00AD4677">
              <w:rPr>
                <w:b/>
                <w:bCs/>
                <w:lang w:val="en-US"/>
              </w:rPr>
              <w:t>1</w:t>
            </w:r>
            <w:r w:rsidR="0009076F">
              <w:rPr>
                <w:b/>
                <w:bCs/>
                <w:lang w:val="en-US"/>
              </w:rPr>
              <w:t>/</w:t>
            </w:r>
            <w:r w:rsidR="00886722">
              <w:rPr>
                <w:b/>
                <w:bCs/>
                <w:lang w:val="en-US"/>
              </w:rPr>
              <w:t>12</w:t>
            </w:r>
            <w:r>
              <w:rPr>
                <w:b/>
                <w:bCs/>
                <w:lang w:val="en-US"/>
              </w:rPr>
              <w:t>-E</w:t>
            </w:r>
          </w:p>
        </w:tc>
      </w:tr>
      <w:tr w:rsidR="00683C32" w14:paraId="24D04936" w14:textId="77777777" w:rsidTr="0009076F">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3F3DD24E" w:rsidR="00683C32" w:rsidRPr="007F1CC7" w:rsidRDefault="00A244BC" w:rsidP="00B648C7">
            <w:pPr>
              <w:spacing w:before="0"/>
              <w:rPr>
                <w:b/>
                <w:szCs w:val="24"/>
              </w:rPr>
            </w:pPr>
            <w:bookmarkStart w:id="3" w:name="CreationDate"/>
            <w:bookmarkEnd w:id="3"/>
            <w:r>
              <w:rPr>
                <w:b/>
                <w:bCs/>
                <w:szCs w:val="28"/>
              </w:rPr>
              <w:t>13 April 2021</w:t>
            </w:r>
          </w:p>
        </w:tc>
      </w:tr>
      <w:tr w:rsidR="00683C32" w14:paraId="7B96545F" w14:textId="77777777" w:rsidTr="0009076F">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0BF1F51F" w:rsidR="00514D2F" w:rsidRPr="007F1CC7" w:rsidRDefault="0096201B" w:rsidP="00400CCF">
            <w:pPr>
              <w:spacing w:before="0"/>
              <w:rPr>
                <w:szCs w:val="24"/>
              </w:rPr>
            </w:pPr>
            <w:r>
              <w:rPr>
                <w:b/>
              </w:rPr>
              <w:t>Original:</w:t>
            </w:r>
            <w:bookmarkStart w:id="4" w:name="Original"/>
            <w:bookmarkEnd w:id="4"/>
            <w:r w:rsidR="00CE0422">
              <w:rPr>
                <w:b/>
              </w:rPr>
              <w:t xml:space="preserve"> </w:t>
            </w:r>
            <w:r w:rsidR="00AD4677">
              <w:rPr>
                <w:b/>
              </w:rPr>
              <w:t>English</w:t>
            </w:r>
          </w:p>
        </w:tc>
      </w:tr>
      <w:tr w:rsidR="00A13162" w14:paraId="31656E31" w14:textId="77777777" w:rsidTr="00107E85">
        <w:trPr>
          <w:cantSplit/>
          <w:trHeight w:val="852"/>
        </w:trPr>
        <w:tc>
          <w:tcPr>
            <w:tcW w:w="9888" w:type="dxa"/>
            <w:gridSpan w:val="4"/>
          </w:tcPr>
          <w:p w14:paraId="512FCA01" w14:textId="37305498" w:rsidR="00A13162" w:rsidRPr="0030353C" w:rsidRDefault="00886722" w:rsidP="0030353C">
            <w:pPr>
              <w:pStyle w:val="Source"/>
            </w:pPr>
            <w:bookmarkStart w:id="5" w:name="Source"/>
            <w:bookmarkEnd w:id="5"/>
            <w:r w:rsidRPr="00886722">
              <w:t>Director, Telecommunication Development Bureau</w:t>
            </w:r>
          </w:p>
        </w:tc>
      </w:tr>
      <w:tr w:rsidR="00AC6F14" w:rsidRPr="002E6963" w14:paraId="2CBD3A36" w14:textId="77777777" w:rsidTr="00107E85">
        <w:trPr>
          <w:cantSplit/>
        </w:trPr>
        <w:tc>
          <w:tcPr>
            <w:tcW w:w="9888" w:type="dxa"/>
            <w:gridSpan w:val="4"/>
          </w:tcPr>
          <w:p w14:paraId="1B4121DF" w14:textId="46699DB4" w:rsidR="00AC6F14" w:rsidRPr="0030353C" w:rsidRDefault="00886722" w:rsidP="0030353C">
            <w:pPr>
              <w:pStyle w:val="Title1"/>
            </w:pPr>
            <w:bookmarkStart w:id="6" w:name="Title"/>
            <w:bookmarkStart w:id="7" w:name="_Hlk68881400"/>
            <w:bookmarkEnd w:id="6"/>
            <w:r w:rsidRPr="00886722">
              <w:t>ITU-D S</w:t>
            </w:r>
            <w:r w:rsidR="00A244BC">
              <w:t>ector Members</w:t>
            </w:r>
            <w:r w:rsidRPr="00886722">
              <w:t>, A</w:t>
            </w:r>
            <w:r w:rsidR="00A244BC">
              <w:t>ssociates and Academia</w:t>
            </w:r>
            <w:bookmarkEnd w:id="7"/>
          </w:p>
        </w:tc>
      </w:tr>
      <w:tr w:rsidR="00A721F4" w:rsidRPr="002E6963" w14:paraId="23A30231" w14:textId="77777777" w:rsidTr="00A721F4">
        <w:trPr>
          <w:cantSplit/>
        </w:trPr>
        <w:tc>
          <w:tcPr>
            <w:tcW w:w="9888" w:type="dxa"/>
            <w:gridSpan w:val="4"/>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4082D7E8" w14:textId="7DF6E2EE" w:rsidR="00A721F4" w:rsidRPr="00886722" w:rsidRDefault="00886722" w:rsidP="00886722">
            <w:pPr>
              <w:tabs>
                <w:tab w:val="clear" w:pos="794"/>
                <w:tab w:val="clear" w:pos="1191"/>
                <w:tab w:val="clear" w:pos="1588"/>
                <w:tab w:val="clear" w:pos="1985"/>
                <w:tab w:val="left" w:pos="1134"/>
                <w:tab w:val="left" w:pos="1871"/>
                <w:tab w:val="left" w:pos="2268"/>
              </w:tabs>
              <w:rPr>
                <w:rFonts w:ascii="Calibri" w:hAnsi="Calibri"/>
                <w:szCs w:val="24"/>
                <w:lang w:val="en-US"/>
              </w:rPr>
            </w:pPr>
            <w:r w:rsidRPr="00886722">
              <w:rPr>
                <w:rFonts w:ascii="Calibri" w:hAnsi="Calibri"/>
                <w:szCs w:val="24"/>
                <w:lang w:val="en-US"/>
              </w:rPr>
              <w:t xml:space="preserve">This document provides an overview of the evolution of ITU-D membership. It also recommends actions to strengthen this membership in accordance with the outcomes of the </w:t>
            </w:r>
            <w:r w:rsidRPr="00886722">
              <w:rPr>
                <w:rFonts w:ascii="Calibri" w:hAnsi="Calibri"/>
                <w:szCs w:val="24"/>
              </w:rPr>
              <w:t>World Telecommunication Development Conference of 2017 (</w:t>
            </w:r>
            <w:r w:rsidRPr="00886722">
              <w:rPr>
                <w:rFonts w:ascii="Calibri" w:hAnsi="Calibri"/>
                <w:szCs w:val="24"/>
                <w:lang w:val="en-US"/>
              </w:rPr>
              <w:t>WTDC-17) and the Plenipotentiary Conference of 2018. ITU-D membership includes Sector Members, Associates and Academia</w:t>
            </w:r>
            <w:bookmarkStart w:id="8" w:name="dorlang"/>
            <w:bookmarkEnd w:id="8"/>
            <w:r w:rsidRPr="00886722">
              <w:rPr>
                <w:rFonts w:ascii="Calibri" w:hAnsi="Calibri"/>
                <w:szCs w:val="24"/>
                <w:vertAlign w:val="superscript"/>
              </w:rPr>
              <w:footnoteReference w:id="1"/>
            </w:r>
            <w:r w:rsidRPr="00886722">
              <w:rPr>
                <w:rFonts w:ascii="Calibri" w:hAnsi="Calibri"/>
                <w:szCs w:val="24"/>
                <w:lang w:val="en-US"/>
              </w:rPr>
              <w:t>.</w:t>
            </w:r>
          </w:p>
          <w:p w14:paraId="76A1C541" w14:textId="77777777" w:rsidR="00A721F4" w:rsidRPr="00D9621A" w:rsidRDefault="00A721F4" w:rsidP="00EA0C51">
            <w:pPr>
              <w:spacing w:after="120"/>
              <w:rPr>
                <w:b/>
                <w:bCs/>
                <w:szCs w:val="24"/>
              </w:rPr>
            </w:pPr>
            <w:r w:rsidRPr="005E090D">
              <w:rPr>
                <w:b/>
                <w:bCs/>
              </w:rPr>
              <w:t>Action required:</w:t>
            </w:r>
          </w:p>
          <w:p w14:paraId="371956FC" w14:textId="1D0C9040" w:rsidR="00A721F4" w:rsidRPr="00886722" w:rsidRDefault="00886722" w:rsidP="00886722">
            <w:pPr>
              <w:tabs>
                <w:tab w:val="clear" w:pos="794"/>
                <w:tab w:val="clear" w:pos="1191"/>
                <w:tab w:val="clear" w:pos="1588"/>
                <w:tab w:val="clear" w:pos="1985"/>
                <w:tab w:val="left" w:pos="1134"/>
                <w:tab w:val="left" w:pos="1871"/>
                <w:tab w:val="left" w:pos="2268"/>
              </w:tabs>
              <w:rPr>
                <w:rFonts w:ascii="Calibri" w:hAnsi="Calibri"/>
                <w:szCs w:val="24"/>
                <w:lang w:val="en-US"/>
              </w:rPr>
            </w:pPr>
            <w:r w:rsidRPr="00886722">
              <w:rPr>
                <w:rFonts w:ascii="Calibri" w:hAnsi="Calibri"/>
                <w:szCs w:val="24"/>
                <w:lang w:val="en-US"/>
              </w:rPr>
              <w:t>TDAG is invited to note the document and provide guidance as deemed appropriate.</w:t>
            </w:r>
          </w:p>
          <w:p w14:paraId="622ACB80" w14:textId="77777777" w:rsidR="00A721F4" w:rsidRPr="00D9621A" w:rsidRDefault="00A721F4" w:rsidP="00EA0C51">
            <w:pPr>
              <w:spacing w:after="120"/>
              <w:rPr>
                <w:b/>
                <w:bCs/>
                <w:szCs w:val="24"/>
              </w:rPr>
            </w:pPr>
            <w:r w:rsidRPr="00D9621A">
              <w:rPr>
                <w:b/>
                <w:bCs/>
                <w:szCs w:val="24"/>
              </w:rPr>
              <w:t>References:</w:t>
            </w:r>
          </w:p>
          <w:p w14:paraId="1ECDD20E" w14:textId="012FFA79" w:rsidR="00A721F4" w:rsidRPr="00D9621A" w:rsidRDefault="00886722" w:rsidP="00EA0C51">
            <w:pPr>
              <w:spacing w:after="120"/>
            </w:pPr>
            <w:r w:rsidRPr="00886722">
              <w:rPr>
                <w:rFonts w:ascii="Calibri" w:hAnsi="Calibri"/>
              </w:rPr>
              <w:t xml:space="preserve">Resolution 71 (Rev. Buenos Aires, 2017) of WTDC; Resolutions 169 (Rev. Dubai, 2018), 205 (Dubai, 2018) and 209 (Dubai, 2018) of </w:t>
            </w:r>
            <w:r w:rsidRPr="00886722">
              <w:rPr>
                <w:rFonts w:ascii="Calibri" w:hAnsi="Calibri"/>
                <w:szCs w:val="24"/>
                <w:lang w:val="en-US"/>
              </w:rPr>
              <w:t>the Plenipotentiary Conference</w:t>
            </w:r>
            <w:r w:rsidRPr="00886722">
              <w:rPr>
                <w:rFonts w:ascii="Calibri" w:hAnsi="Calibri"/>
              </w:rPr>
              <w:t>.</w:t>
            </w:r>
          </w:p>
        </w:tc>
      </w:tr>
    </w:tbl>
    <w:p w14:paraId="77CF718B" w14:textId="77777777" w:rsidR="00AC6F14" w:rsidRDefault="00AC6F14" w:rsidP="00EA0C51">
      <w:pPr>
        <w:spacing w:after="120"/>
      </w:pPr>
    </w:p>
    <w:p w14:paraId="69B70EE0" w14:textId="05EDB1A0" w:rsidR="00EC6FED" w:rsidRDefault="00923CF1" w:rsidP="007726EA">
      <w:pPr>
        <w:tabs>
          <w:tab w:val="clear" w:pos="794"/>
          <w:tab w:val="clear" w:pos="1191"/>
          <w:tab w:val="clear" w:pos="1588"/>
          <w:tab w:val="clear" w:pos="1985"/>
        </w:tabs>
        <w:overflowPunct/>
        <w:autoSpaceDE/>
        <w:autoSpaceDN/>
        <w:adjustRightInd/>
        <w:spacing w:before="0"/>
        <w:textAlignment w:val="auto"/>
      </w:pPr>
      <w:r>
        <w:br w:type="page"/>
      </w:r>
    </w:p>
    <w:p w14:paraId="6C35DDBE" w14:textId="77777777" w:rsidR="00D00EDC" w:rsidRPr="00D00EDC" w:rsidRDefault="00D00EDC" w:rsidP="00A244BC">
      <w:pPr>
        <w:numPr>
          <w:ilvl w:val="0"/>
          <w:numId w:val="6"/>
        </w:numPr>
        <w:tabs>
          <w:tab w:val="clear" w:pos="794"/>
          <w:tab w:val="clear" w:pos="1191"/>
          <w:tab w:val="clear" w:pos="1588"/>
          <w:tab w:val="clear" w:pos="1985"/>
          <w:tab w:val="left" w:pos="1134"/>
          <w:tab w:val="left" w:pos="1871"/>
          <w:tab w:val="left" w:pos="2268"/>
        </w:tabs>
        <w:overflowPunct/>
        <w:autoSpaceDE/>
        <w:autoSpaceDN/>
        <w:adjustRightInd/>
        <w:spacing w:after="120"/>
        <w:textAlignment w:val="auto"/>
        <w:rPr>
          <w:rFonts w:ascii="Calibri" w:eastAsia="SimSun" w:hAnsi="Calibri" w:cs="Arial"/>
          <w:b/>
          <w:bCs/>
          <w:szCs w:val="24"/>
          <w:lang w:val="en-US" w:eastAsia="zh-CN"/>
        </w:rPr>
      </w:pPr>
      <w:bookmarkStart w:id="9" w:name="Proposal"/>
      <w:bookmarkEnd w:id="9"/>
      <w:r w:rsidRPr="00D00EDC">
        <w:rPr>
          <w:rFonts w:ascii="Calibri" w:eastAsia="SimSun" w:hAnsi="Calibri" w:cs="Arial"/>
          <w:b/>
          <w:bCs/>
          <w:szCs w:val="24"/>
          <w:lang w:val="en-US" w:eastAsia="zh-CN"/>
        </w:rPr>
        <w:lastRenderedPageBreak/>
        <w:t>Background</w:t>
      </w:r>
    </w:p>
    <w:p w14:paraId="6988C06D" w14:textId="3E476F79" w:rsidR="00D00EDC" w:rsidRPr="00D00EDC" w:rsidRDefault="00D00EDC" w:rsidP="00A244BC">
      <w:pPr>
        <w:tabs>
          <w:tab w:val="clear" w:pos="794"/>
          <w:tab w:val="clear" w:pos="1191"/>
          <w:tab w:val="clear" w:pos="1588"/>
          <w:tab w:val="clear" w:pos="1985"/>
          <w:tab w:val="left" w:pos="1134"/>
          <w:tab w:val="left" w:pos="1871"/>
          <w:tab w:val="left" w:pos="2268"/>
        </w:tabs>
        <w:spacing w:after="120"/>
        <w:rPr>
          <w:rFonts w:ascii="Calibri" w:hAnsi="Calibri"/>
          <w:szCs w:val="24"/>
        </w:rPr>
      </w:pPr>
      <w:r w:rsidRPr="00D00EDC">
        <w:rPr>
          <w:rFonts w:ascii="Calibri" w:hAnsi="Calibri"/>
          <w:szCs w:val="24"/>
        </w:rPr>
        <w:t>The World Telecommunication Development Conference in 2017 (WTDC-17) revised and adopted Resolution 71 (Rev. Buenos Aires, 2017</w:t>
      </w:r>
      <w:r w:rsidRPr="00D00EDC">
        <w:rPr>
          <w:rFonts w:ascii="Calibri" w:hAnsi="Calibri"/>
          <w:szCs w:val="24"/>
          <w:vertAlign w:val="superscript"/>
        </w:rPr>
        <w:footnoteReference w:id="2"/>
      </w:r>
      <w:r w:rsidRPr="00D00EDC">
        <w:rPr>
          <w:rFonts w:ascii="Calibri" w:hAnsi="Calibri"/>
          <w:szCs w:val="24"/>
        </w:rPr>
        <w:t xml:space="preserve">) to promote active involvement of current Sector Members, Associates and Academia in ITU-D activities, including participation in the work of ITU-D study groups and to attract new members from the public, private and academic sectors. </w:t>
      </w:r>
    </w:p>
    <w:p w14:paraId="3E4AFFEC" w14:textId="74CEB6C8" w:rsidR="00D00EDC" w:rsidRPr="00D00EDC" w:rsidRDefault="00D00EDC" w:rsidP="00A244BC">
      <w:pPr>
        <w:tabs>
          <w:tab w:val="clear" w:pos="794"/>
          <w:tab w:val="clear" w:pos="1191"/>
          <w:tab w:val="clear" w:pos="1588"/>
          <w:tab w:val="clear" w:pos="1985"/>
          <w:tab w:val="left" w:pos="1134"/>
          <w:tab w:val="left" w:pos="1871"/>
          <w:tab w:val="left" w:pos="2268"/>
        </w:tabs>
        <w:spacing w:after="120"/>
        <w:rPr>
          <w:rFonts w:ascii="Calibri" w:hAnsi="Calibri"/>
          <w:szCs w:val="24"/>
        </w:rPr>
      </w:pPr>
      <w:r w:rsidRPr="00D00EDC">
        <w:rPr>
          <w:rFonts w:ascii="Calibri" w:hAnsi="Calibri"/>
          <w:szCs w:val="24"/>
        </w:rPr>
        <w:t xml:space="preserve">Resolution 71 (Rev. Buenos Aires, 2017) has brought enhanced focus to the evolving role of the private sector in ITU-D, with its instruction to BDT to continue to organize meetings for high-level industry executives such as the </w:t>
      </w:r>
      <w:r w:rsidRPr="00D00EDC">
        <w:rPr>
          <w:rFonts w:ascii="Calibri" w:hAnsi="Calibri"/>
          <w:iCs/>
          <w:szCs w:val="24"/>
        </w:rPr>
        <w:t>Industry Advisory Group for Development Issues (IAGDI).</w:t>
      </w:r>
      <w:r w:rsidR="00AF4989">
        <w:rPr>
          <w:rFonts w:ascii="Calibri" w:hAnsi="Calibri"/>
          <w:iCs/>
          <w:szCs w:val="24"/>
        </w:rPr>
        <w:t xml:space="preserve"> </w:t>
      </w:r>
      <w:r w:rsidRPr="00D00EDC">
        <w:rPr>
          <w:rFonts w:ascii="Calibri" w:hAnsi="Calibri"/>
          <w:szCs w:val="24"/>
        </w:rPr>
        <w:t xml:space="preserve">A wide </w:t>
      </w:r>
      <w:r w:rsidRPr="00D00EDC">
        <w:rPr>
          <w:rFonts w:ascii="Calibri" w:hAnsi="Calibri"/>
          <w:szCs w:val="24"/>
          <w:lang w:eastAsia="en-AU"/>
        </w:rPr>
        <w:t>representation of industry from the ITU</w:t>
      </w:r>
      <w:r w:rsidRPr="00D00EDC">
        <w:rPr>
          <w:rFonts w:ascii="Calibri" w:hAnsi="Calibri"/>
          <w:szCs w:val="24"/>
          <w:lang w:eastAsia="en-AU"/>
        </w:rPr>
        <w:noBreakHyphen/>
        <w:t xml:space="preserve">D Sector Members from all regions participate in </w:t>
      </w:r>
      <w:r w:rsidRPr="00D00EDC">
        <w:rPr>
          <w:rFonts w:ascii="Calibri" w:hAnsi="Calibri"/>
          <w:iCs/>
          <w:szCs w:val="24"/>
        </w:rPr>
        <w:t>IAGDI meetings</w:t>
      </w:r>
      <w:r w:rsidRPr="00D00EDC">
        <w:rPr>
          <w:rFonts w:ascii="Calibri" w:hAnsi="Calibri"/>
          <w:szCs w:val="24"/>
          <w:lang w:eastAsia="en-AU"/>
        </w:rPr>
        <w:t>. The resolution also recognizes the work of the Chief Regulatory Officers (CRO).</w:t>
      </w:r>
    </w:p>
    <w:p w14:paraId="6DCCF050" w14:textId="77777777" w:rsidR="00D253FC" w:rsidRPr="00A244BC" w:rsidRDefault="00D253FC" w:rsidP="00A244BC">
      <w:pPr>
        <w:numPr>
          <w:ilvl w:val="0"/>
          <w:numId w:val="6"/>
        </w:numPr>
        <w:tabs>
          <w:tab w:val="clear" w:pos="794"/>
          <w:tab w:val="clear" w:pos="1191"/>
          <w:tab w:val="clear" w:pos="1588"/>
          <w:tab w:val="clear" w:pos="1985"/>
          <w:tab w:val="left" w:pos="1134"/>
          <w:tab w:val="left" w:pos="1871"/>
          <w:tab w:val="left" w:pos="2268"/>
        </w:tabs>
        <w:overflowPunct/>
        <w:autoSpaceDE/>
        <w:autoSpaceDN/>
        <w:adjustRightInd/>
        <w:spacing w:after="120"/>
        <w:textAlignment w:val="auto"/>
        <w:rPr>
          <w:rFonts w:ascii="Calibri" w:eastAsia="SimSun" w:hAnsi="Calibri" w:cs="Arial"/>
          <w:b/>
          <w:bCs/>
          <w:szCs w:val="24"/>
          <w:lang w:val="en-US" w:eastAsia="zh-CN"/>
        </w:rPr>
      </w:pPr>
      <w:r w:rsidRPr="00D00EDC">
        <w:rPr>
          <w:rFonts w:ascii="Calibri" w:eastAsia="SimSun" w:hAnsi="Calibri" w:cs="Arial"/>
          <w:b/>
          <w:bCs/>
          <w:szCs w:val="24"/>
          <w:lang w:val="en-US" w:eastAsia="zh-CN"/>
        </w:rPr>
        <w:t>ITU-D membership Status</w:t>
      </w:r>
    </w:p>
    <w:p w14:paraId="5650C194" w14:textId="15E1FCC4" w:rsidR="00D253FC" w:rsidRDefault="00D253FC" w:rsidP="00A244BC">
      <w:pPr>
        <w:keepNext/>
        <w:shd w:val="clear" w:color="auto" w:fill="FFFFFF"/>
        <w:tabs>
          <w:tab w:val="clear" w:pos="794"/>
          <w:tab w:val="clear" w:pos="1191"/>
          <w:tab w:val="clear" w:pos="1588"/>
          <w:tab w:val="clear" w:pos="1985"/>
        </w:tabs>
        <w:overflowPunct/>
        <w:autoSpaceDE/>
        <w:autoSpaceDN/>
        <w:adjustRightInd/>
        <w:spacing w:after="120"/>
        <w:textAlignment w:val="auto"/>
        <w:rPr>
          <w:rFonts w:ascii="Calibri" w:eastAsia="SimSun" w:hAnsi="Calibri" w:cs="Arial"/>
          <w:szCs w:val="24"/>
          <w:lang w:val="en-US" w:eastAsia="zh-CN"/>
        </w:rPr>
      </w:pPr>
      <w:r w:rsidRPr="00D00EDC">
        <w:rPr>
          <w:rFonts w:ascii="Calibri" w:eastAsia="SimSun" w:hAnsi="Calibri" w:cs="Arial"/>
          <w:szCs w:val="24"/>
          <w:lang w:val="en-US" w:eastAsia="zh-CN"/>
        </w:rPr>
        <w:t>The table below illustrates the evolution of ITU-D membership (Sector Members, Associates and Academia</w:t>
      </w:r>
      <w:r w:rsidRPr="00D00EDC">
        <w:rPr>
          <w:rFonts w:ascii="Calibri" w:eastAsia="SimSun" w:hAnsi="Calibri" w:cs="Arial"/>
          <w:szCs w:val="24"/>
          <w:vertAlign w:val="superscript"/>
          <w:lang w:val="en-US" w:eastAsia="zh-CN"/>
        </w:rPr>
        <w:footnoteReference w:id="3"/>
      </w:r>
      <w:r w:rsidRPr="00D00EDC">
        <w:rPr>
          <w:rFonts w:ascii="Calibri" w:eastAsia="SimSun" w:hAnsi="Calibri" w:cs="Arial"/>
          <w:szCs w:val="24"/>
          <w:lang w:val="en-US" w:eastAsia="zh-CN"/>
        </w:rPr>
        <w:t>) from 20</w:t>
      </w:r>
      <w:r>
        <w:rPr>
          <w:rFonts w:ascii="Calibri" w:eastAsia="SimSun" w:hAnsi="Calibri" w:cs="Arial"/>
          <w:szCs w:val="24"/>
          <w:lang w:val="en-US" w:eastAsia="zh-CN"/>
        </w:rPr>
        <w:t>1</w:t>
      </w:r>
      <w:r w:rsidRPr="00D00EDC">
        <w:rPr>
          <w:rFonts w:ascii="Calibri" w:eastAsia="SimSun" w:hAnsi="Calibri" w:cs="Arial"/>
          <w:szCs w:val="24"/>
          <w:lang w:val="en-US" w:eastAsia="zh-CN"/>
        </w:rPr>
        <w:t xml:space="preserve">0 to </w:t>
      </w:r>
      <w:r>
        <w:rPr>
          <w:rFonts w:ascii="Calibri" w:eastAsia="SimSun" w:hAnsi="Calibri" w:cs="Arial"/>
          <w:szCs w:val="24"/>
          <w:lang w:val="en-US" w:eastAsia="zh-CN"/>
        </w:rPr>
        <w:t xml:space="preserve">March </w:t>
      </w:r>
      <w:r w:rsidRPr="00D00EDC">
        <w:rPr>
          <w:rFonts w:ascii="Calibri" w:eastAsia="SimSun" w:hAnsi="Calibri" w:cs="Arial"/>
          <w:szCs w:val="24"/>
          <w:lang w:val="en-US" w:eastAsia="zh-CN"/>
        </w:rPr>
        <w:t>20</w:t>
      </w:r>
      <w:r>
        <w:rPr>
          <w:rFonts w:ascii="Calibri" w:eastAsia="SimSun" w:hAnsi="Calibri" w:cs="Arial"/>
          <w:szCs w:val="24"/>
          <w:lang w:val="en-US" w:eastAsia="zh-CN"/>
        </w:rPr>
        <w:t>21</w:t>
      </w:r>
      <w:r w:rsidRPr="00D00EDC">
        <w:rPr>
          <w:rFonts w:ascii="Calibri" w:eastAsia="SimSun" w:hAnsi="Calibri" w:cs="Arial"/>
          <w:szCs w:val="24"/>
          <w:lang w:val="en-US" w:eastAsia="zh-CN"/>
        </w:rPr>
        <w:t xml:space="preserve">. </w:t>
      </w:r>
      <w:r>
        <w:rPr>
          <w:rFonts w:ascii="Calibri" w:eastAsia="SimSun" w:hAnsi="Calibri" w:cs="Arial"/>
          <w:szCs w:val="24"/>
          <w:lang w:val="en-US" w:eastAsia="zh-CN"/>
        </w:rPr>
        <w:t>Following a difficult time marked by a decline in ITU-D membership,</w:t>
      </w:r>
      <w:r w:rsidRPr="00D00EDC">
        <w:rPr>
          <w:rFonts w:ascii="Calibri" w:eastAsia="SimSun" w:hAnsi="Calibri" w:cs="Arial"/>
          <w:szCs w:val="24"/>
          <w:lang w:val="en-US" w:eastAsia="zh-CN"/>
        </w:rPr>
        <w:t xml:space="preserve"> 1</w:t>
      </w:r>
      <w:r>
        <w:rPr>
          <w:rFonts w:ascii="Calibri" w:eastAsia="SimSun" w:hAnsi="Calibri" w:cs="Arial"/>
          <w:szCs w:val="24"/>
          <w:lang w:val="en-US" w:eastAsia="zh-CN"/>
        </w:rPr>
        <w:t>0</w:t>
      </w:r>
      <w:r w:rsidRPr="00D00EDC">
        <w:rPr>
          <w:rFonts w:ascii="Calibri" w:eastAsia="SimSun" w:hAnsi="Calibri" w:cs="Arial"/>
          <w:szCs w:val="24"/>
          <w:lang w:val="en-US" w:eastAsia="zh-CN"/>
        </w:rPr>
        <w:t xml:space="preserve"> new entities joined as Sector Members in 20</w:t>
      </w:r>
      <w:r>
        <w:rPr>
          <w:rFonts w:ascii="Calibri" w:eastAsia="SimSun" w:hAnsi="Calibri" w:cs="Arial"/>
          <w:szCs w:val="24"/>
          <w:lang w:val="en-US" w:eastAsia="zh-CN"/>
        </w:rPr>
        <w:t xml:space="preserve">20 and </w:t>
      </w:r>
      <w:r w:rsidR="00725A74">
        <w:rPr>
          <w:rFonts w:ascii="Calibri" w:eastAsia="SimSun" w:hAnsi="Calibri" w:cs="Arial"/>
          <w:szCs w:val="24"/>
          <w:lang w:val="en-US" w:eastAsia="zh-CN"/>
        </w:rPr>
        <w:t xml:space="preserve">the </w:t>
      </w:r>
      <w:r>
        <w:rPr>
          <w:rFonts w:ascii="Calibri" w:eastAsia="SimSun" w:hAnsi="Calibri" w:cs="Arial"/>
          <w:szCs w:val="24"/>
          <w:lang w:val="en-US" w:eastAsia="zh-CN"/>
        </w:rPr>
        <w:t>first quarter of 2021</w:t>
      </w:r>
      <w:r w:rsidRPr="00D00EDC">
        <w:rPr>
          <w:rFonts w:ascii="Calibri" w:eastAsia="SimSun" w:hAnsi="Calibri" w:cs="Arial"/>
          <w:szCs w:val="24"/>
          <w:lang w:val="en-US" w:eastAsia="zh-CN"/>
        </w:rPr>
        <w:t xml:space="preserve">, as detailed in </w:t>
      </w:r>
      <w:r>
        <w:rPr>
          <w:rFonts w:ascii="Calibri" w:eastAsia="SimSun" w:hAnsi="Calibri" w:cs="Arial"/>
          <w:szCs w:val="24"/>
          <w:lang w:val="en-US" w:eastAsia="zh-CN"/>
        </w:rPr>
        <w:t>S</w:t>
      </w:r>
      <w:r w:rsidRPr="00D00EDC">
        <w:rPr>
          <w:rFonts w:ascii="Calibri" w:eastAsia="SimSun" w:hAnsi="Calibri" w:cs="Arial"/>
          <w:szCs w:val="24"/>
          <w:lang w:val="en-US" w:eastAsia="zh-CN"/>
        </w:rPr>
        <w:t>ection</w:t>
      </w:r>
      <w:r>
        <w:rPr>
          <w:rFonts w:ascii="Calibri" w:eastAsia="SimSun" w:hAnsi="Calibri" w:cs="Arial"/>
          <w:szCs w:val="24"/>
          <w:lang w:val="en-US" w:eastAsia="zh-CN"/>
        </w:rPr>
        <w:t>s</w:t>
      </w:r>
      <w:r w:rsidRPr="00D00EDC">
        <w:rPr>
          <w:rFonts w:ascii="Calibri" w:eastAsia="SimSun" w:hAnsi="Calibri" w:cs="Arial"/>
          <w:szCs w:val="24"/>
          <w:lang w:val="en-US" w:eastAsia="zh-CN"/>
        </w:rPr>
        <w:t xml:space="preserve"> 3.1 </w:t>
      </w:r>
      <w:r>
        <w:rPr>
          <w:rFonts w:ascii="Calibri" w:eastAsia="SimSun" w:hAnsi="Calibri" w:cs="Arial"/>
          <w:szCs w:val="24"/>
          <w:lang w:val="en-US" w:eastAsia="zh-CN"/>
        </w:rPr>
        <w:t xml:space="preserve">and 3.2 </w:t>
      </w:r>
      <w:r w:rsidRPr="00D00EDC">
        <w:rPr>
          <w:rFonts w:ascii="Calibri" w:eastAsia="SimSun" w:hAnsi="Calibri" w:cs="Arial"/>
          <w:szCs w:val="24"/>
          <w:lang w:val="en-US" w:eastAsia="zh-CN"/>
        </w:rPr>
        <w:t>below</w:t>
      </w:r>
      <w:r>
        <w:rPr>
          <w:rFonts w:ascii="Calibri" w:eastAsia="SimSun" w:hAnsi="Calibri" w:cs="Arial"/>
          <w:szCs w:val="24"/>
          <w:lang w:val="en-US" w:eastAsia="zh-CN"/>
        </w:rPr>
        <w:t>.</w:t>
      </w:r>
    </w:p>
    <w:p w14:paraId="30AC374D" w14:textId="5236BBF6" w:rsidR="00D253FC" w:rsidRDefault="00D253FC" w:rsidP="00C46E90">
      <w:pPr>
        <w:shd w:val="clear" w:color="auto" w:fill="FFFFFF"/>
        <w:tabs>
          <w:tab w:val="clear" w:pos="794"/>
          <w:tab w:val="clear" w:pos="1191"/>
          <w:tab w:val="clear" w:pos="1588"/>
          <w:tab w:val="clear" w:pos="1985"/>
        </w:tabs>
        <w:overflowPunct/>
        <w:autoSpaceDE/>
        <w:autoSpaceDN/>
        <w:adjustRightInd/>
        <w:spacing w:after="120"/>
        <w:textAlignment w:val="auto"/>
        <w:rPr>
          <w:rFonts w:ascii="Calibri" w:eastAsia="SimSun" w:hAnsi="Calibri" w:cs="Arial"/>
          <w:szCs w:val="24"/>
          <w:lang w:val="en-US" w:eastAsia="zh-CN"/>
        </w:rPr>
      </w:pPr>
      <w:r>
        <w:rPr>
          <w:rFonts w:ascii="Calibri" w:eastAsia="SimSun" w:hAnsi="Calibri" w:cs="Arial"/>
          <w:szCs w:val="24"/>
          <w:lang w:val="en-US" w:eastAsia="zh-CN"/>
        </w:rPr>
        <w:t xml:space="preserve">Due to the implementation of the new outreach and retention strategic approaches, and despite financial concerns due to COVID-19, it should be noted that, during the </w:t>
      </w:r>
      <w:r w:rsidR="00725A74">
        <w:rPr>
          <w:rFonts w:ascii="Calibri" w:eastAsia="SimSun" w:hAnsi="Calibri" w:cs="Arial"/>
          <w:szCs w:val="24"/>
          <w:lang w:val="en-US" w:eastAsia="zh-CN"/>
        </w:rPr>
        <w:t xml:space="preserve">first </w:t>
      </w:r>
      <w:r>
        <w:rPr>
          <w:rFonts w:ascii="Calibri" w:eastAsia="SimSun" w:hAnsi="Calibri" w:cs="Arial"/>
          <w:szCs w:val="24"/>
          <w:lang w:val="en-US" w:eastAsia="zh-CN"/>
        </w:rPr>
        <w:t>quarter of 2021</w:t>
      </w:r>
      <w:r w:rsidR="00725A74">
        <w:rPr>
          <w:rFonts w:ascii="Calibri" w:eastAsia="SimSun" w:hAnsi="Calibri" w:cs="Arial"/>
          <w:szCs w:val="24"/>
          <w:lang w:val="en-US" w:eastAsia="zh-CN"/>
        </w:rPr>
        <w:t>,</w:t>
      </w:r>
      <w:r>
        <w:rPr>
          <w:rFonts w:ascii="Calibri" w:eastAsia="SimSun" w:hAnsi="Calibri" w:cs="Arial"/>
          <w:szCs w:val="24"/>
          <w:lang w:val="en-US" w:eastAsia="zh-CN"/>
        </w:rPr>
        <w:t xml:space="preserve"> the number of new Sector Members has doubled when compared to the same period in 2020 with 4 new Sector Members joining since January 2021 and 5 additional entities already approved to join by their respective Administrations and expected to become full members during the </w:t>
      </w:r>
      <w:r w:rsidR="00725A74">
        <w:rPr>
          <w:rFonts w:ascii="Calibri" w:eastAsia="SimSun" w:hAnsi="Calibri" w:cs="Arial"/>
          <w:szCs w:val="24"/>
          <w:lang w:val="en-US" w:eastAsia="zh-CN"/>
        </w:rPr>
        <w:t xml:space="preserve">second quarter </w:t>
      </w:r>
      <w:r>
        <w:rPr>
          <w:rFonts w:ascii="Calibri" w:eastAsia="SimSun" w:hAnsi="Calibri" w:cs="Arial"/>
          <w:szCs w:val="24"/>
          <w:lang w:val="en-US" w:eastAsia="zh-CN"/>
        </w:rPr>
        <w:t xml:space="preserve">of 2021. </w:t>
      </w:r>
    </w:p>
    <w:p w14:paraId="59D2590A" w14:textId="332352AF" w:rsidR="00D253FC" w:rsidRDefault="00D253FC" w:rsidP="00C46E90">
      <w:pPr>
        <w:shd w:val="clear" w:color="auto" w:fill="FFFFFF"/>
        <w:tabs>
          <w:tab w:val="clear" w:pos="794"/>
          <w:tab w:val="clear" w:pos="1191"/>
          <w:tab w:val="clear" w:pos="1588"/>
          <w:tab w:val="clear" w:pos="1985"/>
        </w:tabs>
        <w:overflowPunct/>
        <w:autoSpaceDE/>
        <w:autoSpaceDN/>
        <w:adjustRightInd/>
        <w:spacing w:after="120"/>
        <w:textAlignment w:val="auto"/>
        <w:rPr>
          <w:rFonts w:ascii="Calibri" w:eastAsia="SimSun" w:hAnsi="Calibri" w:cs="Arial"/>
          <w:szCs w:val="24"/>
          <w:lang w:val="en-US" w:eastAsia="zh-CN"/>
        </w:rPr>
      </w:pPr>
      <w:r>
        <w:rPr>
          <w:rFonts w:ascii="Calibri" w:eastAsia="SimSun" w:hAnsi="Calibri" w:cs="Arial"/>
          <w:szCs w:val="24"/>
          <w:lang w:val="en-US" w:eastAsia="zh-CN"/>
        </w:rPr>
        <w:t xml:space="preserve">Retention efforts have also shown results with only one Sector Member loss in the </w:t>
      </w:r>
      <w:r w:rsidR="00725A74">
        <w:rPr>
          <w:rFonts w:ascii="Calibri" w:eastAsia="SimSun" w:hAnsi="Calibri" w:cs="Arial"/>
          <w:szCs w:val="24"/>
          <w:lang w:val="en-US" w:eastAsia="zh-CN"/>
        </w:rPr>
        <w:t xml:space="preserve">first </w:t>
      </w:r>
      <w:r>
        <w:rPr>
          <w:rFonts w:ascii="Calibri" w:eastAsia="SimSun" w:hAnsi="Calibri" w:cs="Arial"/>
          <w:szCs w:val="24"/>
          <w:lang w:val="en-US" w:eastAsia="zh-CN"/>
        </w:rPr>
        <w:t xml:space="preserve">quarter of 2021, compared to 7 losses during the same period in 2020. One Associate upgraded their status to Sector Member during the </w:t>
      </w:r>
      <w:r w:rsidR="00725A74">
        <w:rPr>
          <w:rFonts w:ascii="Calibri" w:eastAsia="SimSun" w:hAnsi="Calibri" w:cs="Arial"/>
          <w:szCs w:val="24"/>
          <w:lang w:val="en-US" w:eastAsia="zh-CN"/>
        </w:rPr>
        <w:t xml:space="preserve">first quarter </w:t>
      </w:r>
      <w:r>
        <w:rPr>
          <w:rFonts w:ascii="Calibri" w:eastAsia="SimSun" w:hAnsi="Calibri" w:cs="Arial"/>
          <w:szCs w:val="24"/>
          <w:lang w:val="en-US" w:eastAsia="zh-CN"/>
        </w:rPr>
        <w:t xml:space="preserve">of 2021. </w:t>
      </w:r>
    </w:p>
    <w:p w14:paraId="05D54C25" w14:textId="3421C7FE" w:rsidR="00D00EDC" w:rsidRDefault="00D00EDC" w:rsidP="00A244BC">
      <w:pPr>
        <w:keepNext/>
        <w:shd w:val="clear" w:color="auto" w:fill="FFFFFF"/>
        <w:tabs>
          <w:tab w:val="clear" w:pos="794"/>
          <w:tab w:val="clear" w:pos="1191"/>
          <w:tab w:val="clear" w:pos="1588"/>
          <w:tab w:val="clear" w:pos="1985"/>
        </w:tabs>
        <w:overflowPunct/>
        <w:autoSpaceDE/>
        <w:autoSpaceDN/>
        <w:adjustRightInd/>
        <w:spacing w:after="120"/>
        <w:jc w:val="center"/>
        <w:textAlignment w:val="auto"/>
        <w:rPr>
          <w:rFonts w:ascii="Calibri" w:eastAsia="SimSun" w:hAnsi="Calibri" w:cs="Arial"/>
          <w:b/>
          <w:bCs/>
          <w:szCs w:val="24"/>
          <w:lang w:val="en-US" w:eastAsia="zh-CN"/>
        </w:rPr>
      </w:pPr>
      <w:r w:rsidRPr="00D00EDC">
        <w:rPr>
          <w:rFonts w:ascii="Calibri" w:eastAsia="SimSun" w:hAnsi="Calibri" w:cs="Arial"/>
          <w:b/>
          <w:bCs/>
          <w:szCs w:val="24"/>
          <w:lang w:val="en-US" w:eastAsia="zh-CN"/>
        </w:rPr>
        <w:t>Table</w:t>
      </w:r>
      <w:r w:rsidRPr="00D00EDC">
        <w:rPr>
          <w:rFonts w:ascii="Calibri" w:eastAsia="SimSun" w:hAnsi="Calibri" w:cs="Arial"/>
          <w:sz w:val="22"/>
          <w:szCs w:val="22"/>
          <w:lang w:val="en-CA" w:eastAsia="zh-CN"/>
        </w:rPr>
        <w:t xml:space="preserve"> </w:t>
      </w:r>
      <w:r w:rsidRPr="00D00EDC">
        <w:rPr>
          <w:rFonts w:ascii="Calibri" w:eastAsia="SimSun" w:hAnsi="Calibri" w:cs="Arial"/>
          <w:b/>
          <w:sz w:val="22"/>
          <w:szCs w:val="22"/>
          <w:lang w:val="en-CA" w:eastAsia="zh-CN"/>
        </w:rPr>
        <w:t>–</w:t>
      </w:r>
      <w:r w:rsidRPr="00D00EDC">
        <w:rPr>
          <w:rFonts w:ascii="Calibri" w:eastAsia="SimSun" w:hAnsi="Calibri" w:cs="Arial"/>
          <w:b/>
          <w:bCs/>
          <w:szCs w:val="24"/>
          <w:lang w:val="en-US" w:eastAsia="zh-CN"/>
        </w:rPr>
        <w:t xml:space="preserve"> Evolution of ITU-D membership (Sector Members, Associates and Academia</w:t>
      </w:r>
      <w:r w:rsidRPr="00D00EDC">
        <w:rPr>
          <w:rFonts w:ascii="Calibri" w:eastAsia="SimSun" w:hAnsi="Calibri" w:cs="Arial"/>
          <w:b/>
          <w:bCs/>
          <w:szCs w:val="24"/>
          <w:vertAlign w:val="superscript"/>
          <w:lang w:val="en-US" w:eastAsia="zh-CN"/>
        </w:rPr>
        <w:footnoteReference w:id="4"/>
      </w:r>
      <w:r w:rsidRPr="00D00EDC">
        <w:rPr>
          <w:rFonts w:ascii="Calibri" w:eastAsia="SimSun" w:hAnsi="Calibri" w:cs="Arial"/>
          <w:b/>
          <w:bCs/>
          <w:szCs w:val="24"/>
          <w:lang w:val="en-US" w:eastAsia="zh-CN"/>
        </w:rPr>
        <w:t xml:space="preserve">) </w:t>
      </w:r>
      <w:r w:rsidRPr="00D00EDC">
        <w:rPr>
          <w:rFonts w:ascii="Calibri" w:eastAsia="SimSun" w:hAnsi="Calibri" w:cs="Arial"/>
          <w:b/>
          <w:bCs/>
          <w:szCs w:val="24"/>
          <w:lang w:val="en-US" w:eastAsia="zh-CN"/>
        </w:rPr>
        <w:br/>
        <w:t>from 20</w:t>
      </w:r>
      <w:r w:rsidR="00C925EF">
        <w:rPr>
          <w:rFonts w:ascii="Calibri" w:eastAsia="SimSun" w:hAnsi="Calibri" w:cs="Arial"/>
          <w:b/>
          <w:bCs/>
          <w:szCs w:val="24"/>
          <w:lang w:val="en-US" w:eastAsia="zh-CN"/>
        </w:rPr>
        <w:t>10</w:t>
      </w:r>
      <w:r w:rsidRPr="00D00EDC">
        <w:rPr>
          <w:rFonts w:ascii="Calibri" w:eastAsia="SimSun" w:hAnsi="Calibri" w:cs="Arial"/>
          <w:b/>
          <w:bCs/>
          <w:szCs w:val="24"/>
          <w:lang w:val="en-US" w:eastAsia="zh-CN"/>
        </w:rPr>
        <w:t xml:space="preserve"> to 20</w:t>
      </w:r>
      <w:r w:rsidR="0098382C">
        <w:rPr>
          <w:rFonts w:ascii="Calibri" w:eastAsia="SimSun" w:hAnsi="Calibri" w:cs="Arial"/>
          <w:b/>
          <w:bCs/>
          <w:szCs w:val="24"/>
          <w:lang w:val="en-US" w:eastAsia="zh-CN"/>
        </w:rPr>
        <w:t>2</w:t>
      </w:r>
      <w:r w:rsidR="00E90F14">
        <w:rPr>
          <w:rFonts w:ascii="Calibri" w:eastAsia="SimSun" w:hAnsi="Calibri" w:cs="Arial"/>
          <w:b/>
          <w:bCs/>
          <w:szCs w:val="24"/>
          <w:lang w:val="en-US" w:eastAsia="zh-CN"/>
        </w:rPr>
        <w:t>1</w:t>
      </w:r>
    </w:p>
    <w:tbl>
      <w:tblPr>
        <w:tblW w:w="9581" w:type="dxa"/>
        <w:tblLayout w:type="fixed"/>
        <w:tblCellMar>
          <w:left w:w="0" w:type="dxa"/>
          <w:right w:w="0" w:type="dxa"/>
        </w:tblCellMar>
        <w:tblLook w:val="04A0" w:firstRow="1" w:lastRow="0" w:firstColumn="1" w:lastColumn="0" w:noHBand="0" w:noVBand="1"/>
      </w:tblPr>
      <w:tblGrid>
        <w:gridCol w:w="1134"/>
        <w:gridCol w:w="709"/>
        <w:gridCol w:w="709"/>
        <w:gridCol w:w="709"/>
        <w:gridCol w:w="708"/>
        <w:gridCol w:w="709"/>
        <w:gridCol w:w="709"/>
        <w:gridCol w:w="709"/>
        <w:gridCol w:w="708"/>
        <w:gridCol w:w="709"/>
        <w:gridCol w:w="709"/>
        <w:gridCol w:w="622"/>
        <w:gridCol w:w="737"/>
      </w:tblGrid>
      <w:tr w:rsidR="00C925EF" w:rsidRPr="00D00EDC" w14:paraId="629B9D42" w14:textId="5F02F46B" w:rsidTr="00AB339D">
        <w:trPr>
          <w:trHeight w:val="20"/>
          <w:tblHeader/>
        </w:trPr>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62D6DD63" w14:textId="77777777" w:rsidR="00C925EF" w:rsidRPr="00D00EDC" w:rsidRDefault="00C925EF" w:rsidP="00725A74">
            <w:pPr>
              <w:keepNext/>
              <w:rPr>
                <w:rFonts w:ascii="Calibri" w:hAnsi="Calibri" w:cs="Calibri"/>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9CC2E5"/>
            <w:tcMar>
              <w:top w:w="0" w:type="dxa"/>
              <w:left w:w="108" w:type="dxa"/>
              <w:bottom w:w="0" w:type="dxa"/>
              <w:right w:w="108" w:type="dxa"/>
            </w:tcMar>
            <w:hideMark/>
          </w:tcPr>
          <w:p w14:paraId="338E94C7"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b/>
                <w:sz w:val="22"/>
                <w:szCs w:val="22"/>
                <w:lang w:eastAsia="zh-CN"/>
              </w:rPr>
            </w:pPr>
            <w:r w:rsidRPr="00AB339D">
              <w:rPr>
                <w:rFonts w:ascii="Calibri" w:hAnsi="Calibri" w:cs="Calibri"/>
                <w:b/>
                <w:sz w:val="22"/>
                <w:szCs w:val="22"/>
                <w:lang w:eastAsia="zh-CN"/>
              </w:rPr>
              <w:t>2010</w:t>
            </w:r>
          </w:p>
        </w:tc>
        <w:tc>
          <w:tcPr>
            <w:tcW w:w="709" w:type="dxa"/>
            <w:tcBorders>
              <w:top w:val="single" w:sz="4" w:space="0" w:color="auto"/>
              <w:left w:val="single" w:sz="4" w:space="0" w:color="auto"/>
              <w:bottom w:val="single" w:sz="4" w:space="0" w:color="auto"/>
              <w:right w:val="single" w:sz="4" w:space="0" w:color="auto"/>
            </w:tcBorders>
            <w:shd w:val="clear" w:color="auto" w:fill="9CC2E5"/>
            <w:tcMar>
              <w:top w:w="0" w:type="dxa"/>
              <w:left w:w="108" w:type="dxa"/>
              <w:bottom w:w="0" w:type="dxa"/>
              <w:right w:w="108" w:type="dxa"/>
            </w:tcMar>
            <w:hideMark/>
          </w:tcPr>
          <w:p w14:paraId="7FEE70E1"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b/>
                <w:sz w:val="22"/>
                <w:szCs w:val="22"/>
                <w:lang w:eastAsia="zh-CN"/>
              </w:rPr>
            </w:pPr>
            <w:r w:rsidRPr="00AB339D">
              <w:rPr>
                <w:rFonts w:ascii="Calibri" w:hAnsi="Calibri" w:cs="Calibri"/>
                <w:b/>
                <w:sz w:val="22"/>
                <w:szCs w:val="22"/>
                <w:lang w:eastAsia="zh-CN"/>
              </w:rPr>
              <w:t>2011</w:t>
            </w:r>
          </w:p>
        </w:tc>
        <w:tc>
          <w:tcPr>
            <w:tcW w:w="709" w:type="dxa"/>
            <w:tcBorders>
              <w:top w:val="single" w:sz="4" w:space="0" w:color="auto"/>
              <w:left w:val="single" w:sz="4" w:space="0" w:color="auto"/>
              <w:bottom w:val="single" w:sz="4" w:space="0" w:color="auto"/>
              <w:right w:val="single" w:sz="4" w:space="0" w:color="auto"/>
            </w:tcBorders>
            <w:shd w:val="clear" w:color="auto" w:fill="9CC2E5"/>
            <w:tcMar>
              <w:top w:w="0" w:type="dxa"/>
              <w:left w:w="108" w:type="dxa"/>
              <w:bottom w:w="0" w:type="dxa"/>
              <w:right w:w="108" w:type="dxa"/>
            </w:tcMar>
            <w:hideMark/>
          </w:tcPr>
          <w:p w14:paraId="796D58BA"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b/>
                <w:sz w:val="22"/>
                <w:szCs w:val="22"/>
                <w:lang w:eastAsia="zh-CN"/>
              </w:rPr>
            </w:pPr>
            <w:r w:rsidRPr="00AB339D">
              <w:rPr>
                <w:rFonts w:ascii="Calibri" w:hAnsi="Calibri" w:cs="Calibri"/>
                <w:b/>
                <w:sz w:val="22"/>
                <w:szCs w:val="22"/>
                <w:lang w:eastAsia="zh-CN"/>
              </w:rPr>
              <w:t>2012</w:t>
            </w:r>
          </w:p>
        </w:tc>
        <w:tc>
          <w:tcPr>
            <w:tcW w:w="708" w:type="dxa"/>
            <w:tcBorders>
              <w:top w:val="single" w:sz="4" w:space="0" w:color="auto"/>
              <w:left w:val="single" w:sz="4" w:space="0" w:color="auto"/>
              <w:bottom w:val="single" w:sz="4" w:space="0" w:color="auto"/>
              <w:right w:val="single" w:sz="4" w:space="0" w:color="auto"/>
            </w:tcBorders>
            <w:shd w:val="clear" w:color="auto" w:fill="9CC2E5"/>
            <w:tcMar>
              <w:top w:w="0" w:type="dxa"/>
              <w:left w:w="108" w:type="dxa"/>
              <w:bottom w:w="0" w:type="dxa"/>
              <w:right w:w="108" w:type="dxa"/>
            </w:tcMar>
            <w:hideMark/>
          </w:tcPr>
          <w:p w14:paraId="72F1D479"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b/>
                <w:sz w:val="22"/>
                <w:szCs w:val="22"/>
                <w:lang w:eastAsia="zh-CN"/>
              </w:rPr>
            </w:pPr>
            <w:r w:rsidRPr="00AB339D">
              <w:rPr>
                <w:rFonts w:ascii="Calibri" w:hAnsi="Calibri" w:cs="Calibri"/>
                <w:b/>
                <w:sz w:val="22"/>
                <w:szCs w:val="22"/>
                <w:lang w:eastAsia="zh-CN"/>
              </w:rPr>
              <w:t>2013</w:t>
            </w:r>
          </w:p>
        </w:tc>
        <w:tc>
          <w:tcPr>
            <w:tcW w:w="709" w:type="dxa"/>
            <w:tcBorders>
              <w:top w:val="single" w:sz="4" w:space="0" w:color="auto"/>
              <w:left w:val="single" w:sz="4" w:space="0" w:color="auto"/>
              <w:bottom w:val="single" w:sz="4" w:space="0" w:color="auto"/>
              <w:right w:val="single" w:sz="4" w:space="0" w:color="auto"/>
            </w:tcBorders>
            <w:shd w:val="clear" w:color="auto" w:fill="9CC2E5"/>
            <w:tcMar>
              <w:top w:w="0" w:type="dxa"/>
              <w:left w:w="108" w:type="dxa"/>
              <w:bottom w:w="0" w:type="dxa"/>
              <w:right w:w="108" w:type="dxa"/>
            </w:tcMar>
            <w:hideMark/>
          </w:tcPr>
          <w:p w14:paraId="42711E5E"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b/>
                <w:sz w:val="22"/>
                <w:szCs w:val="22"/>
                <w:lang w:eastAsia="zh-CN"/>
              </w:rPr>
            </w:pPr>
            <w:r w:rsidRPr="00AB339D">
              <w:rPr>
                <w:rFonts w:ascii="Calibri" w:hAnsi="Calibri" w:cs="Calibri"/>
                <w:b/>
                <w:sz w:val="22"/>
                <w:szCs w:val="22"/>
                <w:lang w:eastAsia="zh-CN"/>
              </w:rPr>
              <w:t>2014</w:t>
            </w:r>
          </w:p>
        </w:tc>
        <w:tc>
          <w:tcPr>
            <w:tcW w:w="709" w:type="dxa"/>
            <w:tcBorders>
              <w:top w:val="single" w:sz="4" w:space="0" w:color="auto"/>
              <w:left w:val="single" w:sz="4" w:space="0" w:color="auto"/>
              <w:bottom w:val="single" w:sz="4" w:space="0" w:color="auto"/>
              <w:right w:val="single" w:sz="4" w:space="0" w:color="auto"/>
            </w:tcBorders>
            <w:shd w:val="clear" w:color="auto" w:fill="9CC2E5"/>
            <w:tcMar>
              <w:top w:w="0" w:type="dxa"/>
              <w:left w:w="108" w:type="dxa"/>
              <w:bottom w:w="0" w:type="dxa"/>
              <w:right w:w="108" w:type="dxa"/>
            </w:tcMar>
            <w:hideMark/>
          </w:tcPr>
          <w:p w14:paraId="08A6D218"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b/>
                <w:sz w:val="22"/>
                <w:szCs w:val="22"/>
                <w:lang w:eastAsia="zh-CN"/>
              </w:rPr>
            </w:pPr>
            <w:r w:rsidRPr="00AB339D">
              <w:rPr>
                <w:rFonts w:ascii="Calibri" w:hAnsi="Calibri" w:cs="Calibri"/>
                <w:b/>
                <w:sz w:val="22"/>
                <w:szCs w:val="22"/>
                <w:lang w:eastAsia="zh-CN"/>
              </w:rPr>
              <w:t>2015</w:t>
            </w:r>
          </w:p>
        </w:tc>
        <w:tc>
          <w:tcPr>
            <w:tcW w:w="709" w:type="dxa"/>
            <w:tcBorders>
              <w:top w:val="single" w:sz="4" w:space="0" w:color="auto"/>
              <w:left w:val="single" w:sz="4" w:space="0" w:color="auto"/>
              <w:bottom w:val="single" w:sz="4" w:space="0" w:color="auto"/>
              <w:right w:val="single" w:sz="4" w:space="0" w:color="auto"/>
            </w:tcBorders>
            <w:shd w:val="clear" w:color="auto" w:fill="9CC2E5"/>
            <w:tcMar>
              <w:top w:w="0" w:type="dxa"/>
              <w:left w:w="108" w:type="dxa"/>
              <w:bottom w:w="0" w:type="dxa"/>
              <w:right w:w="108" w:type="dxa"/>
            </w:tcMar>
            <w:hideMark/>
          </w:tcPr>
          <w:p w14:paraId="02D6A350"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b/>
                <w:sz w:val="22"/>
                <w:szCs w:val="22"/>
                <w:lang w:eastAsia="zh-CN"/>
              </w:rPr>
            </w:pPr>
            <w:r w:rsidRPr="00AB339D">
              <w:rPr>
                <w:rFonts w:ascii="Calibri" w:hAnsi="Calibri" w:cs="Calibri"/>
                <w:b/>
                <w:sz w:val="22"/>
                <w:szCs w:val="22"/>
                <w:lang w:eastAsia="zh-CN"/>
              </w:rPr>
              <w:t>2016</w:t>
            </w:r>
          </w:p>
        </w:tc>
        <w:tc>
          <w:tcPr>
            <w:tcW w:w="708" w:type="dxa"/>
            <w:tcBorders>
              <w:top w:val="single" w:sz="4" w:space="0" w:color="auto"/>
              <w:left w:val="single" w:sz="4" w:space="0" w:color="auto"/>
              <w:bottom w:val="single" w:sz="4" w:space="0" w:color="auto"/>
              <w:right w:val="single" w:sz="4" w:space="0" w:color="auto"/>
            </w:tcBorders>
            <w:shd w:val="clear" w:color="auto" w:fill="9CC2E5"/>
            <w:tcMar>
              <w:top w:w="0" w:type="dxa"/>
              <w:left w:w="108" w:type="dxa"/>
              <w:bottom w:w="0" w:type="dxa"/>
              <w:right w:w="108" w:type="dxa"/>
            </w:tcMar>
            <w:hideMark/>
          </w:tcPr>
          <w:p w14:paraId="7F43D733"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b/>
                <w:sz w:val="22"/>
                <w:szCs w:val="22"/>
                <w:lang w:eastAsia="zh-CN"/>
              </w:rPr>
            </w:pPr>
            <w:r w:rsidRPr="00AB339D">
              <w:rPr>
                <w:rFonts w:ascii="Calibri" w:hAnsi="Calibri" w:cs="Calibri"/>
                <w:b/>
                <w:sz w:val="22"/>
                <w:szCs w:val="22"/>
                <w:lang w:eastAsia="zh-CN"/>
              </w:rPr>
              <w:t>2017</w:t>
            </w:r>
          </w:p>
        </w:tc>
        <w:tc>
          <w:tcPr>
            <w:tcW w:w="709" w:type="dxa"/>
            <w:tcBorders>
              <w:top w:val="single" w:sz="4" w:space="0" w:color="auto"/>
              <w:left w:val="single" w:sz="4" w:space="0" w:color="auto"/>
              <w:bottom w:val="single" w:sz="4" w:space="0" w:color="auto"/>
              <w:right w:val="single" w:sz="4" w:space="0" w:color="auto"/>
            </w:tcBorders>
            <w:shd w:val="clear" w:color="auto" w:fill="9CC2E5"/>
            <w:hideMark/>
          </w:tcPr>
          <w:p w14:paraId="68A3C6FF"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b/>
                <w:sz w:val="22"/>
                <w:szCs w:val="22"/>
                <w:lang w:eastAsia="zh-CN"/>
              </w:rPr>
            </w:pPr>
            <w:r w:rsidRPr="00AB339D">
              <w:rPr>
                <w:rFonts w:ascii="Calibri" w:hAnsi="Calibri" w:cs="Calibri"/>
                <w:b/>
                <w:sz w:val="22"/>
                <w:szCs w:val="22"/>
                <w:lang w:eastAsia="zh-CN"/>
              </w:rPr>
              <w:t>2018</w:t>
            </w:r>
          </w:p>
        </w:tc>
        <w:tc>
          <w:tcPr>
            <w:tcW w:w="709" w:type="dxa"/>
            <w:tcBorders>
              <w:top w:val="single" w:sz="4" w:space="0" w:color="auto"/>
              <w:left w:val="single" w:sz="4" w:space="0" w:color="auto"/>
              <w:bottom w:val="single" w:sz="4" w:space="0" w:color="auto"/>
              <w:right w:val="single" w:sz="4" w:space="0" w:color="auto"/>
            </w:tcBorders>
            <w:shd w:val="clear" w:color="auto" w:fill="9CC2E5"/>
          </w:tcPr>
          <w:p w14:paraId="6E162523"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b/>
                <w:sz w:val="22"/>
                <w:szCs w:val="22"/>
                <w:lang w:eastAsia="zh-CN"/>
              </w:rPr>
            </w:pPr>
            <w:r w:rsidRPr="00AB339D">
              <w:rPr>
                <w:rFonts w:ascii="Calibri" w:hAnsi="Calibri" w:cs="Calibri"/>
                <w:b/>
                <w:sz w:val="22"/>
                <w:szCs w:val="22"/>
                <w:lang w:eastAsia="zh-CN"/>
              </w:rPr>
              <w:t>2019</w:t>
            </w:r>
          </w:p>
        </w:tc>
        <w:tc>
          <w:tcPr>
            <w:tcW w:w="622" w:type="dxa"/>
            <w:tcBorders>
              <w:top w:val="single" w:sz="4" w:space="0" w:color="auto"/>
              <w:left w:val="single" w:sz="4" w:space="0" w:color="auto"/>
              <w:bottom w:val="single" w:sz="4" w:space="0" w:color="auto"/>
              <w:right w:val="single" w:sz="4" w:space="0" w:color="auto"/>
            </w:tcBorders>
            <w:shd w:val="clear" w:color="auto" w:fill="9CC2E5"/>
          </w:tcPr>
          <w:p w14:paraId="549CE99C" w14:textId="656FBC7B"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b/>
                <w:sz w:val="22"/>
                <w:szCs w:val="22"/>
                <w:lang w:eastAsia="zh-CN"/>
              </w:rPr>
            </w:pPr>
            <w:r w:rsidRPr="00AB339D">
              <w:rPr>
                <w:rFonts w:ascii="Calibri" w:hAnsi="Calibri" w:cs="Calibri"/>
                <w:b/>
                <w:sz w:val="22"/>
                <w:szCs w:val="22"/>
                <w:lang w:eastAsia="zh-CN"/>
              </w:rPr>
              <w:t>2020</w:t>
            </w:r>
          </w:p>
        </w:tc>
        <w:tc>
          <w:tcPr>
            <w:tcW w:w="737" w:type="dxa"/>
            <w:tcBorders>
              <w:top w:val="single" w:sz="4" w:space="0" w:color="auto"/>
              <w:left w:val="single" w:sz="4" w:space="0" w:color="auto"/>
              <w:bottom w:val="single" w:sz="4" w:space="0" w:color="auto"/>
              <w:right w:val="single" w:sz="4" w:space="0" w:color="auto"/>
            </w:tcBorders>
            <w:shd w:val="clear" w:color="auto" w:fill="9CC2E5"/>
          </w:tcPr>
          <w:p w14:paraId="0F678C55" w14:textId="1766C445"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b/>
                <w:sz w:val="22"/>
                <w:szCs w:val="22"/>
                <w:lang w:eastAsia="zh-CN"/>
              </w:rPr>
            </w:pPr>
            <w:r w:rsidRPr="00AB339D">
              <w:rPr>
                <w:rFonts w:ascii="Calibri" w:hAnsi="Calibri" w:cs="Calibri"/>
                <w:b/>
                <w:sz w:val="22"/>
                <w:szCs w:val="22"/>
                <w:lang w:eastAsia="zh-CN"/>
              </w:rPr>
              <w:t>March 2021</w:t>
            </w:r>
          </w:p>
        </w:tc>
      </w:tr>
      <w:tr w:rsidR="00C925EF" w:rsidRPr="00D00EDC" w14:paraId="2EF4FA31" w14:textId="127F5C18" w:rsidTr="00AB339D">
        <w:trPr>
          <w:trHeight w:val="346"/>
        </w:trPr>
        <w:tc>
          <w:tcPr>
            <w:tcW w:w="1134" w:type="dxa"/>
            <w:tcBorders>
              <w:top w:val="single" w:sz="4" w:space="0" w:color="auto"/>
              <w:left w:val="single" w:sz="4" w:space="0" w:color="auto"/>
              <w:bottom w:val="single" w:sz="8" w:space="0" w:color="auto"/>
              <w:right w:val="single" w:sz="4" w:space="0" w:color="auto"/>
            </w:tcBorders>
            <w:shd w:val="clear" w:color="auto" w:fill="DEEAF6"/>
            <w:tcMar>
              <w:top w:w="0" w:type="dxa"/>
              <w:left w:w="108" w:type="dxa"/>
              <w:bottom w:w="0" w:type="dxa"/>
              <w:right w:w="108" w:type="dxa"/>
            </w:tcMar>
            <w:hideMark/>
          </w:tcPr>
          <w:p w14:paraId="06ECDC66" w14:textId="77777777" w:rsidR="00C925EF" w:rsidRPr="00D00EDC"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cs="Calibri"/>
                <w:b/>
                <w:sz w:val="20"/>
                <w:lang w:eastAsia="zh-CN"/>
              </w:rPr>
            </w:pPr>
            <w:r w:rsidRPr="00D00EDC">
              <w:rPr>
                <w:rFonts w:ascii="Calibri" w:hAnsi="Calibri" w:cs="Calibri"/>
                <w:b/>
                <w:sz w:val="20"/>
                <w:lang w:eastAsia="zh-CN"/>
              </w:rPr>
              <w:t>Sector Members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AB147C"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311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3DA014"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323</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30099"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330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AAC58C"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346</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696F25"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338</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D98567"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340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DFABA3"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331</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C889A5" w14:textId="706E63D3"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318</w:t>
            </w:r>
          </w:p>
        </w:tc>
        <w:tc>
          <w:tcPr>
            <w:tcW w:w="709" w:type="dxa"/>
            <w:tcBorders>
              <w:top w:val="single" w:sz="4" w:space="0" w:color="auto"/>
              <w:left w:val="single" w:sz="4" w:space="0" w:color="auto"/>
              <w:bottom w:val="single" w:sz="4" w:space="0" w:color="auto"/>
              <w:right w:val="single" w:sz="4" w:space="0" w:color="auto"/>
            </w:tcBorders>
            <w:hideMark/>
          </w:tcPr>
          <w:p w14:paraId="01555B55"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310</w:t>
            </w:r>
          </w:p>
        </w:tc>
        <w:tc>
          <w:tcPr>
            <w:tcW w:w="709" w:type="dxa"/>
            <w:tcBorders>
              <w:top w:val="single" w:sz="4" w:space="0" w:color="auto"/>
              <w:left w:val="single" w:sz="4" w:space="0" w:color="auto"/>
              <w:bottom w:val="single" w:sz="4" w:space="0" w:color="auto"/>
              <w:right w:val="single" w:sz="4" w:space="0" w:color="auto"/>
            </w:tcBorders>
          </w:tcPr>
          <w:p w14:paraId="429D7DEE"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307</w:t>
            </w:r>
          </w:p>
        </w:tc>
        <w:tc>
          <w:tcPr>
            <w:tcW w:w="622" w:type="dxa"/>
            <w:tcBorders>
              <w:top w:val="single" w:sz="4" w:space="0" w:color="auto"/>
              <w:left w:val="single" w:sz="4" w:space="0" w:color="auto"/>
              <w:bottom w:val="single" w:sz="4" w:space="0" w:color="auto"/>
              <w:right w:val="single" w:sz="4" w:space="0" w:color="auto"/>
            </w:tcBorders>
          </w:tcPr>
          <w:p w14:paraId="78313E55" w14:textId="3FC01F7F"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298</w:t>
            </w:r>
          </w:p>
        </w:tc>
        <w:tc>
          <w:tcPr>
            <w:tcW w:w="7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FCB593" w14:textId="48E8116D"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301</w:t>
            </w:r>
          </w:p>
        </w:tc>
      </w:tr>
      <w:tr w:rsidR="00C925EF" w:rsidRPr="00D00EDC" w14:paraId="0FA59227" w14:textId="0BCE8C5E" w:rsidTr="00AB339D">
        <w:trPr>
          <w:trHeight w:val="486"/>
        </w:trPr>
        <w:tc>
          <w:tcPr>
            <w:tcW w:w="1134" w:type="dxa"/>
            <w:tcBorders>
              <w:top w:val="single" w:sz="8" w:space="0" w:color="auto"/>
              <w:left w:val="single" w:sz="4" w:space="0" w:color="auto"/>
              <w:bottom w:val="single" w:sz="8" w:space="0" w:color="auto"/>
              <w:right w:val="single" w:sz="4" w:space="0" w:color="auto"/>
            </w:tcBorders>
            <w:shd w:val="clear" w:color="auto" w:fill="DEEAF6"/>
            <w:tcMar>
              <w:top w:w="0" w:type="dxa"/>
              <w:left w:w="108" w:type="dxa"/>
              <w:bottom w:w="0" w:type="dxa"/>
              <w:right w:w="108" w:type="dxa"/>
            </w:tcMar>
            <w:hideMark/>
          </w:tcPr>
          <w:p w14:paraId="072EE9DE" w14:textId="77777777" w:rsidR="00C925EF" w:rsidRPr="00D00EDC"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cs="Calibri"/>
                <w:b/>
                <w:sz w:val="20"/>
                <w:lang w:eastAsia="zh-CN"/>
              </w:rPr>
            </w:pPr>
            <w:r w:rsidRPr="00D00EDC">
              <w:rPr>
                <w:rFonts w:ascii="Calibri" w:hAnsi="Calibri" w:cs="Calibri"/>
                <w:b/>
                <w:sz w:val="20"/>
                <w:lang w:eastAsia="zh-CN"/>
              </w:rPr>
              <w:t>Associates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2C3240"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5</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90A80C"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6</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BDCA8"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7</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9CDC17"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9</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B44E00"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212234"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29F452"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12</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8E8F95"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12</w:t>
            </w:r>
          </w:p>
        </w:tc>
        <w:tc>
          <w:tcPr>
            <w:tcW w:w="709" w:type="dxa"/>
            <w:tcBorders>
              <w:top w:val="single" w:sz="4" w:space="0" w:color="auto"/>
              <w:left w:val="single" w:sz="4" w:space="0" w:color="auto"/>
              <w:bottom w:val="single" w:sz="4" w:space="0" w:color="auto"/>
              <w:right w:val="single" w:sz="4" w:space="0" w:color="auto"/>
            </w:tcBorders>
            <w:hideMark/>
          </w:tcPr>
          <w:p w14:paraId="70271DE5"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14</w:t>
            </w:r>
          </w:p>
        </w:tc>
        <w:tc>
          <w:tcPr>
            <w:tcW w:w="709" w:type="dxa"/>
            <w:tcBorders>
              <w:top w:val="single" w:sz="4" w:space="0" w:color="auto"/>
              <w:left w:val="single" w:sz="4" w:space="0" w:color="auto"/>
              <w:bottom w:val="single" w:sz="4" w:space="0" w:color="auto"/>
              <w:right w:val="single" w:sz="4" w:space="0" w:color="auto"/>
            </w:tcBorders>
          </w:tcPr>
          <w:p w14:paraId="27B2C112"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17</w:t>
            </w:r>
          </w:p>
        </w:tc>
        <w:tc>
          <w:tcPr>
            <w:tcW w:w="622" w:type="dxa"/>
            <w:tcBorders>
              <w:top w:val="single" w:sz="4" w:space="0" w:color="auto"/>
              <w:left w:val="single" w:sz="4" w:space="0" w:color="auto"/>
              <w:bottom w:val="single" w:sz="4" w:space="0" w:color="auto"/>
              <w:right w:val="single" w:sz="4" w:space="0" w:color="auto"/>
            </w:tcBorders>
          </w:tcPr>
          <w:p w14:paraId="4190E6D2" w14:textId="0EE3DCAC"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21</w:t>
            </w:r>
          </w:p>
        </w:tc>
        <w:tc>
          <w:tcPr>
            <w:tcW w:w="7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DEB9BF6" w14:textId="0B5A278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20</w:t>
            </w:r>
          </w:p>
        </w:tc>
      </w:tr>
      <w:tr w:rsidR="00C925EF" w:rsidRPr="00D00EDC" w14:paraId="54BDBF1F" w14:textId="22CAED7B" w:rsidTr="00AB339D">
        <w:trPr>
          <w:trHeight w:val="536"/>
        </w:trPr>
        <w:tc>
          <w:tcPr>
            <w:tcW w:w="1134" w:type="dxa"/>
            <w:tcBorders>
              <w:top w:val="single" w:sz="8" w:space="0" w:color="auto"/>
              <w:left w:val="single" w:sz="4" w:space="0" w:color="auto"/>
              <w:bottom w:val="single" w:sz="8" w:space="0" w:color="auto"/>
              <w:right w:val="single" w:sz="4" w:space="0" w:color="auto"/>
            </w:tcBorders>
            <w:shd w:val="clear" w:color="auto" w:fill="DEEAF6"/>
            <w:tcMar>
              <w:top w:w="0" w:type="dxa"/>
              <w:left w:w="108" w:type="dxa"/>
              <w:bottom w:w="0" w:type="dxa"/>
              <w:right w:w="108" w:type="dxa"/>
            </w:tcMar>
            <w:hideMark/>
          </w:tcPr>
          <w:p w14:paraId="5DE4A800" w14:textId="77777777" w:rsidR="00C925EF" w:rsidRPr="00D00EDC"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cs="Calibri"/>
                <w:b/>
                <w:sz w:val="20"/>
                <w:lang w:eastAsia="zh-CN"/>
              </w:rPr>
            </w:pPr>
            <w:r w:rsidRPr="00D00EDC">
              <w:rPr>
                <w:rFonts w:ascii="Calibri" w:hAnsi="Calibri" w:cs="Calibri"/>
                <w:b/>
                <w:sz w:val="20"/>
                <w:lang w:eastAsia="zh-CN"/>
              </w:rPr>
              <w:t>Academia</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4733A3"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noBreakHyphen/>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94D17F"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25</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35FAD0"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36</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E3B2D7"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45</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509B34"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86</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5EDD1A"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109</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5505AA"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107</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C70EB7"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125</w:t>
            </w:r>
          </w:p>
        </w:tc>
        <w:tc>
          <w:tcPr>
            <w:tcW w:w="709" w:type="dxa"/>
            <w:tcBorders>
              <w:top w:val="single" w:sz="4" w:space="0" w:color="auto"/>
              <w:left w:val="single" w:sz="4" w:space="0" w:color="auto"/>
              <w:bottom w:val="single" w:sz="4" w:space="0" w:color="auto"/>
              <w:right w:val="single" w:sz="4" w:space="0" w:color="auto"/>
            </w:tcBorders>
            <w:hideMark/>
          </w:tcPr>
          <w:p w14:paraId="2A8C7905"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156</w:t>
            </w:r>
          </w:p>
        </w:tc>
        <w:tc>
          <w:tcPr>
            <w:tcW w:w="709" w:type="dxa"/>
            <w:tcBorders>
              <w:top w:val="single" w:sz="4" w:space="0" w:color="auto"/>
              <w:left w:val="single" w:sz="4" w:space="0" w:color="auto"/>
              <w:bottom w:val="single" w:sz="4" w:space="0" w:color="auto"/>
              <w:right w:val="single" w:sz="4" w:space="0" w:color="auto"/>
            </w:tcBorders>
          </w:tcPr>
          <w:p w14:paraId="6A0B7614" w14:textId="77777777"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163</w:t>
            </w:r>
          </w:p>
        </w:tc>
        <w:tc>
          <w:tcPr>
            <w:tcW w:w="622" w:type="dxa"/>
            <w:tcBorders>
              <w:top w:val="single" w:sz="4" w:space="0" w:color="auto"/>
              <w:left w:val="single" w:sz="4" w:space="0" w:color="auto"/>
              <w:bottom w:val="single" w:sz="4" w:space="0" w:color="auto"/>
              <w:right w:val="single" w:sz="4" w:space="0" w:color="auto"/>
            </w:tcBorders>
          </w:tcPr>
          <w:p w14:paraId="1CFE42C2" w14:textId="343C3B46"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162</w:t>
            </w:r>
          </w:p>
        </w:tc>
        <w:tc>
          <w:tcPr>
            <w:tcW w:w="7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E055B9A" w14:textId="64EA43D0" w:rsidR="00C925EF" w:rsidRPr="00AB339D" w:rsidRDefault="00C925EF" w:rsidP="00725A7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163</w:t>
            </w:r>
          </w:p>
        </w:tc>
      </w:tr>
      <w:tr w:rsidR="00C925EF" w:rsidRPr="00D00EDC" w14:paraId="294ECC16" w14:textId="0E980D92" w:rsidTr="00AB339D">
        <w:trPr>
          <w:trHeight w:val="544"/>
        </w:trPr>
        <w:tc>
          <w:tcPr>
            <w:tcW w:w="1134" w:type="dxa"/>
            <w:tcBorders>
              <w:top w:val="single" w:sz="8"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hideMark/>
          </w:tcPr>
          <w:p w14:paraId="0E59EAA5" w14:textId="77777777" w:rsidR="00C925EF" w:rsidRPr="00D00EDC" w:rsidRDefault="00C925EF" w:rsidP="00D00ED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cs="Calibri"/>
                <w:b/>
                <w:sz w:val="20"/>
                <w:lang w:eastAsia="zh-CN"/>
              </w:rPr>
            </w:pPr>
            <w:r w:rsidRPr="00D00EDC">
              <w:rPr>
                <w:rFonts w:ascii="Calibri" w:hAnsi="Calibri" w:cs="Calibri"/>
                <w:b/>
                <w:sz w:val="20"/>
                <w:lang w:eastAsia="zh-CN"/>
              </w:rPr>
              <w:t xml:space="preserve">TOTAL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156CD3" w14:textId="77777777" w:rsidR="00C925EF" w:rsidRPr="00AB339D" w:rsidRDefault="00C925EF" w:rsidP="00AB33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316</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FCAD39" w14:textId="77777777" w:rsidR="00C925EF" w:rsidRPr="00AB339D" w:rsidRDefault="00C925EF" w:rsidP="00AB33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354</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8E43FE" w14:textId="77777777" w:rsidR="00C925EF" w:rsidRPr="00AB339D" w:rsidRDefault="00C925EF" w:rsidP="00AB33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373</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D32A69" w14:textId="77777777" w:rsidR="00C925EF" w:rsidRPr="00AB339D" w:rsidRDefault="00C925EF" w:rsidP="00AB33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400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0ECE65" w14:textId="77777777" w:rsidR="00C925EF" w:rsidRPr="00AB339D" w:rsidRDefault="00C925EF" w:rsidP="00AB33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434</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10C0C5" w14:textId="77777777" w:rsidR="00C925EF" w:rsidRPr="00AB339D" w:rsidRDefault="00C925EF" w:rsidP="00AB33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460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C03BBA" w14:textId="55F8873E" w:rsidR="00C925EF" w:rsidRPr="00AB339D" w:rsidRDefault="00C925EF" w:rsidP="00AB33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450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C03992" w14:textId="77777777" w:rsidR="00C925EF" w:rsidRPr="00AB339D" w:rsidRDefault="00C925EF" w:rsidP="00AB33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455</w:t>
            </w:r>
          </w:p>
        </w:tc>
        <w:tc>
          <w:tcPr>
            <w:tcW w:w="709" w:type="dxa"/>
            <w:tcBorders>
              <w:top w:val="single" w:sz="4" w:space="0" w:color="auto"/>
              <w:left w:val="single" w:sz="4" w:space="0" w:color="auto"/>
              <w:bottom w:val="single" w:sz="4" w:space="0" w:color="auto"/>
              <w:right w:val="single" w:sz="4" w:space="0" w:color="auto"/>
            </w:tcBorders>
            <w:hideMark/>
          </w:tcPr>
          <w:p w14:paraId="5B6D5833" w14:textId="77777777" w:rsidR="00C925EF" w:rsidRPr="00AB339D" w:rsidRDefault="00C925EF" w:rsidP="00AB33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480</w:t>
            </w:r>
          </w:p>
        </w:tc>
        <w:tc>
          <w:tcPr>
            <w:tcW w:w="709" w:type="dxa"/>
            <w:tcBorders>
              <w:top w:val="single" w:sz="4" w:space="0" w:color="auto"/>
              <w:left w:val="single" w:sz="4" w:space="0" w:color="auto"/>
              <w:bottom w:val="single" w:sz="4" w:space="0" w:color="auto"/>
              <w:right w:val="single" w:sz="4" w:space="0" w:color="auto"/>
            </w:tcBorders>
          </w:tcPr>
          <w:p w14:paraId="0CDD8548" w14:textId="77777777" w:rsidR="00C925EF" w:rsidRPr="00AB339D" w:rsidRDefault="00C925EF" w:rsidP="00AB33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487</w:t>
            </w:r>
          </w:p>
        </w:tc>
        <w:tc>
          <w:tcPr>
            <w:tcW w:w="622" w:type="dxa"/>
            <w:tcBorders>
              <w:top w:val="single" w:sz="4" w:space="0" w:color="auto"/>
              <w:left w:val="single" w:sz="4" w:space="0" w:color="auto"/>
              <w:bottom w:val="single" w:sz="4" w:space="0" w:color="auto"/>
              <w:right w:val="single" w:sz="4" w:space="0" w:color="auto"/>
            </w:tcBorders>
          </w:tcPr>
          <w:p w14:paraId="66567588" w14:textId="66C5B439" w:rsidR="00C925EF" w:rsidRPr="00AB339D" w:rsidRDefault="00C925EF" w:rsidP="00AB33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481</w:t>
            </w:r>
          </w:p>
        </w:tc>
        <w:tc>
          <w:tcPr>
            <w:tcW w:w="7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A4D5FB8" w14:textId="2AB63E49" w:rsidR="00C925EF" w:rsidRPr="00AB339D" w:rsidRDefault="00C925EF" w:rsidP="00AB33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484</w:t>
            </w:r>
          </w:p>
        </w:tc>
      </w:tr>
    </w:tbl>
    <w:p w14:paraId="2D892DDF" w14:textId="5EC5BFC5" w:rsidR="00D00EDC" w:rsidRPr="00A244BC" w:rsidRDefault="00D00EDC" w:rsidP="00A244BC">
      <w:pPr>
        <w:numPr>
          <w:ilvl w:val="0"/>
          <w:numId w:val="6"/>
        </w:numPr>
        <w:tabs>
          <w:tab w:val="clear" w:pos="794"/>
          <w:tab w:val="clear" w:pos="1191"/>
          <w:tab w:val="clear" w:pos="1588"/>
          <w:tab w:val="clear" w:pos="1985"/>
          <w:tab w:val="left" w:pos="1134"/>
          <w:tab w:val="left" w:pos="1871"/>
          <w:tab w:val="left" w:pos="2268"/>
        </w:tabs>
        <w:overflowPunct/>
        <w:autoSpaceDE/>
        <w:autoSpaceDN/>
        <w:adjustRightInd/>
        <w:spacing w:after="120"/>
        <w:textAlignment w:val="auto"/>
        <w:rPr>
          <w:rFonts w:ascii="Calibri" w:eastAsia="SimSun" w:hAnsi="Calibri" w:cs="Arial"/>
          <w:b/>
          <w:bCs/>
          <w:szCs w:val="24"/>
          <w:lang w:val="en-US" w:eastAsia="zh-CN"/>
        </w:rPr>
      </w:pPr>
      <w:r w:rsidRPr="00A244BC">
        <w:rPr>
          <w:rFonts w:ascii="Calibri" w:eastAsia="SimSun" w:hAnsi="Calibri" w:cs="Arial"/>
          <w:b/>
          <w:bCs/>
          <w:szCs w:val="24"/>
          <w:lang w:val="en-US" w:eastAsia="zh-CN"/>
        </w:rPr>
        <w:lastRenderedPageBreak/>
        <w:t>Sector Members and Associates in 20</w:t>
      </w:r>
      <w:r w:rsidR="0098382C" w:rsidRPr="00A244BC">
        <w:rPr>
          <w:rFonts w:ascii="Calibri" w:eastAsia="SimSun" w:hAnsi="Calibri" w:cs="Arial"/>
          <w:b/>
          <w:bCs/>
          <w:szCs w:val="24"/>
          <w:lang w:val="en-US" w:eastAsia="zh-CN"/>
        </w:rPr>
        <w:t>20</w:t>
      </w:r>
      <w:r w:rsidR="00A93741" w:rsidRPr="00A244BC">
        <w:rPr>
          <w:rFonts w:ascii="Calibri" w:eastAsia="SimSun" w:hAnsi="Calibri" w:cs="Arial"/>
          <w:b/>
          <w:bCs/>
          <w:szCs w:val="24"/>
          <w:lang w:val="en-US" w:eastAsia="zh-CN"/>
        </w:rPr>
        <w:t>- 1st Quarter 2021</w:t>
      </w:r>
    </w:p>
    <w:p w14:paraId="02B1946A" w14:textId="5E979791" w:rsidR="00D00EDC" w:rsidRDefault="00D00EDC" w:rsidP="00A244BC">
      <w:pPr>
        <w:tabs>
          <w:tab w:val="clear" w:pos="794"/>
          <w:tab w:val="clear" w:pos="1191"/>
          <w:tab w:val="clear" w:pos="1588"/>
          <w:tab w:val="clear" w:pos="1985"/>
          <w:tab w:val="left" w:pos="1134"/>
          <w:tab w:val="left" w:pos="1871"/>
          <w:tab w:val="left" w:pos="2268"/>
        </w:tabs>
        <w:spacing w:after="120"/>
        <w:rPr>
          <w:rFonts w:ascii="Calibri" w:hAnsi="Calibri"/>
          <w:szCs w:val="24"/>
        </w:rPr>
      </w:pPr>
      <w:r w:rsidRPr="00D00EDC">
        <w:rPr>
          <w:rFonts w:ascii="Calibri" w:hAnsi="Calibri"/>
          <w:szCs w:val="24"/>
        </w:rPr>
        <w:t>In 20</w:t>
      </w:r>
      <w:r w:rsidR="0098382C">
        <w:rPr>
          <w:rFonts w:ascii="Calibri" w:hAnsi="Calibri"/>
          <w:szCs w:val="24"/>
        </w:rPr>
        <w:t>20</w:t>
      </w:r>
      <w:r w:rsidRPr="00D00EDC">
        <w:rPr>
          <w:rFonts w:ascii="Calibri" w:hAnsi="Calibri"/>
          <w:szCs w:val="24"/>
        </w:rPr>
        <w:t xml:space="preserve">, ITU-D attracted </w:t>
      </w:r>
      <w:r w:rsidRPr="00D00EDC">
        <w:rPr>
          <w:rFonts w:ascii="Calibri" w:hAnsi="Calibri"/>
          <w:b/>
          <w:i/>
          <w:szCs w:val="24"/>
        </w:rPr>
        <w:t>1</w:t>
      </w:r>
      <w:r w:rsidR="0098382C">
        <w:rPr>
          <w:rFonts w:ascii="Calibri" w:hAnsi="Calibri"/>
          <w:b/>
          <w:i/>
          <w:szCs w:val="24"/>
        </w:rPr>
        <w:t>0</w:t>
      </w:r>
      <w:r w:rsidRPr="00D00EDC">
        <w:rPr>
          <w:rFonts w:ascii="Calibri" w:hAnsi="Calibri"/>
          <w:b/>
          <w:i/>
          <w:szCs w:val="24"/>
        </w:rPr>
        <w:t xml:space="preserve"> new Sector Members</w:t>
      </w:r>
      <w:r w:rsidRPr="00D00EDC">
        <w:rPr>
          <w:rFonts w:ascii="Calibri" w:hAnsi="Calibri"/>
          <w:szCs w:val="24"/>
        </w:rPr>
        <w:t xml:space="preserve">: </w:t>
      </w:r>
      <w:r w:rsidR="0098382C" w:rsidRPr="0098382C">
        <w:rPr>
          <w:rFonts w:ascii="Calibri" w:hAnsi="Calibri"/>
          <w:szCs w:val="24"/>
        </w:rPr>
        <w:t>African Network Information Centre Ltd</w:t>
      </w:r>
      <w:r w:rsidR="0098382C">
        <w:rPr>
          <w:rFonts w:ascii="Calibri" w:hAnsi="Calibri"/>
          <w:szCs w:val="24"/>
        </w:rPr>
        <w:t xml:space="preserve"> (Mauritius), </w:t>
      </w:r>
      <w:r w:rsidR="004C2F01">
        <w:rPr>
          <w:rFonts w:ascii="Calibri" w:hAnsi="Calibri"/>
          <w:szCs w:val="24"/>
        </w:rPr>
        <w:t xml:space="preserve">American Registry for Internet Numbers (USA), Bitsight Technologies (USA), International Mobile Satellite Organization (United Kingdom), KAMALEON (Mozambique), Polyverse Corporation (USA), SBA Communications (USA), Welchman Keen (Singapore), Wireless World Research Forum (Switzerland), </w:t>
      </w:r>
      <w:r w:rsidR="004C2F01" w:rsidRPr="004C2F01">
        <w:rPr>
          <w:rFonts w:ascii="Calibri" w:hAnsi="Calibri"/>
          <w:szCs w:val="24"/>
        </w:rPr>
        <w:t>Registro de Direcciones de Internet para América Latina y C</w:t>
      </w:r>
      <w:r w:rsidR="004C2F01">
        <w:rPr>
          <w:rFonts w:ascii="Calibri" w:hAnsi="Calibri"/>
          <w:szCs w:val="24"/>
        </w:rPr>
        <w:t xml:space="preserve">aribe (Uruguay). </w:t>
      </w:r>
      <w:r w:rsidRPr="00D00EDC">
        <w:rPr>
          <w:rFonts w:ascii="Calibri" w:hAnsi="Calibri"/>
          <w:szCs w:val="24"/>
        </w:rPr>
        <w:t xml:space="preserve">ITU-D also </w:t>
      </w:r>
      <w:r w:rsidR="002A20AB" w:rsidRPr="00D00EDC">
        <w:rPr>
          <w:rFonts w:ascii="Calibri" w:hAnsi="Calibri"/>
          <w:szCs w:val="24"/>
        </w:rPr>
        <w:t xml:space="preserve">attracted </w:t>
      </w:r>
      <w:r w:rsidR="002A20AB" w:rsidRPr="00C46E90">
        <w:rPr>
          <w:rFonts w:ascii="Calibri" w:hAnsi="Calibri"/>
          <w:b/>
          <w:bCs/>
          <w:i/>
          <w:iCs/>
          <w:szCs w:val="24"/>
        </w:rPr>
        <w:t>4</w:t>
      </w:r>
      <w:r w:rsidRPr="00D00EDC">
        <w:rPr>
          <w:rFonts w:ascii="Calibri" w:hAnsi="Calibri"/>
          <w:b/>
          <w:i/>
          <w:szCs w:val="24"/>
        </w:rPr>
        <w:t xml:space="preserve"> new Associates</w:t>
      </w:r>
      <w:r w:rsidRPr="00D00EDC">
        <w:rPr>
          <w:rFonts w:ascii="Calibri" w:hAnsi="Calibri"/>
          <w:szCs w:val="24"/>
        </w:rPr>
        <w:t xml:space="preserve">: </w:t>
      </w:r>
      <w:r w:rsidR="005E0787" w:rsidRPr="005E0787">
        <w:rPr>
          <w:rFonts w:ascii="Calibri" w:hAnsi="Calibri"/>
          <w:szCs w:val="24"/>
        </w:rPr>
        <w:t>Almaahad Almutagadem Specialized Computer Training Center</w:t>
      </w:r>
      <w:r w:rsidR="005E0787">
        <w:rPr>
          <w:rFonts w:ascii="Calibri" w:hAnsi="Calibri"/>
          <w:szCs w:val="24"/>
        </w:rPr>
        <w:t xml:space="preserve"> (Sudan), Just-ICT Dubai (UAE), OISTE Foundation (Switzerland), Promotion de la Technologie (Democratic Republic of the Congo). </w:t>
      </w:r>
    </w:p>
    <w:p w14:paraId="1D919625" w14:textId="4141556B" w:rsidR="00AB339D" w:rsidRDefault="00005E7D" w:rsidP="00A244BC">
      <w:pPr>
        <w:tabs>
          <w:tab w:val="clear" w:pos="794"/>
          <w:tab w:val="clear" w:pos="1191"/>
          <w:tab w:val="clear" w:pos="1588"/>
          <w:tab w:val="clear" w:pos="1985"/>
          <w:tab w:val="left" w:pos="1134"/>
          <w:tab w:val="left" w:pos="1871"/>
          <w:tab w:val="left" w:pos="2268"/>
        </w:tabs>
        <w:spacing w:after="120"/>
        <w:rPr>
          <w:rFonts w:ascii="Calibri" w:hAnsi="Calibri"/>
          <w:szCs w:val="24"/>
        </w:rPr>
      </w:pPr>
      <w:r>
        <w:rPr>
          <w:rFonts w:ascii="Calibri" w:hAnsi="Calibri"/>
          <w:szCs w:val="24"/>
        </w:rPr>
        <w:t xml:space="preserve">In the </w:t>
      </w:r>
      <w:r w:rsidR="00725A74">
        <w:rPr>
          <w:rFonts w:ascii="Calibri" w:hAnsi="Calibri"/>
          <w:szCs w:val="24"/>
        </w:rPr>
        <w:t xml:space="preserve">first quarter </w:t>
      </w:r>
      <w:r>
        <w:rPr>
          <w:rFonts w:ascii="Calibri" w:hAnsi="Calibri"/>
          <w:szCs w:val="24"/>
        </w:rPr>
        <w:t xml:space="preserve">of 2021, ITU-D has attracted </w:t>
      </w:r>
      <w:r w:rsidRPr="00005E7D">
        <w:rPr>
          <w:rFonts w:ascii="Calibri" w:hAnsi="Calibri"/>
          <w:b/>
          <w:bCs/>
          <w:i/>
          <w:iCs/>
          <w:szCs w:val="24"/>
        </w:rPr>
        <w:t>4 new Sector Members</w:t>
      </w:r>
      <w:r>
        <w:rPr>
          <w:rFonts w:ascii="Calibri" w:hAnsi="Calibri"/>
          <w:szCs w:val="24"/>
        </w:rPr>
        <w:t xml:space="preserve">: Axon Partners Group (Spain), Deloitte Risk Advisory (Italy), New Jersey Fiber Exchange (USA), and Security Alliance Limited (UK). </w:t>
      </w:r>
      <w:r w:rsidR="00D253FC">
        <w:rPr>
          <w:rFonts w:ascii="Calibri" w:hAnsi="Calibri"/>
          <w:szCs w:val="24"/>
        </w:rPr>
        <w:t>I</w:t>
      </w:r>
      <w:r>
        <w:rPr>
          <w:rFonts w:ascii="Calibri" w:hAnsi="Calibri"/>
          <w:szCs w:val="24"/>
        </w:rPr>
        <w:t xml:space="preserve">n addition to that, </w:t>
      </w:r>
      <w:r w:rsidRPr="00005E7D">
        <w:rPr>
          <w:rFonts w:ascii="Calibri" w:hAnsi="Calibri"/>
          <w:b/>
          <w:bCs/>
          <w:i/>
          <w:iCs/>
          <w:szCs w:val="24"/>
        </w:rPr>
        <w:t>5 new Sector Members</w:t>
      </w:r>
      <w:r>
        <w:rPr>
          <w:rFonts w:ascii="Calibri" w:hAnsi="Calibri"/>
          <w:szCs w:val="24"/>
        </w:rPr>
        <w:t xml:space="preserve"> are </w:t>
      </w:r>
      <w:r w:rsidR="00B6791C">
        <w:rPr>
          <w:rFonts w:ascii="Calibri" w:hAnsi="Calibri"/>
          <w:szCs w:val="24"/>
        </w:rPr>
        <w:t>finalizing affiliation process</w:t>
      </w:r>
      <w:r>
        <w:rPr>
          <w:rFonts w:ascii="Calibri" w:hAnsi="Calibri"/>
          <w:szCs w:val="24"/>
        </w:rPr>
        <w:t xml:space="preserve"> to become full members in the </w:t>
      </w:r>
      <w:r w:rsidR="00725A74">
        <w:rPr>
          <w:rFonts w:ascii="Calibri" w:hAnsi="Calibri"/>
          <w:szCs w:val="24"/>
        </w:rPr>
        <w:t>second quarter</w:t>
      </w:r>
      <w:r w:rsidR="00B6791C">
        <w:rPr>
          <w:rFonts w:ascii="Calibri" w:hAnsi="Calibri"/>
          <w:szCs w:val="24"/>
        </w:rPr>
        <w:t>.</w:t>
      </w:r>
    </w:p>
    <w:p w14:paraId="71975629" w14:textId="6446651D" w:rsidR="00D00EDC" w:rsidRPr="00A244BC" w:rsidRDefault="00D00EDC" w:rsidP="00A244BC">
      <w:pPr>
        <w:numPr>
          <w:ilvl w:val="1"/>
          <w:numId w:val="6"/>
        </w:numPr>
        <w:tabs>
          <w:tab w:val="clear" w:pos="794"/>
          <w:tab w:val="clear" w:pos="1191"/>
          <w:tab w:val="clear" w:pos="1588"/>
          <w:tab w:val="clear" w:pos="1985"/>
          <w:tab w:val="left" w:pos="1134"/>
          <w:tab w:val="left" w:pos="1871"/>
          <w:tab w:val="left" w:pos="2268"/>
        </w:tabs>
        <w:overflowPunct/>
        <w:autoSpaceDE/>
        <w:autoSpaceDN/>
        <w:adjustRightInd/>
        <w:spacing w:after="120"/>
        <w:ind w:left="431" w:hanging="431"/>
        <w:textAlignment w:val="auto"/>
        <w:rPr>
          <w:rFonts w:ascii="Calibri" w:eastAsia="SimSun" w:hAnsi="Calibri" w:cs="Arial"/>
          <w:b/>
          <w:bCs/>
          <w:szCs w:val="24"/>
          <w:lang w:val="en-US" w:eastAsia="zh-CN"/>
        </w:rPr>
      </w:pPr>
      <w:r w:rsidRPr="00A244BC">
        <w:rPr>
          <w:rFonts w:ascii="Calibri" w:eastAsia="SimSun" w:hAnsi="Calibri" w:cs="Arial"/>
          <w:b/>
          <w:bCs/>
          <w:szCs w:val="24"/>
          <w:lang w:val="en-US" w:eastAsia="zh-CN"/>
        </w:rPr>
        <w:t>Academia in 20</w:t>
      </w:r>
      <w:r w:rsidR="005E0787" w:rsidRPr="00A244BC">
        <w:rPr>
          <w:rFonts w:ascii="Calibri" w:eastAsia="SimSun" w:hAnsi="Calibri" w:cs="Arial"/>
          <w:b/>
          <w:bCs/>
          <w:szCs w:val="24"/>
          <w:lang w:val="en-US" w:eastAsia="zh-CN"/>
        </w:rPr>
        <w:t>20</w:t>
      </w:r>
    </w:p>
    <w:p w14:paraId="0D39453E" w14:textId="128C4878" w:rsidR="007726EA" w:rsidRDefault="00D00EDC" w:rsidP="00A244BC">
      <w:pPr>
        <w:tabs>
          <w:tab w:val="clear" w:pos="794"/>
          <w:tab w:val="clear" w:pos="1191"/>
          <w:tab w:val="clear" w:pos="1588"/>
          <w:tab w:val="clear" w:pos="1985"/>
          <w:tab w:val="left" w:pos="1134"/>
          <w:tab w:val="left" w:pos="1871"/>
          <w:tab w:val="left" w:pos="2268"/>
        </w:tabs>
        <w:spacing w:after="120"/>
        <w:jc w:val="both"/>
        <w:rPr>
          <w:rFonts w:ascii="Calibri" w:hAnsi="Calibri"/>
          <w:szCs w:val="24"/>
        </w:rPr>
      </w:pPr>
      <w:r w:rsidRPr="00D00EDC">
        <w:rPr>
          <w:rFonts w:ascii="Calibri" w:hAnsi="Calibri"/>
          <w:szCs w:val="24"/>
        </w:rPr>
        <w:t xml:space="preserve">Academia </w:t>
      </w:r>
      <w:r w:rsidR="005E0787">
        <w:rPr>
          <w:rFonts w:ascii="Calibri" w:hAnsi="Calibri"/>
          <w:szCs w:val="24"/>
        </w:rPr>
        <w:t xml:space="preserve">members </w:t>
      </w:r>
      <w:r w:rsidRPr="00D00EDC">
        <w:rPr>
          <w:rFonts w:ascii="Calibri" w:hAnsi="Calibri"/>
          <w:szCs w:val="24"/>
        </w:rPr>
        <w:t>participate in the work of all three ITU Sectors with one single fee. Since 2011, more than 2</w:t>
      </w:r>
      <w:r w:rsidR="005E0787">
        <w:rPr>
          <w:rFonts w:ascii="Calibri" w:hAnsi="Calibri"/>
          <w:szCs w:val="24"/>
        </w:rPr>
        <w:t>20</w:t>
      </w:r>
      <w:r w:rsidRPr="00D00EDC">
        <w:rPr>
          <w:rFonts w:ascii="Calibri" w:hAnsi="Calibri"/>
          <w:szCs w:val="24"/>
        </w:rPr>
        <w:t xml:space="preserve"> Academia have joined ITU. For 20</w:t>
      </w:r>
      <w:r w:rsidR="005E0787">
        <w:rPr>
          <w:rFonts w:ascii="Calibri" w:hAnsi="Calibri"/>
          <w:szCs w:val="24"/>
        </w:rPr>
        <w:t>20</w:t>
      </w:r>
      <w:r w:rsidRPr="00D00EDC">
        <w:rPr>
          <w:rFonts w:ascii="Calibri" w:hAnsi="Calibri"/>
          <w:szCs w:val="24"/>
        </w:rPr>
        <w:t xml:space="preserve">, through efforts coordinated with the General Secretariat, </w:t>
      </w:r>
      <w:r w:rsidRPr="00D00EDC">
        <w:rPr>
          <w:rFonts w:ascii="Calibri" w:hAnsi="Calibri"/>
          <w:b/>
          <w:i/>
          <w:szCs w:val="24"/>
        </w:rPr>
        <w:t>2</w:t>
      </w:r>
      <w:r w:rsidR="002A20AB">
        <w:rPr>
          <w:rFonts w:ascii="Calibri" w:hAnsi="Calibri"/>
          <w:b/>
          <w:i/>
          <w:szCs w:val="24"/>
        </w:rPr>
        <w:t>6</w:t>
      </w:r>
      <w:r w:rsidRPr="00D00EDC">
        <w:rPr>
          <w:rFonts w:ascii="Calibri" w:hAnsi="Calibri"/>
          <w:b/>
          <w:i/>
          <w:szCs w:val="24"/>
        </w:rPr>
        <w:t xml:space="preserve"> new Academia</w:t>
      </w:r>
      <w:r w:rsidRPr="00D00EDC">
        <w:rPr>
          <w:rFonts w:ascii="Calibri" w:hAnsi="Calibri"/>
          <w:szCs w:val="24"/>
        </w:rPr>
        <w:t xml:space="preserve"> joined the three Sectors of ITU.</w:t>
      </w:r>
      <w:r w:rsidR="005C24F5">
        <w:rPr>
          <w:rStyle w:val="FootnoteReference"/>
          <w:szCs w:val="24"/>
        </w:rPr>
        <w:footnoteReference w:id="5"/>
      </w:r>
    </w:p>
    <w:p w14:paraId="5A163E50" w14:textId="561E9384" w:rsidR="00D00EDC" w:rsidRPr="00A244BC" w:rsidRDefault="00D00EDC" w:rsidP="00A244BC">
      <w:pPr>
        <w:keepNext/>
        <w:numPr>
          <w:ilvl w:val="0"/>
          <w:numId w:val="6"/>
        </w:numPr>
        <w:tabs>
          <w:tab w:val="clear" w:pos="794"/>
          <w:tab w:val="clear" w:pos="1191"/>
          <w:tab w:val="clear" w:pos="1588"/>
          <w:tab w:val="clear" w:pos="1985"/>
          <w:tab w:val="left" w:pos="1134"/>
          <w:tab w:val="left" w:pos="1871"/>
          <w:tab w:val="left" w:pos="2268"/>
        </w:tabs>
        <w:overflowPunct/>
        <w:autoSpaceDE/>
        <w:autoSpaceDN/>
        <w:adjustRightInd/>
        <w:spacing w:after="120"/>
        <w:ind w:left="357" w:hanging="357"/>
        <w:textAlignment w:val="auto"/>
        <w:rPr>
          <w:rFonts w:ascii="Calibri" w:eastAsia="SimSun" w:hAnsi="Calibri" w:cs="Arial"/>
          <w:b/>
          <w:bCs/>
          <w:szCs w:val="24"/>
          <w:lang w:val="en-US" w:eastAsia="zh-CN"/>
        </w:rPr>
      </w:pPr>
      <w:r w:rsidRPr="00A244BC">
        <w:rPr>
          <w:rFonts w:ascii="Calibri" w:eastAsia="SimSun" w:hAnsi="Calibri" w:cs="Arial"/>
          <w:b/>
          <w:bCs/>
          <w:szCs w:val="24"/>
          <w:lang w:val="en-US" w:eastAsia="zh-CN"/>
        </w:rPr>
        <w:t xml:space="preserve">Key actions </w:t>
      </w:r>
      <w:r w:rsidR="00B5781B" w:rsidRPr="00A244BC">
        <w:rPr>
          <w:rFonts w:ascii="Calibri" w:eastAsia="SimSun" w:hAnsi="Calibri" w:cs="Arial"/>
          <w:b/>
          <w:bCs/>
          <w:szCs w:val="24"/>
          <w:lang w:val="en-US" w:eastAsia="zh-CN"/>
        </w:rPr>
        <w:t xml:space="preserve">to effectively engage ITU-D Members </w:t>
      </w:r>
    </w:p>
    <w:p w14:paraId="6534B228" w14:textId="09B027A3" w:rsidR="00E8711F" w:rsidRDefault="00E8711F" w:rsidP="00A244BC">
      <w:pPr>
        <w:tabs>
          <w:tab w:val="clear" w:pos="794"/>
          <w:tab w:val="clear" w:pos="1191"/>
          <w:tab w:val="clear" w:pos="1588"/>
          <w:tab w:val="clear" w:pos="1985"/>
          <w:tab w:val="left" w:pos="1134"/>
          <w:tab w:val="left" w:pos="1871"/>
          <w:tab w:val="left" w:pos="2268"/>
        </w:tabs>
        <w:spacing w:after="120"/>
        <w:rPr>
          <w:rFonts w:ascii="Calibri" w:hAnsi="Calibri"/>
          <w:szCs w:val="24"/>
        </w:rPr>
      </w:pPr>
      <w:r>
        <w:rPr>
          <w:rFonts w:ascii="Calibri" w:hAnsi="Calibri"/>
          <w:szCs w:val="24"/>
          <w:lang w:val="en-US"/>
        </w:rPr>
        <w:t>The ITU-D Membership strategic approach, currently under implementation</w:t>
      </w:r>
      <w:r w:rsidR="00725A74">
        <w:rPr>
          <w:rFonts w:ascii="Calibri" w:hAnsi="Calibri"/>
          <w:szCs w:val="24"/>
          <w:lang w:val="en-US"/>
        </w:rPr>
        <w:t>,</w:t>
      </w:r>
      <w:r>
        <w:rPr>
          <w:rFonts w:ascii="Calibri" w:hAnsi="Calibri"/>
          <w:szCs w:val="24"/>
          <w:lang w:val="en-US"/>
        </w:rPr>
        <w:t xml:space="preserve"> is based on two clear impact pathways: broader membership outreach and enhanced engagement in ITU-D work. In addition to incorporating the Results Based Management approach, it encompasses synergies with Projects and Partnerships strategies and plans, marketing and communications teams within BDT and the General Secretariat. Moreover, it is supported by concrete actions to raise</w:t>
      </w:r>
      <w:r>
        <w:rPr>
          <w:rFonts w:ascii="Calibri" w:hAnsi="Calibri"/>
          <w:szCs w:val="24"/>
        </w:rPr>
        <w:t xml:space="preserve"> awareness and build the capacity of BDT staff to monitor, prospect, engage and retain members.</w:t>
      </w:r>
    </w:p>
    <w:p w14:paraId="31A3854B" w14:textId="0276C3CA" w:rsidR="00E8711F" w:rsidRDefault="00E8711F" w:rsidP="00A244BC">
      <w:pPr>
        <w:tabs>
          <w:tab w:val="clear" w:pos="794"/>
          <w:tab w:val="clear" w:pos="1191"/>
          <w:tab w:val="clear" w:pos="1588"/>
          <w:tab w:val="clear" w:pos="1985"/>
          <w:tab w:val="left" w:pos="1134"/>
          <w:tab w:val="left" w:pos="1871"/>
          <w:tab w:val="left" w:pos="2268"/>
        </w:tabs>
        <w:spacing w:after="120"/>
        <w:rPr>
          <w:rFonts w:ascii="Calibri" w:hAnsi="Calibri"/>
          <w:szCs w:val="24"/>
        </w:rPr>
      </w:pPr>
      <w:r>
        <w:rPr>
          <w:rFonts w:ascii="Calibri" w:hAnsi="Calibri"/>
          <w:szCs w:val="24"/>
        </w:rPr>
        <w:t>On the outreach impact pathway, the focus is on increasing the use of digital marketing tools to assess, select and identify qualified prospective entities in the ICT field</w:t>
      </w:r>
      <w:r w:rsidR="00725A74">
        <w:rPr>
          <w:rFonts w:ascii="Calibri" w:hAnsi="Calibri"/>
          <w:szCs w:val="24"/>
        </w:rPr>
        <w:t>, as well as</w:t>
      </w:r>
      <w:r>
        <w:rPr>
          <w:rFonts w:ascii="Calibri" w:hAnsi="Calibri"/>
          <w:szCs w:val="24"/>
        </w:rPr>
        <w:t xml:space="preserve">, to build prospective lists by industry segments, target such communities with packaged content </w:t>
      </w:r>
      <w:r w:rsidR="00827226">
        <w:rPr>
          <w:rFonts w:ascii="Calibri" w:hAnsi="Calibri"/>
          <w:szCs w:val="24"/>
        </w:rPr>
        <w:t>aligned with prospect interest</w:t>
      </w:r>
      <w:r>
        <w:rPr>
          <w:rFonts w:ascii="Calibri" w:hAnsi="Calibri"/>
          <w:szCs w:val="24"/>
        </w:rPr>
        <w:t>, raise awareness and interest in BDT’s products and services, and build interest in membership offerings and opportunities</w:t>
      </w:r>
      <w:r w:rsidR="00827226">
        <w:rPr>
          <w:rFonts w:ascii="Calibri" w:hAnsi="Calibri"/>
          <w:szCs w:val="24"/>
        </w:rPr>
        <w:t xml:space="preserve"> and foster</w:t>
      </w:r>
      <w:r>
        <w:rPr>
          <w:rFonts w:ascii="Calibri" w:hAnsi="Calibri"/>
          <w:szCs w:val="24"/>
        </w:rPr>
        <w:t xml:space="preserve"> conversion into new memberships. </w:t>
      </w:r>
    </w:p>
    <w:p w14:paraId="22615B7B" w14:textId="3EE31034" w:rsidR="00D00EDC" w:rsidRDefault="00B5781B" w:rsidP="00A244BC">
      <w:pPr>
        <w:tabs>
          <w:tab w:val="clear" w:pos="794"/>
          <w:tab w:val="clear" w:pos="1191"/>
          <w:tab w:val="clear" w:pos="1588"/>
          <w:tab w:val="clear" w:pos="1985"/>
          <w:tab w:val="left" w:pos="1134"/>
          <w:tab w:val="left" w:pos="1871"/>
          <w:tab w:val="left" w:pos="2268"/>
        </w:tabs>
        <w:spacing w:after="120"/>
        <w:rPr>
          <w:rFonts w:ascii="Calibri" w:hAnsi="Calibri"/>
          <w:szCs w:val="24"/>
          <w:lang w:val="en-US"/>
        </w:rPr>
      </w:pPr>
      <w:r>
        <w:rPr>
          <w:rFonts w:ascii="Calibri" w:hAnsi="Calibri"/>
          <w:szCs w:val="24"/>
          <w:lang w:val="en-US"/>
        </w:rPr>
        <w:t>Since</w:t>
      </w:r>
      <w:r w:rsidR="00B23DE3">
        <w:rPr>
          <w:rFonts w:ascii="Calibri" w:hAnsi="Calibri"/>
          <w:szCs w:val="24"/>
          <w:lang w:val="en-US"/>
        </w:rPr>
        <w:t xml:space="preserve"> 2020, the </w:t>
      </w:r>
      <w:r w:rsidR="00D00EDC" w:rsidRPr="00D00EDC">
        <w:rPr>
          <w:rFonts w:ascii="Calibri" w:hAnsi="Calibri"/>
          <w:szCs w:val="24"/>
          <w:lang w:val="en-US"/>
        </w:rPr>
        <w:t xml:space="preserve">BDT </w:t>
      </w:r>
      <w:r>
        <w:rPr>
          <w:rFonts w:ascii="Calibri" w:hAnsi="Calibri"/>
          <w:szCs w:val="24"/>
          <w:lang w:val="en-US"/>
        </w:rPr>
        <w:t xml:space="preserve">has been </w:t>
      </w:r>
      <w:r w:rsidR="00D00EDC" w:rsidRPr="00D00EDC">
        <w:rPr>
          <w:rFonts w:ascii="Calibri" w:hAnsi="Calibri"/>
          <w:szCs w:val="24"/>
          <w:lang w:val="en-US"/>
        </w:rPr>
        <w:t xml:space="preserve">conducting a series of actions </w:t>
      </w:r>
      <w:r>
        <w:rPr>
          <w:rFonts w:ascii="Calibri" w:hAnsi="Calibri"/>
          <w:szCs w:val="24"/>
          <w:lang w:val="en-US"/>
        </w:rPr>
        <w:t xml:space="preserve">aimed at strengthening </w:t>
      </w:r>
      <w:r w:rsidR="00D00EDC" w:rsidRPr="00D00EDC">
        <w:rPr>
          <w:rFonts w:ascii="Calibri" w:hAnsi="Calibri"/>
          <w:szCs w:val="24"/>
          <w:lang w:val="en-US"/>
        </w:rPr>
        <w:t xml:space="preserve">engagement with, and participation </w:t>
      </w:r>
      <w:r>
        <w:rPr>
          <w:rFonts w:ascii="Calibri" w:hAnsi="Calibri"/>
          <w:szCs w:val="24"/>
          <w:lang w:val="en-US"/>
        </w:rPr>
        <w:t>by</w:t>
      </w:r>
      <w:r w:rsidR="00D00EDC" w:rsidRPr="00D00EDC">
        <w:rPr>
          <w:rFonts w:ascii="Calibri" w:hAnsi="Calibri"/>
          <w:szCs w:val="24"/>
          <w:lang w:val="en-US"/>
        </w:rPr>
        <w:t xml:space="preserve"> ITU-D members in the </w:t>
      </w:r>
      <w:r w:rsidR="005E0787">
        <w:rPr>
          <w:rFonts w:ascii="Calibri" w:hAnsi="Calibri"/>
          <w:szCs w:val="24"/>
          <w:lang w:val="en-US"/>
        </w:rPr>
        <w:t xml:space="preserve">activities and programmes </w:t>
      </w:r>
      <w:r w:rsidR="00D00EDC" w:rsidRPr="00D00EDC">
        <w:rPr>
          <w:rFonts w:ascii="Calibri" w:hAnsi="Calibri"/>
          <w:szCs w:val="24"/>
          <w:lang w:val="en-US"/>
        </w:rPr>
        <w:t>of the Sector</w:t>
      </w:r>
      <w:r>
        <w:rPr>
          <w:rFonts w:ascii="Calibri" w:hAnsi="Calibri"/>
          <w:szCs w:val="24"/>
          <w:lang w:val="en-US"/>
        </w:rPr>
        <w:t>.</w:t>
      </w:r>
      <w:r w:rsidR="00B23DE3">
        <w:rPr>
          <w:rFonts w:ascii="Calibri" w:hAnsi="Calibri"/>
          <w:szCs w:val="24"/>
          <w:lang w:val="en-US"/>
        </w:rPr>
        <w:t xml:space="preserve"> </w:t>
      </w:r>
    </w:p>
    <w:p w14:paraId="2EB9D694" w14:textId="504AB182" w:rsidR="00B5781B" w:rsidRPr="00D00EDC" w:rsidRDefault="00B5781B" w:rsidP="00A244BC">
      <w:pPr>
        <w:tabs>
          <w:tab w:val="clear" w:pos="794"/>
          <w:tab w:val="clear" w:pos="1191"/>
          <w:tab w:val="clear" w:pos="1588"/>
          <w:tab w:val="clear" w:pos="1985"/>
          <w:tab w:val="left" w:pos="1134"/>
          <w:tab w:val="left" w:pos="1871"/>
          <w:tab w:val="left" w:pos="2268"/>
        </w:tabs>
        <w:spacing w:after="120"/>
        <w:rPr>
          <w:rFonts w:ascii="Calibri" w:hAnsi="Calibri"/>
          <w:szCs w:val="24"/>
        </w:rPr>
      </w:pPr>
      <w:r>
        <w:rPr>
          <w:rFonts w:ascii="Calibri" w:hAnsi="Calibri"/>
          <w:szCs w:val="24"/>
        </w:rPr>
        <w:lastRenderedPageBreak/>
        <w:t xml:space="preserve">In this regard, </w:t>
      </w:r>
      <w:r w:rsidRPr="00D00EDC">
        <w:rPr>
          <w:rFonts w:ascii="Calibri" w:hAnsi="Calibri"/>
          <w:szCs w:val="24"/>
        </w:rPr>
        <w:t xml:space="preserve">BDT has carried out </w:t>
      </w:r>
      <w:r>
        <w:rPr>
          <w:rFonts w:ascii="Calibri" w:hAnsi="Calibri"/>
          <w:szCs w:val="24"/>
        </w:rPr>
        <w:t xml:space="preserve">the following: </w:t>
      </w:r>
    </w:p>
    <w:p w14:paraId="2A69B473" w14:textId="05B3A55D" w:rsidR="00B5781B" w:rsidRPr="002E7344" w:rsidRDefault="00B5781B" w:rsidP="00A244BC">
      <w:pPr>
        <w:pStyle w:val="ListParagraph"/>
        <w:numPr>
          <w:ilvl w:val="0"/>
          <w:numId w:val="5"/>
        </w:numPr>
        <w:spacing w:after="120"/>
        <w:ind w:left="426" w:hanging="426"/>
        <w:contextualSpacing w:val="0"/>
        <w:rPr>
          <w:rFonts w:ascii="Calibri" w:hAnsi="Calibri" w:cs="Calibri"/>
          <w:szCs w:val="24"/>
          <w:shd w:val="clear" w:color="auto" w:fill="FFFFFF"/>
        </w:rPr>
      </w:pPr>
      <w:r w:rsidRPr="00391658">
        <w:rPr>
          <w:rFonts w:ascii="Calibri" w:hAnsi="Calibri"/>
          <w:szCs w:val="24"/>
        </w:rPr>
        <w:t xml:space="preserve">The </w:t>
      </w:r>
      <w:r w:rsidRPr="00391658">
        <w:rPr>
          <w:rFonts w:ascii="Calibri" w:hAnsi="Calibri"/>
          <w:b/>
          <w:bCs/>
          <w:szCs w:val="24"/>
        </w:rPr>
        <w:t>Industry Advisory Group for Development Issues and the Private Sector Chief Regulatory Officers (IAGD-CRO)</w:t>
      </w:r>
      <w:r w:rsidRPr="000F7F9F">
        <w:rPr>
          <w:rFonts w:ascii="Calibri" w:hAnsi="Calibri"/>
          <w:szCs w:val="24"/>
        </w:rPr>
        <w:t xml:space="preserve"> met on 31 August 2020 as a virtual pre-event to the Global Symposium for Regulators (GSR-20). In this meeting, </w:t>
      </w:r>
      <w:r w:rsidRPr="000F7F9F">
        <w:rPr>
          <w:rFonts w:ascii="Calibri" w:hAnsi="Calibri" w:cs="Calibri"/>
          <w:szCs w:val="24"/>
          <w:shd w:val="clear" w:color="auto" w:fill="FFFFFF"/>
        </w:rPr>
        <w:t xml:space="preserve">IAGDI-CRO re-affirmed industry and private sector’s commitment to support governments during the recovery phase of the COVID-19 pandemic, to work with governments and regulators to prepare better for future similar crisis, to play a more active role in supporting ICT development work. </w:t>
      </w:r>
      <w:r w:rsidRPr="000F7F9F">
        <w:rPr>
          <w:rFonts w:ascii="Calibri" w:hAnsi="Calibri"/>
          <w:szCs w:val="24"/>
        </w:rPr>
        <w:t xml:space="preserve">Over 100 senior industry representatives emphasized that priority should continue to be given to meaningful, secure, affordable, and sustainable broadband connectivity for all. (see the </w:t>
      </w:r>
      <w:hyperlink r:id="rId13" w:history="1">
        <w:r w:rsidRPr="00B5781B">
          <w:rPr>
            <w:rStyle w:val="Hyperlink"/>
            <w:rFonts w:ascii="Calibri" w:hAnsi="Calibri"/>
            <w:szCs w:val="24"/>
          </w:rPr>
          <w:t>IAGDI-CRO Outcome Statement</w:t>
        </w:r>
      </w:hyperlink>
      <w:r w:rsidRPr="000F7F9F">
        <w:rPr>
          <w:rFonts w:ascii="Calibri" w:hAnsi="Calibri"/>
          <w:color w:val="000000" w:themeColor="text1"/>
          <w:szCs w:val="24"/>
        </w:rPr>
        <w:t>).</w:t>
      </w:r>
      <w:r w:rsidR="00AF4989">
        <w:rPr>
          <w:rFonts w:ascii="Calibri" w:hAnsi="Calibri"/>
          <w:color w:val="000000" w:themeColor="text1"/>
          <w:szCs w:val="24"/>
        </w:rPr>
        <w:t xml:space="preserve"> </w:t>
      </w:r>
      <w:r w:rsidRPr="000F7F9F">
        <w:rPr>
          <w:rFonts w:ascii="Calibri" w:hAnsi="Calibri" w:cs="Calibri"/>
          <w:szCs w:val="24"/>
          <w:shd w:val="clear" w:color="auto" w:fill="FFFFFF"/>
        </w:rPr>
        <w:t>Furthermore, two Vice-</w:t>
      </w:r>
      <w:r w:rsidR="00725A74" w:rsidRPr="000F7F9F">
        <w:rPr>
          <w:rFonts w:ascii="Calibri" w:hAnsi="Calibri" w:cs="Calibri"/>
          <w:szCs w:val="24"/>
          <w:shd w:val="clear" w:color="auto" w:fill="FFFFFF"/>
        </w:rPr>
        <w:t>Chair</w:t>
      </w:r>
      <w:r w:rsidR="00725A74">
        <w:rPr>
          <w:rFonts w:ascii="Calibri" w:hAnsi="Calibri" w:cs="Calibri"/>
          <w:szCs w:val="24"/>
          <w:shd w:val="clear" w:color="auto" w:fill="FFFFFF"/>
        </w:rPr>
        <w:t>men</w:t>
      </w:r>
      <w:r w:rsidR="00725A74" w:rsidRPr="000F7F9F">
        <w:rPr>
          <w:rFonts w:ascii="Calibri" w:hAnsi="Calibri" w:cs="Calibri"/>
          <w:szCs w:val="24"/>
          <w:shd w:val="clear" w:color="auto" w:fill="FFFFFF"/>
        </w:rPr>
        <w:t xml:space="preserve"> </w:t>
      </w:r>
      <w:r w:rsidRPr="000F7F9F">
        <w:rPr>
          <w:rFonts w:ascii="Calibri" w:hAnsi="Calibri" w:cs="Calibri"/>
          <w:szCs w:val="24"/>
          <w:shd w:val="clear" w:color="auto" w:fill="FFFFFF"/>
        </w:rPr>
        <w:t xml:space="preserve">were nominated and with the Chairman have explored their existing networks to promote the ITU-D Sector for purposes of recruiting more </w:t>
      </w:r>
      <w:r w:rsidR="00391658">
        <w:rPr>
          <w:rFonts w:ascii="Calibri" w:hAnsi="Calibri" w:cs="Calibri"/>
          <w:szCs w:val="24"/>
          <w:shd w:val="clear" w:color="auto" w:fill="FFFFFF"/>
        </w:rPr>
        <w:t xml:space="preserve">industry and </w:t>
      </w:r>
      <w:r w:rsidRPr="000F7F9F">
        <w:rPr>
          <w:rFonts w:ascii="Calibri" w:hAnsi="Calibri" w:cs="Calibri"/>
          <w:szCs w:val="24"/>
          <w:shd w:val="clear" w:color="auto" w:fill="FFFFFF"/>
        </w:rPr>
        <w:t xml:space="preserve">private sector </w:t>
      </w:r>
      <w:r w:rsidR="007B13F4" w:rsidRPr="000F7F9F">
        <w:rPr>
          <w:rFonts w:ascii="Calibri" w:hAnsi="Calibri" w:cs="Calibri"/>
          <w:szCs w:val="24"/>
          <w:shd w:val="clear" w:color="auto" w:fill="FFFFFF"/>
        </w:rPr>
        <w:t>players and</w:t>
      </w:r>
      <w:r w:rsidRPr="000F7F9F">
        <w:rPr>
          <w:rFonts w:ascii="Calibri" w:hAnsi="Calibri" w:cs="Calibri"/>
          <w:szCs w:val="24"/>
          <w:shd w:val="clear" w:color="auto" w:fill="FFFFFF"/>
        </w:rPr>
        <w:t xml:space="preserve"> contribute</w:t>
      </w:r>
      <w:r w:rsidR="00391658">
        <w:rPr>
          <w:rFonts w:ascii="Calibri" w:hAnsi="Calibri" w:cs="Calibri"/>
          <w:szCs w:val="24"/>
          <w:shd w:val="clear" w:color="auto" w:fill="FFFFFF"/>
        </w:rPr>
        <w:t>d</w:t>
      </w:r>
      <w:r w:rsidRPr="000F7F9F">
        <w:rPr>
          <w:rFonts w:ascii="Calibri" w:hAnsi="Calibri" w:cs="Calibri"/>
          <w:szCs w:val="24"/>
          <w:shd w:val="clear" w:color="auto" w:fill="FFFFFF"/>
        </w:rPr>
        <w:t xml:space="preserve"> to each one of the Regional Development Forum and to the ongoing preparations for WTDC-21.</w:t>
      </w:r>
      <w:r w:rsidR="00AF4989">
        <w:rPr>
          <w:rFonts w:ascii="Calibri" w:hAnsi="Calibri" w:cs="Calibri"/>
          <w:szCs w:val="24"/>
          <w:shd w:val="clear" w:color="auto" w:fill="FFFFFF"/>
        </w:rPr>
        <w:t xml:space="preserve"> </w:t>
      </w:r>
      <w:r w:rsidRPr="000F7F9F">
        <w:rPr>
          <w:rFonts w:ascii="Calibri" w:hAnsi="Calibri" w:cs="Calibri"/>
          <w:szCs w:val="24"/>
          <w:shd w:val="clear" w:color="auto" w:fill="FFFFFF"/>
        </w:rPr>
        <w:t>The next IAGDI-CRO meeting will take place (</w:t>
      </w:r>
      <w:r w:rsidR="00CE5987" w:rsidRPr="00CE5987">
        <w:rPr>
          <w:rFonts w:ascii="Calibri" w:hAnsi="Calibri" w:cs="Calibri"/>
          <w:szCs w:val="24"/>
          <w:shd w:val="clear" w:color="auto" w:fill="FFFFFF"/>
        </w:rPr>
        <w:t>virtually) on</w:t>
      </w:r>
      <w:r w:rsidRPr="000F7F9F">
        <w:rPr>
          <w:rFonts w:ascii="Calibri" w:hAnsi="Calibri" w:cs="Calibri"/>
          <w:szCs w:val="24"/>
          <w:shd w:val="clear" w:color="auto" w:fill="FFFFFF"/>
        </w:rPr>
        <w:t xml:space="preserve"> the 21 June 2021</w:t>
      </w:r>
      <w:r w:rsidR="00725A74">
        <w:rPr>
          <w:rFonts w:ascii="Calibri" w:hAnsi="Calibri" w:cs="Calibri"/>
          <w:szCs w:val="24"/>
          <w:shd w:val="clear" w:color="auto" w:fill="FFFFFF"/>
        </w:rPr>
        <w:t>,</w:t>
      </w:r>
      <w:r w:rsidRPr="000F7F9F">
        <w:rPr>
          <w:rFonts w:ascii="Calibri" w:hAnsi="Calibri" w:cs="Calibri"/>
          <w:szCs w:val="24"/>
          <w:shd w:val="clear" w:color="auto" w:fill="FFFFFF"/>
        </w:rPr>
        <w:t xml:space="preserve"> </w:t>
      </w:r>
      <w:r w:rsidR="007B13F4">
        <w:rPr>
          <w:rFonts w:ascii="Calibri" w:hAnsi="Calibri" w:cs="Calibri"/>
          <w:szCs w:val="24"/>
          <w:shd w:val="clear" w:color="auto" w:fill="FFFFFF"/>
        </w:rPr>
        <w:t xml:space="preserve">back-to-back with </w:t>
      </w:r>
      <w:r w:rsidRPr="000F7F9F">
        <w:rPr>
          <w:rFonts w:ascii="Calibri" w:hAnsi="Calibri"/>
          <w:szCs w:val="24"/>
        </w:rPr>
        <w:t>GSR</w:t>
      </w:r>
      <w:r w:rsidR="00725A74">
        <w:rPr>
          <w:rFonts w:ascii="Calibri" w:hAnsi="Calibri"/>
          <w:szCs w:val="24"/>
        </w:rPr>
        <w:t>-21</w:t>
      </w:r>
      <w:r w:rsidR="007B13F4">
        <w:rPr>
          <w:rFonts w:ascii="Calibri" w:hAnsi="Calibri"/>
          <w:szCs w:val="24"/>
        </w:rPr>
        <w:t>.</w:t>
      </w:r>
      <w:r w:rsidRPr="000F7F9F">
        <w:rPr>
          <w:rFonts w:ascii="Calibri" w:hAnsi="Calibri"/>
          <w:szCs w:val="24"/>
        </w:rPr>
        <w:t xml:space="preserve"> </w:t>
      </w:r>
    </w:p>
    <w:p w14:paraId="148862B7" w14:textId="57DB9FF3" w:rsidR="00391658" w:rsidRPr="002E7344" w:rsidRDefault="00391658" w:rsidP="00A244BC">
      <w:pPr>
        <w:pStyle w:val="ListParagraph"/>
        <w:numPr>
          <w:ilvl w:val="0"/>
          <w:numId w:val="5"/>
        </w:numPr>
        <w:spacing w:after="120"/>
        <w:ind w:left="426" w:hanging="426"/>
        <w:contextualSpacing w:val="0"/>
        <w:rPr>
          <w:rFonts w:ascii="Calibri" w:hAnsi="Calibri" w:cs="Calibri"/>
          <w:szCs w:val="24"/>
          <w:shd w:val="clear" w:color="auto" w:fill="FFFFFF"/>
        </w:rPr>
      </w:pPr>
      <w:r>
        <w:rPr>
          <w:rFonts w:ascii="Calibri" w:hAnsi="Calibri"/>
          <w:b/>
          <w:bCs/>
          <w:szCs w:val="24"/>
        </w:rPr>
        <w:t>The</w:t>
      </w:r>
      <w:r w:rsidRPr="000F7F9F">
        <w:rPr>
          <w:rFonts w:ascii="Calibri" w:hAnsi="Calibri"/>
          <w:b/>
          <w:bCs/>
          <w:szCs w:val="24"/>
        </w:rPr>
        <w:t xml:space="preserve"> Know Members</w:t>
      </w:r>
      <w:r>
        <w:rPr>
          <w:rFonts w:ascii="Calibri" w:hAnsi="Calibri"/>
          <w:b/>
          <w:bCs/>
          <w:szCs w:val="24"/>
        </w:rPr>
        <w:t xml:space="preserve"> Series</w:t>
      </w:r>
      <w:r w:rsidRPr="00CE5987">
        <w:rPr>
          <w:rFonts w:ascii="Calibri" w:hAnsi="Calibri"/>
          <w:szCs w:val="24"/>
        </w:rPr>
        <w:t xml:space="preserve"> </w:t>
      </w:r>
      <w:r>
        <w:rPr>
          <w:rFonts w:ascii="Calibri" w:hAnsi="Calibri"/>
          <w:szCs w:val="24"/>
        </w:rPr>
        <w:t xml:space="preserve">was launched </w:t>
      </w:r>
      <w:r>
        <w:t>as dialogue platform for Telecommunication Development Sector (ITU-D) Members, segmented by communities</w:t>
      </w:r>
      <w:r>
        <w:rPr>
          <w:rStyle w:val="FootnoteReference"/>
        </w:rPr>
        <w:footnoteReference w:id="6"/>
      </w:r>
      <w:r>
        <w:t xml:space="preserve"> to interact and exchange views with the leadership of the Telecommunication Development Bureau (BDT). This includes updates on ongoing and planned provided by the BDT and collecting views from Members on how we could strengthen relationship and engagement.</w:t>
      </w:r>
      <w:r w:rsidR="002E7344">
        <w:t xml:space="preserve"> The session for Academia and Research Institutions community </w:t>
      </w:r>
      <w:r w:rsidR="007B13F4">
        <w:t>will</w:t>
      </w:r>
      <w:r w:rsidR="002E7344">
        <w:t xml:space="preserve"> take place on 15 April 2021 and </w:t>
      </w:r>
      <w:r w:rsidR="00725A74">
        <w:t xml:space="preserve">will be </w:t>
      </w:r>
      <w:r w:rsidR="002E7344">
        <w:t xml:space="preserve">followed by other communities of ITU-D Members </w:t>
      </w:r>
      <w:r w:rsidR="001A0809">
        <w:t xml:space="preserve">to be </w:t>
      </w:r>
      <w:r w:rsidR="002E7344">
        <w:t>planned throughout the year.</w:t>
      </w:r>
      <w:r>
        <w:t xml:space="preserve"> </w:t>
      </w:r>
    </w:p>
    <w:p w14:paraId="59703B83" w14:textId="786EE339" w:rsidR="002E7344" w:rsidRDefault="002E7344" w:rsidP="00A244BC">
      <w:pPr>
        <w:pStyle w:val="ListParagraph"/>
        <w:numPr>
          <w:ilvl w:val="0"/>
          <w:numId w:val="5"/>
        </w:numPr>
        <w:spacing w:after="120"/>
        <w:ind w:left="426" w:hanging="426"/>
        <w:contextualSpacing w:val="0"/>
        <w:rPr>
          <w:rFonts w:ascii="Calibri" w:hAnsi="Calibri"/>
          <w:szCs w:val="24"/>
        </w:rPr>
      </w:pPr>
      <w:r>
        <w:rPr>
          <w:rFonts w:ascii="Calibri" w:hAnsi="Calibri"/>
          <w:b/>
          <w:bCs/>
          <w:szCs w:val="24"/>
        </w:rPr>
        <w:t>The</w:t>
      </w:r>
      <w:r w:rsidR="00391658">
        <w:rPr>
          <w:rFonts w:ascii="Calibri" w:hAnsi="Calibri"/>
          <w:b/>
          <w:bCs/>
          <w:szCs w:val="24"/>
        </w:rPr>
        <w:t xml:space="preserve"> </w:t>
      </w:r>
      <w:r w:rsidR="00CE5987" w:rsidRPr="002E7344">
        <w:rPr>
          <w:rFonts w:ascii="Calibri" w:hAnsi="Calibri"/>
          <w:b/>
          <w:bCs/>
          <w:szCs w:val="24"/>
        </w:rPr>
        <w:t xml:space="preserve">Tech Talks </w:t>
      </w:r>
      <w:r>
        <w:rPr>
          <w:rFonts w:ascii="Calibri" w:hAnsi="Calibri"/>
          <w:b/>
          <w:bCs/>
          <w:szCs w:val="24"/>
        </w:rPr>
        <w:t>S</w:t>
      </w:r>
      <w:r w:rsidR="00CE5987" w:rsidRPr="002E7344">
        <w:rPr>
          <w:rFonts w:ascii="Calibri" w:hAnsi="Calibri"/>
          <w:b/>
          <w:bCs/>
          <w:szCs w:val="24"/>
        </w:rPr>
        <w:t>eries</w:t>
      </w:r>
      <w:r>
        <w:rPr>
          <w:rFonts w:ascii="Calibri" w:hAnsi="Calibri"/>
          <w:b/>
          <w:bCs/>
          <w:szCs w:val="24"/>
        </w:rPr>
        <w:t xml:space="preserve"> </w:t>
      </w:r>
      <w:r w:rsidRPr="002E7344">
        <w:rPr>
          <w:rFonts w:ascii="Calibri" w:hAnsi="Calibri"/>
          <w:szCs w:val="24"/>
        </w:rPr>
        <w:t>was also launched</w:t>
      </w:r>
      <w:r w:rsidR="00CE5987">
        <w:rPr>
          <w:rFonts w:ascii="Calibri" w:hAnsi="Calibri"/>
          <w:szCs w:val="24"/>
        </w:rPr>
        <w:t xml:space="preserve"> </w:t>
      </w:r>
      <w:r w:rsidR="001A0809">
        <w:rPr>
          <w:rFonts w:ascii="Calibri" w:hAnsi="Calibri"/>
          <w:szCs w:val="24"/>
        </w:rPr>
        <w:t xml:space="preserve">as </w:t>
      </w:r>
      <w:r w:rsidR="00CE5987">
        <w:rPr>
          <w:rFonts w:ascii="Calibri" w:hAnsi="Calibri"/>
          <w:szCs w:val="24"/>
        </w:rPr>
        <w:t>a</w:t>
      </w:r>
      <w:r w:rsidR="00CE5987" w:rsidRPr="00D01B11">
        <w:rPr>
          <w:rFonts w:ascii="Calibri" w:hAnsi="Calibri"/>
          <w:szCs w:val="24"/>
        </w:rPr>
        <w:t>n engagement platform</w:t>
      </w:r>
      <w:r>
        <w:rPr>
          <w:rFonts w:ascii="Calibri" w:hAnsi="Calibri"/>
          <w:szCs w:val="24"/>
        </w:rPr>
        <w:t xml:space="preserve"> designed for and </w:t>
      </w:r>
      <w:r w:rsidR="007B13F4">
        <w:rPr>
          <w:rFonts w:ascii="Calibri" w:hAnsi="Calibri"/>
          <w:szCs w:val="24"/>
        </w:rPr>
        <w:t>with ITU</w:t>
      </w:r>
      <w:r w:rsidR="00CE5987">
        <w:rPr>
          <w:rFonts w:ascii="Calibri" w:hAnsi="Calibri"/>
          <w:szCs w:val="24"/>
        </w:rPr>
        <w:t>-D membership,</w:t>
      </w:r>
      <w:r>
        <w:rPr>
          <w:rFonts w:ascii="Calibri" w:hAnsi="Calibri"/>
          <w:szCs w:val="24"/>
        </w:rPr>
        <w:t xml:space="preserve"> also</w:t>
      </w:r>
      <w:r w:rsidR="00CE5987">
        <w:rPr>
          <w:rFonts w:ascii="Calibri" w:hAnsi="Calibri"/>
          <w:szCs w:val="24"/>
        </w:rPr>
        <w:t xml:space="preserve"> segmented by communities, </w:t>
      </w:r>
      <w:r>
        <w:rPr>
          <w:rFonts w:ascii="Calibri" w:hAnsi="Calibri"/>
          <w:szCs w:val="24"/>
        </w:rPr>
        <w:t>to share</w:t>
      </w:r>
      <w:r w:rsidR="00CE5987" w:rsidRPr="00D01B11">
        <w:rPr>
          <w:rFonts w:ascii="Calibri" w:hAnsi="Calibri"/>
          <w:szCs w:val="24"/>
        </w:rPr>
        <w:t xml:space="preserve"> their technologies and innovative approaches in the field of ICTs/development</w:t>
      </w:r>
      <w:r w:rsidR="00CE5987">
        <w:rPr>
          <w:rFonts w:ascii="Calibri" w:hAnsi="Calibri"/>
          <w:szCs w:val="24"/>
        </w:rPr>
        <w:t xml:space="preserve"> and connectivity, </w:t>
      </w:r>
      <w:r>
        <w:rPr>
          <w:rFonts w:ascii="Calibri" w:hAnsi="Calibri"/>
          <w:szCs w:val="24"/>
        </w:rPr>
        <w:t>to</w:t>
      </w:r>
      <w:r w:rsidR="00CE5987">
        <w:rPr>
          <w:rFonts w:ascii="Calibri" w:hAnsi="Calibri"/>
          <w:szCs w:val="24"/>
        </w:rPr>
        <w:t xml:space="preserve"> engage with industry peers of their respective community and wit</w:t>
      </w:r>
      <w:r w:rsidR="00391658">
        <w:rPr>
          <w:rFonts w:ascii="Calibri" w:hAnsi="Calibri"/>
          <w:szCs w:val="24"/>
        </w:rPr>
        <w:t>h</w:t>
      </w:r>
      <w:r w:rsidR="00CE5987">
        <w:rPr>
          <w:rFonts w:ascii="Calibri" w:hAnsi="Calibri"/>
          <w:szCs w:val="24"/>
        </w:rPr>
        <w:t xml:space="preserve"> BDT experts, to explore new areas for collaboration. </w:t>
      </w:r>
      <w:r>
        <w:rPr>
          <w:rFonts w:ascii="Calibri" w:hAnsi="Calibri"/>
          <w:szCs w:val="24"/>
        </w:rPr>
        <w:t xml:space="preserve">The </w:t>
      </w:r>
      <w:r w:rsidR="001A0809">
        <w:rPr>
          <w:rFonts w:ascii="Calibri" w:hAnsi="Calibri"/>
          <w:szCs w:val="24"/>
        </w:rPr>
        <w:t xml:space="preserve">first </w:t>
      </w:r>
      <w:r>
        <w:rPr>
          <w:rFonts w:ascii="Calibri" w:hAnsi="Calibri"/>
          <w:szCs w:val="24"/>
        </w:rPr>
        <w:t>Tech Talk</w:t>
      </w:r>
      <w:r w:rsidR="00C06D84">
        <w:rPr>
          <w:rFonts w:ascii="Calibri" w:hAnsi="Calibri"/>
          <w:szCs w:val="24"/>
        </w:rPr>
        <w:t>s</w:t>
      </w:r>
      <w:r>
        <w:rPr>
          <w:rFonts w:ascii="Calibri" w:hAnsi="Calibri"/>
          <w:szCs w:val="24"/>
        </w:rPr>
        <w:t xml:space="preserve"> </w:t>
      </w:r>
      <w:r w:rsidR="00C06D84">
        <w:rPr>
          <w:rFonts w:ascii="Calibri" w:hAnsi="Calibri"/>
          <w:szCs w:val="24"/>
        </w:rPr>
        <w:t xml:space="preserve">event </w:t>
      </w:r>
      <w:r>
        <w:rPr>
          <w:rFonts w:ascii="Calibri" w:hAnsi="Calibri"/>
          <w:szCs w:val="24"/>
        </w:rPr>
        <w:t xml:space="preserve">was held in on 18 February 2021 for the </w:t>
      </w:r>
      <w:r w:rsidRPr="002E7344">
        <w:rPr>
          <w:rFonts w:ascii="Calibri" w:hAnsi="Calibri"/>
          <w:szCs w:val="24"/>
        </w:rPr>
        <w:t>Recognized Operating Agencies (ROA)</w:t>
      </w:r>
      <w:r>
        <w:rPr>
          <w:rFonts w:ascii="Calibri" w:hAnsi="Calibri"/>
          <w:szCs w:val="24"/>
        </w:rPr>
        <w:t xml:space="preserve"> and was greatly appreciated </w:t>
      </w:r>
      <w:r w:rsidR="00A5078C">
        <w:rPr>
          <w:rFonts w:ascii="Calibri" w:hAnsi="Calibri"/>
          <w:szCs w:val="24"/>
        </w:rPr>
        <w:t>and</w:t>
      </w:r>
      <w:r>
        <w:rPr>
          <w:rFonts w:ascii="Calibri" w:hAnsi="Calibri"/>
          <w:szCs w:val="24"/>
        </w:rPr>
        <w:t xml:space="preserve"> attracted interest of prospective members. The </w:t>
      </w:r>
      <w:r w:rsidR="001A0809">
        <w:rPr>
          <w:rFonts w:ascii="Calibri" w:hAnsi="Calibri"/>
          <w:szCs w:val="24"/>
        </w:rPr>
        <w:t xml:space="preserve">second </w:t>
      </w:r>
      <w:r>
        <w:rPr>
          <w:rFonts w:ascii="Calibri" w:hAnsi="Calibri"/>
          <w:szCs w:val="24"/>
        </w:rPr>
        <w:t>Tech Talk</w:t>
      </w:r>
      <w:r w:rsidR="00C06D84">
        <w:rPr>
          <w:rFonts w:ascii="Calibri" w:hAnsi="Calibri"/>
          <w:szCs w:val="24"/>
        </w:rPr>
        <w:t>s</w:t>
      </w:r>
      <w:r>
        <w:rPr>
          <w:rFonts w:ascii="Calibri" w:hAnsi="Calibri"/>
          <w:szCs w:val="24"/>
        </w:rPr>
        <w:t xml:space="preserve"> </w:t>
      </w:r>
      <w:r w:rsidR="00C06D84">
        <w:rPr>
          <w:rFonts w:ascii="Calibri" w:hAnsi="Calibri"/>
          <w:szCs w:val="24"/>
        </w:rPr>
        <w:t xml:space="preserve">event </w:t>
      </w:r>
      <w:r>
        <w:rPr>
          <w:rFonts w:ascii="Calibri" w:hAnsi="Calibri"/>
          <w:szCs w:val="24"/>
        </w:rPr>
        <w:t xml:space="preserve">will be held on 27 April 2021 for </w:t>
      </w:r>
      <w:r w:rsidRPr="002E7344">
        <w:rPr>
          <w:rFonts w:ascii="Calibri" w:hAnsi="Calibri"/>
          <w:szCs w:val="24"/>
        </w:rPr>
        <w:t>the Scientific and Industrial Organizations (SIO</w:t>
      </w:r>
      <w:r w:rsidR="00A5078C" w:rsidRPr="002E7344">
        <w:rPr>
          <w:rFonts w:ascii="Calibri" w:hAnsi="Calibri"/>
          <w:szCs w:val="24"/>
        </w:rPr>
        <w:t>)</w:t>
      </w:r>
      <w:r w:rsidR="00A5078C">
        <w:rPr>
          <w:rFonts w:ascii="Calibri" w:hAnsi="Calibri"/>
          <w:szCs w:val="24"/>
        </w:rPr>
        <w:t xml:space="preserve"> and</w:t>
      </w:r>
      <w:r>
        <w:rPr>
          <w:rFonts w:ascii="Calibri" w:hAnsi="Calibri"/>
          <w:szCs w:val="24"/>
        </w:rPr>
        <w:t xml:space="preserve"> will be followed by other membership segments </w:t>
      </w:r>
      <w:r w:rsidR="00A5078C">
        <w:rPr>
          <w:rFonts w:ascii="Calibri" w:hAnsi="Calibri"/>
          <w:szCs w:val="24"/>
        </w:rPr>
        <w:t>during</w:t>
      </w:r>
      <w:r>
        <w:rPr>
          <w:rFonts w:ascii="Calibri" w:hAnsi="Calibri"/>
          <w:szCs w:val="24"/>
        </w:rPr>
        <w:t xml:space="preserve"> the year. </w:t>
      </w:r>
    </w:p>
    <w:p w14:paraId="46EA0D75" w14:textId="1E746B11" w:rsidR="00BB1C9B" w:rsidRDefault="00CE5987" w:rsidP="00A244BC">
      <w:pPr>
        <w:pStyle w:val="ListParagraph"/>
        <w:numPr>
          <w:ilvl w:val="0"/>
          <w:numId w:val="5"/>
        </w:numPr>
        <w:spacing w:after="120"/>
        <w:ind w:left="426" w:hanging="426"/>
        <w:contextualSpacing w:val="0"/>
        <w:rPr>
          <w:rFonts w:ascii="Calibri" w:hAnsi="Calibri"/>
          <w:szCs w:val="24"/>
        </w:rPr>
      </w:pPr>
      <w:r w:rsidRPr="002E7344">
        <w:rPr>
          <w:rFonts w:ascii="Calibri" w:hAnsi="Calibri" w:cs="Calibri"/>
          <w:b/>
          <w:bCs/>
          <w:szCs w:val="24"/>
          <w:shd w:val="clear" w:color="auto" w:fill="FFFFFF"/>
        </w:rPr>
        <w:t xml:space="preserve">Staff Capacity Building on Membership </w:t>
      </w:r>
      <w:r w:rsidR="002E7344">
        <w:rPr>
          <w:rFonts w:ascii="Calibri" w:hAnsi="Calibri" w:cs="Calibri"/>
          <w:b/>
          <w:bCs/>
          <w:szCs w:val="24"/>
          <w:shd w:val="clear" w:color="auto" w:fill="FFFFFF"/>
        </w:rPr>
        <w:t>i</w:t>
      </w:r>
      <w:r w:rsidRPr="002E7344">
        <w:rPr>
          <w:rFonts w:ascii="Calibri" w:hAnsi="Calibri" w:cs="Calibri"/>
          <w:b/>
          <w:bCs/>
          <w:szCs w:val="24"/>
          <w:shd w:val="clear" w:color="auto" w:fill="FFFFFF"/>
        </w:rPr>
        <w:t>ssues</w:t>
      </w:r>
      <w:r w:rsidR="002E7344">
        <w:rPr>
          <w:rFonts w:ascii="Calibri" w:hAnsi="Calibri" w:cs="Calibri"/>
          <w:szCs w:val="24"/>
          <w:shd w:val="clear" w:color="auto" w:fill="FFFFFF"/>
        </w:rPr>
        <w:t xml:space="preserve"> is</w:t>
      </w:r>
      <w:r w:rsidRPr="000F7F9F">
        <w:rPr>
          <w:rFonts w:ascii="Calibri" w:hAnsi="Calibri"/>
          <w:szCs w:val="24"/>
        </w:rPr>
        <w:t xml:space="preserve"> </w:t>
      </w:r>
      <w:r w:rsidR="001A0809">
        <w:rPr>
          <w:rFonts w:ascii="Calibri" w:hAnsi="Calibri"/>
          <w:szCs w:val="24"/>
        </w:rPr>
        <w:t xml:space="preserve">a </w:t>
      </w:r>
      <w:r w:rsidRPr="000F7F9F">
        <w:rPr>
          <w:rFonts w:ascii="Calibri" w:hAnsi="Calibri"/>
          <w:szCs w:val="24"/>
        </w:rPr>
        <w:t>key element to the success of ITU-D Membership</w:t>
      </w:r>
      <w:r w:rsidR="001A0809">
        <w:rPr>
          <w:rFonts w:ascii="Calibri" w:hAnsi="Calibri"/>
          <w:szCs w:val="24"/>
        </w:rPr>
        <w:t>’s</w:t>
      </w:r>
      <w:r w:rsidRPr="000F7F9F">
        <w:rPr>
          <w:rFonts w:ascii="Calibri" w:hAnsi="Calibri"/>
          <w:szCs w:val="24"/>
        </w:rPr>
        <w:t xml:space="preserve"> </w:t>
      </w:r>
      <w:r w:rsidR="002E7344">
        <w:rPr>
          <w:rFonts w:ascii="Calibri" w:hAnsi="Calibri"/>
          <w:szCs w:val="24"/>
        </w:rPr>
        <w:t xml:space="preserve">strategic </w:t>
      </w:r>
      <w:r w:rsidR="00BB1C9B">
        <w:rPr>
          <w:rFonts w:ascii="Calibri" w:hAnsi="Calibri"/>
          <w:szCs w:val="24"/>
        </w:rPr>
        <w:t xml:space="preserve">BDT-wide </w:t>
      </w:r>
      <w:r w:rsidR="002E7344">
        <w:rPr>
          <w:rFonts w:ascii="Calibri" w:hAnsi="Calibri"/>
          <w:szCs w:val="24"/>
        </w:rPr>
        <w:t>approach</w:t>
      </w:r>
      <w:r w:rsidR="001A0809">
        <w:rPr>
          <w:rFonts w:ascii="Calibri" w:hAnsi="Calibri"/>
          <w:szCs w:val="24"/>
        </w:rPr>
        <w:t>.  It intends to reinforce</w:t>
      </w:r>
      <w:r w:rsidRPr="000F7F9F">
        <w:rPr>
          <w:rFonts w:ascii="Calibri" w:hAnsi="Calibri"/>
          <w:szCs w:val="24"/>
        </w:rPr>
        <w:t xml:space="preserve"> the </w:t>
      </w:r>
      <w:r w:rsidR="002E7344">
        <w:rPr>
          <w:rFonts w:ascii="Calibri" w:hAnsi="Calibri"/>
          <w:szCs w:val="24"/>
        </w:rPr>
        <w:t xml:space="preserve">BDT staff awareness and </w:t>
      </w:r>
      <w:r w:rsidRPr="000F7F9F">
        <w:rPr>
          <w:rFonts w:ascii="Calibri" w:hAnsi="Calibri"/>
          <w:szCs w:val="24"/>
        </w:rPr>
        <w:t>capacity</w:t>
      </w:r>
      <w:r w:rsidR="001B1A82">
        <w:rPr>
          <w:rFonts w:ascii="Calibri" w:hAnsi="Calibri"/>
          <w:szCs w:val="24"/>
        </w:rPr>
        <w:t>,</w:t>
      </w:r>
      <w:r w:rsidRPr="000F7F9F">
        <w:rPr>
          <w:rFonts w:ascii="Calibri" w:hAnsi="Calibri"/>
          <w:szCs w:val="24"/>
        </w:rPr>
        <w:t xml:space="preserve"> </w:t>
      </w:r>
      <w:r w:rsidR="002E7344">
        <w:rPr>
          <w:rFonts w:ascii="Calibri" w:hAnsi="Calibri"/>
          <w:szCs w:val="24"/>
        </w:rPr>
        <w:t>both at</w:t>
      </w:r>
      <w:r w:rsidRPr="000F7F9F">
        <w:rPr>
          <w:rFonts w:ascii="Calibri" w:hAnsi="Calibri"/>
          <w:szCs w:val="24"/>
        </w:rPr>
        <w:t xml:space="preserve"> </w:t>
      </w:r>
      <w:r w:rsidRPr="00CE5987">
        <w:rPr>
          <w:rFonts w:ascii="Calibri" w:hAnsi="Calibri"/>
          <w:szCs w:val="24"/>
        </w:rPr>
        <w:t>headquarters</w:t>
      </w:r>
      <w:r w:rsidRPr="002E7344">
        <w:rPr>
          <w:rFonts w:ascii="Calibri" w:hAnsi="Calibri"/>
          <w:szCs w:val="24"/>
        </w:rPr>
        <w:t xml:space="preserve"> and </w:t>
      </w:r>
      <w:r w:rsidR="001B1A82">
        <w:rPr>
          <w:rFonts w:ascii="Calibri" w:hAnsi="Calibri"/>
          <w:szCs w:val="24"/>
        </w:rPr>
        <w:t xml:space="preserve">in the </w:t>
      </w:r>
      <w:r w:rsidRPr="002E7344">
        <w:rPr>
          <w:rFonts w:ascii="Calibri" w:hAnsi="Calibri"/>
          <w:szCs w:val="24"/>
        </w:rPr>
        <w:t>field, to prospect</w:t>
      </w:r>
      <w:r w:rsidR="00BB1C9B">
        <w:rPr>
          <w:rFonts w:ascii="Calibri" w:hAnsi="Calibri"/>
          <w:szCs w:val="24"/>
        </w:rPr>
        <w:t xml:space="preserve">, attract and retain </w:t>
      </w:r>
      <w:r w:rsidRPr="002E7344">
        <w:rPr>
          <w:rFonts w:ascii="Calibri" w:hAnsi="Calibri"/>
          <w:szCs w:val="24"/>
        </w:rPr>
        <w:t>members. Dedicated and customized briefing sessions to each staff</w:t>
      </w:r>
      <w:r w:rsidR="002E7344">
        <w:rPr>
          <w:rFonts w:ascii="Calibri" w:hAnsi="Calibri"/>
          <w:szCs w:val="24"/>
        </w:rPr>
        <w:t xml:space="preserve"> </w:t>
      </w:r>
      <w:r w:rsidR="001B1A82">
        <w:rPr>
          <w:rFonts w:ascii="Calibri" w:hAnsi="Calibri"/>
          <w:szCs w:val="24"/>
        </w:rPr>
        <w:t xml:space="preserve">in each region </w:t>
      </w:r>
      <w:r w:rsidR="002E7344">
        <w:rPr>
          <w:rFonts w:ascii="Calibri" w:hAnsi="Calibri"/>
          <w:szCs w:val="24"/>
        </w:rPr>
        <w:t>have</w:t>
      </w:r>
      <w:r w:rsidRPr="002E7344">
        <w:rPr>
          <w:rFonts w:ascii="Calibri" w:hAnsi="Calibri"/>
          <w:szCs w:val="24"/>
        </w:rPr>
        <w:t xml:space="preserve"> been conducted</w:t>
      </w:r>
      <w:r w:rsidR="001B1A82">
        <w:rPr>
          <w:rFonts w:ascii="Calibri" w:hAnsi="Calibri"/>
          <w:szCs w:val="24"/>
        </w:rPr>
        <w:t>,</w:t>
      </w:r>
      <w:r w:rsidR="00BB1C9B">
        <w:rPr>
          <w:rFonts w:ascii="Calibri" w:hAnsi="Calibri"/>
          <w:szCs w:val="24"/>
        </w:rPr>
        <w:t xml:space="preserve"> and awareness was raised on the overall outreach and retention actions, on </w:t>
      </w:r>
      <w:r w:rsidRPr="002E7344">
        <w:rPr>
          <w:rFonts w:ascii="Calibri" w:hAnsi="Calibri"/>
          <w:szCs w:val="24"/>
        </w:rPr>
        <w:t>existing promotional materials</w:t>
      </w:r>
      <w:r w:rsidR="00BB1C9B">
        <w:rPr>
          <w:rFonts w:ascii="Calibri" w:hAnsi="Calibri"/>
          <w:szCs w:val="24"/>
        </w:rPr>
        <w:t xml:space="preserve">, </w:t>
      </w:r>
      <w:r w:rsidR="00A5078C" w:rsidRPr="002E7344">
        <w:rPr>
          <w:rFonts w:ascii="Calibri" w:hAnsi="Calibri"/>
          <w:szCs w:val="24"/>
        </w:rPr>
        <w:t>tools,</w:t>
      </w:r>
      <w:r w:rsidR="00BB1C9B">
        <w:rPr>
          <w:rFonts w:ascii="Calibri" w:hAnsi="Calibri"/>
          <w:szCs w:val="24"/>
        </w:rPr>
        <w:t xml:space="preserve"> and resources available</w:t>
      </w:r>
      <w:r w:rsidRPr="002E7344">
        <w:rPr>
          <w:rFonts w:ascii="Calibri" w:hAnsi="Calibri"/>
          <w:szCs w:val="24"/>
        </w:rPr>
        <w:t xml:space="preserve">. These sessions have closed the knowledge gap in terms of </w:t>
      </w:r>
      <w:r w:rsidR="001B1A82">
        <w:rPr>
          <w:rFonts w:ascii="Calibri" w:hAnsi="Calibri"/>
          <w:szCs w:val="24"/>
        </w:rPr>
        <w:t>m</w:t>
      </w:r>
      <w:r w:rsidR="001B1A82" w:rsidRPr="002E7344">
        <w:rPr>
          <w:rFonts w:ascii="Calibri" w:hAnsi="Calibri"/>
          <w:szCs w:val="24"/>
        </w:rPr>
        <w:t xml:space="preserve">embership </w:t>
      </w:r>
      <w:r w:rsidRPr="002E7344">
        <w:rPr>
          <w:rFonts w:ascii="Calibri" w:hAnsi="Calibri"/>
          <w:szCs w:val="24"/>
        </w:rPr>
        <w:t xml:space="preserve">rules and processes, approaches, retention challenges and </w:t>
      </w:r>
      <w:r w:rsidR="00BB1C9B">
        <w:rPr>
          <w:rFonts w:ascii="Calibri" w:hAnsi="Calibri"/>
          <w:szCs w:val="24"/>
        </w:rPr>
        <w:t xml:space="preserve">opportunities. </w:t>
      </w:r>
    </w:p>
    <w:p w14:paraId="6639A135" w14:textId="6EC8C097" w:rsidR="00B6791C" w:rsidRDefault="00A5078C" w:rsidP="00A244BC">
      <w:pPr>
        <w:pStyle w:val="ListParagraph"/>
        <w:numPr>
          <w:ilvl w:val="0"/>
          <w:numId w:val="5"/>
        </w:numPr>
        <w:spacing w:after="120"/>
        <w:ind w:left="426" w:hanging="426"/>
        <w:contextualSpacing w:val="0"/>
        <w:rPr>
          <w:rFonts w:ascii="Calibri" w:hAnsi="Calibri"/>
          <w:szCs w:val="24"/>
        </w:rPr>
      </w:pPr>
      <w:r w:rsidRPr="00A5078C">
        <w:rPr>
          <w:rFonts w:ascii="Calibri" w:hAnsi="Calibri"/>
          <w:b/>
          <w:bCs/>
          <w:szCs w:val="24"/>
        </w:rPr>
        <w:t>Persuading Members at risk</w:t>
      </w:r>
      <w:r w:rsidRPr="00A5078C">
        <w:rPr>
          <w:rFonts w:ascii="Calibri" w:hAnsi="Calibri"/>
          <w:szCs w:val="24"/>
        </w:rPr>
        <w:t xml:space="preserve"> in cases where existing members signal that they intend to leave, </w:t>
      </w:r>
      <w:r w:rsidR="00BB1C9B" w:rsidRPr="00A5078C">
        <w:rPr>
          <w:rFonts w:ascii="Calibri" w:hAnsi="Calibri"/>
          <w:szCs w:val="24"/>
        </w:rPr>
        <w:t>one-on-one sessions</w:t>
      </w:r>
      <w:r w:rsidR="00827226" w:rsidRPr="00A5078C">
        <w:rPr>
          <w:rFonts w:ascii="Calibri" w:hAnsi="Calibri"/>
          <w:szCs w:val="24"/>
        </w:rPr>
        <w:t xml:space="preserve"> are</w:t>
      </w:r>
      <w:r w:rsidRPr="00A5078C">
        <w:rPr>
          <w:rFonts w:ascii="Calibri" w:hAnsi="Calibri"/>
          <w:szCs w:val="24"/>
        </w:rPr>
        <w:t xml:space="preserve"> carried out with the aim of understanding the reasons why they </w:t>
      </w:r>
      <w:r w:rsidRPr="00A5078C">
        <w:rPr>
          <w:rFonts w:ascii="Calibri" w:hAnsi="Calibri"/>
          <w:szCs w:val="24"/>
        </w:rPr>
        <w:lastRenderedPageBreak/>
        <w:t>intend to leave and persuading them to continue with their membership. This has been successful in several cases with such members reversing their decisions.</w:t>
      </w:r>
      <w:r w:rsidR="00AF4989">
        <w:rPr>
          <w:rFonts w:ascii="Calibri" w:hAnsi="Calibri"/>
          <w:szCs w:val="24"/>
        </w:rPr>
        <w:t xml:space="preserve"> </w:t>
      </w:r>
    </w:p>
    <w:p w14:paraId="412F51AA" w14:textId="68C64C6B" w:rsidR="00A5078C" w:rsidRPr="00A5078C" w:rsidRDefault="00A5078C" w:rsidP="00A244BC">
      <w:pPr>
        <w:pStyle w:val="ListParagraph"/>
        <w:numPr>
          <w:ilvl w:val="0"/>
          <w:numId w:val="5"/>
        </w:numPr>
        <w:spacing w:after="120"/>
        <w:ind w:left="426" w:hanging="426"/>
        <w:contextualSpacing w:val="0"/>
        <w:rPr>
          <w:rFonts w:ascii="Calibri" w:hAnsi="Calibri"/>
          <w:b/>
          <w:bCs/>
          <w:szCs w:val="24"/>
        </w:rPr>
      </w:pPr>
      <w:r w:rsidRPr="00A5078C">
        <w:rPr>
          <w:rFonts w:ascii="Calibri" w:hAnsi="Calibri"/>
          <w:b/>
          <w:bCs/>
          <w:szCs w:val="24"/>
        </w:rPr>
        <w:t>Adoption of a new Membership strategy</w:t>
      </w:r>
      <w:r w:rsidR="001B1A82">
        <w:rPr>
          <w:rFonts w:ascii="Calibri" w:hAnsi="Calibri"/>
          <w:b/>
          <w:bCs/>
          <w:szCs w:val="24"/>
        </w:rPr>
        <w:t>,</w:t>
      </w:r>
      <w:r w:rsidRPr="00A5078C">
        <w:rPr>
          <w:rFonts w:ascii="Calibri" w:hAnsi="Calibri"/>
          <w:b/>
          <w:bCs/>
          <w:szCs w:val="24"/>
        </w:rPr>
        <w:t xml:space="preserve"> </w:t>
      </w:r>
      <w:r w:rsidR="001B1A82">
        <w:rPr>
          <w:rFonts w:ascii="Calibri" w:hAnsi="Calibri"/>
          <w:szCs w:val="24"/>
        </w:rPr>
        <w:t xml:space="preserve">which is </w:t>
      </w:r>
      <w:r>
        <w:rPr>
          <w:rFonts w:ascii="Calibri" w:hAnsi="Calibri"/>
          <w:szCs w:val="24"/>
        </w:rPr>
        <w:t>aligned with those of the Partnerships and Resource Mobilization, and Project Management to ensure cross-fertilization among the three Services.</w:t>
      </w:r>
    </w:p>
    <w:p w14:paraId="73E3537A" w14:textId="1C0B7716" w:rsidR="00D00EDC" w:rsidRPr="00D00EDC" w:rsidRDefault="00A93741" w:rsidP="00A244BC">
      <w:pPr>
        <w:keepNext/>
        <w:numPr>
          <w:ilvl w:val="0"/>
          <w:numId w:val="6"/>
        </w:numPr>
        <w:tabs>
          <w:tab w:val="clear" w:pos="794"/>
          <w:tab w:val="clear" w:pos="1191"/>
          <w:tab w:val="clear" w:pos="1588"/>
          <w:tab w:val="clear" w:pos="1985"/>
          <w:tab w:val="left" w:pos="1134"/>
          <w:tab w:val="left" w:pos="1871"/>
          <w:tab w:val="left" w:pos="2268"/>
        </w:tabs>
        <w:overflowPunct/>
        <w:autoSpaceDE/>
        <w:autoSpaceDN/>
        <w:adjustRightInd/>
        <w:spacing w:after="120"/>
        <w:ind w:left="357" w:hanging="357"/>
        <w:textAlignment w:val="auto"/>
        <w:rPr>
          <w:rFonts w:ascii="Calibri" w:eastAsia="SimSun" w:hAnsi="Calibri" w:cs="Arial"/>
          <w:b/>
          <w:bCs/>
          <w:szCs w:val="24"/>
          <w:lang w:val="en-US" w:eastAsia="zh-CN"/>
        </w:rPr>
      </w:pPr>
      <w:r>
        <w:rPr>
          <w:rFonts w:ascii="Calibri" w:eastAsia="SimSun" w:hAnsi="Calibri" w:cs="Arial"/>
          <w:b/>
          <w:bCs/>
          <w:szCs w:val="24"/>
          <w:lang w:val="en-US" w:eastAsia="zh-CN"/>
        </w:rPr>
        <w:t>Conclusions</w:t>
      </w:r>
    </w:p>
    <w:p w14:paraId="730672BE" w14:textId="15C35256" w:rsidR="00D00EDC" w:rsidRPr="00D00EDC" w:rsidRDefault="00D00EDC" w:rsidP="00A244BC">
      <w:pPr>
        <w:tabs>
          <w:tab w:val="clear" w:pos="794"/>
          <w:tab w:val="clear" w:pos="1191"/>
          <w:tab w:val="clear" w:pos="1588"/>
          <w:tab w:val="clear" w:pos="1985"/>
          <w:tab w:val="left" w:pos="1134"/>
          <w:tab w:val="left" w:pos="1871"/>
          <w:tab w:val="left" w:pos="2268"/>
        </w:tabs>
        <w:spacing w:after="120"/>
        <w:jc w:val="both"/>
        <w:rPr>
          <w:rFonts w:ascii="Calibri" w:hAnsi="Calibri"/>
        </w:rPr>
      </w:pPr>
      <w:r w:rsidRPr="00D00EDC">
        <w:rPr>
          <w:rFonts w:ascii="Calibri" w:hAnsi="Calibri"/>
        </w:rPr>
        <w:t xml:space="preserve">BDT </w:t>
      </w:r>
      <w:r w:rsidR="00F1575E">
        <w:rPr>
          <w:rFonts w:ascii="Calibri" w:hAnsi="Calibri"/>
        </w:rPr>
        <w:t>is determined to:</w:t>
      </w:r>
    </w:p>
    <w:p w14:paraId="596CD3F0" w14:textId="5BA6722C" w:rsidR="00D00EDC" w:rsidRDefault="005A0A92" w:rsidP="00A244BC">
      <w:pPr>
        <w:numPr>
          <w:ilvl w:val="0"/>
          <w:numId w:val="4"/>
        </w:numPr>
        <w:tabs>
          <w:tab w:val="clear" w:pos="794"/>
          <w:tab w:val="clear" w:pos="1191"/>
          <w:tab w:val="clear" w:pos="1588"/>
          <w:tab w:val="clear" w:pos="1985"/>
          <w:tab w:val="left" w:pos="1134"/>
          <w:tab w:val="left" w:pos="1871"/>
          <w:tab w:val="left" w:pos="2268"/>
        </w:tabs>
        <w:spacing w:after="120"/>
        <w:rPr>
          <w:rFonts w:ascii="Calibri" w:hAnsi="Calibri"/>
        </w:rPr>
      </w:pPr>
      <w:r>
        <w:rPr>
          <w:rFonts w:ascii="Calibri" w:hAnsi="Calibri"/>
        </w:rPr>
        <w:t xml:space="preserve">Continue to </w:t>
      </w:r>
      <w:r w:rsidR="00370274">
        <w:rPr>
          <w:rFonts w:ascii="Calibri" w:hAnsi="Calibri"/>
        </w:rPr>
        <w:t>i</w:t>
      </w:r>
      <w:r w:rsidR="00D00EDC" w:rsidRPr="00D00EDC">
        <w:rPr>
          <w:rFonts w:ascii="Calibri" w:hAnsi="Calibri"/>
        </w:rPr>
        <w:t>ncrease</w:t>
      </w:r>
      <w:r w:rsidR="001B1A82">
        <w:rPr>
          <w:rFonts w:ascii="Calibri" w:hAnsi="Calibri"/>
        </w:rPr>
        <w:t xml:space="preserve"> the number of</w:t>
      </w:r>
      <w:r w:rsidR="00D00EDC" w:rsidRPr="00D00EDC">
        <w:rPr>
          <w:rFonts w:ascii="Calibri" w:hAnsi="Calibri"/>
        </w:rPr>
        <w:t xml:space="preserve"> </w:t>
      </w:r>
      <w:r w:rsidR="00F1575E">
        <w:rPr>
          <w:rFonts w:ascii="Calibri" w:hAnsi="Calibri"/>
        </w:rPr>
        <w:t>ITU-D</w:t>
      </w:r>
      <w:r w:rsidR="00D00EDC" w:rsidRPr="00D00EDC">
        <w:rPr>
          <w:rFonts w:ascii="Calibri" w:hAnsi="Calibri"/>
        </w:rPr>
        <w:t xml:space="preserve"> </w:t>
      </w:r>
      <w:r w:rsidR="001B1A82">
        <w:rPr>
          <w:rFonts w:ascii="Calibri" w:hAnsi="Calibri"/>
        </w:rPr>
        <w:t>Sector M</w:t>
      </w:r>
      <w:r w:rsidR="001B1A82" w:rsidRPr="00D00EDC">
        <w:rPr>
          <w:rFonts w:ascii="Calibri" w:hAnsi="Calibri"/>
        </w:rPr>
        <w:t xml:space="preserve">embers </w:t>
      </w:r>
      <w:r w:rsidR="00D00EDC" w:rsidRPr="00D00EDC">
        <w:rPr>
          <w:rFonts w:ascii="Calibri" w:hAnsi="Calibri"/>
        </w:rPr>
        <w:t xml:space="preserve">while retaining current </w:t>
      </w:r>
      <w:r w:rsidR="001B1A82">
        <w:rPr>
          <w:rFonts w:ascii="Calibri" w:hAnsi="Calibri"/>
        </w:rPr>
        <w:t xml:space="preserve">ones </w:t>
      </w:r>
      <w:r w:rsidR="00D022AC">
        <w:rPr>
          <w:rFonts w:ascii="Calibri" w:hAnsi="Calibri"/>
        </w:rPr>
        <w:t xml:space="preserve">by providing </w:t>
      </w:r>
      <w:proofErr w:type="gramStart"/>
      <w:r w:rsidR="00D022AC">
        <w:rPr>
          <w:rFonts w:ascii="Calibri" w:hAnsi="Calibri"/>
        </w:rPr>
        <w:t>value</w:t>
      </w:r>
      <w:r w:rsidR="001B1A82">
        <w:rPr>
          <w:rFonts w:ascii="Calibri" w:hAnsi="Calibri"/>
        </w:rPr>
        <w:t>;</w:t>
      </w:r>
      <w:proofErr w:type="gramEnd"/>
      <w:r w:rsidR="001B1A82" w:rsidRPr="00D00EDC">
        <w:rPr>
          <w:rFonts w:ascii="Calibri" w:hAnsi="Calibri"/>
        </w:rPr>
        <w:t xml:space="preserve"> </w:t>
      </w:r>
    </w:p>
    <w:p w14:paraId="47926483" w14:textId="3DD8716A" w:rsidR="00A63A2F" w:rsidRDefault="00F1575E" w:rsidP="00A244BC">
      <w:pPr>
        <w:numPr>
          <w:ilvl w:val="0"/>
          <w:numId w:val="4"/>
        </w:numPr>
        <w:tabs>
          <w:tab w:val="clear" w:pos="794"/>
          <w:tab w:val="clear" w:pos="1191"/>
          <w:tab w:val="clear" w:pos="1588"/>
          <w:tab w:val="clear" w:pos="1985"/>
          <w:tab w:val="left" w:pos="1134"/>
          <w:tab w:val="left" w:pos="1871"/>
          <w:tab w:val="left" w:pos="2268"/>
        </w:tabs>
        <w:spacing w:after="120"/>
        <w:rPr>
          <w:rFonts w:ascii="Calibri" w:hAnsi="Calibri"/>
        </w:rPr>
      </w:pPr>
      <w:r>
        <w:rPr>
          <w:rFonts w:ascii="Calibri" w:hAnsi="Calibri"/>
        </w:rPr>
        <w:t xml:space="preserve">Increase engagement </w:t>
      </w:r>
      <w:r w:rsidR="001B1A82">
        <w:rPr>
          <w:rFonts w:ascii="Calibri" w:hAnsi="Calibri"/>
        </w:rPr>
        <w:t xml:space="preserve">of </w:t>
      </w:r>
      <w:r>
        <w:rPr>
          <w:rFonts w:ascii="Calibri" w:hAnsi="Calibri"/>
        </w:rPr>
        <w:t xml:space="preserve">ITU-D </w:t>
      </w:r>
      <w:r w:rsidR="001B1A82">
        <w:rPr>
          <w:rFonts w:ascii="Calibri" w:hAnsi="Calibri"/>
        </w:rPr>
        <w:t xml:space="preserve">Sector </w:t>
      </w:r>
      <w:r>
        <w:rPr>
          <w:rFonts w:ascii="Calibri" w:hAnsi="Calibri"/>
        </w:rPr>
        <w:t xml:space="preserve">Members in the work of the Sector and create fertile ground for partnerships and resource mobilization that would finance high-impact projects and </w:t>
      </w:r>
      <w:proofErr w:type="gramStart"/>
      <w:r>
        <w:rPr>
          <w:rFonts w:ascii="Calibri" w:hAnsi="Calibri"/>
        </w:rPr>
        <w:t>initiatives</w:t>
      </w:r>
      <w:r w:rsidR="001B1A82">
        <w:rPr>
          <w:rFonts w:ascii="Calibri" w:hAnsi="Calibri"/>
        </w:rPr>
        <w:t>;</w:t>
      </w:r>
      <w:proofErr w:type="gramEnd"/>
    </w:p>
    <w:p w14:paraId="3F0B9433" w14:textId="3BBA52F4" w:rsidR="00D00EDC" w:rsidRDefault="00D00EDC" w:rsidP="00A244BC">
      <w:pPr>
        <w:numPr>
          <w:ilvl w:val="0"/>
          <w:numId w:val="4"/>
        </w:numPr>
        <w:tabs>
          <w:tab w:val="clear" w:pos="794"/>
          <w:tab w:val="clear" w:pos="1191"/>
          <w:tab w:val="clear" w:pos="1588"/>
          <w:tab w:val="clear" w:pos="1985"/>
          <w:tab w:val="left" w:pos="1134"/>
          <w:tab w:val="left" w:pos="1871"/>
          <w:tab w:val="left" w:pos="2268"/>
        </w:tabs>
        <w:spacing w:after="120"/>
        <w:rPr>
          <w:rFonts w:ascii="Calibri" w:hAnsi="Calibri"/>
        </w:rPr>
      </w:pPr>
      <w:r w:rsidRPr="00D00EDC">
        <w:rPr>
          <w:rFonts w:ascii="Calibri" w:hAnsi="Calibri"/>
        </w:rPr>
        <w:t xml:space="preserve">Increase participation of </w:t>
      </w:r>
      <w:r w:rsidR="001B1A82">
        <w:rPr>
          <w:rFonts w:ascii="Calibri" w:hAnsi="Calibri"/>
        </w:rPr>
        <w:t xml:space="preserve">ITU-D Sector Members </w:t>
      </w:r>
      <w:r w:rsidRPr="00D00EDC">
        <w:rPr>
          <w:rFonts w:ascii="Calibri" w:hAnsi="Calibri"/>
        </w:rPr>
        <w:t xml:space="preserve">in the </w:t>
      </w:r>
      <w:r w:rsidR="001B1A82">
        <w:rPr>
          <w:rFonts w:ascii="Calibri" w:hAnsi="Calibri"/>
        </w:rPr>
        <w:t xml:space="preserve">Sector’s </w:t>
      </w:r>
      <w:r w:rsidRPr="00D00EDC">
        <w:rPr>
          <w:rFonts w:ascii="Calibri" w:hAnsi="Calibri"/>
        </w:rPr>
        <w:t xml:space="preserve">activities and events </w:t>
      </w:r>
      <w:r w:rsidR="00F36085">
        <w:rPr>
          <w:rFonts w:ascii="Calibri" w:hAnsi="Calibri"/>
        </w:rPr>
        <w:t xml:space="preserve">for </w:t>
      </w:r>
      <w:proofErr w:type="gramStart"/>
      <w:r w:rsidR="00F36085">
        <w:rPr>
          <w:rFonts w:ascii="Calibri" w:hAnsi="Calibri"/>
        </w:rPr>
        <w:t>impact</w:t>
      </w:r>
      <w:r w:rsidR="001B1A82">
        <w:rPr>
          <w:rFonts w:ascii="Calibri" w:hAnsi="Calibri"/>
        </w:rPr>
        <w:t>;</w:t>
      </w:r>
      <w:proofErr w:type="gramEnd"/>
    </w:p>
    <w:p w14:paraId="75177C42" w14:textId="660AAF9A" w:rsidR="00D00EDC" w:rsidRPr="00D00EDC" w:rsidRDefault="00D00EDC" w:rsidP="00A244BC">
      <w:pPr>
        <w:numPr>
          <w:ilvl w:val="0"/>
          <w:numId w:val="4"/>
        </w:numPr>
        <w:tabs>
          <w:tab w:val="clear" w:pos="794"/>
          <w:tab w:val="clear" w:pos="1191"/>
          <w:tab w:val="clear" w:pos="1588"/>
          <w:tab w:val="clear" w:pos="1985"/>
          <w:tab w:val="left" w:pos="1134"/>
          <w:tab w:val="left" w:pos="1871"/>
          <w:tab w:val="left" w:pos="2268"/>
        </w:tabs>
        <w:spacing w:after="120"/>
        <w:rPr>
          <w:rFonts w:ascii="Calibri" w:hAnsi="Calibri"/>
        </w:rPr>
      </w:pPr>
      <w:r w:rsidRPr="00D00EDC">
        <w:rPr>
          <w:rFonts w:ascii="Calibri" w:hAnsi="Calibri"/>
        </w:rPr>
        <w:t xml:space="preserve">Continuously improve tools and services to facilitate membership </w:t>
      </w:r>
      <w:r w:rsidR="00D022AC">
        <w:rPr>
          <w:rFonts w:ascii="Calibri" w:hAnsi="Calibri"/>
        </w:rPr>
        <w:t xml:space="preserve">engagement and </w:t>
      </w:r>
      <w:r w:rsidRPr="00D00EDC">
        <w:rPr>
          <w:rFonts w:ascii="Calibri" w:hAnsi="Calibri"/>
        </w:rPr>
        <w:t xml:space="preserve">participation. </w:t>
      </w:r>
    </w:p>
    <w:p w14:paraId="2106D7FB" w14:textId="77777777" w:rsidR="00D00EDC" w:rsidRPr="00D00EDC" w:rsidRDefault="00D00EDC" w:rsidP="00D00EDC">
      <w:pPr>
        <w:tabs>
          <w:tab w:val="clear" w:pos="794"/>
          <w:tab w:val="clear" w:pos="1191"/>
          <w:tab w:val="clear" w:pos="1588"/>
          <w:tab w:val="clear" w:pos="1985"/>
          <w:tab w:val="left" w:pos="1134"/>
          <w:tab w:val="left" w:pos="1871"/>
          <w:tab w:val="left" w:pos="2268"/>
        </w:tabs>
        <w:jc w:val="center"/>
        <w:rPr>
          <w:rFonts w:ascii="Calibri" w:hAnsi="Calibri"/>
          <w:lang w:val="en-US" w:eastAsia="zh-CN"/>
        </w:rPr>
      </w:pPr>
      <w:r w:rsidRPr="00D00EDC">
        <w:rPr>
          <w:rFonts w:ascii="Calibri" w:hAnsi="Calibri"/>
          <w:szCs w:val="24"/>
          <w:lang w:val="en-US" w:eastAsia="zh-CN"/>
        </w:rPr>
        <w:t>_____________</w:t>
      </w:r>
      <w:r w:rsidRPr="00D00EDC">
        <w:rPr>
          <w:rFonts w:ascii="Calibri" w:hAnsi="Calibri"/>
          <w:lang w:val="en-US" w:eastAsia="zh-CN"/>
        </w:rPr>
        <w:t>___</w:t>
      </w:r>
    </w:p>
    <w:sectPr w:rsidR="00D00EDC" w:rsidRPr="00D00EDC" w:rsidSect="00473791">
      <w:head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9F451" w14:textId="77777777" w:rsidR="000A36BA" w:rsidRDefault="000A36BA">
      <w:r>
        <w:separator/>
      </w:r>
    </w:p>
  </w:endnote>
  <w:endnote w:type="continuationSeparator" w:id="0">
    <w:p w14:paraId="383570F3" w14:textId="77777777" w:rsidR="000A36BA" w:rsidRDefault="000A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E27071">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48264AE" w14:textId="4CE19109" w:rsidR="0059420B" w:rsidRPr="00AF7A97" w:rsidRDefault="00886722" w:rsidP="0059420B">
          <w:pPr>
            <w:pStyle w:val="FirstFooter"/>
            <w:tabs>
              <w:tab w:val="left" w:pos="2302"/>
            </w:tabs>
            <w:rPr>
              <w:sz w:val="18"/>
              <w:szCs w:val="18"/>
              <w:lang w:val="en-US"/>
            </w:rPr>
          </w:pPr>
          <w:r w:rsidRPr="00886722">
            <w:rPr>
              <w:rFonts w:ascii="Calibri" w:hAnsi="Calibri"/>
              <w:sz w:val="18"/>
              <w:szCs w:val="18"/>
              <w:lang w:val="en-US"/>
            </w:rPr>
            <w:t xml:space="preserve">Dr Cosmas Zavazava, Chief, Partnerships for Digital Development Department, </w:t>
          </w:r>
          <w:r w:rsidRPr="00886722">
            <w:rPr>
              <w:rFonts w:ascii="Calibri" w:hAnsi="Calibri"/>
              <w:sz w:val="18"/>
              <w:szCs w:val="18"/>
              <w:lang w:val="en-GB"/>
            </w:rPr>
            <w:t>Telecommunication Development Bureau</w:t>
          </w:r>
        </w:p>
      </w:tc>
      <w:bookmarkStart w:id="10" w:name="OrgName"/>
      <w:bookmarkEnd w:id="10"/>
    </w:tr>
    <w:tr w:rsidR="0059420B" w:rsidRPr="004D495C" w14:paraId="61167678" w14:textId="77777777" w:rsidTr="00E27071">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211A9AEB" w:rsidR="0059420B" w:rsidRPr="00AF7A97" w:rsidRDefault="00886722" w:rsidP="0059420B">
          <w:pPr>
            <w:pStyle w:val="FirstFooter"/>
            <w:tabs>
              <w:tab w:val="left" w:pos="2302"/>
            </w:tabs>
            <w:rPr>
              <w:sz w:val="18"/>
              <w:szCs w:val="18"/>
              <w:lang w:val="en-US"/>
            </w:rPr>
          </w:pPr>
          <w:r w:rsidRPr="00886722">
            <w:rPr>
              <w:rFonts w:ascii="Calibri" w:hAnsi="Calibri"/>
              <w:sz w:val="18"/>
              <w:szCs w:val="18"/>
              <w:lang w:val="en-US"/>
            </w:rPr>
            <w:t>+41 22 730 5447</w:t>
          </w:r>
        </w:p>
      </w:tc>
      <w:bookmarkStart w:id="11" w:name="PhoneNo"/>
      <w:bookmarkEnd w:id="11"/>
    </w:tr>
    <w:tr w:rsidR="0059420B" w:rsidRPr="004D495C" w14:paraId="0299A231" w14:textId="77777777" w:rsidTr="00E27071">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17F7B4D1" w:rsidR="0059420B" w:rsidRPr="00AF7A97" w:rsidRDefault="00C46E90" w:rsidP="0059420B">
          <w:pPr>
            <w:pStyle w:val="FirstFooter"/>
            <w:tabs>
              <w:tab w:val="left" w:pos="2302"/>
            </w:tabs>
            <w:rPr>
              <w:sz w:val="18"/>
              <w:szCs w:val="18"/>
              <w:lang w:val="en-US"/>
            </w:rPr>
          </w:pPr>
          <w:hyperlink r:id="rId1" w:history="1">
            <w:r w:rsidR="00886722" w:rsidRPr="00B36565">
              <w:rPr>
                <w:rStyle w:val="Hyperlink"/>
                <w:sz w:val="18"/>
                <w:szCs w:val="18"/>
                <w:lang w:val="en-US"/>
              </w:rPr>
              <w:t>Cosmas.zavazava@itu.int</w:t>
            </w:r>
          </w:hyperlink>
          <w:r w:rsidR="00886722">
            <w:rPr>
              <w:sz w:val="18"/>
              <w:szCs w:val="18"/>
              <w:lang w:val="en-US"/>
            </w:rPr>
            <w:t xml:space="preserve"> </w:t>
          </w:r>
        </w:p>
      </w:tc>
      <w:bookmarkStart w:id="12" w:name="Email"/>
      <w:bookmarkEnd w:id="12"/>
    </w:tr>
  </w:tbl>
  <w:p w14:paraId="5AEFE7F9" w14:textId="77777777" w:rsidR="0059420B" w:rsidRDefault="0059420B" w:rsidP="00B80157">
    <w:pPr>
      <w:pStyle w:val="Footer"/>
      <w:jc w:val="center"/>
      <w:rPr>
        <w:lang w:val="en-GB"/>
      </w:rPr>
    </w:pPr>
  </w:p>
  <w:p w14:paraId="40A321D0" w14:textId="77777777" w:rsidR="00721657" w:rsidRPr="0059420B" w:rsidRDefault="00C46E90"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93782" w14:textId="77777777" w:rsidR="000A36BA" w:rsidRDefault="000A36BA">
      <w:r>
        <w:t>____________________</w:t>
      </w:r>
    </w:p>
  </w:footnote>
  <w:footnote w:type="continuationSeparator" w:id="0">
    <w:p w14:paraId="557617CE" w14:textId="77777777" w:rsidR="000A36BA" w:rsidRDefault="000A36BA">
      <w:r>
        <w:continuationSeparator/>
      </w:r>
    </w:p>
  </w:footnote>
  <w:footnote w:id="1">
    <w:p w14:paraId="4EC89342" w14:textId="58624AE8" w:rsidR="00886722" w:rsidRPr="00A244BC" w:rsidRDefault="00886722" w:rsidP="00A244BC">
      <w:pPr>
        <w:pStyle w:val="FootnoteText"/>
        <w:keepLines w:val="0"/>
        <w:spacing w:before="0"/>
        <w:ind w:left="0" w:firstLine="0"/>
        <w:rPr>
          <w:sz w:val="20"/>
        </w:rPr>
      </w:pPr>
      <w:r w:rsidRPr="00A244BC">
        <w:rPr>
          <w:rStyle w:val="FootnoteReference"/>
          <w:sz w:val="20"/>
        </w:rPr>
        <w:footnoteRef/>
      </w:r>
      <w:r w:rsidRPr="00A244BC">
        <w:rPr>
          <w:sz w:val="20"/>
        </w:rPr>
        <w:t xml:space="preserve"> Refer to Resolution 169 (Guadalajara, 2010) of the</w:t>
      </w:r>
      <w:r w:rsidRPr="00A244BC">
        <w:rPr>
          <w:sz w:val="20"/>
          <w:lang w:val="en-US"/>
        </w:rPr>
        <w:t xml:space="preserve"> Plenipotentiary Conference</w:t>
      </w:r>
      <w:r w:rsidRPr="00A244BC">
        <w:rPr>
          <w:sz w:val="20"/>
        </w:rPr>
        <w:t>, which enabled the new category of</w:t>
      </w:r>
      <w:r w:rsidR="00D00EDC" w:rsidRPr="00A244BC">
        <w:rPr>
          <w:sz w:val="20"/>
        </w:rPr>
        <w:t xml:space="preserve"> </w:t>
      </w:r>
      <w:r w:rsidRPr="00A244BC">
        <w:rPr>
          <w:sz w:val="20"/>
        </w:rPr>
        <w:t>Academia to participate in the work of ITU.</w:t>
      </w:r>
    </w:p>
    <w:p w14:paraId="4DE086DD" w14:textId="77777777" w:rsidR="007726EA" w:rsidRPr="00A244BC" w:rsidRDefault="007726EA" w:rsidP="00A244BC">
      <w:pPr>
        <w:pStyle w:val="FootnoteText"/>
        <w:keepLines w:val="0"/>
        <w:spacing w:before="0"/>
        <w:ind w:left="0" w:firstLine="0"/>
        <w:rPr>
          <w:sz w:val="20"/>
        </w:rPr>
      </w:pPr>
    </w:p>
  </w:footnote>
  <w:footnote w:id="2">
    <w:p w14:paraId="5B94AB01" w14:textId="77777777" w:rsidR="00D00EDC" w:rsidRPr="00A244BC" w:rsidRDefault="00D00EDC" w:rsidP="00A244BC">
      <w:pPr>
        <w:pStyle w:val="FootnoteText"/>
        <w:keepLines w:val="0"/>
        <w:spacing w:before="0"/>
        <w:ind w:left="0" w:firstLine="0"/>
        <w:jc w:val="both"/>
        <w:rPr>
          <w:sz w:val="20"/>
          <w:lang w:val="en-US"/>
        </w:rPr>
      </w:pPr>
      <w:r w:rsidRPr="00A244BC">
        <w:rPr>
          <w:rStyle w:val="FootnoteReference"/>
          <w:sz w:val="20"/>
        </w:rPr>
        <w:footnoteRef/>
      </w:r>
      <w:r w:rsidRPr="00A244BC">
        <w:rPr>
          <w:sz w:val="20"/>
        </w:rPr>
        <w:t xml:space="preserve"> </w:t>
      </w:r>
      <w:r w:rsidRPr="00A244BC">
        <w:rPr>
          <w:sz w:val="20"/>
          <w:lang w:val="en-US"/>
        </w:rPr>
        <w:t>Resolution 71 (Rev. Buenos Aires, 2017, “Strengthening cooperation between Member States, Sector Members, Associates and Academia of the ITU Telecommunication Development Sector and the evolving role of the private sector in the ITU Telecommunication Development Sector</w:t>
      </w:r>
    </w:p>
  </w:footnote>
  <w:footnote w:id="3">
    <w:p w14:paraId="37C68A02" w14:textId="77777777" w:rsidR="00D253FC" w:rsidRPr="00A244BC" w:rsidRDefault="00D253FC" w:rsidP="00A244BC">
      <w:pPr>
        <w:pStyle w:val="FootnoteText"/>
        <w:keepLines w:val="0"/>
        <w:spacing w:before="0"/>
        <w:ind w:left="0" w:firstLine="0"/>
        <w:jc w:val="both"/>
        <w:rPr>
          <w:sz w:val="20"/>
          <w:lang w:val="en-US"/>
        </w:rPr>
      </w:pPr>
      <w:r w:rsidRPr="00A244BC">
        <w:rPr>
          <w:rStyle w:val="FootnoteReference"/>
          <w:sz w:val="20"/>
        </w:rPr>
        <w:footnoteRef/>
      </w:r>
      <w:r w:rsidRPr="00A244BC">
        <w:rPr>
          <w:sz w:val="20"/>
        </w:rPr>
        <w:t xml:space="preserve"> Refer to Resolution 169 (Guadalajara, 2010), which enabled the new category of Academia to participate in the work of ITU. </w:t>
      </w:r>
    </w:p>
  </w:footnote>
  <w:footnote w:id="4">
    <w:p w14:paraId="73DBC4E2" w14:textId="57CEF62F" w:rsidR="00D00EDC" w:rsidRPr="00A244BC" w:rsidRDefault="00D00EDC" w:rsidP="00A244BC">
      <w:pPr>
        <w:spacing w:before="0"/>
        <w:rPr>
          <w:sz w:val="20"/>
        </w:rPr>
      </w:pPr>
      <w:r w:rsidRPr="00A244BC">
        <w:rPr>
          <w:rStyle w:val="FootnoteReference"/>
          <w:sz w:val="20"/>
        </w:rPr>
        <w:footnoteRef/>
      </w:r>
      <w:r w:rsidRPr="00A244BC">
        <w:rPr>
          <w:sz w:val="20"/>
        </w:rPr>
        <w:t xml:space="preserve"> Academia </w:t>
      </w:r>
      <w:r w:rsidR="00AB339D" w:rsidRPr="00A244BC">
        <w:rPr>
          <w:sz w:val="20"/>
        </w:rPr>
        <w:t xml:space="preserve">members </w:t>
      </w:r>
      <w:r w:rsidRPr="00A244BC">
        <w:rPr>
          <w:sz w:val="20"/>
        </w:rPr>
        <w:t xml:space="preserve">participate in the work of all three ITU Sectors, </w:t>
      </w:r>
      <w:r w:rsidRPr="00A244BC">
        <w:rPr>
          <w:rFonts w:ascii="Calibri" w:hAnsi="Calibri" w:cs="Calibri"/>
          <w:sz w:val="20"/>
        </w:rPr>
        <w:t xml:space="preserve">including their advisory groups. </w:t>
      </w:r>
      <w:r w:rsidR="00AB339D" w:rsidRPr="00A244BC">
        <w:rPr>
          <w:rFonts w:ascii="Calibri" w:hAnsi="Calibri" w:cs="Calibri"/>
          <w:sz w:val="20"/>
        </w:rPr>
        <w:t>They</w:t>
      </w:r>
      <w:r w:rsidRPr="00A244BC">
        <w:rPr>
          <w:rFonts w:ascii="Calibri" w:hAnsi="Calibri" w:cs="Calibri"/>
          <w:sz w:val="20"/>
        </w:rPr>
        <w:t xml:space="preserve"> also participate in other global and regional conferences, workshops and activities of the Union, with the exception of plenipotentiary conferences, world radiocommunication conferences, world conferences on international telecommunications and the ITU Council, in conformity with the rules of procedure of the respective Sectors.</w:t>
      </w:r>
    </w:p>
  </w:footnote>
  <w:footnote w:id="5">
    <w:p w14:paraId="53DD65F6" w14:textId="6C2F750A" w:rsidR="005C24F5" w:rsidRPr="00A244BC" w:rsidRDefault="005C24F5" w:rsidP="00A244BC">
      <w:pPr>
        <w:pStyle w:val="FootnoteText"/>
        <w:keepLines w:val="0"/>
        <w:spacing w:before="0"/>
        <w:ind w:left="0" w:firstLine="0"/>
        <w:rPr>
          <w:sz w:val="20"/>
        </w:rPr>
      </w:pPr>
      <w:r w:rsidRPr="00A244BC">
        <w:rPr>
          <w:rStyle w:val="FootnoteReference"/>
          <w:sz w:val="20"/>
        </w:rPr>
        <w:footnoteRef/>
      </w:r>
      <w:r w:rsidRPr="00A244BC">
        <w:rPr>
          <w:sz w:val="20"/>
        </w:rPr>
        <w:t xml:space="preserve"> King Abdullah University of Science and Technology (Saudi Arabia), </w:t>
      </w:r>
      <w:r w:rsidR="00473EBE" w:rsidRPr="00A244BC">
        <w:rPr>
          <w:sz w:val="20"/>
        </w:rPr>
        <w:t>Universidad Nacional de San Luis (Argentina), Indian Institute of Technology Hyderabad (India), Universidad Nacional de Río Cuarto (Argentina), Universidad Nacional de Tucumán (Argentina), Universidad Nacional de Cordoba (Argentina), Ecole Polytechnique Fédérale de Lausanne (Switzerland), Indian Institute of Technology Madras (India), Szechenyi Istvan University (Hungary), The George Washington University (USA), Monash Data Futures Institute (Australia), Council for Scientific and Industrial Research (South Africa), Harbin Institute of Technology (China), Wuhan University (China), Huazhong University of Science &amp; Technology (China), Northeastern University (USA), Stanford University (USA), Shenyang Institute of Automation (China), Northwestern Polytechnical University (China), Nanjing Research Institute of Next-generation Artificial Intelligence (China), Big Data Academy of the Institute of Computing Technology (China), SEISA University (Japan), State Grid Hubei Electric Power</w:t>
      </w:r>
      <w:r w:rsidR="00473EBE" w:rsidRPr="00A244BC">
        <w:rPr>
          <w:rFonts w:ascii="Arial" w:hAnsi="Arial" w:cs="Arial"/>
          <w:color w:val="000000"/>
          <w:sz w:val="20"/>
        </w:rPr>
        <w:t xml:space="preserve"> </w:t>
      </w:r>
      <w:r w:rsidR="00473EBE" w:rsidRPr="00A244BC">
        <w:rPr>
          <w:sz w:val="20"/>
        </w:rPr>
        <w:t>Research Institute (China), Tongji University (China), Private Institution Kostanay Engineering</w:t>
      </w:r>
      <w:r w:rsidR="00473EBE" w:rsidRPr="00A244BC">
        <w:rPr>
          <w:rFonts w:ascii="Arial" w:hAnsi="Arial" w:cs="Arial"/>
          <w:color w:val="000000"/>
          <w:sz w:val="20"/>
        </w:rPr>
        <w:t xml:space="preserve"> </w:t>
      </w:r>
      <w:r w:rsidR="00473EBE" w:rsidRPr="00A244BC">
        <w:rPr>
          <w:sz w:val="20"/>
        </w:rPr>
        <w:t>and Economics University</w:t>
      </w:r>
      <w:r w:rsidR="00473EBE" w:rsidRPr="00A244BC">
        <w:rPr>
          <w:rFonts w:ascii="Arial" w:hAnsi="Arial" w:cs="Arial"/>
          <w:color w:val="000000"/>
          <w:sz w:val="20"/>
        </w:rPr>
        <w:t xml:space="preserve"> </w:t>
      </w:r>
      <w:r w:rsidR="00473EBE" w:rsidRPr="00A244BC">
        <w:rPr>
          <w:sz w:val="20"/>
        </w:rPr>
        <w:t xml:space="preserve">named after M. Dulatov (Kazakhstan), Zhejiang Lab (China). </w:t>
      </w:r>
    </w:p>
  </w:footnote>
  <w:footnote w:id="6">
    <w:p w14:paraId="0611CA7F" w14:textId="18BEBA0F" w:rsidR="00391658" w:rsidRPr="00A244BC" w:rsidRDefault="00391658" w:rsidP="00A244BC">
      <w:pPr>
        <w:pStyle w:val="FootnoteText"/>
        <w:keepLines w:val="0"/>
        <w:spacing w:before="0"/>
        <w:ind w:left="0" w:firstLine="0"/>
        <w:rPr>
          <w:sz w:val="20"/>
          <w:lang w:val="en-US"/>
        </w:rPr>
      </w:pPr>
      <w:r w:rsidRPr="00A244BC">
        <w:rPr>
          <w:rStyle w:val="FootnoteReference"/>
          <w:sz w:val="20"/>
        </w:rPr>
        <w:footnoteRef/>
      </w:r>
      <w:r w:rsidRPr="00A244BC">
        <w:rPr>
          <w:sz w:val="20"/>
        </w:rPr>
        <w:t xml:space="preserve"> ITU-D membership communities </w:t>
      </w:r>
      <w:r w:rsidR="00A5078C" w:rsidRPr="00A244BC">
        <w:rPr>
          <w:sz w:val="20"/>
        </w:rPr>
        <w:t>have been</w:t>
      </w:r>
      <w:r w:rsidRPr="00A244BC">
        <w:rPr>
          <w:sz w:val="20"/>
        </w:rPr>
        <w:t xml:space="preserve"> segmented as follows: Recognized Operating Agencies (ROA), Scientific and Industrial Organizations (SIO), Regional Telecommunications Organizations (REGORG) and Regional and other International Organizations (REGINTORG), Intergovernmental Organizations Operating Satellite Systems (SATORG), and Academia and Research Institutions.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64D94B8F" w:rsidR="00721657" w:rsidRPr="00A244BC" w:rsidRDefault="00A525CC" w:rsidP="00A244BC">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AD4677">
      <w:rPr>
        <w:sz w:val="22"/>
        <w:szCs w:val="22"/>
        <w:lang w:val="de-CH"/>
      </w:rPr>
      <w:t>1</w:t>
    </w:r>
    <w:r w:rsidRPr="00A54E72">
      <w:rPr>
        <w:sz w:val="22"/>
        <w:szCs w:val="22"/>
        <w:lang w:val="de-CH"/>
      </w:rPr>
      <w:t>/</w:t>
    </w:r>
    <w:r w:rsidR="00886722">
      <w:rPr>
        <w:sz w:val="22"/>
        <w:szCs w:val="22"/>
        <w:lang w:val="de-CH"/>
      </w:rPr>
      <w:t>12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1" w15:restartNumberingAfterBreak="0">
    <w:nsid w:val="295B5483"/>
    <w:multiLevelType w:val="hybridMultilevel"/>
    <w:tmpl w:val="DCE6F108"/>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2CB7926"/>
    <w:multiLevelType w:val="multilevel"/>
    <w:tmpl w:val="DF7C2730"/>
    <w:lvl w:ilvl="0">
      <w:start w:val="1"/>
      <w:numFmt w:val="decimal"/>
      <w:lvlText w:val="%1."/>
      <w:lvlJc w:val="left"/>
      <w:pPr>
        <w:ind w:left="502" w:hanging="360"/>
      </w:pPr>
      <w:rPr>
        <w:rFonts w:hint="default"/>
        <w:sz w:val="24"/>
        <w:szCs w:val="24"/>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6241A02"/>
    <w:multiLevelType w:val="hybridMultilevel"/>
    <w:tmpl w:val="512433B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05E7D"/>
    <w:rsid w:val="00010827"/>
    <w:rsid w:val="00015089"/>
    <w:rsid w:val="0002520B"/>
    <w:rsid w:val="00037A9E"/>
    <w:rsid w:val="00037F91"/>
    <w:rsid w:val="000539F1"/>
    <w:rsid w:val="00054747"/>
    <w:rsid w:val="00055A2A"/>
    <w:rsid w:val="00057AF3"/>
    <w:rsid w:val="000615C1"/>
    <w:rsid w:val="00061675"/>
    <w:rsid w:val="000743AA"/>
    <w:rsid w:val="0009076F"/>
    <w:rsid w:val="0009225C"/>
    <w:rsid w:val="000A17C4"/>
    <w:rsid w:val="000A1F77"/>
    <w:rsid w:val="000A36A4"/>
    <w:rsid w:val="000A36BA"/>
    <w:rsid w:val="000B2352"/>
    <w:rsid w:val="000C2A6A"/>
    <w:rsid w:val="000C2E09"/>
    <w:rsid w:val="000C7B84"/>
    <w:rsid w:val="000D261B"/>
    <w:rsid w:val="000D58A3"/>
    <w:rsid w:val="000E3E10"/>
    <w:rsid w:val="000E3ED4"/>
    <w:rsid w:val="000E3F9C"/>
    <w:rsid w:val="000F1550"/>
    <w:rsid w:val="000F251B"/>
    <w:rsid w:val="000F5FE8"/>
    <w:rsid w:val="000F6644"/>
    <w:rsid w:val="000F7F9F"/>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3DB8"/>
    <w:rsid w:val="00175ADF"/>
    <w:rsid w:val="00175CAE"/>
    <w:rsid w:val="001828DB"/>
    <w:rsid w:val="001850FE"/>
    <w:rsid w:val="00185135"/>
    <w:rsid w:val="0019037C"/>
    <w:rsid w:val="001905A9"/>
    <w:rsid w:val="00191273"/>
    <w:rsid w:val="001942A7"/>
    <w:rsid w:val="0019587B"/>
    <w:rsid w:val="001A0809"/>
    <w:rsid w:val="001A163D"/>
    <w:rsid w:val="001A441E"/>
    <w:rsid w:val="001A6733"/>
    <w:rsid w:val="001B1A82"/>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0AB"/>
    <w:rsid w:val="002A2FC6"/>
    <w:rsid w:val="002A5022"/>
    <w:rsid w:val="002C0B23"/>
    <w:rsid w:val="002C1EC7"/>
    <w:rsid w:val="002C3015"/>
    <w:rsid w:val="002C4342"/>
    <w:rsid w:val="002C7EA3"/>
    <w:rsid w:val="002D20AE"/>
    <w:rsid w:val="002D6C61"/>
    <w:rsid w:val="002E2104"/>
    <w:rsid w:val="002E2DAC"/>
    <w:rsid w:val="002E6963"/>
    <w:rsid w:val="002E6F8F"/>
    <w:rsid w:val="002E7344"/>
    <w:rsid w:val="002F05D8"/>
    <w:rsid w:val="002F2DE0"/>
    <w:rsid w:val="002F5E25"/>
    <w:rsid w:val="0030353C"/>
    <w:rsid w:val="003125C3"/>
    <w:rsid w:val="00312AE6"/>
    <w:rsid w:val="00317D1A"/>
    <w:rsid w:val="003211FF"/>
    <w:rsid w:val="003242AB"/>
    <w:rsid w:val="00324870"/>
    <w:rsid w:val="00327247"/>
    <w:rsid w:val="00327A9D"/>
    <w:rsid w:val="0033130E"/>
    <w:rsid w:val="0033269C"/>
    <w:rsid w:val="003363E1"/>
    <w:rsid w:val="00351C79"/>
    <w:rsid w:val="0035516C"/>
    <w:rsid w:val="00355A4C"/>
    <w:rsid w:val="003604FB"/>
    <w:rsid w:val="00360B73"/>
    <w:rsid w:val="00370274"/>
    <w:rsid w:val="00380B71"/>
    <w:rsid w:val="0038365A"/>
    <w:rsid w:val="00386A89"/>
    <w:rsid w:val="00390040"/>
    <w:rsid w:val="00391658"/>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044C5"/>
    <w:rsid w:val="0041156B"/>
    <w:rsid w:val="004122C5"/>
    <w:rsid w:val="00413B78"/>
    <w:rsid w:val="00416DDE"/>
    <w:rsid w:val="0044411E"/>
    <w:rsid w:val="00453435"/>
    <w:rsid w:val="00460089"/>
    <w:rsid w:val="00466398"/>
    <w:rsid w:val="0047306D"/>
    <w:rsid w:val="00473791"/>
    <w:rsid w:val="00473EBE"/>
    <w:rsid w:val="00476E48"/>
    <w:rsid w:val="00481DE9"/>
    <w:rsid w:val="0049128B"/>
    <w:rsid w:val="00493B49"/>
    <w:rsid w:val="00495501"/>
    <w:rsid w:val="004A070A"/>
    <w:rsid w:val="004A320E"/>
    <w:rsid w:val="004A4E9C"/>
    <w:rsid w:val="004B1A3C"/>
    <w:rsid w:val="004C2F01"/>
    <w:rsid w:val="004D2CC3"/>
    <w:rsid w:val="004D35CB"/>
    <w:rsid w:val="004D7DAB"/>
    <w:rsid w:val="004E20E5"/>
    <w:rsid w:val="004E64EA"/>
    <w:rsid w:val="004E7828"/>
    <w:rsid w:val="004F46AA"/>
    <w:rsid w:val="004F6A70"/>
    <w:rsid w:val="00500AD7"/>
    <w:rsid w:val="00501DD3"/>
    <w:rsid w:val="00502ABF"/>
    <w:rsid w:val="00504DB0"/>
    <w:rsid w:val="00507C35"/>
    <w:rsid w:val="00510735"/>
    <w:rsid w:val="00514169"/>
    <w:rsid w:val="00514D2F"/>
    <w:rsid w:val="00531F22"/>
    <w:rsid w:val="0054420E"/>
    <w:rsid w:val="00544D1B"/>
    <w:rsid w:val="00545DC0"/>
    <w:rsid w:val="00545F6C"/>
    <w:rsid w:val="005477D9"/>
    <w:rsid w:val="00554B23"/>
    <w:rsid w:val="0055720C"/>
    <w:rsid w:val="00561796"/>
    <w:rsid w:val="005632DD"/>
    <w:rsid w:val="0056423B"/>
    <w:rsid w:val="00573424"/>
    <w:rsid w:val="0057402F"/>
    <w:rsid w:val="00576B22"/>
    <w:rsid w:val="00581653"/>
    <w:rsid w:val="00582067"/>
    <w:rsid w:val="005849D6"/>
    <w:rsid w:val="00585367"/>
    <w:rsid w:val="005871A1"/>
    <w:rsid w:val="0058737E"/>
    <w:rsid w:val="00592518"/>
    <w:rsid w:val="00592E87"/>
    <w:rsid w:val="0059420B"/>
    <w:rsid w:val="00594C4D"/>
    <w:rsid w:val="005A0A92"/>
    <w:rsid w:val="005A33B0"/>
    <w:rsid w:val="005C24F5"/>
    <w:rsid w:val="005C2DC2"/>
    <w:rsid w:val="005C304A"/>
    <w:rsid w:val="005C3D69"/>
    <w:rsid w:val="005C7C98"/>
    <w:rsid w:val="005D2C3A"/>
    <w:rsid w:val="005D55A4"/>
    <w:rsid w:val="005D57C8"/>
    <w:rsid w:val="005D7761"/>
    <w:rsid w:val="005E0278"/>
    <w:rsid w:val="005E0787"/>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C76"/>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1281B"/>
    <w:rsid w:val="00716A07"/>
    <w:rsid w:val="00721657"/>
    <w:rsid w:val="00725A74"/>
    <w:rsid w:val="007279A8"/>
    <w:rsid w:val="00727B1A"/>
    <w:rsid w:val="00741337"/>
    <w:rsid w:val="00752258"/>
    <w:rsid w:val="007529E1"/>
    <w:rsid w:val="00762880"/>
    <w:rsid w:val="00762AD6"/>
    <w:rsid w:val="00762E02"/>
    <w:rsid w:val="00772290"/>
    <w:rsid w:val="007726EA"/>
    <w:rsid w:val="00777265"/>
    <w:rsid w:val="007805E7"/>
    <w:rsid w:val="0078222A"/>
    <w:rsid w:val="00787D48"/>
    <w:rsid w:val="00795294"/>
    <w:rsid w:val="007A4E50"/>
    <w:rsid w:val="007B13F4"/>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57E3"/>
    <w:rsid w:val="00827226"/>
    <w:rsid w:val="00827BC6"/>
    <w:rsid w:val="008300AD"/>
    <w:rsid w:val="00833024"/>
    <w:rsid w:val="008419B1"/>
    <w:rsid w:val="00844A56"/>
    <w:rsid w:val="00845B11"/>
    <w:rsid w:val="00852081"/>
    <w:rsid w:val="00872B6E"/>
    <w:rsid w:val="00874DFD"/>
    <w:rsid w:val="008802F9"/>
    <w:rsid w:val="00883086"/>
    <w:rsid w:val="00886722"/>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4C18"/>
    <w:rsid w:val="008D5E4F"/>
    <w:rsid w:val="008E34F0"/>
    <w:rsid w:val="008E57FF"/>
    <w:rsid w:val="008F14F5"/>
    <w:rsid w:val="008F4DC8"/>
    <w:rsid w:val="008F71C1"/>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382C"/>
    <w:rsid w:val="00983E1F"/>
    <w:rsid w:val="00993F46"/>
    <w:rsid w:val="00997358"/>
    <w:rsid w:val="009A452B"/>
    <w:rsid w:val="009B050C"/>
    <w:rsid w:val="009B087F"/>
    <w:rsid w:val="009B2AF4"/>
    <w:rsid w:val="009C0CBF"/>
    <w:rsid w:val="009C110B"/>
    <w:rsid w:val="009C5441"/>
    <w:rsid w:val="009D119F"/>
    <w:rsid w:val="009D49A2"/>
    <w:rsid w:val="009F3940"/>
    <w:rsid w:val="009F3EB2"/>
    <w:rsid w:val="009F6EB1"/>
    <w:rsid w:val="00A11D05"/>
    <w:rsid w:val="00A13162"/>
    <w:rsid w:val="00A175B5"/>
    <w:rsid w:val="00A20267"/>
    <w:rsid w:val="00A244BC"/>
    <w:rsid w:val="00A3158C"/>
    <w:rsid w:val="00A32DF3"/>
    <w:rsid w:val="00A33E32"/>
    <w:rsid w:val="00A35E20"/>
    <w:rsid w:val="00A36F6D"/>
    <w:rsid w:val="00A5078C"/>
    <w:rsid w:val="00A50CA0"/>
    <w:rsid w:val="00A525CC"/>
    <w:rsid w:val="00A53E7C"/>
    <w:rsid w:val="00A60087"/>
    <w:rsid w:val="00A63A2F"/>
    <w:rsid w:val="00A705E8"/>
    <w:rsid w:val="00A721F4"/>
    <w:rsid w:val="00A93741"/>
    <w:rsid w:val="00A9392C"/>
    <w:rsid w:val="00A9462B"/>
    <w:rsid w:val="00A97D59"/>
    <w:rsid w:val="00AA3E09"/>
    <w:rsid w:val="00AA4BEF"/>
    <w:rsid w:val="00AB1659"/>
    <w:rsid w:val="00AB339D"/>
    <w:rsid w:val="00AB4962"/>
    <w:rsid w:val="00AB734E"/>
    <w:rsid w:val="00AB740F"/>
    <w:rsid w:val="00AC6F14"/>
    <w:rsid w:val="00AC7221"/>
    <w:rsid w:val="00AD4677"/>
    <w:rsid w:val="00AE5961"/>
    <w:rsid w:val="00AF0745"/>
    <w:rsid w:val="00AF4971"/>
    <w:rsid w:val="00AF4989"/>
    <w:rsid w:val="00AF5276"/>
    <w:rsid w:val="00AF7C86"/>
    <w:rsid w:val="00B01046"/>
    <w:rsid w:val="00B0355B"/>
    <w:rsid w:val="00B23DE3"/>
    <w:rsid w:val="00B310F9"/>
    <w:rsid w:val="00B37866"/>
    <w:rsid w:val="00B412FB"/>
    <w:rsid w:val="00B4576B"/>
    <w:rsid w:val="00B46350"/>
    <w:rsid w:val="00B46DF3"/>
    <w:rsid w:val="00B5781B"/>
    <w:rsid w:val="00B648C7"/>
    <w:rsid w:val="00B66E8F"/>
    <w:rsid w:val="00B6791C"/>
    <w:rsid w:val="00B80157"/>
    <w:rsid w:val="00B83D5E"/>
    <w:rsid w:val="00B8460A"/>
    <w:rsid w:val="00B8650D"/>
    <w:rsid w:val="00B876F6"/>
    <w:rsid w:val="00B879B4"/>
    <w:rsid w:val="00B90F07"/>
    <w:rsid w:val="00B97BB9"/>
    <w:rsid w:val="00BA0009"/>
    <w:rsid w:val="00BB02B5"/>
    <w:rsid w:val="00BB1863"/>
    <w:rsid w:val="00BB1C9B"/>
    <w:rsid w:val="00BB25EE"/>
    <w:rsid w:val="00BB363A"/>
    <w:rsid w:val="00BC10A0"/>
    <w:rsid w:val="00BC7BA2"/>
    <w:rsid w:val="00BD426B"/>
    <w:rsid w:val="00BD79F0"/>
    <w:rsid w:val="00BE2B4D"/>
    <w:rsid w:val="00BF7723"/>
    <w:rsid w:val="00C015F8"/>
    <w:rsid w:val="00C02C2A"/>
    <w:rsid w:val="00C06D84"/>
    <w:rsid w:val="00C07E26"/>
    <w:rsid w:val="00C1011C"/>
    <w:rsid w:val="00C12F94"/>
    <w:rsid w:val="00C177C5"/>
    <w:rsid w:val="00C34EC3"/>
    <w:rsid w:val="00C4038C"/>
    <w:rsid w:val="00C416DB"/>
    <w:rsid w:val="00C42BA2"/>
    <w:rsid w:val="00C44066"/>
    <w:rsid w:val="00C44E13"/>
    <w:rsid w:val="00C46E90"/>
    <w:rsid w:val="00C60A41"/>
    <w:rsid w:val="00C62DE8"/>
    <w:rsid w:val="00C62DFB"/>
    <w:rsid w:val="00C630E6"/>
    <w:rsid w:val="00C63812"/>
    <w:rsid w:val="00C64AF3"/>
    <w:rsid w:val="00C66F4D"/>
    <w:rsid w:val="00C67BB5"/>
    <w:rsid w:val="00C72713"/>
    <w:rsid w:val="00C848EF"/>
    <w:rsid w:val="00C86600"/>
    <w:rsid w:val="00C87BCA"/>
    <w:rsid w:val="00C87EED"/>
    <w:rsid w:val="00C925EF"/>
    <w:rsid w:val="00C94506"/>
    <w:rsid w:val="00C954BC"/>
    <w:rsid w:val="00CA11DA"/>
    <w:rsid w:val="00CA1F0B"/>
    <w:rsid w:val="00CB110F"/>
    <w:rsid w:val="00CB2A2E"/>
    <w:rsid w:val="00CB338A"/>
    <w:rsid w:val="00CB79C5"/>
    <w:rsid w:val="00CC411F"/>
    <w:rsid w:val="00CC4B75"/>
    <w:rsid w:val="00CC732E"/>
    <w:rsid w:val="00CD2FCD"/>
    <w:rsid w:val="00CD7207"/>
    <w:rsid w:val="00CE0422"/>
    <w:rsid w:val="00CE0DBE"/>
    <w:rsid w:val="00CE5987"/>
    <w:rsid w:val="00CE5E4D"/>
    <w:rsid w:val="00CF02C4"/>
    <w:rsid w:val="00CF167F"/>
    <w:rsid w:val="00CF72E5"/>
    <w:rsid w:val="00D00EDC"/>
    <w:rsid w:val="00D013EE"/>
    <w:rsid w:val="00D01B11"/>
    <w:rsid w:val="00D01F54"/>
    <w:rsid w:val="00D022AC"/>
    <w:rsid w:val="00D040F7"/>
    <w:rsid w:val="00D04A76"/>
    <w:rsid w:val="00D10FC7"/>
    <w:rsid w:val="00D1519F"/>
    <w:rsid w:val="00D20E99"/>
    <w:rsid w:val="00D21C83"/>
    <w:rsid w:val="00D253FC"/>
    <w:rsid w:val="00D35BDD"/>
    <w:rsid w:val="00D41316"/>
    <w:rsid w:val="00D63006"/>
    <w:rsid w:val="00D72301"/>
    <w:rsid w:val="00D911DE"/>
    <w:rsid w:val="00D91B97"/>
    <w:rsid w:val="00D93ACC"/>
    <w:rsid w:val="00D93C08"/>
    <w:rsid w:val="00D95DAC"/>
    <w:rsid w:val="00DA0B53"/>
    <w:rsid w:val="00DA0CC9"/>
    <w:rsid w:val="00DA42DF"/>
    <w:rsid w:val="00DB1171"/>
    <w:rsid w:val="00DB1519"/>
    <w:rsid w:val="00DB2840"/>
    <w:rsid w:val="00DC1BD3"/>
    <w:rsid w:val="00DC2C1A"/>
    <w:rsid w:val="00DD66B4"/>
    <w:rsid w:val="00DE1972"/>
    <w:rsid w:val="00DE27AB"/>
    <w:rsid w:val="00DF2AB3"/>
    <w:rsid w:val="00DF7250"/>
    <w:rsid w:val="00E008E5"/>
    <w:rsid w:val="00E00CAA"/>
    <w:rsid w:val="00E03EBF"/>
    <w:rsid w:val="00E05209"/>
    <w:rsid w:val="00E05AC1"/>
    <w:rsid w:val="00E11BCF"/>
    <w:rsid w:val="00E2258E"/>
    <w:rsid w:val="00E260C2"/>
    <w:rsid w:val="00E27071"/>
    <w:rsid w:val="00E32596"/>
    <w:rsid w:val="00E368F7"/>
    <w:rsid w:val="00E36EB8"/>
    <w:rsid w:val="00E37FB8"/>
    <w:rsid w:val="00E40B07"/>
    <w:rsid w:val="00E42326"/>
    <w:rsid w:val="00E43544"/>
    <w:rsid w:val="00E44D89"/>
    <w:rsid w:val="00E477EA"/>
    <w:rsid w:val="00E55807"/>
    <w:rsid w:val="00E63B14"/>
    <w:rsid w:val="00E65CA0"/>
    <w:rsid w:val="00E70D9F"/>
    <w:rsid w:val="00E75D8D"/>
    <w:rsid w:val="00E83810"/>
    <w:rsid w:val="00E86933"/>
    <w:rsid w:val="00E8711F"/>
    <w:rsid w:val="00E90F14"/>
    <w:rsid w:val="00E9605B"/>
    <w:rsid w:val="00E97298"/>
    <w:rsid w:val="00E97753"/>
    <w:rsid w:val="00EA0C51"/>
    <w:rsid w:val="00EA7DE7"/>
    <w:rsid w:val="00EB7A8A"/>
    <w:rsid w:val="00EC6FED"/>
    <w:rsid w:val="00EC7F3B"/>
    <w:rsid w:val="00ED5299"/>
    <w:rsid w:val="00EE3A64"/>
    <w:rsid w:val="00EE50E5"/>
    <w:rsid w:val="00EF01CF"/>
    <w:rsid w:val="00F006CC"/>
    <w:rsid w:val="00F03590"/>
    <w:rsid w:val="00F03622"/>
    <w:rsid w:val="00F077FD"/>
    <w:rsid w:val="00F1575E"/>
    <w:rsid w:val="00F204F3"/>
    <w:rsid w:val="00F218AB"/>
    <w:rsid w:val="00F238B3"/>
    <w:rsid w:val="00F24FED"/>
    <w:rsid w:val="00F25586"/>
    <w:rsid w:val="00F2651D"/>
    <w:rsid w:val="00F27362"/>
    <w:rsid w:val="00F31498"/>
    <w:rsid w:val="00F32FEF"/>
    <w:rsid w:val="00F36085"/>
    <w:rsid w:val="00F41B1C"/>
    <w:rsid w:val="00F42E13"/>
    <w:rsid w:val="00F42F1C"/>
    <w:rsid w:val="00F43B44"/>
    <w:rsid w:val="00F440E5"/>
    <w:rsid w:val="00F448F6"/>
    <w:rsid w:val="00F52741"/>
    <w:rsid w:val="00F53D8A"/>
    <w:rsid w:val="00F626F7"/>
    <w:rsid w:val="00F736F9"/>
    <w:rsid w:val="00F73833"/>
    <w:rsid w:val="00F87FE9"/>
    <w:rsid w:val="00F9211C"/>
    <w:rsid w:val="00FA095D"/>
    <w:rsid w:val="00FA6C8B"/>
    <w:rsid w:val="00FA6CDA"/>
    <w:rsid w:val="00FA7C89"/>
    <w:rsid w:val="00FB4139"/>
    <w:rsid w:val="00FB476E"/>
    <w:rsid w:val="00FC0D90"/>
    <w:rsid w:val="00FC7D8C"/>
    <w:rsid w:val="00FD3980"/>
    <w:rsid w:val="00FD431E"/>
    <w:rsid w:val="00FD5A2C"/>
    <w:rsid w:val="00FD5E38"/>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FAF29E"/>
  <w15:docId w15:val="{6757504E-1B0A-40E1-BFE5-026FFE4B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886722"/>
    <w:rPr>
      <w:color w:val="605E5C"/>
      <w:shd w:val="clear" w:color="auto" w:fill="E1DFDD"/>
    </w:rPr>
  </w:style>
  <w:style w:type="character" w:styleId="CommentReference">
    <w:name w:val="annotation reference"/>
    <w:basedOn w:val="DefaultParagraphFont"/>
    <w:semiHidden/>
    <w:unhideWhenUsed/>
    <w:rsid w:val="00554B23"/>
    <w:rPr>
      <w:sz w:val="16"/>
      <w:szCs w:val="16"/>
    </w:rPr>
  </w:style>
  <w:style w:type="paragraph" w:styleId="CommentText">
    <w:name w:val="annotation text"/>
    <w:basedOn w:val="Normal"/>
    <w:link w:val="CommentTextChar"/>
    <w:semiHidden/>
    <w:unhideWhenUsed/>
    <w:rsid w:val="00554B23"/>
    <w:rPr>
      <w:sz w:val="20"/>
    </w:rPr>
  </w:style>
  <w:style w:type="character" w:customStyle="1" w:styleId="CommentTextChar">
    <w:name w:val="Comment Text Char"/>
    <w:basedOn w:val="DefaultParagraphFont"/>
    <w:link w:val="CommentText"/>
    <w:semiHidden/>
    <w:rsid w:val="00554B2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54B23"/>
    <w:rPr>
      <w:b/>
      <w:bCs/>
    </w:rPr>
  </w:style>
  <w:style w:type="character" w:customStyle="1" w:styleId="CommentSubjectChar">
    <w:name w:val="Comment Subject Char"/>
    <w:basedOn w:val="CommentTextChar"/>
    <w:link w:val="CommentSubject"/>
    <w:semiHidden/>
    <w:rsid w:val="00554B23"/>
    <w:rPr>
      <w:rFonts w:asciiTheme="minorHAnsi" w:hAnsiTheme="minorHAnsi"/>
      <w:b/>
      <w:bCs/>
      <w:lang w:val="en-GB" w:eastAsia="en-US"/>
    </w:rPr>
  </w:style>
  <w:style w:type="paragraph" w:styleId="BalloonText">
    <w:name w:val="Balloon Text"/>
    <w:basedOn w:val="Normal"/>
    <w:link w:val="BalloonTextChar"/>
    <w:semiHidden/>
    <w:unhideWhenUsed/>
    <w:rsid w:val="00BF772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F772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58021">
      <w:bodyDiv w:val="1"/>
      <w:marLeft w:val="0"/>
      <w:marRight w:val="0"/>
      <w:marTop w:val="0"/>
      <w:marBottom w:val="0"/>
      <w:divBdr>
        <w:top w:val="none" w:sz="0" w:space="0" w:color="auto"/>
        <w:left w:val="none" w:sz="0" w:space="0" w:color="auto"/>
        <w:bottom w:val="none" w:sz="0" w:space="0" w:color="auto"/>
        <w:right w:val="none" w:sz="0" w:space="0" w:color="auto"/>
      </w:divBdr>
    </w:div>
    <w:div w:id="63913169">
      <w:bodyDiv w:val="1"/>
      <w:marLeft w:val="0"/>
      <w:marRight w:val="0"/>
      <w:marTop w:val="0"/>
      <w:marBottom w:val="0"/>
      <w:divBdr>
        <w:top w:val="none" w:sz="0" w:space="0" w:color="auto"/>
        <w:left w:val="none" w:sz="0" w:space="0" w:color="auto"/>
        <w:bottom w:val="none" w:sz="0" w:space="0" w:color="auto"/>
        <w:right w:val="none" w:sz="0" w:space="0" w:color="auto"/>
      </w:divBdr>
    </w:div>
    <w:div w:id="76174906">
      <w:bodyDiv w:val="1"/>
      <w:marLeft w:val="0"/>
      <w:marRight w:val="0"/>
      <w:marTop w:val="0"/>
      <w:marBottom w:val="0"/>
      <w:divBdr>
        <w:top w:val="none" w:sz="0" w:space="0" w:color="auto"/>
        <w:left w:val="none" w:sz="0" w:space="0" w:color="auto"/>
        <w:bottom w:val="none" w:sz="0" w:space="0" w:color="auto"/>
        <w:right w:val="none" w:sz="0" w:space="0" w:color="auto"/>
      </w:divBdr>
    </w:div>
    <w:div w:id="317344759">
      <w:bodyDiv w:val="1"/>
      <w:marLeft w:val="0"/>
      <w:marRight w:val="0"/>
      <w:marTop w:val="0"/>
      <w:marBottom w:val="0"/>
      <w:divBdr>
        <w:top w:val="none" w:sz="0" w:space="0" w:color="auto"/>
        <w:left w:val="none" w:sz="0" w:space="0" w:color="auto"/>
        <w:bottom w:val="none" w:sz="0" w:space="0" w:color="auto"/>
        <w:right w:val="none" w:sz="0" w:space="0" w:color="auto"/>
      </w:divBdr>
    </w:div>
    <w:div w:id="388070412">
      <w:bodyDiv w:val="1"/>
      <w:marLeft w:val="0"/>
      <w:marRight w:val="0"/>
      <w:marTop w:val="0"/>
      <w:marBottom w:val="0"/>
      <w:divBdr>
        <w:top w:val="none" w:sz="0" w:space="0" w:color="auto"/>
        <w:left w:val="none" w:sz="0" w:space="0" w:color="auto"/>
        <w:bottom w:val="none" w:sz="0" w:space="0" w:color="auto"/>
        <w:right w:val="none" w:sz="0" w:space="0" w:color="auto"/>
      </w:divBdr>
    </w:div>
    <w:div w:id="467212998">
      <w:bodyDiv w:val="1"/>
      <w:marLeft w:val="0"/>
      <w:marRight w:val="0"/>
      <w:marTop w:val="0"/>
      <w:marBottom w:val="0"/>
      <w:divBdr>
        <w:top w:val="none" w:sz="0" w:space="0" w:color="auto"/>
        <w:left w:val="none" w:sz="0" w:space="0" w:color="auto"/>
        <w:bottom w:val="none" w:sz="0" w:space="0" w:color="auto"/>
        <w:right w:val="none" w:sz="0" w:space="0" w:color="auto"/>
      </w:divBdr>
    </w:div>
    <w:div w:id="570845848">
      <w:bodyDiv w:val="1"/>
      <w:marLeft w:val="0"/>
      <w:marRight w:val="0"/>
      <w:marTop w:val="0"/>
      <w:marBottom w:val="0"/>
      <w:divBdr>
        <w:top w:val="none" w:sz="0" w:space="0" w:color="auto"/>
        <w:left w:val="none" w:sz="0" w:space="0" w:color="auto"/>
        <w:bottom w:val="none" w:sz="0" w:space="0" w:color="auto"/>
        <w:right w:val="none" w:sz="0" w:space="0" w:color="auto"/>
      </w:divBdr>
    </w:div>
    <w:div w:id="611473140">
      <w:bodyDiv w:val="1"/>
      <w:marLeft w:val="0"/>
      <w:marRight w:val="0"/>
      <w:marTop w:val="0"/>
      <w:marBottom w:val="0"/>
      <w:divBdr>
        <w:top w:val="none" w:sz="0" w:space="0" w:color="auto"/>
        <w:left w:val="none" w:sz="0" w:space="0" w:color="auto"/>
        <w:bottom w:val="none" w:sz="0" w:space="0" w:color="auto"/>
        <w:right w:val="none" w:sz="0" w:space="0" w:color="auto"/>
      </w:divBdr>
    </w:div>
    <w:div w:id="658533182">
      <w:bodyDiv w:val="1"/>
      <w:marLeft w:val="0"/>
      <w:marRight w:val="0"/>
      <w:marTop w:val="0"/>
      <w:marBottom w:val="0"/>
      <w:divBdr>
        <w:top w:val="none" w:sz="0" w:space="0" w:color="auto"/>
        <w:left w:val="none" w:sz="0" w:space="0" w:color="auto"/>
        <w:bottom w:val="none" w:sz="0" w:space="0" w:color="auto"/>
        <w:right w:val="none" w:sz="0" w:space="0" w:color="auto"/>
      </w:divBdr>
    </w:div>
    <w:div w:id="780304204">
      <w:bodyDiv w:val="1"/>
      <w:marLeft w:val="0"/>
      <w:marRight w:val="0"/>
      <w:marTop w:val="0"/>
      <w:marBottom w:val="0"/>
      <w:divBdr>
        <w:top w:val="none" w:sz="0" w:space="0" w:color="auto"/>
        <w:left w:val="none" w:sz="0" w:space="0" w:color="auto"/>
        <w:bottom w:val="none" w:sz="0" w:space="0" w:color="auto"/>
        <w:right w:val="none" w:sz="0" w:space="0" w:color="auto"/>
      </w:divBdr>
    </w:div>
    <w:div w:id="801726579">
      <w:bodyDiv w:val="1"/>
      <w:marLeft w:val="0"/>
      <w:marRight w:val="0"/>
      <w:marTop w:val="0"/>
      <w:marBottom w:val="0"/>
      <w:divBdr>
        <w:top w:val="none" w:sz="0" w:space="0" w:color="auto"/>
        <w:left w:val="none" w:sz="0" w:space="0" w:color="auto"/>
        <w:bottom w:val="none" w:sz="0" w:space="0" w:color="auto"/>
        <w:right w:val="none" w:sz="0" w:space="0" w:color="auto"/>
      </w:divBdr>
    </w:div>
    <w:div w:id="890921920">
      <w:bodyDiv w:val="1"/>
      <w:marLeft w:val="0"/>
      <w:marRight w:val="0"/>
      <w:marTop w:val="0"/>
      <w:marBottom w:val="0"/>
      <w:divBdr>
        <w:top w:val="none" w:sz="0" w:space="0" w:color="auto"/>
        <w:left w:val="none" w:sz="0" w:space="0" w:color="auto"/>
        <w:bottom w:val="none" w:sz="0" w:space="0" w:color="auto"/>
        <w:right w:val="none" w:sz="0" w:space="0" w:color="auto"/>
      </w:divBdr>
    </w:div>
    <w:div w:id="970986330">
      <w:bodyDiv w:val="1"/>
      <w:marLeft w:val="0"/>
      <w:marRight w:val="0"/>
      <w:marTop w:val="0"/>
      <w:marBottom w:val="0"/>
      <w:divBdr>
        <w:top w:val="none" w:sz="0" w:space="0" w:color="auto"/>
        <w:left w:val="none" w:sz="0" w:space="0" w:color="auto"/>
        <w:bottom w:val="none" w:sz="0" w:space="0" w:color="auto"/>
        <w:right w:val="none" w:sz="0" w:space="0" w:color="auto"/>
      </w:divBdr>
    </w:div>
    <w:div w:id="1107042152">
      <w:bodyDiv w:val="1"/>
      <w:marLeft w:val="0"/>
      <w:marRight w:val="0"/>
      <w:marTop w:val="0"/>
      <w:marBottom w:val="0"/>
      <w:divBdr>
        <w:top w:val="none" w:sz="0" w:space="0" w:color="auto"/>
        <w:left w:val="none" w:sz="0" w:space="0" w:color="auto"/>
        <w:bottom w:val="none" w:sz="0" w:space="0" w:color="auto"/>
        <w:right w:val="none" w:sz="0" w:space="0" w:color="auto"/>
      </w:divBdr>
    </w:div>
    <w:div w:id="1366756795">
      <w:bodyDiv w:val="1"/>
      <w:marLeft w:val="0"/>
      <w:marRight w:val="0"/>
      <w:marTop w:val="0"/>
      <w:marBottom w:val="0"/>
      <w:divBdr>
        <w:top w:val="none" w:sz="0" w:space="0" w:color="auto"/>
        <w:left w:val="none" w:sz="0" w:space="0" w:color="auto"/>
        <w:bottom w:val="none" w:sz="0" w:space="0" w:color="auto"/>
        <w:right w:val="none" w:sz="0" w:space="0" w:color="auto"/>
      </w:divBdr>
    </w:div>
    <w:div w:id="1446657505">
      <w:bodyDiv w:val="1"/>
      <w:marLeft w:val="0"/>
      <w:marRight w:val="0"/>
      <w:marTop w:val="0"/>
      <w:marBottom w:val="0"/>
      <w:divBdr>
        <w:top w:val="none" w:sz="0" w:space="0" w:color="auto"/>
        <w:left w:val="none" w:sz="0" w:space="0" w:color="auto"/>
        <w:bottom w:val="none" w:sz="0" w:space="0" w:color="auto"/>
        <w:right w:val="none" w:sz="0" w:space="0" w:color="auto"/>
      </w:divBdr>
    </w:div>
    <w:div w:id="1456558146">
      <w:bodyDiv w:val="1"/>
      <w:marLeft w:val="0"/>
      <w:marRight w:val="0"/>
      <w:marTop w:val="0"/>
      <w:marBottom w:val="0"/>
      <w:divBdr>
        <w:top w:val="none" w:sz="0" w:space="0" w:color="auto"/>
        <w:left w:val="none" w:sz="0" w:space="0" w:color="auto"/>
        <w:bottom w:val="none" w:sz="0" w:space="0" w:color="auto"/>
        <w:right w:val="none" w:sz="0" w:space="0" w:color="auto"/>
      </w:divBdr>
    </w:div>
    <w:div w:id="1579902374">
      <w:bodyDiv w:val="1"/>
      <w:marLeft w:val="0"/>
      <w:marRight w:val="0"/>
      <w:marTop w:val="0"/>
      <w:marBottom w:val="0"/>
      <w:divBdr>
        <w:top w:val="none" w:sz="0" w:space="0" w:color="auto"/>
        <w:left w:val="none" w:sz="0" w:space="0" w:color="auto"/>
        <w:bottom w:val="none" w:sz="0" w:space="0" w:color="auto"/>
        <w:right w:val="none" w:sz="0" w:space="0" w:color="auto"/>
      </w:divBdr>
    </w:div>
    <w:div w:id="1594776562">
      <w:bodyDiv w:val="1"/>
      <w:marLeft w:val="0"/>
      <w:marRight w:val="0"/>
      <w:marTop w:val="0"/>
      <w:marBottom w:val="0"/>
      <w:divBdr>
        <w:top w:val="none" w:sz="0" w:space="0" w:color="auto"/>
        <w:left w:val="none" w:sz="0" w:space="0" w:color="auto"/>
        <w:bottom w:val="none" w:sz="0" w:space="0" w:color="auto"/>
        <w:right w:val="none" w:sz="0" w:space="0" w:color="auto"/>
      </w:divBdr>
    </w:div>
    <w:div w:id="1656182706">
      <w:bodyDiv w:val="1"/>
      <w:marLeft w:val="0"/>
      <w:marRight w:val="0"/>
      <w:marTop w:val="0"/>
      <w:marBottom w:val="0"/>
      <w:divBdr>
        <w:top w:val="none" w:sz="0" w:space="0" w:color="auto"/>
        <w:left w:val="none" w:sz="0" w:space="0" w:color="auto"/>
        <w:bottom w:val="none" w:sz="0" w:space="0" w:color="auto"/>
        <w:right w:val="none" w:sz="0" w:space="0" w:color="auto"/>
      </w:divBdr>
    </w:div>
    <w:div w:id="1657031426">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791392412">
      <w:bodyDiv w:val="1"/>
      <w:marLeft w:val="0"/>
      <w:marRight w:val="0"/>
      <w:marTop w:val="0"/>
      <w:marBottom w:val="0"/>
      <w:divBdr>
        <w:top w:val="none" w:sz="0" w:space="0" w:color="auto"/>
        <w:left w:val="none" w:sz="0" w:space="0" w:color="auto"/>
        <w:bottom w:val="none" w:sz="0" w:space="0" w:color="auto"/>
        <w:right w:val="none" w:sz="0" w:space="0" w:color="auto"/>
      </w:divBdr>
    </w:div>
    <w:div w:id="1797528653">
      <w:bodyDiv w:val="1"/>
      <w:marLeft w:val="0"/>
      <w:marRight w:val="0"/>
      <w:marTop w:val="0"/>
      <w:marBottom w:val="0"/>
      <w:divBdr>
        <w:top w:val="none" w:sz="0" w:space="0" w:color="auto"/>
        <w:left w:val="none" w:sz="0" w:space="0" w:color="auto"/>
        <w:bottom w:val="none" w:sz="0" w:space="0" w:color="auto"/>
        <w:right w:val="none" w:sz="0" w:space="0" w:color="auto"/>
      </w:divBdr>
    </w:div>
    <w:div w:id="1903638345">
      <w:bodyDiv w:val="1"/>
      <w:marLeft w:val="0"/>
      <w:marRight w:val="0"/>
      <w:marTop w:val="0"/>
      <w:marBottom w:val="0"/>
      <w:divBdr>
        <w:top w:val="none" w:sz="0" w:space="0" w:color="auto"/>
        <w:left w:val="none" w:sz="0" w:space="0" w:color="auto"/>
        <w:bottom w:val="none" w:sz="0" w:space="0" w:color="auto"/>
        <w:right w:val="none" w:sz="0" w:space="0" w:color="auto"/>
      </w:divBdr>
    </w:div>
    <w:div w:id="1907915826">
      <w:bodyDiv w:val="1"/>
      <w:marLeft w:val="0"/>
      <w:marRight w:val="0"/>
      <w:marTop w:val="0"/>
      <w:marBottom w:val="0"/>
      <w:divBdr>
        <w:top w:val="none" w:sz="0" w:space="0" w:color="auto"/>
        <w:left w:val="none" w:sz="0" w:space="0" w:color="auto"/>
        <w:bottom w:val="none" w:sz="0" w:space="0" w:color="auto"/>
        <w:right w:val="none" w:sz="0" w:space="0" w:color="auto"/>
      </w:divBdr>
    </w:div>
    <w:div w:id="1953898576">
      <w:bodyDiv w:val="1"/>
      <w:marLeft w:val="0"/>
      <w:marRight w:val="0"/>
      <w:marTop w:val="0"/>
      <w:marBottom w:val="0"/>
      <w:divBdr>
        <w:top w:val="none" w:sz="0" w:space="0" w:color="auto"/>
        <w:left w:val="none" w:sz="0" w:space="0" w:color="auto"/>
        <w:bottom w:val="none" w:sz="0" w:space="0" w:color="auto"/>
        <w:right w:val="none" w:sz="0" w:space="0" w:color="auto"/>
      </w:divBdr>
    </w:div>
    <w:div w:id="2125078828">
      <w:bodyDiv w:val="1"/>
      <w:marLeft w:val="0"/>
      <w:marRight w:val="0"/>
      <w:marTop w:val="0"/>
      <w:marBottom w:val="0"/>
      <w:divBdr>
        <w:top w:val="none" w:sz="0" w:space="0" w:color="auto"/>
        <w:left w:val="none" w:sz="0" w:space="0" w:color="auto"/>
        <w:bottom w:val="none" w:sz="0" w:space="0" w:color="auto"/>
        <w:right w:val="none" w:sz="0" w:space="0" w:color="auto"/>
      </w:divBdr>
    </w:div>
    <w:div w:id="213236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D/Conferences/CRO/PublishingImages/CRO11/IAGDI-CRO%20Outcome%20Statemen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42E60-1AB1-4125-A0BB-C7932D62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3.xml><?xml version="1.0" encoding="utf-8"?>
<ds:datastoreItem xmlns:ds="http://schemas.openxmlformats.org/officeDocument/2006/customXml" ds:itemID="{C54CBCA2-714F-48EB-A09C-3A8A2B70B75B}">
  <ds:schemaRefs>
    <ds:schemaRef ds:uri="http://schemas.microsoft.com/office/2006/documentManagement/types"/>
    <ds:schemaRef ds:uri="http://www.w3.org/XML/1998/namespace"/>
    <ds:schemaRef ds:uri="d4ea696a-cca3-460b-a983-57ac2621983a"/>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2F833DE3-729D-4EBC-86C7-96A0DFDE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dc:description/>
  <cp:lastModifiedBy>BDT-nd</cp:lastModifiedBy>
  <cp:revision>3</cp:revision>
  <cp:lastPrinted>2014-11-04T09:22:00Z</cp:lastPrinted>
  <dcterms:created xsi:type="dcterms:W3CDTF">2021-04-21T06:54:00Z</dcterms:created>
  <dcterms:modified xsi:type="dcterms:W3CDTF">2021-04-21T06:54:00Z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