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B712E5" w14:paraId="0D199328" w14:textId="77777777" w:rsidTr="00725816">
        <w:trPr>
          <w:cantSplit/>
          <w:trHeight w:val="1134"/>
        </w:trPr>
        <w:tc>
          <w:tcPr>
            <w:tcW w:w="2410" w:type="dxa"/>
          </w:tcPr>
          <w:p w14:paraId="7B8E5BAE" w14:textId="77777777" w:rsidR="00B712E5" w:rsidRDefault="00B712E5" w:rsidP="00725816">
            <w:pPr>
              <w:tabs>
                <w:tab w:val="clear" w:pos="1191"/>
                <w:tab w:val="clear" w:pos="1588"/>
                <w:tab w:val="clear" w:pos="1985"/>
              </w:tabs>
              <w:spacing w:after="120"/>
              <w:ind w:left="34"/>
              <w:rPr>
                <w:b/>
                <w:bCs/>
                <w:sz w:val="32"/>
                <w:szCs w:val="32"/>
              </w:rPr>
            </w:pPr>
            <w:bookmarkStart w:id="0" w:name="_Hlk70930114"/>
            <w:bookmarkStart w:id="1" w:name="_Hlk70930371"/>
            <w:r>
              <w:rPr>
                <w:rFonts w:cstheme="minorHAnsi"/>
                <w:b/>
                <w:bCs/>
                <w:noProof/>
                <w:sz w:val="32"/>
                <w:szCs w:val="32"/>
                <w:lang w:val="en-US" w:eastAsia="zh-CN"/>
              </w:rPr>
              <w:drawing>
                <wp:inline distT="0" distB="0" distL="0" distR="0" wp14:anchorId="45D74259" wp14:editId="6E192898">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1F600F02" w14:textId="77777777" w:rsidR="00B712E5" w:rsidRDefault="00B712E5" w:rsidP="00725816">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432C8FAD" w14:textId="77777777" w:rsidR="00B712E5" w:rsidRPr="00844A56" w:rsidRDefault="00B712E5" w:rsidP="00725816">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1F90B26C" w14:textId="77777777" w:rsidR="00B712E5" w:rsidRPr="00683C32" w:rsidRDefault="00B712E5" w:rsidP="00725816">
            <w:pPr>
              <w:spacing w:before="240"/>
              <w:ind w:right="142"/>
              <w:jc w:val="right"/>
            </w:pPr>
            <w:r>
              <w:rPr>
                <w:noProof/>
                <w:lang w:val="en-US" w:eastAsia="zh-CN"/>
              </w:rPr>
              <w:drawing>
                <wp:inline distT="0" distB="0" distL="0" distR="0" wp14:anchorId="56374E5F" wp14:editId="22C675C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bookmarkEnd w:id="1"/>
      <w:tr w:rsidR="00B712E5" w:rsidRPr="00997358" w14:paraId="2B401C98" w14:textId="77777777" w:rsidTr="00725816">
        <w:trPr>
          <w:cantSplit/>
        </w:trPr>
        <w:tc>
          <w:tcPr>
            <w:tcW w:w="6379" w:type="dxa"/>
            <w:gridSpan w:val="2"/>
            <w:tcBorders>
              <w:top w:val="single" w:sz="12" w:space="0" w:color="auto"/>
            </w:tcBorders>
          </w:tcPr>
          <w:p w14:paraId="292F28AB" w14:textId="77777777" w:rsidR="00B712E5" w:rsidRPr="00997358" w:rsidRDefault="00B712E5" w:rsidP="00725816">
            <w:pPr>
              <w:spacing w:before="0"/>
              <w:rPr>
                <w:rFonts w:cs="Arial"/>
                <w:b/>
                <w:bCs/>
                <w:sz w:val="20"/>
              </w:rPr>
            </w:pPr>
          </w:p>
        </w:tc>
        <w:tc>
          <w:tcPr>
            <w:tcW w:w="3509" w:type="dxa"/>
            <w:gridSpan w:val="2"/>
            <w:tcBorders>
              <w:top w:val="single" w:sz="12" w:space="0" w:color="auto"/>
            </w:tcBorders>
          </w:tcPr>
          <w:p w14:paraId="1137F85F" w14:textId="77777777" w:rsidR="00B712E5" w:rsidRPr="00997358" w:rsidRDefault="00B712E5" w:rsidP="00725816">
            <w:pPr>
              <w:spacing w:before="0"/>
              <w:rPr>
                <w:b/>
                <w:bCs/>
                <w:sz w:val="20"/>
              </w:rPr>
            </w:pPr>
          </w:p>
        </w:tc>
      </w:tr>
      <w:tr w:rsidR="00B712E5" w:rsidRPr="00D26A17" w14:paraId="312C334E" w14:textId="77777777" w:rsidTr="00725816">
        <w:trPr>
          <w:cantSplit/>
        </w:trPr>
        <w:tc>
          <w:tcPr>
            <w:tcW w:w="6379" w:type="dxa"/>
            <w:gridSpan w:val="2"/>
          </w:tcPr>
          <w:p w14:paraId="5595C304" w14:textId="77777777" w:rsidR="00B712E5" w:rsidRPr="007F1CC7" w:rsidRDefault="00B712E5" w:rsidP="00725816">
            <w:pPr>
              <w:pStyle w:val="Committee"/>
              <w:spacing w:before="0"/>
              <w:rPr>
                <w:b w:val="0"/>
                <w:szCs w:val="24"/>
              </w:rPr>
            </w:pPr>
          </w:p>
        </w:tc>
        <w:tc>
          <w:tcPr>
            <w:tcW w:w="3509" w:type="dxa"/>
            <w:gridSpan w:val="2"/>
          </w:tcPr>
          <w:p w14:paraId="6D675B73" w14:textId="77777777" w:rsidR="00B712E5" w:rsidRPr="00D26A17" w:rsidRDefault="00B712E5" w:rsidP="00725816">
            <w:pPr>
              <w:spacing w:before="0"/>
              <w:jc w:val="both"/>
              <w:rPr>
                <w:bCs/>
                <w:szCs w:val="24"/>
                <w:lang w:val="en-US"/>
              </w:rPr>
            </w:pPr>
            <w:proofErr w:type="spellStart"/>
            <w:r w:rsidRPr="00D26A17">
              <w:rPr>
                <w:b/>
                <w:bCs/>
                <w:lang w:val="en-US"/>
              </w:rPr>
              <w:t>文件</w:t>
            </w:r>
            <w:proofErr w:type="spellEnd"/>
            <w:r w:rsidRPr="00D26A17">
              <w:rPr>
                <w:b/>
                <w:bCs/>
                <w:lang w:val="en-US"/>
              </w:rPr>
              <w:t xml:space="preserve"> </w:t>
            </w:r>
            <w:bookmarkStart w:id="2" w:name="DocRef1"/>
            <w:bookmarkEnd w:id="2"/>
            <w:r w:rsidRPr="00D26A17">
              <w:rPr>
                <w:b/>
                <w:bCs/>
                <w:lang w:val="en-US"/>
              </w:rPr>
              <w:t>TDAG-2</w:t>
            </w:r>
            <w:bookmarkStart w:id="3" w:name="DocNo1"/>
            <w:bookmarkEnd w:id="3"/>
            <w:r w:rsidRPr="00D26A17">
              <w:rPr>
                <w:b/>
                <w:bCs/>
                <w:lang w:val="en-US"/>
              </w:rPr>
              <w:t>1/</w:t>
            </w:r>
            <w:r>
              <w:rPr>
                <w:b/>
                <w:bCs/>
                <w:lang w:val="en-US"/>
              </w:rPr>
              <w:t>12</w:t>
            </w:r>
            <w:r w:rsidRPr="00D26A17">
              <w:rPr>
                <w:b/>
                <w:bCs/>
                <w:lang w:val="en-US"/>
              </w:rPr>
              <w:t>-</w:t>
            </w:r>
            <w:r w:rsidRPr="00D26A17">
              <w:rPr>
                <w:rFonts w:hint="eastAsia"/>
                <w:b/>
                <w:bCs/>
                <w:lang w:val="en-US" w:eastAsia="zh-CN"/>
              </w:rPr>
              <w:t>C</w:t>
            </w:r>
          </w:p>
        </w:tc>
      </w:tr>
      <w:tr w:rsidR="00B712E5" w:rsidRPr="00D26A17" w14:paraId="53933451" w14:textId="77777777" w:rsidTr="00725816">
        <w:trPr>
          <w:cantSplit/>
        </w:trPr>
        <w:tc>
          <w:tcPr>
            <w:tcW w:w="6379" w:type="dxa"/>
            <w:gridSpan w:val="2"/>
          </w:tcPr>
          <w:p w14:paraId="07B8F9CD" w14:textId="77777777" w:rsidR="00B712E5" w:rsidRPr="00D26A17" w:rsidRDefault="00B712E5" w:rsidP="00725816">
            <w:pPr>
              <w:spacing w:before="0"/>
              <w:rPr>
                <w:b/>
                <w:bCs/>
                <w:smallCaps/>
                <w:szCs w:val="24"/>
                <w:lang w:val="en-US"/>
              </w:rPr>
            </w:pPr>
          </w:p>
        </w:tc>
        <w:tc>
          <w:tcPr>
            <w:tcW w:w="3509" w:type="dxa"/>
            <w:gridSpan w:val="2"/>
          </w:tcPr>
          <w:p w14:paraId="5E53E55E" w14:textId="77777777" w:rsidR="00B712E5" w:rsidRPr="00D26A17" w:rsidRDefault="00B712E5" w:rsidP="00725816">
            <w:pPr>
              <w:spacing w:before="0"/>
              <w:rPr>
                <w:b/>
                <w:szCs w:val="24"/>
              </w:rPr>
            </w:pPr>
            <w:bookmarkStart w:id="4" w:name="CreationDate"/>
            <w:bookmarkEnd w:id="4"/>
            <w:r w:rsidRPr="00D26A17">
              <w:rPr>
                <w:b/>
                <w:bCs/>
                <w:szCs w:val="28"/>
              </w:rPr>
              <w:t>2021</w:t>
            </w:r>
            <w:r w:rsidRPr="00D26A17">
              <w:rPr>
                <w:b/>
                <w:bCs/>
                <w:szCs w:val="28"/>
              </w:rPr>
              <w:t>年</w:t>
            </w:r>
            <w:r>
              <w:rPr>
                <w:b/>
                <w:bCs/>
                <w:szCs w:val="28"/>
              </w:rPr>
              <w:t>4</w:t>
            </w:r>
            <w:r w:rsidRPr="00D26A17">
              <w:rPr>
                <w:b/>
                <w:bCs/>
                <w:szCs w:val="28"/>
              </w:rPr>
              <w:t>月</w:t>
            </w:r>
            <w:r>
              <w:rPr>
                <w:b/>
                <w:bCs/>
                <w:szCs w:val="28"/>
              </w:rPr>
              <w:t>13</w:t>
            </w:r>
            <w:r w:rsidRPr="00D26A17">
              <w:rPr>
                <w:b/>
                <w:bCs/>
                <w:szCs w:val="28"/>
              </w:rPr>
              <w:t>日</w:t>
            </w:r>
          </w:p>
        </w:tc>
      </w:tr>
      <w:tr w:rsidR="00B712E5" w:rsidRPr="00D26A17" w14:paraId="49425CDB" w14:textId="77777777" w:rsidTr="00725816">
        <w:trPr>
          <w:cantSplit/>
        </w:trPr>
        <w:tc>
          <w:tcPr>
            <w:tcW w:w="6379" w:type="dxa"/>
            <w:gridSpan w:val="2"/>
          </w:tcPr>
          <w:p w14:paraId="514AFA37" w14:textId="77777777" w:rsidR="00B712E5" w:rsidRPr="00D26A17" w:rsidRDefault="00B712E5" w:rsidP="00725816">
            <w:pPr>
              <w:spacing w:before="0"/>
              <w:rPr>
                <w:b/>
                <w:bCs/>
                <w:smallCaps/>
                <w:szCs w:val="24"/>
              </w:rPr>
            </w:pPr>
          </w:p>
        </w:tc>
        <w:tc>
          <w:tcPr>
            <w:tcW w:w="3509" w:type="dxa"/>
            <w:gridSpan w:val="2"/>
          </w:tcPr>
          <w:p w14:paraId="446DF44F" w14:textId="77777777" w:rsidR="00B712E5" w:rsidRPr="00D26A17" w:rsidRDefault="00B712E5" w:rsidP="00725816">
            <w:pPr>
              <w:spacing w:before="0"/>
              <w:rPr>
                <w:szCs w:val="24"/>
              </w:rPr>
            </w:pPr>
            <w:proofErr w:type="spellStart"/>
            <w:r w:rsidRPr="00D26A17">
              <w:rPr>
                <w:b/>
              </w:rPr>
              <w:t>原文：</w:t>
            </w:r>
            <w:r w:rsidRPr="00D26A17">
              <w:rPr>
                <w:rFonts w:hint="eastAsia"/>
                <w:b/>
              </w:rPr>
              <w:t>英文</w:t>
            </w:r>
            <w:proofErr w:type="spellEnd"/>
          </w:p>
        </w:tc>
      </w:tr>
      <w:tr w:rsidR="00B712E5" w:rsidRPr="00D26A17" w14:paraId="68D0B916" w14:textId="77777777" w:rsidTr="00725816">
        <w:trPr>
          <w:cantSplit/>
          <w:trHeight w:val="852"/>
        </w:trPr>
        <w:tc>
          <w:tcPr>
            <w:tcW w:w="9888" w:type="dxa"/>
            <w:gridSpan w:val="4"/>
          </w:tcPr>
          <w:p w14:paraId="11F11574" w14:textId="77777777" w:rsidR="00B712E5" w:rsidRPr="00D26A17" w:rsidRDefault="00B712E5" w:rsidP="00725816">
            <w:pPr>
              <w:pStyle w:val="Source"/>
            </w:pPr>
            <w:bookmarkStart w:id="5" w:name="Source"/>
            <w:bookmarkEnd w:id="0"/>
            <w:bookmarkEnd w:id="5"/>
            <w:r w:rsidRPr="00DE4507">
              <w:rPr>
                <w:rFonts w:hint="eastAsia"/>
                <w:szCs w:val="28"/>
                <w:lang w:eastAsia="zh-CN"/>
              </w:rPr>
              <w:t>电</w:t>
            </w:r>
            <w:r w:rsidRPr="00DE4507">
              <w:rPr>
                <w:szCs w:val="28"/>
                <w:lang w:eastAsia="zh-CN"/>
              </w:rPr>
              <w:t>信发展局主任</w:t>
            </w:r>
          </w:p>
        </w:tc>
      </w:tr>
      <w:tr w:rsidR="00B712E5" w:rsidRPr="00D26A17" w14:paraId="457C3B52" w14:textId="77777777" w:rsidTr="00725816">
        <w:trPr>
          <w:cantSplit/>
        </w:trPr>
        <w:tc>
          <w:tcPr>
            <w:tcW w:w="9888" w:type="dxa"/>
            <w:gridSpan w:val="4"/>
            <w:vAlign w:val="center"/>
          </w:tcPr>
          <w:p w14:paraId="2A5978CE" w14:textId="77777777" w:rsidR="00B712E5" w:rsidRPr="00D26A17" w:rsidRDefault="00B712E5" w:rsidP="00725816">
            <w:pPr>
              <w:pStyle w:val="Title1"/>
              <w:rPr>
                <w:lang w:eastAsia="zh-CN"/>
              </w:rPr>
            </w:pPr>
            <w:bookmarkStart w:id="6" w:name="Title"/>
            <w:bookmarkEnd w:id="6"/>
            <w:r>
              <w:rPr>
                <w:rFonts w:hint="eastAsia"/>
                <w:lang w:eastAsia="zh-CN"/>
              </w:rPr>
              <w:t>电信发展部门的部门成员、部门准成员和学术成员</w:t>
            </w:r>
          </w:p>
        </w:tc>
      </w:tr>
      <w:tr w:rsidR="00B712E5" w:rsidRPr="00D26A17" w14:paraId="79AEBADD" w14:textId="77777777" w:rsidTr="00725816">
        <w:trPr>
          <w:cantSplit/>
        </w:trPr>
        <w:tc>
          <w:tcPr>
            <w:tcW w:w="9888" w:type="dxa"/>
            <w:gridSpan w:val="4"/>
            <w:tcBorders>
              <w:bottom w:val="single" w:sz="4" w:space="0" w:color="auto"/>
            </w:tcBorders>
          </w:tcPr>
          <w:p w14:paraId="49FC9361" w14:textId="77777777" w:rsidR="00B712E5" w:rsidRPr="00D26A17" w:rsidRDefault="00B712E5" w:rsidP="00725816">
            <w:pPr>
              <w:rPr>
                <w:lang w:eastAsia="zh-CN"/>
              </w:rPr>
            </w:pPr>
          </w:p>
        </w:tc>
      </w:tr>
      <w:tr w:rsidR="00B712E5" w:rsidRPr="00D26A17" w14:paraId="469B1090" w14:textId="77777777" w:rsidTr="00725816">
        <w:trPr>
          <w:cantSplit/>
        </w:trPr>
        <w:tc>
          <w:tcPr>
            <w:tcW w:w="9888" w:type="dxa"/>
            <w:gridSpan w:val="4"/>
            <w:tcBorders>
              <w:top w:val="single" w:sz="4" w:space="0" w:color="auto"/>
              <w:left w:val="single" w:sz="4" w:space="0" w:color="auto"/>
              <w:bottom w:val="single" w:sz="4" w:space="0" w:color="auto"/>
              <w:right w:val="single" w:sz="4" w:space="0" w:color="auto"/>
            </w:tcBorders>
          </w:tcPr>
          <w:p w14:paraId="3F43AD31" w14:textId="77777777" w:rsidR="00B712E5" w:rsidRPr="00054016" w:rsidRDefault="00B712E5" w:rsidP="00725816">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14:paraId="225802D9" w14:textId="77777777" w:rsidR="00B712E5" w:rsidRPr="00054016" w:rsidRDefault="00B712E5" w:rsidP="00725816">
            <w:pPr>
              <w:overflowPunct/>
              <w:autoSpaceDE/>
              <w:autoSpaceDN/>
              <w:adjustRightInd/>
              <w:ind w:firstLineChars="200" w:firstLine="480"/>
              <w:textAlignment w:val="auto"/>
              <w:rPr>
                <w:b/>
                <w:bCs/>
                <w:lang w:eastAsia="zh-CN"/>
              </w:rPr>
            </w:pPr>
            <w:r>
              <w:rPr>
                <w:rFonts w:ascii="Calibri" w:eastAsia="SimSun" w:hAnsi="Calibri" w:hint="eastAsia"/>
                <w:color w:val="000000" w:themeColor="text1"/>
                <w:szCs w:val="24"/>
                <w:lang w:val="en-US" w:eastAsia="zh-CN"/>
              </w:rPr>
              <w:t>本文件介绍</w:t>
            </w:r>
            <w:r w:rsidRPr="006C2561">
              <w:rPr>
                <w:rFonts w:ascii="Calibri" w:eastAsia="SimSun" w:hAnsi="Calibri" w:hint="eastAsia"/>
                <w:color w:val="000000" w:themeColor="text1"/>
                <w:szCs w:val="24"/>
                <w:lang w:val="en-US" w:eastAsia="zh-CN"/>
              </w:rPr>
              <w:t>了</w:t>
            </w: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w:t>
            </w:r>
            <w:r>
              <w:rPr>
                <w:rFonts w:ascii="Calibri" w:eastAsia="SimSun" w:hAnsi="Calibri" w:hint="eastAsia"/>
                <w:color w:val="000000" w:themeColor="text1"/>
                <w:szCs w:val="24"/>
                <w:lang w:val="en-US" w:eastAsia="zh-CN"/>
              </w:rPr>
              <w:t>演变</w:t>
            </w:r>
            <w:r w:rsidRPr="006C2561">
              <w:rPr>
                <w:rFonts w:ascii="Calibri" w:eastAsia="SimSun" w:hAnsi="Calibri" w:hint="eastAsia"/>
                <w:color w:val="000000" w:themeColor="text1"/>
                <w:szCs w:val="24"/>
                <w:lang w:val="en-US" w:eastAsia="zh-CN"/>
              </w:rPr>
              <w:t>的</w:t>
            </w:r>
            <w:r>
              <w:rPr>
                <w:rFonts w:ascii="Calibri" w:eastAsia="SimSun" w:hAnsi="Calibri" w:hint="eastAsia"/>
                <w:color w:val="000000" w:themeColor="text1"/>
                <w:szCs w:val="24"/>
                <w:lang w:val="en-US" w:eastAsia="zh-CN"/>
              </w:rPr>
              <w:t>概况。本文</w:t>
            </w:r>
            <w:r w:rsidRPr="006C2561">
              <w:rPr>
                <w:rFonts w:ascii="Calibri" w:eastAsia="SimSun" w:hAnsi="Calibri" w:hint="eastAsia"/>
                <w:color w:val="000000" w:themeColor="text1"/>
                <w:szCs w:val="24"/>
                <w:lang w:val="en-US" w:eastAsia="zh-CN"/>
              </w:rPr>
              <w:t>根据</w:t>
            </w:r>
            <w:r>
              <w:rPr>
                <w:rFonts w:ascii="Calibri" w:eastAsia="SimSun" w:hAnsi="Calibri" w:hint="eastAsia"/>
                <w:color w:val="000000" w:themeColor="text1"/>
                <w:szCs w:val="24"/>
                <w:lang w:val="en-US" w:eastAsia="zh-CN"/>
              </w:rPr>
              <w:t>2017</w:t>
            </w:r>
            <w:r>
              <w:rPr>
                <w:rFonts w:ascii="Calibri" w:eastAsia="SimSun" w:hAnsi="Calibri" w:hint="eastAsia"/>
                <w:color w:val="000000" w:themeColor="text1"/>
                <w:szCs w:val="24"/>
                <w:lang w:val="en-US" w:eastAsia="zh-CN"/>
              </w:rPr>
              <w:t>年世界电信发展大会（</w:t>
            </w:r>
            <w:r w:rsidRPr="006C2561">
              <w:rPr>
                <w:rFonts w:ascii="Calibri" w:eastAsia="SimSun" w:hAnsi="Calibri" w:hint="eastAsia"/>
                <w:color w:val="000000" w:themeColor="text1"/>
                <w:szCs w:val="24"/>
                <w:lang w:val="en-US" w:eastAsia="zh-CN"/>
              </w:rPr>
              <w:t>WTDC-1</w:t>
            </w:r>
            <w:r>
              <w:rPr>
                <w:rFonts w:ascii="Calibri" w:eastAsia="SimSun" w:hAnsi="Calibri"/>
                <w:color w:val="000000" w:themeColor="text1"/>
                <w:szCs w:val="24"/>
                <w:lang w:val="en-US" w:eastAsia="zh-CN"/>
              </w:rPr>
              <w:t>7</w:t>
            </w:r>
            <w:r>
              <w:rPr>
                <w:rFonts w:ascii="Calibri" w:eastAsia="SimSun" w:hAnsi="Calibri"/>
                <w:color w:val="000000" w:themeColor="text1"/>
                <w:szCs w:val="24"/>
                <w:lang w:val="en-US" w:eastAsia="zh-CN"/>
              </w:rPr>
              <w:t>）</w:t>
            </w:r>
            <w:r>
              <w:rPr>
                <w:rFonts w:ascii="Calibri" w:eastAsia="SimSun" w:hAnsi="Calibri" w:hint="eastAsia"/>
                <w:color w:val="000000" w:themeColor="text1"/>
                <w:szCs w:val="24"/>
                <w:lang w:val="en-US" w:eastAsia="zh-CN"/>
              </w:rPr>
              <w:t>以及</w:t>
            </w:r>
            <w:r>
              <w:rPr>
                <w:rFonts w:ascii="Calibri" w:eastAsia="SimSun" w:hAnsi="Calibri" w:hint="eastAsia"/>
                <w:color w:val="000000" w:themeColor="text1"/>
                <w:szCs w:val="24"/>
                <w:lang w:val="en-US" w:eastAsia="zh-CN"/>
              </w:rPr>
              <w:t>2018</w:t>
            </w:r>
            <w:r>
              <w:rPr>
                <w:rFonts w:ascii="Calibri" w:eastAsia="SimSun" w:hAnsi="Calibri" w:hint="eastAsia"/>
                <w:color w:val="000000" w:themeColor="text1"/>
                <w:szCs w:val="24"/>
                <w:lang w:val="en-US" w:eastAsia="zh-CN"/>
              </w:rPr>
              <w:t>年全权代表大会的成果，建议加强成员队伍的</w:t>
            </w:r>
            <w:r w:rsidRPr="006C2561">
              <w:rPr>
                <w:rFonts w:ascii="Calibri" w:eastAsia="SimSun" w:hAnsi="Calibri" w:hint="eastAsia"/>
                <w:color w:val="000000" w:themeColor="text1"/>
                <w:szCs w:val="24"/>
                <w:lang w:val="en-US" w:eastAsia="zh-CN"/>
              </w:rPr>
              <w:t>行动。</w:t>
            </w:r>
            <w:bookmarkStart w:id="7" w:name="lt_pId022"/>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部门成员队伍包括部门成员、部门准成员和学术成员</w:t>
            </w:r>
            <w:r w:rsidRPr="00B54732">
              <w:rPr>
                <w:rStyle w:val="FootnoteReference"/>
                <w:szCs w:val="24"/>
              </w:rPr>
              <w:footnoteReference w:id="1"/>
            </w:r>
            <w:bookmarkEnd w:id="7"/>
            <w:r w:rsidRPr="006C2561">
              <w:rPr>
                <w:rFonts w:ascii="Calibri" w:eastAsia="SimSun" w:hAnsi="Calibri" w:hint="eastAsia"/>
                <w:color w:val="000000" w:themeColor="text1"/>
                <w:szCs w:val="24"/>
                <w:lang w:val="en-US" w:eastAsia="zh-CN"/>
              </w:rPr>
              <w:t>。</w:t>
            </w:r>
          </w:p>
          <w:p w14:paraId="257214B4" w14:textId="77777777" w:rsidR="00B712E5" w:rsidRPr="00054016" w:rsidRDefault="00B712E5" w:rsidP="00725816">
            <w:pPr>
              <w:rPr>
                <w:b/>
                <w:bCs/>
                <w:lang w:eastAsia="zh-CN"/>
              </w:rPr>
            </w:pPr>
            <w:r>
              <w:rPr>
                <w:rFonts w:hint="eastAsia"/>
                <w:b/>
                <w:bCs/>
                <w:lang w:eastAsia="zh-CN"/>
              </w:rPr>
              <w:t>须</w:t>
            </w:r>
            <w:r w:rsidRPr="00054016">
              <w:rPr>
                <w:b/>
                <w:bCs/>
                <w:lang w:eastAsia="zh-CN"/>
              </w:rPr>
              <w:t>采取</w:t>
            </w:r>
            <w:r>
              <w:rPr>
                <w:rFonts w:hint="eastAsia"/>
                <w:b/>
                <w:bCs/>
                <w:lang w:eastAsia="zh-CN"/>
              </w:rPr>
              <w:t>的</w:t>
            </w:r>
            <w:r w:rsidRPr="00054016">
              <w:rPr>
                <w:b/>
                <w:bCs/>
                <w:lang w:eastAsia="zh-CN"/>
              </w:rPr>
              <w:t>行动：</w:t>
            </w:r>
          </w:p>
          <w:p w14:paraId="2490F703" w14:textId="77777777" w:rsidR="00B712E5" w:rsidRPr="006C2561" w:rsidRDefault="00B712E5" w:rsidP="00725816">
            <w:pPr>
              <w:ind w:firstLineChars="200" w:firstLine="480"/>
              <w:rPr>
                <w:rFonts w:ascii="Calibri" w:eastAsia="SimSun" w:hAnsi="Calibri"/>
                <w:lang w:eastAsia="zh-CN"/>
              </w:rPr>
            </w:pPr>
            <w:r>
              <w:rPr>
                <w:rFonts w:ascii="Calibri" w:eastAsia="SimSun" w:hAnsi="Calibri" w:hint="eastAsia"/>
                <w:color w:val="000000" w:themeColor="text1"/>
                <w:szCs w:val="24"/>
                <w:lang w:val="en-US" w:eastAsia="zh-CN"/>
              </w:rPr>
              <w:t>请电信发展顾问组将本文件</w:t>
            </w:r>
            <w:r w:rsidRPr="006C2561">
              <w:rPr>
                <w:rFonts w:ascii="Calibri" w:eastAsia="SimSun" w:hAnsi="Calibri" w:hint="eastAsia"/>
                <w:color w:val="000000" w:themeColor="text1"/>
                <w:szCs w:val="24"/>
                <w:lang w:val="en-US" w:eastAsia="zh-CN"/>
              </w:rPr>
              <w:t>记录在案并</w:t>
            </w:r>
            <w:r w:rsidRPr="006C2561">
              <w:rPr>
                <w:rFonts w:ascii="Calibri" w:eastAsia="SimSun" w:hAnsi="Calibri"/>
                <w:color w:val="000000" w:themeColor="text1"/>
                <w:szCs w:val="24"/>
                <w:lang w:val="en-US" w:eastAsia="zh-CN"/>
              </w:rPr>
              <w:t>酌情提供指导</w:t>
            </w:r>
            <w:r w:rsidRPr="006C2561">
              <w:rPr>
                <w:rFonts w:ascii="Calibri" w:eastAsia="SimSun" w:hAnsi="Calibri" w:hint="eastAsia"/>
                <w:color w:val="000000" w:themeColor="text1"/>
                <w:szCs w:val="24"/>
                <w:lang w:val="en-US" w:eastAsia="zh-CN"/>
              </w:rPr>
              <w:t>。</w:t>
            </w:r>
          </w:p>
          <w:p w14:paraId="6860FBB7" w14:textId="77777777" w:rsidR="00B712E5" w:rsidRDefault="00B712E5" w:rsidP="00725816">
            <w:pPr>
              <w:spacing w:after="120"/>
              <w:rPr>
                <w:b/>
                <w:bCs/>
                <w:lang w:eastAsia="zh-CN"/>
              </w:rPr>
            </w:pPr>
            <w:r w:rsidRPr="00054016">
              <w:rPr>
                <w:rFonts w:hint="eastAsia"/>
                <w:b/>
                <w:bCs/>
                <w:lang w:eastAsia="zh-CN"/>
              </w:rPr>
              <w:t>参考文件</w:t>
            </w:r>
            <w:r w:rsidRPr="00054016">
              <w:rPr>
                <w:b/>
                <w:bCs/>
                <w:lang w:eastAsia="zh-CN"/>
              </w:rPr>
              <w:t>：</w:t>
            </w:r>
          </w:p>
          <w:p w14:paraId="6BA57C36" w14:textId="77777777" w:rsidR="00B712E5" w:rsidRPr="00D26A17" w:rsidRDefault="00B712E5" w:rsidP="00725816">
            <w:pPr>
              <w:spacing w:after="120"/>
              <w:ind w:firstLineChars="200" w:firstLine="480"/>
              <w:rPr>
                <w:lang w:eastAsia="zh-CN"/>
              </w:rPr>
            </w:pPr>
            <w:r>
              <w:rPr>
                <w:rFonts w:ascii="Calibri" w:eastAsia="SimSun" w:hAnsi="Calibri" w:hint="eastAsia"/>
                <w:color w:val="000000" w:themeColor="text1"/>
                <w:szCs w:val="24"/>
                <w:lang w:val="en-US" w:eastAsia="zh-CN"/>
              </w:rPr>
              <w:t>W</w:t>
            </w:r>
            <w:r>
              <w:rPr>
                <w:rFonts w:ascii="Calibri" w:eastAsia="SimSun" w:hAnsi="Calibri"/>
                <w:color w:val="000000" w:themeColor="text1"/>
                <w:szCs w:val="24"/>
                <w:lang w:val="en-US" w:eastAsia="zh-CN"/>
              </w:rPr>
              <w:t>TDC</w:t>
            </w:r>
            <w:r w:rsidRPr="006C2561">
              <w:rPr>
                <w:rFonts w:ascii="Calibri" w:eastAsia="SimSun" w:hAnsi="Calibri" w:hint="eastAsia"/>
                <w:color w:val="000000" w:themeColor="text1"/>
                <w:szCs w:val="24"/>
                <w:lang w:val="en-US" w:eastAsia="zh-CN"/>
              </w:rPr>
              <w:t>第</w:t>
            </w:r>
            <w:r w:rsidRPr="006C2561">
              <w:rPr>
                <w:rFonts w:ascii="Calibri" w:eastAsia="SimSun" w:hAnsi="Calibri"/>
                <w:color w:val="000000" w:themeColor="text1"/>
                <w:szCs w:val="24"/>
                <w:lang w:val="en-US" w:eastAsia="zh-CN"/>
              </w:rPr>
              <w:t>71</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年，</w:t>
            </w:r>
            <w:r>
              <w:rPr>
                <w:rFonts w:ascii="Calibri" w:eastAsia="SimSun" w:hAnsi="Calibri" w:hint="eastAsia"/>
                <w:color w:val="000000" w:themeColor="text1"/>
                <w:szCs w:val="24"/>
                <w:lang w:val="en-US" w:eastAsia="zh-CN"/>
              </w:rPr>
              <w:t>布宜诺斯艾利斯</w:t>
            </w:r>
            <w:r w:rsidRPr="006C2561">
              <w:rPr>
                <w:rFonts w:ascii="Calibri" w:eastAsia="SimSun" w:hAnsi="Calibri" w:hint="eastAsia"/>
                <w:color w:val="000000" w:themeColor="text1"/>
                <w:szCs w:val="24"/>
                <w:lang w:val="en-US" w:eastAsia="zh-CN"/>
              </w:rPr>
              <w:t>，修订版）</w:t>
            </w:r>
            <w:r>
              <w:rPr>
                <w:rFonts w:ascii="Calibri" w:eastAsia="SimSun" w:hAnsi="Calibri" w:hint="eastAsia"/>
                <w:color w:val="000000" w:themeColor="text1"/>
                <w:szCs w:val="24"/>
                <w:lang w:val="en-US" w:eastAsia="zh-CN"/>
              </w:rPr>
              <w:t>，全权代表大会第</w:t>
            </w:r>
            <w:r w:rsidRPr="006C2561">
              <w:rPr>
                <w:rFonts w:ascii="Calibri" w:eastAsia="SimSun" w:hAnsi="Calibri"/>
                <w:color w:val="000000" w:themeColor="text1"/>
                <w:szCs w:val="24"/>
                <w:lang w:val="en-US" w:eastAsia="zh-CN"/>
              </w:rPr>
              <w:t>169</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Pr>
                <w:rFonts w:ascii="Calibri" w:eastAsia="SimSun" w:hAnsi="Calibri"/>
                <w:color w:val="000000" w:themeColor="text1"/>
                <w:szCs w:val="24"/>
                <w:lang w:val="en-US" w:eastAsia="zh-CN"/>
              </w:rPr>
              <w:t>8</w:t>
            </w:r>
            <w:r w:rsidRPr="006C2561">
              <w:rPr>
                <w:rFonts w:ascii="Calibri" w:eastAsia="SimSun" w:hAnsi="Calibri" w:hint="eastAsia"/>
                <w:color w:val="000000" w:themeColor="text1"/>
                <w:szCs w:val="24"/>
                <w:lang w:val="en-US" w:eastAsia="zh-CN"/>
              </w:rPr>
              <w:t>年，</w:t>
            </w:r>
            <w:r>
              <w:rPr>
                <w:rFonts w:ascii="Calibri" w:eastAsia="SimSun" w:hAnsi="Calibri" w:hint="eastAsia"/>
                <w:color w:val="000000" w:themeColor="text1"/>
                <w:szCs w:val="24"/>
                <w:lang w:val="en-US" w:eastAsia="zh-CN"/>
              </w:rPr>
              <w:t>迪拜</w:t>
            </w:r>
            <w:r w:rsidRPr="006C2561">
              <w:rPr>
                <w:rFonts w:ascii="Calibri" w:eastAsia="SimSun" w:hAnsi="Calibri" w:hint="eastAsia"/>
                <w:color w:val="000000" w:themeColor="text1"/>
                <w:szCs w:val="24"/>
                <w:lang w:val="en-US" w:eastAsia="zh-CN"/>
              </w:rPr>
              <w:t>，修订版）</w:t>
            </w:r>
            <w:r>
              <w:rPr>
                <w:rFonts w:ascii="Calibri" w:eastAsia="SimSun" w:hAnsi="Calibri" w:hint="eastAsia"/>
                <w:color w:val="000000" w:themeColor="text1"/>
                <w:szCs w:val="24"/>
                <w:lang w:val="en-US" w:eastAsia="zh-CN"/>
              </w:rPr>
              <w:t>、第</w:t>
            </w:r>
            <w:r>
              <w:rPr>
                <w:rFonts w:ascii="Calibri" w:eastAsia="SimSun" w:hAnsi="Calibri" w:hint="eastAsia"/>
                <w:color w:val="000000" w:themeColor="text1"/>
                <w:szCs w:val="24"/>
                <w:lang w:val="en-US" w:eastAsia="zh-CN"/>
              </w:rPr>
              <w:t>205</w:t>
            </w:r>
            <w:r>
              <w:rPr>
                <w:rFonts w:ascii="Calibri" w:eastAsia="SimSun" w:hAnsi="Calibri" w:hint="eastAsia"/>
                <w:color w:val="000000" w:themeColor="text1"/>
                <w:szCs w:val="24"/>
                <w:lang w:val="en-US" w:eastAsia="zh-CN"/>
              </w:rPr>
              <w:t>号决议（</w:t>
            </w:r>
            <w:r>
              <w:rPr>
                <w:rFonts w:ascii="Calibri" w:eastAsia="SimSun" w:hAnsi="Calibri" w:hint="eastAsia"/>
                <w:color w:val="000000" w:themeColor="text1"/>
                <w:szCs w:val="24"/>
                <w:lang w:val="en-US" w:eastAsia="zh-CN"/>
              </w:rPr>
              <w:t>2018</w:t>
            </w:r>
            <w:r>
              <w:rPr>
                <w:rFonts w:ascii="Calibri" w:eastAsia="SimSun" w:hAnsi="Calibri" w:hint="eastAsia"/>
                <w:color w:val="000000" w:themeColor="text1"/>
                <w:szCs w:val="24"/>
                <w:lang w:val="en-US" w:eastAsia="zh-CN"/>
              </w:rPr>
              <w:t>年，迪拜）和第</w:t>
            </w:r>
            <w:r>
              <w:rPr>
                <w:rFonts w:ascii="Calibri" w:eastAsia="SimSun" w:hAnsi="Calibri" w:hint="eastAsia"/>
                <w:color w:val="000000" w:themeColor="text1"/>
                <w:szCs w:val="24"/>
                <w:lang w:val="en-US" w:eastAsia="zh-CN"/>
              </w:rPr>
              <w:t>209</w:t>
            </w:r>
            <w:r>
              <w:rPr>
                <w:rFonts w:ascii="Calibri" w:eastAsia="SimSun" w:hAnsi="Calibri" w:hint="eastAsia"/>
                <w:color w:val="000000" w:themeColor="text1"/>
                <w:szCs w:val="24"/>
                <w:lang w:val="en-US" w:eastAsia="zh-CN"/>
              </w:rPr>
              <w:t>号决议（</w:t>
            </w:r>
            <w:r>
              <w:rPr>
                <w:rFonts w:ascii="Calibri" w:eastAsia="SimSun" w:hAnsi="Calibri" w:hint="eastAsia"/>
                <w:color w:val="000000" w:themeColor="text1"/>
                <w:szCs w:val="24"/>
                <w:lang w:val="en-US" w:eastAsia="zh-CN"/>
              </w:rPr>
              <w:t>2018</w:t>
            </w:r>
            <w:r>
              <w:rPr>
                <w:rFonts w:ascii="Calibri" w:eastAsia="SimSun" w:hAnsi="Calibri" w:hint="eastAsia"/>
                <w:color w:val="000000" w:themeColor="text1"/>
                <w:szCs w:val="24"/>
                <w:lang w:val="en-US" w:eastAsia="zh-CN"/>
              </w:rPr>
              <w:t>年，迪拜）</w:t>
            </w:r>
            <w:r w:rsidRPr="006C2561">
              <w:rPr>
                <w:rFonts w:ascii="Calibri" w:eastAsia="SimSun" w:hAnsi="Calibri" w:hint="eastAsia"/>
                <w:color w:val="000000" w:themeColor="text1"/>
                <w:szCs w:val="24"/>
                <w:lang w:val="en-US" w:eastAsia="zh-CN"/>
              </w:rPr>
              <w:t>。</w:t>
            </w:r>
          </w:p>
        </w:tc>
      </w:tr>
    </w:tbl>
    <w:p w14:paraId="27E1DDC9" w14:textId="77777777" w:rsidR="008D71AF" w:rsidRDefault="008D71AF" w:rsidP="008D71AF">
      <w:pPr>
        <w:overflowPunct/>
        <w:autoSpaceDE/>
        <w:autoSpaceDN/>
        <w:adjustRightInd/>
        <w:spacing w:before="0"/>
        <w:textAlignment w:val="auto"/>
        <w:rPr>
          <w:szCs w:val="24"/>
          <w:lang w:eastAsia="zh-CN"/>
        </w:rPr>
      </w:pPr>
      <w:r>
        <w:rPr>
          <w:szCs w:val="24"/>
          <w:lang w:eastAsia="zh-CN"/>
        </w:rPr>
        <w:br w:type="page"/>
      </w:r>
    </w:p>
    <w:p w14:paraId="1F063F8A" w14:textId="77777777" w:rsidR="008D71AF" w:rsidRPr="00895832" w:rsidRDefault="008D71AF" w:rsidP="00EE5749">
      <w:pPr>
        <w:pStyle w:val="Heading1"/>
        <w:rPr>
          <w:lang w:eastAsia="zh-CN"/>
        </w:rPr>
      </w:pPr>
      <w:r w:rsidRPr="00895832">
        <w:rPr>
          <w:rFonts w:hint="eastAsia"/>
          <w:lang w:eastAsia="zh-CN"/>
        </w:rPr>
        <w:lastRenderedPageBreak/>
        <w:t>1</w:t>
      </w:r>
      <w:r w:rsidRPr="00895832">
        <w:rPr>
          <w:lang w:eastAsia="zh-CN"/>
        </w:rPr>
        <w:tab/>
      </w:r>
      <w:proofErr w:type="spellStart"/>
      <w:r w:rsidRPr="00EE5749">
        <w:rPr>
          <w:rFonts w:hint="eastAsia"/>
        </w:rPr>
        <w:t>背景</w:t>
      </w:r>
      <w:proofErr w:type="spellEnd"/>
    </w:p>
    <w:p w14:paraId="4DC04A9A" w14:textId="37CD05C3" w:rsidR="008D71AF" w:rsidRPr="00947C96" w:rsidRDefault="008D71AF" w:rsidP="00C64029">
      <w:pPr>
        <w:ind w:firstLineChars="200" w:firstLine="480"/>
        <w:rPr>
          <w:rFonts w:ascii="Calibri" w:eastAsia="SimSun" w:hAnsi="Calibri"/>
          <w:szCs w:val="24"/>
          <w:lang w:val="en-US" w:eastAsia="zh-CN"/>
        </w:rPr>
      </w:pPr>
      <w:r w:rsidRPr="00947C96">
        <w:rPr>
          <w:rFonts w:ascii="Calibri" w:eastAsia="SimSun" w:hAnsi="Calibri"/>
          <w:szCs w:val="24"/>
          <w:lang w:val="en-US" w:eastAsia="zh-CN"/>
        </w:rPr>
        <w:t>2017</w:t>
      </w:r>
      <w:r w:rsidRPr="00947C96">
        <w:rPr>
          <w:rFonts w:ascii="Calibri" w:eastAsia="SimSun" w:hAnsi="Calibri"/>
          <w:szCs w:val="24"/>
          <w:lang w:val="en-US" w:eastAsia="zh-CN"/>
        </w:rPr>
        <w:t>年</w:t>
      </w:r>
      <w:r w:rsidRPr="00947C96">
        <w:rPr>
          <w:rFonts w:ascii="Calibri" w:eastAsia="SimSun" w:hAnsi="Calibri" w:hint="eastAsia"/>
          <w:szCs w:val="24"/>
          <w:lang w:val="en-US" w:eastAsia="zh-CN"/>
        </w:rPr>
        <w:t>世界</w:t>
      </w:r>
      <w:r w:rsidRPr="00947C96">
        <w:rPr>
          <w:rFonts w:ascii="Calibri" w:eastAsia="SimSun" w:hAnsi="Calibri"/>
          <w:szCs w:val="24"/>
          <w:lang w:val="en-US" w:eastAsia="zh-CN"/>
        </w:rPr>
        <w:t>电信</w:t>
      </w:r>
      <w:r w:rsidRPr="00947C96">
        <w:rPr>
          <w:rFonts w:ascii="Calibri" w:eastAsia="SimSun" w:hAnsi="Calibri" w:hint="eastAsia"/>
          <w:szCs w:val="24"/>
          <w:lang w:val="en-US" w:eastAsia="zh-CN"/>
        </w:rPr>
        <w:t>发展</w:t>
      </w:r>
      <w:r w:rsidRPr="00947C96">
        <w:rPr>
          <w:rFonts w:ascii="Calibri" w:eastAsia="SimSun" w:hAnsi="Calibri"/>
          <w:szCs w:val="24"/>
          <w:lang w:val="en-US" w:eastAsia="zh-CN"/>
        </w:rPr>
        <w:t>大会（</w:t>
      </w:r>
      <w:r w:rsidRPr="00947C96">
        <w:rPr>
          <w:rFonts w:ascii="Calibri" w:eastAsia="SimSun" w:hAnsi="Calibri"/>
          <w:szCs w:val="24"/>
          <w:lang w:eastAsia="zh-CN"/>
        </w:rPr>
        <w:t>WTDC-17</w:t>
      </w:r>
      <w:r w:rsidRPr="00947C96">
        <w:rPr>
          <w:rFonts w:ascii="Calibri" w:eastAsia="SimSun" w:hAnsi="Calibri"/>
          <w:szCs w:val="24"/>
          <w:lang w:val="en-US" w:eastAsia="zh-CN"/>
        </w:rPr>
        <w:t>）</w:t>
      </w:r>
      <w:r w:rsidRPr="00947C96">
        <w:rPr>
          <w:rFonts w:ascii="Calibri" w:eastAsia="SimSun" w:hAnsi="Calibri" w:hint="eastAsia"/>
          <w:szCs w:val="24"/>
          <w:lang w:val="en-US" w:eastAsia="zh-CN"/>
        </w:rPr>
        <w:t>修订并</w:t>
      </w:r>
      <w:r w:rsidRPr="00947C96">
        <w:rPr>
          <w:rFonts w:ascii="Calibri" w:eastAsia="SimSun" w:hAnsi="Calibri"/>
          <w:szCs w:val="24"/>
          <w:lang w:val="en-US" w:eastAsia="zh-CN"/>
        </w:rPr>
        <w:t>通过了</w:t>
      </w:r>
      <w:r w:rsidRPr="00947C96">
        <w:rPr>
          <w:rFonts w:ascii="Calibri" w:eastAsia="SimSun" w:hAnsi="Calibri" w:hint="eastAsia"/>
          <w:szCs w:val="24"/>
          <w:lang w:val="en-US" w:eastAsia="zh-CN"/>
        </w:rPr>
        <w:t>第</w:t>
      </w:r>
      <w:r w:rsidRPr="00947C96">
        <w:rPr>
          <w:rFonts w:ascii="Calibri" w:eastAsia="SimSun" w:hAnsi="Calibri" w:hint="eastAsia"/>
          <w:szCs w:val="24"/>
          <w:lang w:val="en-US" w:eastAsia="zh-CN"/>
        </w:rPr>
        <w:t>71</w:t>
      </w:r>
      <w:r w:rsidRPr="00947C96">
        <w:rPr>
          <w:rFonts w:ascii="Calibri" w:eastAsia="SimSun" w:hAnsi="Calibri" w:hint="eastAsia"/>
          <w:szCs w:val="24"/>
          <w:lang w:val="en-US" w:eastAsia="zh-CN"/>
        </w:rPr>
        <w:t>号</w:t>
      </w:r>
      <w:r w:rsidRPr="00947C96">
        <w:rPr>
          <w:rFonts w:ascii="Calibri" w:eastAsia="SimSun" w:hAnsi="Calibri"/>
          <w:szCs w:val="24"/>
          <w:lang w:val="en-US" w:eastAsia="zh-CN"/>
        </w:rPr>
        <w:t>决议</w:t>
      </w:r>
      <w:r w:rsidRPr="00947C96">
        <w:rPr>
          <w:rFonts w:ascii="Calibri" w:eastAsia="SimSun" w:hAnsi="Calibri" w:hint="eastAsia"/>
          <w:color w:val="000000" w:themeColor="text1"/>
          <w:szCs w:val="24"/>
          <w:lang w:val="en-US" w:eastAsia="zh-CN"/>
        </w:rPr>
        <w:t>（</w:t>
      </w:r>
      <w:r w:rsidR="00C64029">
        <w:rPr>
          <w:rFonts w:ascii="Calibri" w:eastAsia="SimSun" w:hAnsi="Calibri" w:hint="eastAsia"/>
          <w:color w:val="000000" w:themeColor="text1"/>
          <w:szCs w:val="24"/>
          <w:lang w:val="en-US" w:eastAsia="zh-CN"/>
        </w:rPr>
        <w:t>2017</w:t>
      </w:r>
      <w:r w:rsidR="00C64029">
        <w:rPr>
          <w:rFonts w:ascii="Calibri" w:eastAsia="SimSun" w:hAnsi="Calibri" w:hint="eastAsia"/>
          <w:color w:val="000000" w:themeColor="text1"/>
          <w:szCs w:val="24"/>
          <w:lang w:val="en-US" w:eastAsia="zh-CN"/>
        </w:rPr>
        <w:t>年，</w:t>
      </w:r>
      <w:r w:rsidR="00C64029" w:rsidRPr="00947C96">
        <w:rPr>
          <w:rFonts w:ascii="Calibri" w:eastAsia="SimSun" w:hAnsi="Calibri" w:hint="eastAsia"/>
          <w:color w:val="000000" w:themeColor="text1"/>
          <w:szCs w:val="24"/>
          <w:lang w:val="en-US" w:eastAsia="zh-CN"/>
        </w:rPr>
        <w:t>布宜诺斯艾利斯，修订版</w:t>
      </w:r>
      <w:r w:rsidR="00EF4484">
        <w:rPr>
          <w:rStyle w:val="FootnoteReference"/>
          <w:szCs w:val="24"/>
        </w:rPr>
        <w:footnoteReference w:id="2"/>
      </w:r>
      <w:r w:rsidRPr="00947C96">
        <w:rPr>
          <w:rFonts w:ascii="Calibri" w:eastAsia="SimSun" w:hAnsi="Calibri" w:hint="eastAsia"/>
          <w:color w:val="000000" w:themeColor="text1"/>
          <w:szCs w:val="24"/>
          <w:lang w:val="en-US" w:eastAsia="zh-CN"/>
        </w:rPr>
        <w:t>）</w:t>
      </w:r>
      <w:r w:rsidRPr="00947C96">
        <w:rPr>
          <w:rFonts w:ascii="Calibri" w:eastAsia="SimSun" w:hAnsi="Calibri"/>
          <w:szCs w:val="24"/>
          <w:lang w:val="en-US" w:eastAsia="zh-CN"/>
        </w:rPr>
        <w:t>，</w:t>
      </w:r>
      <w:r w:rsidRPr="00947C96">
        <w:rPr>
          <w:rFonts w:ascii="Calibri" w:eastAsia="SimSun" w:hAnsi="Calibri" w:hint="eastAsia"/>
          <w:szCs w:val="24"/>
          <w:lang w:val="en-US" w:eastAsia="zh-CN"/>
        </w:rPr>
        <w:t>以便</w:t>
      </w:r>
      <w:r w:rsidR="007D020F">
        <w:rPr>
          <w:rFonts w:ascii="Calibri" w:eastAsia="SimSun" w:hAnsi="Calibri" w:hint="eastAsia"/>
          <w:szCs w:val="24"/>
          <w:lang w:val="en-US" w:eastAsia="zh-CN"/>
        </w:rPr>
        <w:t>促进</w:t>
      </w:r>
      <w:r w:rsidRPr="00947C96">
        <w:rPr>
          <w:rFonts w:ascii="Calibri" w:eastAsia="SimSun" w:hAnsi="Calibri" w:hint="eastAsia"/>
          <w:szCs w:val="24"/>
          <w:lang w:val="en-US" w:eastAsia="zh-CN"/>
        </w:rPr>
        <w:t>现有</w:t>
      </w:r>
      <w:r w:rsidRPr="00947C96">
        <w:rPr>
          <w:rFonts w:ascii="Calibri" w:eastAsia="SimSun" w:hAnsi="Calibri"/>
          <w:szCs w:val="24"/>
          <w:lang w:val="en-US" w:eastAsia="zh-CN"/>
        </w:rPr>
        <w:t>部门成员</w:t>
      </w:r>
      <w:r w:rsidRPr="00947C96">
        <w:rPr>
          <w:rFonts w:ascii="Calibri" w:eastAsia="SimSun" w:hAnsi="Calibri" w:hint="eastAsia"/>
          <w:szCs w:val="24"/>
          <w:lang w:val="en-US" w:eastAsia="zh-CN"/>
        </w:rPr>
        <w:t>、</w:t>
      </w:r>
      <w:r w:rsidRPr="00947C96">
        <w:rPr>
          <w:rFonts w:ascii="Calibri" w:eastAsia="SimSun" w:hAnsi="Calibri"/>
          <w:szCs w:val="24"/>
          <w:lang w:val="en-US" w:eastAsia="zh-CN"/>
        </w:rPr>
        <w:t>部门准成员</w:t>
      </w:r>
      <w:r w:rsidRPr="00947C96">
        <w:rPr>
          <w:rFonts w:ascii="Calibri" w:eastAsia="SimSun" w:hAnsi="Calibri" w:hint="eastAsia"/>
          <w:szCs w:val="24"/>
          <w:lang w:val="en-US" w:eastAsia="zh-CN"/>
        </w:rPr>
        <w:t>和</w:t>
      </w:r>
      <w:r w:rsidRPr="00947C96">
        <w:rPr>
          <w:rFonts w:ascii="Calibri" w:eastAsia="SimSun" w:hAnsi="Calibri"/>
          <w:szCs w:val="24"/>
          <w:lang w:val="en-US" w:eastAsia="zh-CN"/>
        </w:rPr>
        <w:t>学术成员</w:t>
      </w:r>
      <w:r w:rsidR="004D33B2">
        <w:rPr>
          <w:rFonts w:ascii="Calibri" w:eastAsia="SimSun" w:hAnsi="Calibri" w:hint="eastAsia"/>
          <w:szCs w:val="24"/>
          <w:lang w:val="en-US" w:eastAsia="zh-CN"/>
        </w:rPr>
        <w:t>积极</w:t>
      </w:r>
      <w:r w:rsidR="007D020F" w:rsidRPr="007D020F">
        <w:rPr>
          <w:rFonts w:ascii="Calibri" w:eastAsia="SimSun" w:hAnsi="Calibri" w:hint="eastAsia"/>
          <w:szCs w:val="24"/>
          <w:lang w:val="en-US" w:eastAsia="zh-CN"/>
        </w:rPr>
        <w:t>参与</w:t>
      </w:r>
      <w:r w:rsidRPr="00947C96">
        <w:rPr>
          <w:rFonts w:ascii="Calibri" w:eastAsia="SimSun" w:hAnsi="Calibri" w:hint="eastAsia"/>
          <w:szCs w:val="24"/>
          <w:lang w:val="en-US" w:eastAsia="zh-CN"/>
        </w:rPr>
        <w:t>国际</w:t>
      </w:r>
      <w:r w:rsidRPr="00947C96">
        <w:rPr>
          <w:rFonts w:ascii="Calibri" w:eastAsia="SimSun" w:hAnsi="Calibri"/>
          <w:szCs w:val="24"/>
          <w:lang w:val="en-US" w:eastAsia="zh-CN"/>
        </w:rPr>
        <w:t>电联电信发展部</w:t>
      </w:r>
      <w:r w:rsidRPr="00947C96">
        <w:rPr>
          <w:rFonts w:ascii="Calibri" w:eastAsia="SimSun" w:hAnsi="Calibri" w:hint="eastAsia"/>
          <w:szCs w:val="24"/>
          <w:lang w:val="en-US" w:eastAsia="zh-CN"/>
        </w:rPr>
        <w:t>门（</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w:t>
      </w:r>
      <w:r w:rsidR="004D33B2">
        <w:rPr>
          <w:rFonts w:ascii="Calibri" w:eastAsia="SimSun" w:hAnsi="Calibri" w:hint="eastAsia"/>
          <w:szCs w:val="24"/>
          <w:lang w:val="en-US" w:eastAsia="zh-CN"/>
        </w:rPr>
        <w:t>的</w:t>
      </w:r>
      <w:r w:rsidRPr="00947C96">
        <w:rPr>
          <w:rFonts w:ascii="Calibri" w:eastAsia="SimSun" w:hAnsi="Calibri" w:hint="eastAsia"/>
          <w:szCs w:val="24"/>
          <w:lang w:val="en-US" w:eastAsia="zh-CN"/>
        </w:rPr>
        <w:t>活动</w:t>
      </w:r>
      <w:r w:rsidR="004D33B2">
        <w:rPr>
          <w:rFonts w:ascii="Calibri" w:eastAsia="SimSun" w:hAnsi="Calibri" w:hint="eastAsia"/>
          <w:szCs w:val="24"/>
          <w:lang w:val="en-US" w:eastAsia="zh-CN"/>
        </w:rPr>
        <w:t>，其中</w:t>
      </w:r>
      <w:r w:rsidRPr="00947C96">
        <w:rPr>
          <w:rFonts w:ascii="Calibri" w:eastAsia="SimSun" w:hAnsi="Calibri" w:hint="eastAsia"/>
          <w:szCs w:val="24"/>
          <w:lang w:val="en-US" w:eastAsia="zh-CN"/>
        </w:rPr>
        <w:t>包括参与</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研究组的工作并</w:t>
      </w:r>
      <w:r w:rsidR="00F7702B">
        <w:rPr>
          <w:rFonts w:ascii="Calibri" w:eastAsia="SimSun" w:hAnsi="Calibri" w:hint="eastAsia"/>
          <w:szCs w:val="24"/>
          <w:lang w:val="en-US" w:eastAsia="zh-CN"/>
        </w:rPr>
        <w:t>吸引来自</w:t>
      </w:r>
      <w:r w:rsidRPr="00947C96">
        <w:rPr>
          <w:rFonts w:ascii="Calibri" w:eastAsia="SimSun" w:hAnsi="Calibri" w:hint="eastAsia"/>
          <w:szCs w:val="24"/>
          <w:lang w:val="en-US" w:eastAsia="zh-CN"/>
        </w:rPr>
        <w:t>公共、私营部门和学术</w:t>
      </w:r>
      <w:r w:rsidR="00F7702B">
        <w:rPr>
          <w:rFonts w:ascii="Calibri" w:eastAsia="SimSun" w:hAnsi="Calibri" w:hint="eastAsia"/>
          <w:szCs w:val="24"/>
          <w:lang w:val="en-US" w:eastAsia="zh-CN"/>
        </w:rPr>
        <w:t>界的新成员</w:t>
      </w:r>
      <w:r w:rsidRPr="00947C96">
        <w:rPr>
          <w:rFonts w:ascii="Calibri" w:eastAsia="SimSun" w:hAnsi="Calibri" w:hint="eastAsia"/>
          <w:szCs w:val="24"/>
          <w:lang w:val="en-US" w:eastAsia="zh-CN"/>
        </w:rPr>
        <w:t>。</w:t>
      </w:r>
    </w:p>
    <w:p w14:paraId="64FADBFF" w14:textId="1ADFF2E5" w:rsidR="008D71AF" w:rsidRPr="001D12A3" w:rsidRDefault="00D76FC1" w:rsidP="001D12A3">
      <w:pPr>
        <w:ind w:firstLineChars="200" w:firstLine="480"/>
        <w:rPr>
          <w:rFonts w:ascii="Calibri" w:eastAsia="SimSun" w:hAnsi="Calibri"/>
          <w:szCs w:val="24"/>
          <w:lang w:val="en-US" w:eastAsia="zh-CN"/>
        </w:rPr>
      </w:pPr>
      <w:r w:rsidRPr="001D12A3">
        <w:rPr>
          <w:rFonts w:ascii="Calibri" w:eastAsia="SimSun" w:hAnsi="Calibri" w:hint="eastAsia"/>
          <w:color w:val="000000" w:themeColor="text1"/>
          <w:szCs w:val="24"/>
          <w:lang w:val="en-US" w:eastAsia="zh-CN"/>
        </w:rPr>
        <w:t>第</w:t>
      </w:r>
      <w:r w:rsidRPr="001D12A3">
        <w:rPr>
          <w:rFonts w:ascii="Calibri" w:eastAsia="SimSun" w:hAnsi="Calibri" w:hint="eastAsia"/>
          <w:color w:val="000000" w:themeColor="text1"/>
          <w:szCs w:val="24"/>
          <w:lang w:val="en-US" w:eastAsia="zh-CN"/>
        </w:rPr>
        <w:t>71</w:t>
      </w:r>
      <w:r w:rsidRPr="001D12A3">
        <w:rPr>
          <w:rFonts w:ascii="Calibri" w:eastAsia="SimSun" w:hAnsi="Calibri" w:hint="eastAsia"/>
          <w:color w:val="000000" w:themeColor="text1"/>
          <w:szCs w:val="24"/>
          <w:lang w:val="en-US" w:eastAsia="zh-CN"/>
        </w:rPr>
        <w:t>号决议（</w:t>
      </w:r>
      <w:r w:rsidRPr="001D12A3">
        <w:rPr>
          <w:rFonts w:ascii="Calibri" w:eastAsia="SimSun" w:hAnsi="Calibri" w:hint="eastAsia"/>
          <w:color w:val="000000" w:themeColor="text1"/>
          <w:szCs w:val="24"/>
          <w:lang w:val="en-US" w:eastAsia="zh-CN"/>
        </w:rPr>
        <w:t>2017</w:t>
      </w:r>
      <w:r w:rsidRPr="001D12A3">
        <w:rPr>
          <w:rFonts w:ascii="Calibri" w:eastAsia="SimSun" w:hAnsi="Calibri" w:hint="eastAsia"/>
          <w:color w:val="000000" w:themeColor="text1"/>
          <w:szCs w:val="24"/>
          <w:lang w:val="en-US" w:eastAsia="zh-CN"/>
        </w:rPr>
        <w:t>年，布宜诺斯艾利斯，修订版）更加关注私营部门在</w:t>
      </w:r>
      <w:r w:rsidRPr="001D12A3">
        <w:rPr>
          <w:rFonts w:ascii="Calibri" w:eastAsia="SimSun" w:hAnsi="Calibri" w:hint="eastAsia"/>
          <w:color w:val="000000" w:themeColor="text1"/>
          <w:szCs w:val="24"/>
          <w:lang w:val="en-US" w:eastAsia="zh-CN"/>
        </w:rPr>
        <w:t>ITU-D</w:t>
      </w:r>
      <w:r w:rsidRPr="001D12A3">
        <w:rPr>
          <w:rFonts w:ascii="Calibri" w:eastAsia="SimSun" w:hAnsi="Calibri" w:hint="eastAsia"/>
          <w:color w:val="000000" w:themeColor="text1"/>
          <w:szCs w:val="24"/>
          <w:lang w:val="en-US" w:eastAsia="zh-CN"/>
        </w:rPr>
        <w:t>中不断发展的作用，并</w:t>
      </w:r>
      <w:r w:rsidR="001D12A3">
        <w:rPr>
          <w:rFonts w:ascii="Calibri" w:eastAsia="SimSun" w:hAnsi="Calibri" w:hint="eastAsia"/>
          <w:color w:val="000000" w:themeColor="text1"/>
          <w:szCs w:val="24"/>
          <w:lang w:val="en-US" w:eastAsia="zh-CN"/>
        </w:rPr>
        <w:t>责成电信发展局（</w:t>
      </w:r>
      <w:r w:rsidRPr="001D12A3">
        <w:rPr>
          <w:rFonts w:ascii="Calibri" w:eastAsia="SimSun" w:hAnsi="Calibri" w:hint="eastAsia"/>
          <w:color w:val="000000" w:themeColor="text1"/>
          <w:szCs w:val="24"/>
          <w:lang w:val="en-US" w:eastAsia="zh-CN"/>
        </w:rPr>
        <w:t>BDT</w:t>
      </w:r>
      <w:r w:rsidR="001D12A3">
        <w:rPr>
          <w:rFonts w:ascii="Calibri" w:eastAsia="SimSun" w:hAnsi="Calibri" w:hint="eastAsia"/>
          <w:color w:val="000000" w:themeColor="text1"/>
          <w:szCs w:val="24"/>
          <w:lang w:val="en-US" w:eastAsia="zh-CN"/>
        </w:rPr>
        <w:t>）</w:t>
      </w:r>
      <w:r w:rsidRPr="001D12A3">
        <w:rPr>
          <w:rFonts w:ascii="Calibri" w:eastAsia="SimSun" w:hAnsi="Calibri" w:hint="eastAsia"/>
          <w:color w:val="000000" w:themeColor="text1"/>
          <w:szCs w:val="24"/>
          <w:lang w:val="en-US" w:eastAsia="zh-CN"/>
        </w:rPr>
        <w:t>继续组织行业高管</w:t>
      </w:r>
      <w:r w:rsidR="001D12A3" w:rsidRPr="001D12A3">
        <w:rPr>
          <w:rFonts w:ascii="Calibri" w:eastAsia="SimSun" w:hAnsi="Calibri" w:hint="eastAsia"/>
          <w:color w:val="000000" w:themeColor="text1"/>
          <w:szCs w:val="24"/>
          <w:lang w:val="en-US" w:eastAsia="zh-CN"/>
        </w:rPr>
        <w:t>高层</w:t>
      </w:r>
      <w:r w:rsidRPr="001D12A3">
        <w:rPr>
          <w:rFonts w:ascii="Calibri" w:eastAsia="SimSun" w:hAnsi="Calibri" w:hint="eastAsia"/>
          <w:color w:val="000000" w:themeColor="text1"/>
          <w:szCs w:val="24"/>
          <w:lang w:val="en-US" w:eastAsia="zh-CN"/>
        </w:rPr>
        <w:t>会议，例如发展问题</w:t>
      </w:r>
      <w:r w:rsidR="001D12A3">
        <w:rPr>
          <w:rFonts w:ascii="Calibri" w:eastAsia="SimSun" w:hAnsi="Calibri" w:hint="eastAsia"/>
          <w:color w:val="000000" w:themeColor="text1"/>
          <w:szCs w:val="24"/>
          <w:lang w:val="en-US" w:eastAsia="zh-CN"/>
        </w:rPr>
        <w:t>行业顾问组</w:t>
      </w:r>
      <w:r w:rsidRPr="001D12A3">
        <w:rPr>
          <w:rFonts w:ascii="Calibri" w:eastAsia="SimSun" w:hAnsi="Calibri" w:hint="eastAsia"/>
          <w:color w:val="000000" w:themeColor="text1"/>
          <w:szCs w:val="24"/>
          <w:lang w:val="en-US" w:eastAsia="zh-CN"/>
        </w:rPr>
        <w:t>（</w:t>
      </w:r>
      <w:r w:rsidRPr="001D12A3">
        <w:rPr>
          <w:rFonts w:ascii="Calibri" w:eastAsia="SimSun" w:hAnsi="Calibri" w:hint="eastAsia"/>
          <w:color w:val="000000" w:themeColor="text1"/>
          <w:szCs w:val="24"/>
          <w:lang w:val="en-US" w:eastAsia="zh-CN"/>
        </w:rPr>
        <w:t>IAGDI</w:t>
      </w:r>
      <w:r w:rsidRPr="001D12A3">
        <w:rPr>
          <w:rFonts w:ascii="Calibri" w:eastAsia="SimSun" w:hAnsi="Calibri" w:hint="eastAsia"/>
          <w:color w:val="000000" w:themeColor="text1"/>
          <w:szCs w:val="24"/>
          <w:lang w:val="en-US" w:eastAsia="zh-CN"/>
        </w:rPr>
        <w:t>）</w:t>
      </w:r>
      <w:r w:rsidR="00DE2721">
        <w:rPr>
          <w:rFonts w:ascii="Calibri" w:eastAsia="SimSun" w:hAnsi="Calibri" w:hint="eastAsia"/>
          <w:color w:val="000000" w:themeColor="text1"/>
          <w:szCs w:val="24"/>
          <w:lang w:val="en-US" w:eastAsia="zh-CN"/>
        </w:rPr>
        <w:t>的会议</w:t>
      </w:r>
      <w:r w:rsidRPr="001D12A3">
        <w:rPr>
          <w:rFonts w:ascii="Calibri" w:eastAsia="SimSun" w:hAnsi="Calibri" w:hint="eastAsia"/>
          <w:color w:val="000000" w:themeColor="text1"/>
          <w:szCs w:val="24"/>
          <w:lang w:val="en-US" w:eastAsia="zh-CN"/>
        </w:rPr>
        <w:t>。来自各</w:t>
      </w:r>
      <w:r w:rsidR="001D12A3">
        <w:rPr>
          <w:rFonts w:ascii="Calibri" w:eastAsia="SimSun" w:hAnsi="Calibri" w:hint="eastAsia"/>
          <w:color w:val="000000" w:themeColor="text1"/>
          <w:szCs w:val="24"/>
          <w:lang w:val="en-US" w:eastAsia="zh-CN"/>
        </w:rPr>
        <w:t>个</w:t>
      </w:r>
      <w:r w:rsidR="00DE2721">
        <w:rPr>
          <w:rFonts w:ascii="Calibri" w:eastAsia="SimSun" w:hAnsi="Calibri" w:hint="eastAsia"/>
          <w:color w:val="000000" w:themeColor="text1"/>
          <w:szCs w:val="24"/>
          <w:lang w:val="en-US" w:eastAsia="zh-CN"/>
        </w:rPr>
        <w:t>区域</w:t>
      </w:r>
      <w:r w:rsidRPr="001D12A3">
        <w:rPr>
          <w:rFonts w:ascii="Calibri" w:eastAsia="SimSun" w:hAnsi="Calibri" w:hint="eastAsia"/>
          <w:color w:val="000000" w:themeColor="text1"/>
          <w:szCs w:val="24"/>
          <w:lang w:val="en-US" w:eastAsia="zh-CN"/>
        </w:rPr>
        <w:t>的</w:t>
      </w:r>
      <w:r w:rsidR="001D12A3">
        <w:rPr>
          <w:rFonts w:ascii="Calibri" w:eastAsia="SimSun" w:hAnsi="Calibri" w:hint="eastAsia"/>
          <w:color w:val="000000" w:themeColor="text1"/>
          <w:szCs w:val="24"/>
          <w:lang w:val="en-US" w:eastAsia="zh-CN"/>
        </w:rPr>
        <w:t>ITU-</w:t>
      </w:r>
      <w:r w:rsidRPr="001D12A3">
        <w:rPr>
          <w:rFonts w:ascii="Calibri" w:eastAsia="SimSun" w:hAnsi="Calibri" w:hint="eastAsia"/>
          <w:color w:val="000000" w:themeColor="text1"/>
          <w:szCs w:val="24"/>
          <w:lang w:val="en-US" w:eastAsia="zh-CN"/>
        </w:rPr>
        <w:t>D</w:t>
      </w:r>
      <w:r w:rsidR="001D12A3">
        <w:rPr>
          <w:rFonts w:ascii="Calibri" w:eastAsia="SimSun" w:hAnsi="Calibri" w:hint="eastAsia"/>
          <w:color w:val="000000" w:themeColor="text1"/>
          <w:szCs w:val="24"/>
          <w:lang w:val="en-US" w:eastAsia="zh-CN"/>
        </w:rPr>
        <w:t>部门成员</w:t>
      </w:r>
      <w:r w:rsidRPr="001D12A3">
        <w:rPr>
          <w:rFonts w:ascii="Calibri" w:eastAsia="SimSun" w:hAnsi="Calibri" w:hint="eastAsia"/>
          <w:color w:val="000000" w:themeColor="text1"/>
          <w:szCs w:val="24"/>
          <w:lang w:val="en-US" w:eastAsia="zh-CN"/>
        </w:rPr>
        <w:t>代表</w:t>
      </w:r>
      <w:r w:rsidR="001D12A3">
        <w:rPr>
          <w:rFonts w:ascii="Calibri" w:eastAsia="SimSun" w:hAnsi="Calibri" w:hint="eastAsia"/>
          <w:color w:val="000000" w:themeColor="text1"/>
          <w:szCs w:val="24"/>
          <w:lang w:val="en-US" w:eastAsia="zh-CN"/>
        </w:rPr>
        <w:t>了</w:t>
      </w:r>
      <w:r w:rsidR="001D12A3" w:rsidRPr="001D12A3">
        <w:rPr>
          <w:rFonts w:ascii="Calibri" w:eastAsia="SimSun" w:hAnsi="Calibri" w:hint="eastAsia"/>
          <w:color w:val="000000" w:themeColor="text1"/>
          <w:szCs w:val="24"/>
          <w:lang w:val="en-US" w:eastAsia="zh-CN"/>
        </w:rPr>
        <w:t>广泛</w:t>
      </w:r>
      <w:r w:rsidR="001D12A3">
        <w:rPr>
          <w:rFonts w:ascii="Calibri" w:eastAsia="SimSun" w:hAnsi="Calibri" w:hint="eastAsia"/>
          <w:color w:val="000000" w:themeColor="text1"/>
          <w:szCs w:val="24"/>
          <w:lang w:val="en-US" w:eastAsia="zh-CN"/>
        </w:rPr>
        <w:t>的</w:t>
      </w:r>
      <w:r w:rsidR="001D12A3" w:rsidRPr="001D12A3">
        <w:rPr>
          <w:rFonts w:ascii="Calibri" w:eastAsia="SimSun" w:hAnsi="Calibri" w:hint="eastAsia"/>
          <w:color w:val="000000" w:themeColor="text1"/>
          <w:szCs w:val="24"/>
          <w:lang w:val="en-US" w:eastAsia="zh-CN"/>
        </w:rPr>
        <w:t>行业</w:t>
      </w:r>
      <w:r w:rsidR="001D12A3">
        <w:rPr>
          <w:rFonts w:ascii="Calibri" w:eastAsia="SimSun" w:hAnsi="Calibri" w:hint="eastAsia"/>
          <w:color w:val="000000" w:themeColor="text1"/>
          <w:szCs w:val="24"/>
          <w:lang w:val="en-US" w:eastAsia="zh-CN"/>
        </w:rPr>
        <w:t>参加</w:t>
      </w:r>
      <w:r w:rsidR="00DE2721">
        <w:rPr>
          <w:rFonts w:ascii="Calibri" w:eastAsia="SimSun" w:hAnsi="Calibri" w:hint="eastAsia"/>
          <w:color w:val="000000" w:themeColor="text1"/>
          <w:szCs w:val="24"/>
          <w:lang w:val="en-US" w:eastAsia="zh-CN"/>
        </w:rPr>
        <w:t>了</w:t>
      </w:r>
      <w:r w:rsidRPr="001D12A3">
        <w:rPr>
          <w:rFonts w:ascii="Calibri" w:eastAsia="SimSun" w:hAnsi="Calibri" w:hint="eastAsia"/>
          <w:color w:val="000000" w:themeColor="text1"/>
          <w:szCs w:val="24"/>
          <w:lang w:val="en-US" w:eastAsia="zh-CN"/>
        </w:rPr>
        <w:t>IAGDI</w:t>
      </w:r>
      <w:r w:rsidRPr="001D12A3">
        <w:rPr>
          <w:rFonts w:ascii="Calibri" w:eastAsia="SimSun" w:hAnsi="Calibri" w:hint="eastAsia"/>
          <w:color w:val="000000" w:themeColor="text1"/>
          <w:szCs w:val="24"/>
          <w:lang w:val="en-US" w:eastAsia="zh-CN"/>
        </w:rPr>
        <w:t>会议。该决议还认可</w:t>
      </w:r>
      <w:r w:rsidR="001D12A3">
        <w:rPr>
          <w:rFonts w:ascii="Calibri" w:eastAsia="SimSun" w:hAnsi="Calibri" w:hint="eastAsia"/>
          <w:color w:val="000000" w:themeColor="text1"/>
          <w:szCs w:val="24"/>
          <w:lang w:val="en-US" w:eastAsia="zh-CN"/>
        </w:rPr>
        <w:t>了</w:t>
      </w:r>
      <w:r w:rsidRPr="001D12A3">
        <w:rPr>
          <w:rFonts w:ascii="Calibri" w:eastAsia="SimSun" w:hAnsi="Calibri" w:hint="eastAsia"/>
          <w:color w:val="000000" w:themeColor="text1"/>
          <w:szCs w:val="24"/>
          <w:lang w:val="en-US" w:eastAsia="zh-CN"/>
        </w:rPr>
        <w:t>首席监管官（</w:t>
      </w:r>
      <w:r w:rsidRPr="001D12A3">
        <w:rPr>
          <w:rFonts w:ascii="Calibri" w:eastAsia="SimSun" w:hAnsi="Calibri" w:hint="eastAsia"/>
          <w:color w:val="000000" w:themeColor="text1"/>
          <w:szCs w:val="24"/>
          <w:lang w:val="en-US" w:eastAsia="zh-CN"/>
        </w:rPr>
        <w:t>CRO</w:t>
      </w:r>
      <w:r w:rsidRPr="001D12A3">
        <w:rPr>
          <w:rFonts w:ascii="Calibri" w:eastAsia="SimSun" w:hAnsi="Calibri" w:hint="eastAsia"/>
          <w:color w:val="000000" w:themeColor="text1"/>
          <w:szCs w:val="24"/>
          <w:lang w:val="en-US" w:eastAsia="zh-CN"/>
        </w:rPr>
        <w:t>）的工作。</w:t>
      </w:r>
    </w:p>
    <w:p w14:paraId="66E367B5" w14:textId="7E9ED743" w:rsidR="008D71AF" w:rsidRPr="00EE5749" w:rsidRDefault="008D71AF" w:rsidP="00C93548">
      <w:pPr>
        <w:pStyle w:val="Heading1"/>
        <w:rPr>
          <w:lang w:eastAsia="zh-CN"/>
        </w:rPr>
      </w:pPr>
      <w:r w:rsidRPr="00EE5749">
        <w:rPr>
          <w:rFonts w:hint="eastAsia"/>
          <w:lang w:eastAsia="zh-CN"/>
        </w:rPr>
        <w:t>2</w:t>
      </w:r>
      <w:r w:rsidRPr="00EE5749">
        <w:rPr>
          <w:lang w:eastAsia="zh-CN"/>
        </w:rPr>
        <w:tab/>
      </w:r>
      <w:r w:rsidR="004B56E7" w:rsidRPr="00EE5749">
        <w:rPr>
          <w:rFonts w:hint="eastAsia"/>
          <w:lang w:eastAsia="zh-CN"/>
        </w:rPr>
        <w:t>ITU-D</w:t>
      </w:r>
      <w:r w:rsidR="004B56E7" w:rsidRPr="00EE5749">
        <w:rPr>
          <w:rFonts w:hint="eastAsia"/>
          <w:lang w:eastAsia="zh-CN"/>
        </w:rPr>
        <w:t>成员</w:t>
      </w:r>
      <w:r w:rsidR="00C93548" w:rsidRPr="00EE5749">
        <w:rPr>
          <w:rFonts w:hint="eastAsia"/>
          <w:lang w:eastAsia="zh-CN"/>
        </w:rPr>
        <w:t>队伍</w:t>
      </w:r>
      <w:r w:rsidR="00DE2721" w:rsidRPr="00EE5749">
        <w:rPr>
          <w:rFonts w:hint="eastAsia"/>
          <w:lang w:eastAsia="zh-CN"/>
        </w:rPr>
        <w:t>现状</w:t>
      </w:r>
    </w:p>
    <w:p w14:paraId="673FF1FA" w14:textId="411F4F84" w:rsidR="0091759B" w:rsidRDefault="00B6688E" w:rsidP="001D0BC4">
      <w:pPr>
        <w:ind w:firstLineChars="200" w:firstLine="480"/>
        <w:rPr>
          <w:rFonts w:ascii="Calibri" w:eastAsia="SimSun" w:hAnsi="Calibri" w:cs="Arial"/>
          <w:szCs w:val="24"/>
          <w:lang w:val="en-US" w:eastAsia="zh-CN"/>
        </w:rPr>
      </w:pPr>
      <w:r w:rsidRPr="008469B5">
        <w:rPr>
          <w:rFonts w:ascii="Calibri" w:eastAsia="SimSun" w:hAnsi="Calibri" w:cs="Arial" w:hint="eastAsia"/>
          <w:szCs w:val="24"/>
          <w:lang w:val="en-US" w:eastAsia="zh-CN"/>
        </w:rPr>
        <w:t>下表说明了</w:t>
      </w:r>
      <w:r w:rsidRPr="008469B5">
        <w:rPr>
          <w:rFonts w:ascii="Calibri" w:eastAsia="SimSun" w:hAnsi="Calibri" w:cs="Arial" w:hint="eastAsia"/>
          <w:szCs w:val="24"/>
          <w:lang w:val="en-US" w:eastAsia="zh-CN"/>
        </w:rPr>
        <w:t>2010</w:t>
      </w:r>
      <w:r w:rsidRPr="008469B5">
        <w:rPr>
          <w:rFonts w:ascii="Calibri" w:eastAsia="SimSun" w:hAnsi="Calibri" w:cs="Arial" w:hint="eastAsia"/>
          <w:szCs w:val="24"/>
          <w:lang w:val="en-US" w:eastAsia="zh-CN"/>
        </w:rPr>
        <w:t>年至</w:t>
      </w:r>
      <w:r w:rsidRPr="008469B5">
        <w:rPr>
          <w:rFonts w:ascii="Calibri" w:eastAsia="SimSun" w:hAnsi="Calibri" w:cs="Arial" w:hint="eastAsia"/>
          <w:szCs w:val="24"/>
          <w:lang w:val="en-US" w:eastAsia="zh-CN"/>
        </w:rPr>
        <w:t>2021</w:t>
      </w:r>
      <w:r w:rsidRPr="008469B5">
        <w:rPr>
          <w:rFonts w:ascii="Calibri" w:eastAsia="SimSun" w:hAnsi="Calibri" w:cs="Arial" w:hint="eastAsia"/>
          <w:szCs w:val="24"/>
          <w:lang w:val="en-US" w:eastAsia="zh-CN"/>
        </w:rPr>
        <w:t>年</w:t>
      </w:r>
      <w:r w:rsidRPr="008469B5">
        <w:rPr>
          <w:rFonts w:ascii="Calibri" w:eastAsia="SimSun" w:hAnsi="Calibri" w:cs="Arial" w:hint="eastAsia"/>
          <w:szCs w:val="24"/>
          <w:lang w:val="en-US" w:eastAsia="zh-CN"/>
        </w:rPr>
        <w:t>3</w:t>
      </w:r>
      <w:r w:rsidRPr="008469B5">
        <w:rPr>
          <w:rFonts w:ascii="Calibri" w:eastAsia="SimSun" w:hAnsi="Calibri" w:cs="Arial" w:hint="eastAsia"/>
          <w:szCs w:val="24"/>
          <w:lang w:val="en-US" w:eastAsia="zh-CN"/>
        </w:rPr>
        <w:t>月期间</w:t>
      </w:r>
      <w:r w:rsidRPr="008469B5">
        <w:rPr>
          <w:rFonts w:ascii="Calibri" w:eastAsia="SimSun" w:hAnsi="Calibri" w:cs="Arial" w:hint="eastAsia"/>
          <w:szCs w:val="24"/>
          <w:lang w:val="en-US" w:eastAsia="zh-CN"/>
        </w:rPr>
        <w:t>ITU-D</w:t>
      </w:r>
      <w:r w:rsidRPr="008469B5">
        <w:rPr>
          <w:rFonts w:ascii="Calibri" w:eastAsia="SimSun" w:hAnsi="Calibri" w:cs="Arial" w:hint="eastAsia"/>
          <w:szCs w:val="24"/>
          <w:lang w:val="en-US" w:eastAsia="zh-CN"/>
        </w:rPr>
        <w:t>成员</w:t>
      </w:r>
      <w:r w:rsidR="00DE2721">
        <w:rPr>
          <w:rFonts w:ascii="Calibri" w:eastAsia="SimSun" w:hAnsi="Calibri" w:cs="Arial" w:hint="eastAsia"/>
          <w:szCs w:val="24"/>
          <w:lang w:val="en-US" w:eastAsia="zh-CN"/>
        </w:rPr>
        <w:t>队伍</w:t>
      </w:r>
      <w:r w:rsidRPr="008469B5">
        <w:rPr>
          <w:rFonts w:ascii="Calibri" w:eastAsia="SimSun" w:hAnsi="Calibri" w:cs="Arial" w:hint="eastAsia"/>
          <w:szCs w:val="24"/>
          <w:lang w:val="en-US" w:eastAsia="zh-CN"/>
        </w:rPr>
        <w:t>（部门成员、</w:t>
      </w:r>
      <w:r>
        <w:rPr>
          <w:rFonts w:ascii="Calibri" w:eastAsia="SimSun" w:hAnsi="Calibri" w:cs="Arial" w:hint="eastAsia"/>
          <w:szCs w:val="24"/>
          <w:lang w:val="en-US" w:eastAsia="zh-CN"/>
        </w:rPr>
        <w:t>部门准成员</w:t>
      </w:r>
      <w:r w:rsidRPr="008469B5">
        <w:rPr>
          <w:rFonts w:ascii="Calibri" w:eastAsia="SimSun" w:hAnsi="Calibri" w:cs="Arial" w:hint="eastAsia"/>
          <w:szCs w:val="24"/>
          <w:lang w:val="en-US" w:eastAsia="zh-CN"/>
        </w:rPr>
        <w:t>和</w:t>
      </w:r>
      <w:r>
        <w:rPr>
          <w:rFonts w:ascii="Calibri" w:eastAsia="SimSun" w:hAnsi="Calibri" w:cs="Arial" w:hint="eastAsia"/>
          <w:szCs w:val="24"/>
          <w:lang w:val="en-US" w:eastAsia="zh-CN"/>
        </w:rPr>
        <w:t>学术成</w:t>
      </w:r>
      <w:r w:rsidR="00B712E5">
        <w:rPr>
          <w:rFonts w:ascii="Calibri" w:eastAsia="SimSun" w:hAnsi="Calibri" w:cs="Arial"/>
          <w:szCs w:val="24"/>
          <w:lang w:val="en-US" w:eastAsia="zh-CN"/>
        </w:rPr>
        <w:br/>
      </w:r>
      <w:r>
        <w:rPr>
          <w:rFonts w:ascii="Calibri" w:eastAsia="SimSun" w:hAnsi="Calibri" w:cs="Arial" w:hint="eastAsia"/>
          <w:szCs w:val="24"/>
          <w:lang w:val="en-US" w:eastAsia="zh-CN"/>
        </w:rPr>
        <w:t>员</w:t>
      </w:r>
      <w:r w:rsidR="0091759B" w:rsidRPr="00D00EDC">
        <w:rPr>
          <w:rFonts w:ascii="Calibri" w:eastAsia="SimSun" w:hAnsi="Calibri" w:cs="Arial"/>
          <w:szCs w:val="24"/>
          <w:vertAlign w:val="superscript"/>
          <w:lang w:val="en-US" w:eastAsia="zh-CN"/>
        </w:rPr>
        <w:footnoteReference w:id="3"/>
      </w:r>
      <w:r w:rsidRPr="008469B5">
        <w:rPr>
          <w:rFonts w:ascii="Calibri" w:eastAsia="SimSun" w:hAnsi="Calibri" w:cs="Arial" w:hint="eastAsia"/>
          <w:szCs w:val="24"/>
          <w:lang w:val="en-US" w:eastAsia="zh-CN"/>
        </w:rPr>
        <w:t>）的演变情况。</w:t>
      </w:r>
      <w:r w:rsidR="008469B5" w:rsidRPr="008469B5">
        <w:rPr>
          <w:rFonts w:ascii="Calibri" w:eastAsia="SimSun" w:hAnsi="Calibri" w:cs="Arial" w:hint="eastAsia"/>
          <w:szCs w:val="24"/>
          <w:lang w:val="en-US" w:eastAsia="zh-CN"/>
        </w:rPr>
        <w:t>在经历了</w:t>
      </w:r>
      <w:r w:rsidR="008469B5" w:rsidRPr="008469B5">
        <w:rPr>
          <w:rFonts w:ascii="Calibri" w:eastAsia="SimSun" w:hAnsi="Calibri" w:cs="Arial" w:hint="eastAsia"/>
          <w:szCs w:val="24"/>
          <w:lang w:val="en-US" w:eastAsia="zh-CN"/>
        </w:rPr>
        <w:t>ITU-D</w:t>
      </w:r>
      <w:r w:rsidR="008469B5" w:rsidRPr="008469B5">
        <w:rPr>
          <w:rFonts w:ascii="Calibri" w:eastAsia="SimSun" w:hAnsi="Calibri" w:cs="Arial" w:hint="eastAsia"/>
          <w:szCs w:val="24"/>
          <w:lang w:val="en-US" w:eastAsia="zh-CN"/>
        </w:rPr>
        <w:t>成员数量下降的困难时期后，</w:t>
      </w:r>
      <w:r w:rsidR="00311F7F">
        <w:rPr>
          <w:rFonts w:ascii="Calibri" w:eastAsia="SimSun" w:hAnsi="Calibri" w:cs="Arial" w:hint="eastAsia"/>
          <w:szCs w:val="24"/>
          <w:lang w:val="en-US" w:eastAsia="zh-CN"/>
        </w:rPr>
        <w:t>在</w:t>
      </w:r>
      <w:r w:rsidR="008469B5" w:rsidRPr="008469B5">
        <w:rPr>
          <w:rFonts w:ascii="Calibri" w:eastAsia="SimSun" w:hAnsi="Calibri" w:cs="Arial" w:hint="eastAsia"/>
          <w:szCs w:val="24"/>
          <w:lang w:val="en-US" w:eastAsia="zh-CN"/>
        </w:rPr>
        <w:t>2020</w:t>
      </w:r>
      <w:r w:rsidR="008469B5" w:rsidRPr="008469B5">
        <w:rPr>
          <w:rFonts w:ascii="Calibri" w:eastAsia="SimSun" w:hAnsi="Calibri" w:cs="Arial" w:hint="eastAsia"/>
          <w:szCs w:val="24"/>
          <w:lang w:val="en-US" w:eastAsia="zh-CN"/>
        </w:rPr>
        <w:t>年和</w:t>
      </w:r>
      <w:r w:rsidR="008469B5" w:rsidRPr="008469B5">
        <w:rPr>
          <w:rFonts w:ascii="Calibri" w:eastAsia="SimSun" w:hAnsi="Calibri" w:cs="Arial" w:hint="eastAsia"/>
          <w:szCs w:val="24"/>
          <w:lang w:val="en-US" w:eastAsia="zh-CN"/>
        </w:rPr>
        <w:t>2021</w:t>
      </w:r>
      <w:r w:rsidR="008469B5" w:rsidRPr="008469B5">
        <w:rPr>
          <w:rFonts w:ascii="Calibri" w:eastAsia="SimSun" w:hAnsi="Calibri" w:cs="Arial" w:hint="eastAsia"/>
          <w:szCs w:val="24"/>
          <w:lang w:val="en-US" w:eastAsia="zh-CN"/>
        </w:rPr>
        <w:t>年第一季度</w:t>
      </w:r>
      <w:r w:rsidR="00311F7F">
        <w:rPr>
          <w:rFonts w:ascii="Calibri" w:eastAsia="SimSun" w:hAnsi="Calibri" w:cs="Arial" w:hint="eastAsia"/>
          <w:szCs w:val="24"/>
          <w:lang w:val="en-US" w:eastAsia="zh-CN"/>
        </w:rPr>
        <w:t>共</w:t>
      </w:r>
      <w:r w:rsidR="008469B5" w:rsidRPr="008469B5">
        <w:rPr>
          <w:rFonts w:ascii="Calibri" w:eastAsia="SimSun" w:hAnsi="Calibri" w:cs="Arial" w:hint="eastAsia"/>
          <w:szCs w:val="24"/>
          <w:lang w:val="en-US" w:eastAsia="zh-CN"/>
        </w:rPr>
        <w:t>有</w:t>
      </w:r>
      <w:r w:rsidR="008469B5" w:rsidRPr="008469B5">
        <w:rPr>
          <w:rFonts w:ascii="Calibri" w:eastAsia="SimSun" w:hAnsi="Calibri" w:cs="Arial" w:hint="eastAsia"/>
          <w:szCs w:val="24"/>
          <w:lang w:val="en-US" w:eastAsia="zh-CN"/>
        </w:rPr>
        <w:t>10</w:t>
      </w:r>
      <w:r w:rsidR="008469B5" w:rsidRPr="008469B5">
        <w:rPr>
          <w:rFonts w:ascii="Calibri" w:eastAsia="SimSun" w:hAnsi="Calibri" w:cs="Arial" w:hint="eastAsia"/>
          <w:szCs w:val="24"/>
          <w:lang w:val="en-US" w:eastAsia="zh-CN"/>
        </w:rPr>
        <w:t>个新实体</w:t>
      </w:r>
      <w:r w:rsidR="00311F7F">
        <w:rPr>
          <w:rFonts w:ascii="Calibri" w:eastAsia="SimSun" w:hAnsi="Calibri" w:cs="Arial" w:hint="eastAsia"/>
          <w:szCs w:val="24"/>
          <w:lang w:val="en-US" w:eastAsia="zh-CN"/>
        </w:rPr>
        <w:t>作为</w:t>
      </w:r>
      <w:r w:rsidR="008469B5" w:rsidRPr="008469B5">
        <w:rPr>
          <w:rFonts w:ascii="Calibri" w:eastAsia="SimSun" w:hAnsi="Calibri" w:cs="Arial" w:hint="eastAsia"/>
          <w:szCs w:val="24"/>
          <w:lang w:val="en-US" w:eastAsia="zh-CN"/>
        </w:rPr>
        <w:t>部门成员</w:t>
      </w:r>
      <w:r w:rsidR="00311F7F">
        <w:rPr>
          <w:rFonts w:ascii="Calibri" w:eastAsia="SimSun" w:hAnsi="Calibri" w:cs="Arial" w:hint="eastAsia"/>
          <w:szCs w:val="24"/>
          <w:lang w:val="en-US" w:eastAsia="zh-CN"/>
        </w:rPr>
        <w:t>加入了</w:t>
      </w:r>
      <w:r w:rsidR="00311F7F" w:rsidRPr="001F58AB">
        <w:rPr>
          <w:rFonts w:ascii="Calibri" w:eastAsia="SimSun" w:hAnsi="Calibri" w:cs="Arial" w:hint="eastAsia"/>
          <w:szCs w:val="24"/>
          <w:lang w:val="en-US" w:eastAsia="zh-CN"/>
        </w:rPr>
        <w:t>ITU-D</w:t>
      </w:r>
      <w:r w:rsidR="008469B5" w:rsidRPr="008469B5">
        <w:rPr>
          <w:rFonts w:ascii="Calibri" w:eastAsia="SimSun" w:hAnsi="Calibri" w:cs="Arial" w:hint="eastAsia"/>
          <w:szCs w:val="24"/>
          <w:lang w:val="en-US" w:eastAsia="zh-CN"/>
        </w:rPr>
        <w:t>，详情见下文第</w:t>
      </w:r>
      <w:r w:rsidR="008469B5" w:rsidRPr="008469B5">
        <w:rPr>
          <w:rFonts w:ascii="Calibri" w:eastAsia="SimSun" w:hAnsi="Calibri" w:cs="Arial" w:hint="eastAsia"/>
          <w:szCs w:val="24"/>
          <w:lang w:val="en-US" w:eastAsia="zh-CN"/>
        </w:rPr>
        <w:t>3.1</w:t>
      </w:r>
      <w:r w:rsidR="008469B5" w:rsidRPr="008469B5">
        <w:rPr>
          <w:rFonts w:ascii="Calibri" w:eastAsia="SimSun" w:hAnsi="Calibri" w:cs="Arial" w:hint="eastAsia"/>
          <w:szCs w:val="24"/>
          <w:lang w:val="en-US" w:eastAsia="zh-CN"/>
        </w:rPr>
        <w:t>和</w:t>
      </w:r>
      <w:r w:rsidR="008469B5" w:rsidRPr="008469B5">
        <w:rPr>
          <w:rFonts w:ascii="Calibri" w:eastAsia="SimSun" w:hAnsi="Calibri" w:cs="Arial" w:hint="eastAsia"/>
          <w:szCs w:val="24"/>
          <w:lang w:val="en-US" w:eastAsia="zh-CN"/>
        </w:rPr>
        <w:t>3.2</w:t>
      </w:r>
      <w:r w:rsidR="008469B5" w:rsidRPr="008469B5">
        <w:rPr>
          <w:rFonts w:ascii="Calibri" w:eastAsia="SimSun" w:hAnsi="Calibri" w:cs="Arial" w:hint="eastAsia"/>
          <w:szCs w:val="24"/>
          <w:lang w:val="en-US" w:eastAsia="zh-CN"/>
        </w:rPr>
        <w:t>节。</w:t>
      </w:r>
    </w:p>
    <w:p w14:paraId="1B32E6A7" w14:textId="355D694B" w:rsidR="0091759B" w:rsidRDefault="00BE246C" w:rsidP="000E6291">
      <w:pPr>
        <w:shd w:val="clear" w:color="auto" w:fill="FFFFFF"/>
        <w:tabs>
          <w:tab w:val="clear" w:pos="794"/>
          <w:tab w:val="clear" w:pos="1191"/>
          <w:tab w:val="clear" w:pos="1588"/>
          <w:tab w:val="clear" w:pos="1985"/>
        </w:tabs>
        <w:overflowPunct/>
        <w:autoSpaceDE/>
        <w:autoSpaceDN/>
        <w:adjustRightInd/>
        <w:snapToGrid w:val="0"/>
        <w:spacing w:after="120"/>
        <w:ind w:firstLineChars="200" w:firstLine="480"/>
        <w:textAlignment w:val="auto"/>
        <w:rPr>
          <w:rFonts w:ascii="Calibri" w:eastAsia="SimSun" w:hAnsi="Calibri" w:cs="Arial"/>
          <w:szCs w:val="24"/>
          <w:lang w:val="en-US" w:eastAsia="zh-CN"/>
        </w:rPr>
      </w:pPr>
      <w:r>
        <w:rPr>
          <w:rFonts w:ascii="Calibri" w:eastAsia="SimSun" w:hAnsi="Calibri" w:cs="Arial" w:hint="eastAsia"/>
          <w:szCs w:val="24"/>
          <w:lang w:val="en-US" w:eastAsia="zh-CN"/>
        </w:rPr>
        <w:t>自从</w:t>
      </w:r>
      <w:r w:rsidR="001F58AB" w:rsidRPr="001F58AB">
        <w:rPr>
          <w:rFonts w:ascii="Calibri" w:eastAsia="SimSun" w:hAnsi="Calibri" w:cs="Arial" w:hint="eastAsia"/>
          <w:szCs w:val="24"/>
          <w:lang w:val="en-US" w:eastAsia="zh-CN"/>
        </w:rPr>
        <w:t>实施了新的</w:t>
      </w:r>
      <w:r>
        <w:rPr>
          <w:rFonts w:ascii="Calibri" w:eastAsia="SimSun" w:hAnsi="Calibri" w:cs="Arial" w:hint="eastAsia"/>
          <w:szCs w:val="24"/>
          <w:lang w:val="en-US" w:eastAsia="zh-CN"/>
        </w:rPr>
        <w:t>对</w:t>
      </w:r>
      <w:r w:rsidR="001F58AB" w:rsidRPr="001F58AB">
        <w:rPr>
          <w:rFonts w:ascii="Calibri" w:eastAsia="SimSun" w:hAnsi="Calibri" w:cs="Arial" w:hint="eastAsia"/>
          <w:szCs w:val="24"/>
          <w:lang w:val="en-US" w:eastAsia="zh-CN"/>
        </w:rPr>
        <w:t>外</w:t>
      </w:r>
      <w:r>
        <w:rPr>
          <w:rFonts w:ascii="Calibri" w:eastAsia="SimSun" w:hAnsi="Calibri" w:cs="Arial" w:hint="eastAsia"/>
          <w:szCs w:val="24"/>
          <w:lang w:val="en-US" w:eastAsia="zh-CN"/>
        </w:rPr>
        <w:t>推广</w:t>
      </w:r>
      <w:r w:rsidR="001F58AB" w:rsidRPr="001F58AB">
        <w:rPr>
          <w:rFonts w:ascii="Calibri" w:eastAsia="SimSun" w:hAnsi="Calibri" w:cs="Arial" w:hint="eastAsia"/>
          <w:szCs w:val="24"/>
          <w:lang w:val="en-US" w:eastAsia="zh-CN"/>
        </w:rPr>
        <w:t>和留</w:t>
      </w:r>
      <w:r w:rsidR="00DE2721">
        <w:rPr>
          <w:rFonts w:ascii="Calibri" w:eastAsia="SimSun" w:hAnsi="Calibri" w:cs="Arial" w:hint="eastAsia"/>
          <w:szCs w:val="24"/>
          <w:lang w:val="en-US" w:eastAsia="zh-CN"/>
        </w:rPr>
        <w:t>住成员</w:t>
      </w:r>
      <w:r w:rsidR="001F58AB" w:rsidRPr="001F58AB">
        <w:rPr>
          <w:rFonts w:ascii="Calibri" w:eastAsia="SimSun" w:hAnsi="Calibri" w:cs="Arial" w:hint="eastAsia"/>
          <w:szCs w:val="24"/>
          <w:lang w:val="en-US" w:eastAsia="zh-CN"/>
        </w:rPr>
        <w:t>战略</w:t>
      </w:r>
      <w:r>
        <w:rPr>
          <w:rFonts w:ascii="Calibri" w:eastAsia="SimSun" w:hAnsi="Calibri" w:cs="Arial" w:hint="eastAsia"/>
          <w:szCs w:val="24"/>
          <w:lang w:val="en-US" w:eastAsia="zh-CN"/>
        </w:rPr>
        <w:t>做</w:t>
      </w:r>
      <w:r w:rsidR="001F58AB" w:rsidRPr="001F58AB">
        <w:rPr>
          <w:rFonts w:ascii="Calibri" w:eastAsia="SimSun" w:hAnsi="Calibri" w:cs="Arial" w:hint="eastAsia"/>
          <w:szCs w:val="24"/>
          <w:lang w:val="en-US" w:eastAsia="zh-CN"/>
        </w:rPr>
        <w:t>法，</w:t>
      </w:r>
      <w:r>
        <w:rPr>
          <w:rFonts w:ascii="Calibri" w:eastAsia="SimSun" w:hAnsi="Calibri" w:cs="Arial" w:hint="eastAsia"/>
          <w:szCs w:val="24"/>
          <w:lang w:val="en-US" w:eastAsia="zh-CN"/>
        </w:rPr>
        <w:t>虽然</w:t>
      </w:r>
      <w:r w:rsidR="001F58AB" w:rsidRPr="001F58AB">
        <w:rPr>
          <w:rFonts w:ascii="Calibri" w:eastAsia="SimSun" w:hAnsi="Calibri" w:cs="Arial" w:hint="eastAsia"/>
          <w:szCs w:val="24"/>
          <w:lang w:val="en-US" w:eastAsia="zh-CN"/>
        </w:rPr>
        <w:t>由于</w:t>
      </w:r>
      <w:r w:rsidR="001F58AB" w:rsidRPr="001F58AB">
        <w:rPr>
          <w:rFonts w:ascii="Calibri" w:eastAsia="SimSun" w:hAnsi="Calibri" w:cs="Arial" w:hint="eastAsia"/>
          <w:szCs w:val="24"/>
          <w:lang w:val="en-US" w:eastAsia="zh-CN"/>
        </w:rPr>
        <w:t>COVID-19</w:t>
      </w:r>
      <w:r w:rsidR="001F58AB" w:rsidRPr="001F58AB">
        <w:rPr>
          <w:rFonts w:ascii="Calibri" w:eastAsia="SimSun" w:hAnsi="Calibri" w:cs="Arial" w:hint="eastAsia"/>
          <w:szCs w:val="24"/>
          <w:lang w:val="en-US" w:eastAsia="zh-CN"/>
        </w:rPr>
        <w:t>引起</w:t>
      </w:r>
      <w:r>
        <w:rPr>
          <w:rFonts w:ascii="Calibri" w:eastAsia="SimSun" w:hAnsi="Calibri" w:cs="Arial" w:hint="eastAsia"/>
          <w:szCs w:val="24"/>
          <w:lang w:val="en-US" w:eastAsia="zh-CN"/>
        </w:rPr>
        <w:t>了</w:t>
      </w:r>
      <w:r w:rsidR="001F58AB" w:rsidRPr="001F58AB">
        <w:rPr>
          <w:rFonts w:ascii="Calibri" w:eastAsia="SimSun" w:hAnsi="Calibri" w:cs="Arial" w:hint="eastAsia"/>
          <w:szCs w:val="24"/>
          <w:lang w:val="en-US" w:eastAsia="zh-CN"/>
        </w:rPr>
        <w:t>财</w:t>
      </w:r>
      <w:r>
        <w:rPr>
          <w:rFonts w:ascii="Calibri" w:eastAsia="SimSun" w:hAnsi="Calibri" w:cs="Arial" w:hint="eastAsia"/>
          <w:szCs w:val="24"/>
          <w:lang w:val="en-US" w:eastAsia="zh-CN"/>
        </w:rPr>
        <w:t>务担忧</w:t>
      </w:r>
      <w:r w:rsidR="001F58AB" w:rsidRPr="001F58AB">
        <w:rPr>
          <w:rFonts w:ascii="Calibri" w:eastAsia="SimSun" w:hAnsi="Calibri" w:cs="Arial" w:hint="eastAsia"/>
          <w:szCs w:val="24"/>
          <w:lang w:val="en-US" w:eastAsia="zh-CN"/>
        </w:rPr>
        <w:t>，</w:t>
      </w:r>
      <w:r>
        <w:rPr>
          <w:rFonts w:ascii="Calibri" w:eastAsia="SimSun" w:hAnsi="Calibri" w:cs="Arial" w:hint="eastAsia"/>
          <w:szCs w:val="24"/>
          <w:lang w:val="en-US" w:eastAsia="zh-CN"/>
        </w:rPr>
        <w:t>但是值得注意的是</w:t>
      </w:r>
      <w:r w:rsidR="001F58AB" w:rsidRPr="001F58AB">
        <w:rPr>
          <w:rFonts w:ascii="Calibri" w:eastAsia="SimSun" w:hAnsi="Calibri" w:cs="Arial" w:hint="eastAsia"/>
          <w:szCs w:val="24"/>
          <w:lang w:val="en-US" w:eastAsia="zh-CN"/>
        </w:rPr>
        <w:t>，</w:t>
      </w:r>
      <w:r w:rsidRPr="001F58AB">
        <w:rPr>
          <w:rFonts w:ascii="Calibri" w:eastAsia="SimSun" w:hAnsi="Calibri" w:cs="Arial" w:hint="eastAsia"/>
          <w:szCs w:val="24"/>
          <w:lang w:val="en-US" w:eastAsia="zh-CN"/>
        </w:rPr>
        <w:t>与</w:t>
      </w:r>
      <w:r w:rsidRPr="001F58AB">
        <w:rPr>
          <w:rFonts w:ascii="Calibri" w:eastAsia="SimSun" w:hAnsi="Calibri" w:cs="Arial" w:hint="eastAsia"/>
          <w:szCs w:val="24"/>
          <w:lang w:val="en-US" w:eastAsia="zh-CN"/>
        </w:rPr>
        <w:t>2020</w:t>
      </w:r>
      <w:r w:rsidRPr="001F58AB">
        <w:rPr>
          <w:rFonts w:ascii="Calibri" w:eastAsia="SimSun" w:hAnsi="Calibri" w:cs="Arial" w:hint="eastAsia"/>
          <w:szCs w:val="24"/>
          <w:lang w:val="en-US" w:eastAsia="zh-CN"/>
        </w:rPr>
        <w:t>年同期相比，</w:t>
      </w:r>
      <w:r w:rsidR="001F58AB" w:rsidRPr="001F58AB">
        <w:rPr>
          <w:rFonts w:ascii="Calibri" w:eastAsia="SimSun" w:hAnsi="Calibri" w:cs="Arial" w:hint="eastAsia"/>
          <w:szCs w:val="24"/>
          <w:lang w:val="en-US" w:eastAsia="zh-CN"/>
        </w:rPr>
        <w:t>在</w:t>
      </w:r>
      <w:r w:rsidR="001F58AB" w:rsidRPr="001F58AB">
        <w:rPr>
          <w:rFonts w:ascii="Calibri" w:eastAsia="SimSun" w:hAnsi="Calibri" w:cs="Arial" w:hint="eastAsia"/>
          <w:szCs w:val="24"/>
          <w:lang w:val="en-US" w:eastAsia="zh-CN"/>
        </w:rPr>
        <w:t>2021</w:t>
      </w:r>
      <w:r w:rsidR="001F58AB" w:rsidRPr="001F58AB">
        <w:rPr>
          <w:rFonts w:ascii="Calibri" w:eastAsia="SimSun" w:hAnsi="Calibri" w:cs="Arial" w:hint="eastAsia"/>
          <w:szCs w:val="24"/>
          <w:lang w:val="en-US" w:eastAsia="zh-CN"/>
        </w:rPr>
        <w:t>年第一季度，新</w:t>
      </w:r>
      <w:r>
        <w:rPr>
          <w:rFonts w:ascii="Calibri" w:eastAsia="SimSun" w:hAnsi="Calibri" w:cs="Arial" w:hint="eastAsia"/>
          <w:szCs w:val="24"/>
          <w:lang w:val="en-US" w:eastAsia="zh-CN"/>
        </w:rPr>
        <w:t>加入的</w:t>
      </w:r>
      <w:r w:rsidR="001F58AB" w:rsidRPr="001F58AB">
        <w:rPr>
          <w:rFonts w:ascii="Calibri" w:eastAsia="SimSun" w:hAnsi="Calibri" w:cs="Arial" w:hint="eastAsia"/>
          <w:szCs w:val="24"/>
          <w:lang w:val="en-US" w:eastAsia="zh-CN"/>
        </w:rPr>
        <w:t>部门成员的数量增加了一倍，自</w:t>
      </w:r>
      <w:r w:rsidR="001F58AB" w:rsidRPr="001F58AB">
        <w:rPr>
          <w:rFonts w:ascii="Calibri" w:eastAsia="SimSun" w:hAnsi="Calibri" w:cs="Arial" w:hint="eastAsia"/>
          <w:szCs w:val="24"/>
          <w:lang w:val="en-US" w:eastAsia="zh-CN"/>
        </w:rPr>
        <w:t>2021</w:t>
      </w:r>
      <w:r w:rsidR="001F58AB" w:rsidRPr="001F58AB">
        <w:rPr>
          <w:rFonts w:ascii="Calibri" w:eastAsia="SimSun" w:hAnsi="Calibri" w:cs="Arial" w:hint="eastAsia"/>
          <w:szCs w:val="24"/>
          <w:lang w:val="en-US" w:eastAsia="zh-CN"/>
        </w:rPr>
        <w:t>年</w:t>
      </w:r>
      <w:r w:rsidR="002E0F95">
        <w:rPr>
          <w:rFonts w:ascii="Calibri" w:eastAsia="SimSun" w:hAnsi="Calibri" w:cs="Arial" w:hint="eastAsia"/>
          <w:szCs w:val="24"/>
          <w:lang w:val="en-US" w:eastAsia="zh-CN"/>
        </w:rPr>
        <w:t>1</w:t>
      </w:r>
      <w:r w:rsidR="001F58AB" w:rsidRPr="001F58AB">
        <w:rPr>
          <w:rFonts w:ascii="Calibri" w:eastAsia="SimSun" w:hAnsi="Calibri" w:cs="Arial" w:hint="eastAsia"/>
          <w:szCs w:val="24"/>
          <w:lang w:val="en-US" w:eastAsia="zh-CN"/>
        </w:rPr>
        <w:t>月以来有</w:t>
      </w:r>
      <w:r w:rsidR="001F58AB" w:rsidRPr="001F58AB">
        <w:rPr>
          <w:rFonts w:ascii="Calibri" w:eastAsia="SimSun" w:hAnsi="Calibri" w:cs="Arial" w:hint="eastAsia"/>
          <w:szCs w:val="24"/>
          <w:lang w:val="en-US" w:eastAsia="zh-CN"/>
        </w:rPr>
        <w:t>4</w:t>
      </w:r>
      <w:r w:rsidR="001F58AB" w:rsidRPr="001F58AB">
        <w:rPr>
          <w:rFonts w:ascii="Calibri" w:eastAsia="SimSun" w:hAnsi="Calibri" w:cs="Arial" w:hint="eastAsia"/>
          <w:szCs w:val="24"/>
          <w:lang w:val="en-US" w:eastAsia="zh-CN"/>
        </w:rPr>
        <w:t>个新</w:t>
      </w:r>
      <w:r w:rsidR="000E6291" w:rsidRPr="001F58AB">
        <w:rPr>
          <w:rFonts w:ascii="Calibri" w:eastAsia="SimSun" w:hAnsi="Calibri" w:cs="Arial" w:hint="eastAsia"/>
          <w:szCs w:val="24"/>
          <w:lang w:val="en-US" w:eastAsia="zh-CN"/>
        </w:rPr>
        <w:t>加入</w:t>
      </w:r>
      <w:r w:rsidR="000E6291">
        <w:rPr>
          <w:rFonts w:ascii="Calibri" w:eastAsia="SimSun" w:hAnsi="Calibri" w:cs="Arial" w:hint="eastAsia"/>
          <w:szCs w:val="24"/>
          <w:lang w:val="en-US" w:eastAsia="zh-CN"/>
        </w:rPr>
        <w:t>的</w:t>
      </w:r>
      <w:r w:rsidR="001F58AB" w:rsidRPr="001F58AB">
        <w:rPr>
          <w:rFonts w:ascii="Calibri" w:eastAsia="SimSun" w:hAnsi="Calibri" w:cs="Arial" w:hint="eastAsia"/>
          <w:szCs w:val="24"/>
          <w:lang w:val="en-US" w:eastAsia="zh-CN"/>
        </w:rPr>
        <w:t>部门成员，另有</w:t>
      </w:r>
      <w:r w:rsidR="001F58AB" w:rsidRPr="001F58AB">
        <w:rPr>
          <w:rFonts w:ascii="Calibri" w:eastAsia="SimSun" w:hAnsi="Calibri" w:cs="Arial" w:hint="eastAsia"/>
          <w:szCs w:val="24"/>
          <w:lang w:val="en-US" w:eastAsia="zh-CN"/>
        </w:rPr>
        <w:t>5</w:t>
      </w:r>
      <w:r w:rsidR="001F58AB" w:rsidRPr="001F58AB">
        <w:rPr>
          <w:rFonts w:ascii="Calibri" w:eastAsia="SimSun" w:hAnsi="Calibri" w:cs="Arial" w:hint="eastAsia"/>
          <w:szCs w:val="24"/>
          <w:lang w:val="en-US" w:eastAsia="zh-CN"/>
        </w:rPr>
        <w:t>个实体已经被各自的</w:t>
      </w:r>
      <w:r w:rsidR="000E6291">
        <w:rPr>
          <w:rFonts w:ascii="Calibri" w:eastAsia="SimSun" w:hAnsi="Calibri" w:cs="Arial" w:hint="eastAsia"/>
          <w:szCs w:val="24"/>
          <w:lang w:val="en-US" w:eastAsia="zh-CN"/>
        </w:rPr>
        <w:t>主管</w:t>
      </w:r>
      <w:r w:rsidR="001F58AB" w:rsidRPr="001F58AB">
        <w:rPr>
          <w:rFonts w:ascii="Calibri" w:eastAsia="SimSun" w:hAnsi="Calibri" w:cs="Arial" w:hint="eastAsia"/>
          <w:szCs w:val="24"/>
          <w:lang w:val="en-US" w:eastAsia="zh-CN"/>
        </w:rPr>
        <w:t>部门批准加入，预计将在</w:t>
      </w:r>
      <w:r w:rsidR="001F58AB" w:rsidRPr="001F58AB">
        <w:rPr>
          <w:rFonts w:ascii="Calibri" w:eastAsia="SimSun" w:hAnsi="Calibri" w:cs="Arial" w:hint="eastAsia"/>
          <w:szCs w:val="24"/>
          <w:lang w:val="en-US" w:eastAsia="zh-CN"/>
        </w:rPr>
        <w:t>2021</w:t>
      </w:r>
      <w:r w:rsidR="001F58AB" w:rsidRPr="001F58AB">
        <w:rPr>
          <w:rFonts w:ascii="Calibri" w:eastAsia="SimSun" w:hAnsi="Calibri" w:cs="Arial" w:hint="eastAsia"/>
          <w:szCs w:val="24"/>
          <w:lang w:val="en-US" w:eastAsia="zh-CN"/>
        </w:rPr>
        <w:t>年第二季度成为正式成员。</w:t>
      </w:r>
    </w:p>
    <w:p w14:paraId="0AC75E8D" w14:textId="287C8D2C" w:rsidR="0091759B" w:rsidRDefault="001F58AB" w:rsidP="00D80392">
      <w:pPr>
        <w:shd w:val="clear" w:color="auto" w:fill="FFFFFF"/>
        <w:tabs>
          <w:tab w:val="clear" w:pos="794"/>
          <w:tab w:val="clear" w:pos="1191"/>
          <w:tab w:val="clear" w:pos="1588"/>
          <w:tab w:val="clear" w:pos="1985"/>
        </w:tabs>
        <w:overflowPunct/>
        <w:autoSpaceDE/>
        <w:autoSpaceDN/>
        <w:adjustRightInd/>
        <w:spacing w:after="120"/>
        <w:ind w:firstLineChars="200" w:firstLine="480"/>
        <w:textAlignment w:val="auto"/>
        <w:rPr>
          <w:rFonts w:ascii="Calibri" w:eastAsia="SimSun" w:hAnsi="Calibri" w:cs="Arial"/>
          <w:szCs w:val="24"/>
          <w:lang w:val="en-US" w:eastAsia="zh-CN"/>
        </w:rPr>
      </w:pPr>
      <w:r w:rsidRPr="001F58AB">
        <w:rPr>
          <w:rFonts w:ascii="Calibri" w:eastAsia="SimSun" w:hAnsi="Calibri" w:cs="Arial" w:hint="eastAsia"/>
          <w:szCs w:val="24"/>
          <w:lang w:val="en-US" w:eastAsia="zh-CN"/>
        </w:rPr>
        <w:t>留住</w:t>
      </w:r>
      <w:r w:rsidR="00D80392">
        <w:rPr>
          <w:rFonts w:ascii="Calibri" w:eastAsia="SimSun" w:hAnsi="Calibri" w:cs="Arial" w:hint="eastAsia"/>
          <w:szCs w:val="24"/>
          <w:lang w:val="en-US" w:eastAsia="zh-CN"/>
        </w:rPr>
        <w:t>成</w:t>
      </w:r>
      <w:r w:rsidRPr="001F58AB">
        <w:rPr>
          <w:rFonts w:ascii="Calibri" w:eastAsia="SimSun" w:hAnsi="Calibri" w:cs="Arial" w:hint="eastAsia"/>
          <w:szCs w:val="24"/>
          <w:lang w:val="en-US" w:eastAsia="zh-CN"/>
        </w:rPr>
        <w:t>员的努力也显示出成效，</w:t>
      </w:r>
      <w:r w:rsidRPr="001F58AB">
        <w:rPr>
          <w:rFonts w:ascii="Calibri" w:eastAsia="SimSun" w:hAnsi="Calibri" w:cs="Arial" w:hint="eastAsia"/>
          <w:szCs w:val="24"/>
          <w:lang w:val="en-US" w:eastAsia="zh-CN"/>
        </w:rPr>
        <w:t>2021</w:t>
      </w:r>
      <w:r w:rsidRPr="001F58AB">
        <w:rPr>
          <w:rFonts w:ascii="Calibri" w:eastAsia="SimSun" w:hAnsi="Calibri" w:cs="Arial" w:hint="eastAsia"/>
          <w:szCs w:val="24"/>
          <w:lang w:val="en-US" w:eastAsia="zh-CN"/>
        </w:rPr>
        <w:t>年第一季度只有一个部门</w:t>
      </w:r>
      <w:r w:rsidR="00D80392">
        <w:rPr>
          <w:rFonts w:ascii="Calibri" w:eastAsia="SimSun" w:hAnsi="Calibri" w:cs="Arial" w:hint="eastAsia"/>
          <w:szCs w:val="24"/>
          <w:lang w:val="en-US" w:eastAsia="zh-CN"/>
        </w:rPr>
        <w:t>成员</w:t>
      </w:r>
      <w:r w:rsidRPr="001F58AB">
        <w:rPr>
          <w:rFonts w:ascii="Calibri" w:eastAsia="SimSun" w:hAnsi="Calibri" w:cs="Arial" w:hint="eastAsia"/>
          <w:szCs w:val="24"/>
          <w:lang w:val="en-US" w:eastAsia="zh-CN"/>
        </w:rPr>
        <w:t>流失，而</w:t>
      </w:r>
      <w:r w:rsidRPr="001F58AB">
        <w:rPr>
          <w:rFonts w:ascii="Calibri" w:eastAsia="SimSun" w:hAnsi="Calibri" w:cs="Arial" w:hint="eastAsia"/>
          <w:szCs w:val="24"/>
          <w:lang w:val="en-US" w:eastAsia="zh-CN"/>
        </w:rPr>
        <w:t>2020</w:t>
      </w:r>
      <w:r w:rsidRPr="001F58AB">
        <w:rPr>
          <w:rFonts w:ascii="Calibri" w:eastAsia="SimSun" w:hAnsi="Calibri" w:cs="Arial" w:hint="eastAsia"/>
          <w:szCs w:val="24"/>
          <w:lang w:val="en-US" w:eastAsia="zh-CN"/>
        </w:rPr>
        <w:t>年同期则有</w:t>
      </w:r>
      <w:r w:rsidRPr="001F58AB">
        <w:rPr>
          <w:rFonts w:ascii="Calibri" w:eastAsia="SimSun" w:hAnsi="Calibri" w:cs="Arial" w:hint="eastAsia"/>
          <w:szCs w:val="24"/>
          <w:lang w:val="en-US" w:eastAsia="zh-CN"/>
        </w:rPr>
        <w:t>7</w:t>
      </w:r>
      <w:r w:rsidRPr="001F58AB">
        <w:rPr>
          <w:rFonts w:ascii="Calibri" w:eastAsia="SimSun" w:hAnsi="Calibri" w:cs="Arial" w:hint="eastAsia"/>
          <w:szCs w:val="24"/>
          <w:lang w:val="en-US" w:eastAsia="zh-CN"/>
        </w:rPr>
        <w:t>个</w:t>
      </w:r>
      <w:r w:rsidR="00D80392">
        <w:rPr>
          <w:rFonts w:ascii="Calibri" w:eastAsia="SimSun" w:hAnsi="Calibri" w:cs="Arial" w:hint="eastAsia"/>
          <w:szCs w:val="24"/>
          <w:lang w:val="en-US" w:eastAsia="zh-CN"/>
        </w:rPr>
        <w:t>成员</w:t>
      </w:r>
      <w:r w:rsidRPr="001F58AB">
        <w:rPr>
          <w:rFonts w:ascii="Calibri" w:eastAsia="SimSun" w:hAnsi="Calibri" w:cs="Arial" w:hint="eastAsia"/>
          <w:szCs w:val="24"/>
          <w:lang w:val="en-US" w:eastAsia="zh-CN"/>
        </w:rPr>
        <w:t>流失。</w:t>
      </w:r>
      <w:r w:rsidRPr="001F58AB">
        <w:rPr>
          <w:rFonts w:ascii="Calibri" w:eastAsia="SimSun" w:hAnsi="Calibri" w:cs="Arial" w:hint="eastAsia"/>
          <w:szCs w:val="24"/>
          <w:lang w:val="en-US" w:eastAsia="zh-CN"/>
        </w:rPr>
        <w:t>2021</w:t>
      </w:r>
      <w:r w:rsidRPr="001F58AB">
        <w:rPr>
          <w:rFonts w:ascii="Calibri" w:eastAsia="SimSun" w:hAnsi="Calibri" w:cs="Arial" w:hint="eastAsia"/>
          <w:szCs w:val="24"/>
          <w:lang w:val="en-US" w:eastAsia="zh-CN"/>
        </w:rPr>
        <w:t>年第一季度，有一个</w:t>
      </w:r>
      <w:r w:rsidR="00D80392">
        <w:rPr>
          <w:rFonts w:ascii="Calibri" w:eastAsia="SimSun" w:hAnsi="Calibri" w:cs="Arial" w:hint="eastAsia"/>
          <w:szCs w:val="24"/>
          <w:lang w:val="en-US" w:eastAsia="zh-CN"/>
        </w:rPr>
        <w:t>部门准成员</w:t>
      </w:r>
      <w:r w:rsidRPr="001F58AB">
        <w:rPr>
          <w:rFonts w:ascii="Calibri" w:eastAsia="SimSun" w:hAnsi="Calibri" w:cs="Arial" w:hint="eastAsia"/>
          <w:szCs w:val="24"/>
          <w:lang w:val="en-US" w:eastAsia="zh-CN"/>
        </w:rPr>
        <w:t>将其地位升级为部门成员。</w:t>
      </w:r>
    </w:p>
    <w:p w14:paraId="59DF9B4E" w14:textId="188E2EE3" w:rsidR="008D71AF" w:rsidRDefault="00024E05" w:rsidP="00EE5749">
      <w:pPr>
        <w:pStyle w:val="Tabletitle"/>
        <w:spacing w:beforeLines="100" w:before="240"/>
        <w:rPr>
          <w:lang w:eastAsia="zh-CN"/>
        </w:rPr>
      </w:pPr>
      <w:r>
        <w:rPr>
          <w:rFonts w:hint="eastAsia"/>
          <w:lang w:eastAsia="zh-CN"/>
        </w:rPr>
        <w:t>表</w:t>
      </w:r>
      <w:r w:rsidR="00EB1FB3">
        <w:rPr>
          <w:lang w:eastAsia="zh-CN"/>
        </w:rPr>
        <w:t xml:space="preserve"> </w:t>
      </w:r>
      <w:r w:rsidR="00EB1FB3" w:rsidRPr="00EB1FB3">
        <w:rPr>
          <w:lang w:eastAsia="zh-CN"/>
        </w:rPr>
        <w:t>–</w:t>
      </w:r>
      <w:r w:rsidR="00554088">
        <w:rPr>
          <w:lang w:eastAsia="zh-CN"/>
        </w:rPr>
        <w:t xml:space="preserve"> </w:t>
      </w:r>
      <w:r w:rsidR="008432A3">
        <w:rPr>
          <w:rFonts w:hint="eastAsia"/>
          <w:lang w:eastAsia="zh-CN"/>
        </w:rPr>
        <w:t>20</w:t>
      </w:r>
      <w:r w:rsidR="0091759B">
        <w:rPr>
          <w:rFonts w:hint="eastAsia"/>
          <w:lang w:eastAsia="zh-CN"/>
        </w:rPr>
        <w:t>10</w:t>
      </w:r>
      <w:r w:rsidR="008432A3" w:rsidRPr="006C2561">
        <w:rPr>
          <w:lang w:eastAsia="zh-CN"/>
        </w:rPr>
        <w:t>年至</w:t>
      </w:r>
      <w:r w:rsidR="008432A3" w:rsidRPr="006C2561">
        <w:rPr>
          <w:lang w:eastAsia="zh-CN"/>
        </w:rPr>
        <w:t>20</w:t>
      </w:r>
      <w:r w:rsidR="0091759B">
        <w:rPr>
          <w:rFonts w:hint="eastAsia"/>
          <w:lang w:eastAsia="zh-CN"/>
        </w:rPr>
        <w:t>21</w:t>
      </w:r>
      <w:r w:rsidR="008432A3" w:rsidRPr="006C2561">
        <w:rPr>
          <w:lang w:eastAsia="zh-CN"/>
        </w:rPr>
        <w:t>年</w:t>
      </w:r>
      <w:r w:rsidR="008D71AF" w:rsidRPr="006C2561">
        <w:rPr>
          <w:lang w:eastAsia="zh-CN"/>
        </w:rPr>
        <w:t>ITU-D</w:t>
      </w:r>
      <w:r w:rsidR="008D71AF" w:rsidRPr="006C2561">
        <w:rPr>
          <w:lang w:eastAsia="zh-CN"/>
        </w:rPr>
        <w:t>成员</w:t>
      </w:r>
      <w:r w:rsidR="00A3727C">
        <w:rPr>
          <w:rFonts w:hint="eastAsia"/>
          <w:lang w:eastAsia="zh-CN"/>
        </w:rPr>
        <w:t>队伍</w:t>
      </w:r>
      <w:r w:rsidR="00554088">
        <w:rPr>
          <w:lang w:eastAsia="zh-CN"/>
        </w:rPr>
        <w:br/>
      </w:r>
      <w:r w:rsidR="008D71AF">
        <w:rPr>
          <w:rFonts w:hint="eastAsia"/>
          <w:lang w:eastAsia="zh-CN"/>
        </w:rPr>
        <w:t>（</w:t>
      </w:r>
      <w:r w:rsidR="008D71AF" w:rsidRPr="006C2561">
        <w:rPr>
          <w:rFonts w:hint="eastAsia"/>
          <w:lang w:eastAsia="zh-CN"/>
        </w:rPr>
        <w:t>部门成员、部门准成员和学术成员</w:t>
      </w:r>
      <w:r w:rsidR="008D71AF" w:rsidRPr="00C1371A">
        <w:rPr>
          <w:rStyle w:val="FootnoteReference"/>
        </w:rPr>
        <w:footnoteReference w:id="4"/>
      </w:r>
      <w:r w:rsidR="008D71AF">
        <w:rPr>
          <w:rFonts w:hint="eastAsia"/>
          <w:lang w:eastAsia="zh-CN"/>
        </w:rPr>
        <w:t>）</w:t>
      </w:r>
      <w:r w:rsidR="008432A3">
        <w:rPr>
          <w:rFonts w:hint="eastAsia"/>
          <w:lang w:eastAsia="zh-CN"/>
        </w:rPr>
        <w:t>的发展</w:t>
      </w:r>
    </w:p>
    <w:tbl>
      <w:tblPr>
        <w:tblW w:w="10065" w:type="dxa"/>
        <w:jc w:val="center"/>
        <w:tblLayout w:type="fixed"/>
        <w:tblCellMar>
          <w:left w:w="0" w:type="dxa"/>
          <w:right w:w="0" w:type="dxa"/>
        </w:tblCellMar>
        <w:tblLook w:val="04A0" w:firstRow="1" w:lastRow="0" w:firstColumn="1" w:lastColumn="0" w:noHBand="0" w:noVBand="1"/>
      </w:tblPr>
      <w:tblGrid>
        <w:gridCol w:w="1276"/>
        <w:gridCol w:w="709"/>
        <w:gridCol w:w="709"/>
        <w:gridCol w:w="709"/>
        <w:gridCol w:w="708"/>
        <w:gridCol w:w="709"/>
        <w:gridCol w:w="709"/>
        <w:gridCol w:w="709"/>
        <w:gridCol w:w="708"/>
        <w:gridCol w:w="709"/>
        <w:gridCol w:w="709"/>
        <w:gridCol w:w="622"/>
        <w:gridCol w:w="1079"/>
      </w:tblGrid>
      <w:tr w:rsidR="0091759B" w:rsidRPr="00D00EDC" w14:paraId="0762F076" w14:textId="77777777" w:rsidTr="00862002">
        <w:trPr>
          <w:trHeight w:val="20"/>
          <w:tblHeader/>
          <w:jc w:val="center"/>
        </w:trPr>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59023EB" w14:textId="77777777" w:rsidR="0091759B" w:rsidRPr="00D00EDC" w:rsidRDefault="0091759B" w:rsidP="002A55ED">
            <w:pPr>
              <w:keepNext/>
              <w:rPr>
                <w:rFonts w:ascii="Calibri" w:hAnsi="Calibri" w:cs="Calibri"/>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55BEA19F"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2010</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0D4B33E5"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2011</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19129795"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2012</w:t>
            </w:r>
          </w:p>
        </w:tc>
        <w:tc>
          <w:tcPr>
            <w:tcW w:w="708"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94DFC3A"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2013</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3FD239C0"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2014</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EFE5E2D"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2015</w:t>
            </w:r>
          </w:p>
        </w:tc>
        <w:tc>
          <w:tcPr>
            <w:tcW w:w="709"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7F6FE5F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2016</w:t>
            </w:r>
          </w:p>
        </w:tc>
        <w:tc>
          <w:tcPr>
            <w:tcW w:w="708" w:type="dxa"/>
            <w:tcBorders>
              <w:top w:val="single" w:sz="4" w:space="0" w:color="auto"/>
              <w:left w:val="single" w:sz="4" w:space="0" w:color="auto"/>
              <w:bottom w:val="single" w:sz="4" w:space="0" w:color="auto"/>
              <w:right w:val="single" w:sz="4" w:space="0" w:color="auto"/>
            </w:tcBorders>
            <w:shd w:val="clear" w:color="auto" w:fill="9CC2E5"/>
            <w:tcMar>
              <w:top w:w="0" w:type="dxa"/>
              <w:left w:w="108" w:type="dxa"/>
              <w:bottom w:w="0" w:type="dxa"/>
              <w:right w:w="108" w:type="dxa"/>
            </w:tcMar>
            <w:hideMark/>
          </w:tcPr>
          <w:p w14:paraId="02D66497"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2017</w:t>
            </w:r>
          </w:p>
        </w:tc>
        <w:tc>
          <w:tcPr>
            <w:tcW w:w="709" w:type="dxa"/>
            <w:tcBorders>
              <w:top w:val="single" w:sz="4" w:space="0" w:color="auto"/>
              <w:left w:val="single" w:sz="4" w:space="0" w:color="auto"/>
              <w:bottom w:val="single" w:sz="4" w:space="0" w:color="auto"/>
              <w:right w:val="single" w:sz="4" w:space="0" w:color="auto"/>
            </w:tcBorders>
            <w:shd w:val="clear" w:color="auto" w:fill="9CC2E5"/>
            <w:hideMark/>
          </w:tcPr>
          <w:p w14:paraId="75DDB451"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2018</w:t>
            </w:r>
          </w:p>
        </w:tc>
        <w:tc>
          <w:tcPr>
            <w:tcW w:w="709" w:type="dxa"/>
            <w:tcBorders>
              <w:top w:val="single" w:sz="4" w:space="0" w:color="auto"/>
              <w:left w:val="single" w:sz="4" w:space="0" w:color="auto"/>
              <w:bottom w:val="single" w:sz="4" w:space="0" w:color="auto"/>
              <w:right w:val="single" w:sz="4" w:space="0" w:color="auto"/>
            </w:tcBorders>
            <w:shd w:val="clear" w:color="auto" w:fill="9CC2E5"/>
          </w:tcPr>
          <w:p w14:paraId="555B81DC"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2019</w:t>
            </w:r>
          </w:p>
        </w:tc>
        <w:tc>
          <w:tcPr>
            <w:tcW w:w="622" w:type="dxa"/>
            <w:tcBorders>
              <w:top w:val="single" w:sz="4" w:space="0" w:color="auto"/>
              <w:left w:val="single" w:sz="4" w:space="0" w:color="auto"/>
              <w:bottom w:val="single" w:sz="4" w:space="0" w:color="auto"/>
              <w:right w:val="single" w:sz="4" w:space="0" w:color="auto"/>
            </w:tcBorders>
            <w:shd w:val="clear" w:color="auto" w:fill="9CC2E5"/>
          </w:tcPr>
          <w:p w14:paraId="3291BE33"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2020</w:t>
            </w:r>
          </w:p>
        </w:tc>
        <w:tc>
          <w:tcPr>
            <w:tcW w:w="1079" w:type="dxa"/>
            <w:tcBorders>
              <w:top w:val="single" w:sz="4" w:space="0" w:color="auto"/>
              <w:left w:val="single" w:sz="4" w:space="0" w:color="auto"/>
              <w:bottom w:val="single" w:sz="4" w:space="0" w:color="auto"/>
              <w:right w:val="single" w:sz="4" w:space="0" w:color="auto"/>
            </w:tcBorders>
            <w:shd w:val="clear" w:color="auto" w:fill="9CC2E5"/>
          </w:tcPr>
          <w:p w14:paraId="1C3A65E0" w14:textId="7CA45B7A"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b/>
                <w:sz w:val="22"/>
                <w:szCs w:val="22"/>
                <w:lang w:eastAsia="zh-CN"/>
              </w:rPr>
            </w:pPr>
            <w:r w:rsidRPr="00AB339D">
              <w:rPr>
                <w:rFonts w:ascii="Calibri" w:hAnsi="Calibri" w:cs="Calibri"/>
                <w:b/>
                <w:sz w:val="22"/>
                <w:szCs w:val="22"/>
                <w:lang w:eastAsia="zh-CN"/>
              </w:rPr>
              <w:t>2021</w:t>
            </w:r>
            <w:r w:rsidR="006E106D">
              <w:rPr>
                <w:rFonts w:ascii="Calibri" w:hAnsi="Calibri" w:cs="Calibri" w:hint="eastAsia"/>
                <w:b/>
                <w:sz w:val="22"/>
                <w:szCs w:val="22"/>
                <w:lang w:eastAsia="zh-CN"/>
              </w:rPr>
              <w:t>年</w:t>
            </w:r>
            <w:r w:rsidR="006E106D">
              <w:rPr>
                <w:rFonts w:ascii="Calibri" w:hAnsi="Calibri" w:cs="Calibri" w:hint="eastAsia"/>
                <w:b/>
                <w:sz w:val="22"/>
                <w:szCs w:val="22"/>
                <w:lang w:eastAsia="zh-CN"/>
              </w:rPr>
              <w:t>3</w:t>
            </w:r>
            <w:r w:rsidR="006E106D">
              <w:rPr>
                <w:rFonts w:ascii="Calibri" w:hAnsi="Calibri" w:cs="Calibri" w:hint="eastAsia"/>
                <w:b/>
                <w:sz w:val="22"/>
                <w:szCs w:val="22"/>
                <w:lang w:eastAsia="zh-CN"/>
              </w:rPr>
              <w:t>月</w:t>
            </w:r>
          </w:p>
        </w:tc>
      </w:tr>
      <w:tr w:rsidR="0091759B" w:rsidRPr="00D00EDC" w14:paraId="56A6148B" w14:textId="77777777" w:rsidTr="00862002">
        <w:trPr>
          <w:trHeight w:val="346"/>
          <w:jc w:val="center"/>
        </w:trPr>
        <w:tc>
          <w:tcPr>
            <w:tcW w:w="1276" w:type="dxa"/>
            <w:tcBorders>
              <w:top w:val="single" w:sz="4"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79AF872D" w14:textId="1FDB54F3" w:rsidR="0091759B" w:rsidRPr="00BC3FD3"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highlight w:val="yellow"/>
                <w:lang w:eastAsia="zh-CN"/>
              </w:rPr>
            </w:pPr>
            <w:proofErr w:type="spellStart"/>
            <w:r w:rsidRPr="00554088">
              <w:rPr>
                <w:b/>
                <w:bCs/>
                <w:color w:val="000000"/>
                <w:sz w:val="20"/>
              </w:rPr>
              <w:t>部门成</w:t>
            </w:r>
            <w:r w:rsidRPr="00554088">
              <w:rPr>
                <w:rFonts w:ascii="SimSun" w:eastAsia="SimSun" w:hAnsi="SimSun" w:cs="SimSun" w:hint="eastAsia"/>
                <w:b/>
                <w:bCs/>
                <w:color w:val="000000"/>
                <w:sz w:val="20"/>
              </w:rPr>
              <w:t>员</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1BEE9"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5CA56"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323</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1008FA"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54073"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346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66F9E"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338</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4D332"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6F3FD"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331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B0E0B"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318</w:t>
            </w:r>
          </w:p>
        </w:tc>
        <w:tc>
          <w:tcPr>
            <w:tcW w:w="709" w:type="dxa"/>
            <w:tcBorders>
              <w:top w:val="single" w:sz="4" w:space="0" w:color="auto"/>
              <w:left w:val="single" w:sz="4" w:space="0" w:color="auto"/>
              <w:bottom w:val="single" w:sz="4" w:space="0" w:color="auto"/>
              <w:right w:val="single" w:sz="4" w:space="0" w:color="auto"/>
            </w:tcBorders>
            <w:hideMark/>
          </w:tcPr>
          <w:p w14:paraId="67A6B3BB"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310</w:t>
            </w:r>
          </w:p>
        </w:tc>
        <w:tc>
          <w:tcPr>
            <w:tcW w:w="709" w:type="dxa"/>
            <w:tcBorders>
              <w:top w:val="single" w:sz="4" w:space="0" w:color="auto"/>
              <w:left w:val="single" w:sz="4" w:space="0" w:color="auto"/>
              <w:bottom w:val="single" w:sz="4" w:space="0" w:color="auto"/>
              <w:right w:val="single" w:sz="4" w:space="0" w:color="auto"/>
            </w:tcBorders>
          </w:tcPr>
          <w:p w14:paraId="0149F0F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307</w:t>
            </w:r>
          </w:p>
        </w:tc>
        <w:tc>
          <w:tcPr>
            <w:tcW w:w="622" w:type="dxa"/>
            <w:tcBorders>
              <w:top w:val="single" w:sz="4" w:space="0" w:color="auto"/>
              <w:left w:val="single" w:sz="4" w:space="0" w:color="auto"/>
              <w:bottom w:val="single" w:sz="4" w:space="0" w:color="auto"/>
              <w:right w:val="single" w:sz="4" w:space="0" w:color="auto"/>
            </w:tcBorders>
          </w:tcPr>
          <w:p w14:paraId="0CADFA04"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298</w:t>
            </w:r>
          </w:p>
        </w:tc>
        <w:tc>
          <w:tcPr>
            <w:tcW w:w="10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5D2D7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301</w:t>
            </w:r>
          </w:p>
        </w:tc>
      </w:tr>
      <w:tr w:rsidR="0091759B" w:rsidRPr="00D00EDC" w14:paraId="516763DE" w14:textId="77777777" w:rsidTr="00862002">
        <w:trPr>
          <w:trHeight w:val="486"/>
          <w:jc w:val="center"/>
        </w:trPr>
        <w:tc>
          <w:tcPr>
            <w:tcW w:w="1276"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3C6F06AE" w14:textId="43C96060" w:rsidR="0091759B" w:rsidRPr="00BC3FD3"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highlight w:val="yellow"/>
                <w:lang w:eastAsia="zh-CN"/>
              </w:rPr>
            </w:pPr>
            <w:proofErr w:type="spellStart"/>
            <w:r>
              <w:rPr>
                <w:rFonts w:hint="eastAsia"/>
                <w:b/>
                <w:bCs/>
                <w:color w:val="000000"/>
                <w:sz w:val="20"/>
              </w:rPr>
              <w:t>部门准成</w:t>
            </w:r>
            <w:r>
              <w:rPr>
                <w:rFonts w:ascii="SimSun" w:eastAsia="SimSun" w:hAnsi="SimSun" w:cs="SimSun" w:hint="eastAsia"/>
                <w:b/>
                <w:bCs/>
                <w:color w:val="000000"/>
                <w:sz w:val="20"/>
              </w:rPr>
              <w:t>员</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00BD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30DA6"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F6B46"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7</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351B1"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1D77B"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45DE7"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3470E"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9994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w:t>
            </w:r>
          </w:p>
        </w:tc>
        <w:tc>
          <w:tcPr>
            <w:tcW w:w="709" w:type="dxa"/>
            <w:tcBorders>
              <w:top w:val="single" w:sz="4" w:space="0" w:color="auto"/>
              <w:left w:val="single" w:sz="4" w:space="0" w:color="auto"/>
              <w:bottom w:val="single" w:sz="4" w:space="0" w:color="auto"/>
              <w:right w:val="single" w:sz="4" w:space="0" w:color="auto"/>
            </w:tcBorders>
            <w:hideMark/>
          </w:tcPr>
          <w:p w14:paraId="3ACA5E03"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14</w:t>
            </w:r>
          </w:p>
        </w:tc>
        <w:tc>
          <w:tcPr>
            <w:tcW w:w="709" w:type="dxa"/>
            <w:tcBorders>
              <w:top w:val="single" w:sz="4" w:space="0" w:color="auto"/>
              <w:left w:val="single" w:sz="4" w:space="0" w:color="auto"/>
              <w:bottom w:val="single" w:sz="4" w:space="0" w:color="auto"/>
              <w:right w:val="single" w:sz="4" w:space="0" w:color="auto"/>
            </w:tcBorders>
          </w:tcPr>
          <w:p w14:paraId="00856080"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17</w:t>
            </w:r>
          </w:p>
        </w:tc>
        <w:tc>
          <w:tcPr>
            <w:tcW w:w="622" w:type="dxa"/>
            <w:tcBorders>
              <w:top w:val="single" w:sz="4" w:space="0" w:color="auto"/>
              <w:left w:val="single" w:sz="4" w:space="0" w:color="auto"/>
              <w:bottom w:val="single" w:sz="4" w:space="0" w:color="auto"/>
              <w:right w:val="single" w:sz="4" w:space="0" w:color="auto"/>
            </w:tcBorders>
          </w:tcPr>
          <w:p w14:paraId="17D3C5F3"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21</w:t>
            </w:r>
          </w:p>
        </w:tc>
        <w:tc>
          <w:tcPr>
            <w:tcW w:w="10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5DBEA4"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20</w:t>
            </w:r>
          </w:p>
        </w:tc>
      </w:tr>
      <w:tr w:rsidR="0091759B" w:rsidRPr="00D00EDC" w14:paraId="6578A95D" w14:textId="77777777" w:rsidTr="00862002">
        <w:trPr>
          <w:trHeight w:val="536"/>
          <w:jc w:val="center"/>
        </w:trPr>
        <w:tc>
          <w:tcPr>
            <w:tcW w:w="1276" w:type="dxa"/>
            <w:tcBorders>
              <w:top w:val="single" w:sz="8" w:space="0" w:color="auto"/>
              <w:left w:val="single" w:sz="4" w:space="0" w:color="auto"/>
              <w:bottom w:val="single" w:sz="8" w:space="0" w:color="auto"/>
              <w:right w:val="single" w:sz="4" w:space="0" w:color="auto"/>
            </w:tcBorders>
            <w:shd w:val="clear" w:color="auto" w:fill="DEEAF6"/>
            <w:tcMar>
              <w:top w:w="0" w:type="dxa"/>
              <w:left w:w="108" w:type="dxa"/>
              <w:bottom w:w="0" w:type="dxa"/>
              <w:right w:w="108" w:type="dxa"/>
            </w:tcMar>
            <w:hideMark/>
          </w:tcPr>
          <w:p w14:paraId="066F2C62" w14:textId="17D90635" w:rsidR="0091759B" w:rsidRPr="00BC3FD3"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highlight w:val="yellow"/>
                <w:lang w:eastAsia="zh-CN"/>
              </w:rPr>
            </w:pPr>
            <w:proofErr w:type="spellStart"/>
            <w:r>
              <w:rPr>
                <w:rFonts w:hint="eastAsia"/>
                <w:b/>
                <w:bCs/>
                <w:color w:val="000000"/>
                <w:sz w:val="20"/>
              </w:rPr>
              <w:t>学术成</w:t>
            </w:r>
            <w:r>
              <w:rPr>
                <w:rFonts w:ascii="SimSun" w:eastAsia="SimSun" w:hAnsi="SimSun" w:cs="SimSun" w:hint="eastAsia"/>
                <w:b/>
                <w:bCs/>
                <w:color w:val="000000"/>
                <w:sz w:val="20"/>
              </w:rPr>
              <w:t>员</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6569C"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noBreakHyphen/>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5828C"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25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E3A02"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36</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43006"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33318"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86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BDC2F"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AE752"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107</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8EC04"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125</w:t>
            </w:r>
          </w:p>
        </w:tc>
        <w:tc>
          <w:tcPr>
            <w:tcW w:w="709" w:type="dxa"/>
            <w:tcBorders>
              <w:top w:val="single" w:sz="4" w:space="0" w:color="auto"/>
              <w:left w:val="single" w:sz="4" w:space="0" w:color="auto"/>
              <w:bottom w:val="single" w:sz="4" w:space="0" w:color="auto"/>
              <w:right w:val="single" w:sz="4" w:space="0" w:color="auto"/>
            </w:tcBorders>
            <w:hideMark/>
          </w:tcPr>
          <w:p w14:paraId="00B303EA"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156</w:t>
            </w:r>
          </w:p>
        </w:tc>
        <w:tc>
          <w:tcPr>
            <w:tcW w:w="709" w:type="dxa"/>
            <w:tcBorders>
              <w:top w:val="single" w:sz="4" w:space="0" w:color="auto"/>
              <w:left w:val="single" w:sz="4" w:space="0" w:color="auto"/>
              <w:bottom w:val="single" w:sz="4" w:space="0" w:color="auto"/>
              <w:right w:val="single" w:sz="4" w:space="0" w:color="auto"/>
            </w:tcBorders>
          </w:tcPr>
          <w:p w14:paraId="6EA9CCCC"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163</w:t>
            </w:r>
          </w:p>
        </w:tc>
        <w:tc>
          <w:tcPr>
            <w:tcW w:w="622" w:type="dxa"/>
            <w:tcBorders>
              <w:top w:val="single" w:sz="4" w:space="0" w:color="auto"/>
              <w:left w:val="single" w:sz="4" w:space="0" w:color="auto"/>
              <w:bottom w:val="single" w:sz="4" w:space="0" w:color="auto"/>
              <w:right w:val="single" w:sz="4" w:space="0" w:color="auto"/>
            </w:tcBorders>
          </w:tcPr>
          <w:p w14:paraId="03228F12"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162</w:t>
            </w:r>
          </w:p>
        </w:tc>
        <w:tc>
          <w:tcPr>
            <w:tcW w:w="10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D76633" w14:textId="77777777" w:rsidR="0091759B" w:rsidRPr="00AB339D" w:rsidRDefault="0091759B" w:rsidP="002A55E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163</w:t>
            </w:r>
          </w:p>
        </w:tc>
      </w:tr>
      <w:tr w:rsidR="0091759B" w:rsidRPr="00D00EDC" w14:paraId="340E7287" w14:textId="77777777" w:rsidTr="00862002">
        <w:trPr>
          <w:trHeight w:val="544"/>
          <w:jc w:val="center"/>
        </w:trPr>
        <w:tc>
          <w:tcPr>
            <w:tcW w:w="1276" w:type="dxa"/>
            <w:tcBorders>
              <w:top w:val="single" w:sz="8"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610648C6" w14:textId="18388DFF" w:rsidR="0091759B" w:rsidRPr="00BC3FD3"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sz w:val="20"/>
                <w:highlight w:val="yellow"/>
                <w:lang w:eastAsia="zh-CN"/>
              </w:rPr>
            </w:pPr>
            <w:r>
              <w:rPr>
                <w:rFonts w:hint="eastAsia"/>
                <w:b/>
                <w:bCs/>
                <w:sz w:val="20"/>
                <w:lang w:eastAsia="zh-CN"/>
              </w:rPr>
              <w:t>总计</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2B4A9"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316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9A457"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354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27B7D"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373</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85B1B"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BD57A"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434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98BC7"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460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42D14"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245A8"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455</w:t>
            </w:r>
          </w:p>
        </w:tc>
        <w:tc>
          <w:tcPr>
            <w:tcW w:w="709" w:type="dxa"/>
            <w:tcBorders>
              <w:top w:val="single" w:sz="4" w:space="0" w:color="auto"/>
              <w:left w:val="single" w:sz="4" w:space="0" w:color="auto"/>
              <w:bottom w:val="single" w:sz="4" w:space="0" w:color="auto"/>
              <w:right w:val="single" w:sz="4" w:space="0" w:color="auto"/>
            </w:tcBorders>
            <w:hideMark/>
          </w:tcPr>
          <w:p w14:paraId="6A2745B9"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480</w:t>
            </w:r>
          </w:p>
        </w:tc>
        <w:tc>
          <w:tcPr>
            <w:tcW w:w="709" w:type="dxa"/>
            <w:tcBorders>
              <w:top w:val="single" w:sz="4" w:space="0" w:color="auto"/>
              <w:left w:val="single" w:sz="4" w:space="0" w:color="auto"/>
              <w:bottom w:val="single" w:sz="4" w:space="0" w:color="auto"/>
              <w:right w:val="single" w:sz="4" w:space="0" w:color="auto"/>
            </w:tcBorders>
          </w:tcPr>
          <w:p w14:paraId="7FAAC89C"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487</w:t>
            </w:r>
          </w:p>
        </w:tc>
        <w:tc>
          <w:tcPr>
            <w:tcW w:w="622" w:type="dxa"/>
            <w:tcBorders>
              <w:top w:val="single" w:sz="4" w:space="0" w:color="auto"/>
              <w:left w:val="single" w:sz="4" w:space="0" w:color="auto"/>
              <w:bottom w:val="single" w:sz="4" w:space="0" w:color="auto"/>
              <w:right w:val="single" w:sz="4" w:space="0" w:color="auto"/>
            </w:tcBorders>
          </w:tcPr>
          <w:p w14:paraId="55DEF2EB"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481</w:t>
            </w:r>
          </w:p>
        </w:tc>
        <w:tc>
          <w:tcPr>
            <w:tcW w:w="10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1A1116" w14:textId="77777777" w:rsidR="0091759B" w:rsidRPr="00AB339D" w:rsidRDefault="0091759B" w:rsidP="002A55E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cs="Calibri"/>
                <w:sz w:val="22"/>
                <w:szCs w:val="22"/>
                <w:lang w:eastAsia="zh-CN"/>
              </w:rPr>
            </w:pPr>
            <w:r w:rsidRPr="00AB339D">
              <w:rPr>
                <w:rFonts w:ascii="Calibri" w:hAnsi="Calibri" w:cs="Calibri"/>
                <w:sz w:val="22"/>
                <w:szCs w:val="22"/>
                <w:lang w:eastAsia="zh-CN"/>
              </w:rPr>
              <w:t>484</w:t>
            </w:r>
          </w:p>
        </w:tc>
      </w:tr>
    </w:tbl>
    <w:p w14:paraId="1D77459F" w14:textId="5AD58C6C" w:rsidR="00600AEC" w:rsidRDefault="00600AEC" w:rsidP="00EE5749">
      <w:pPr>
        <w:pStyle w:val="Heading1"/>
        <w:pageBreakBefore/>
        <w:rPr>
          <w:lang w:eastAsia="zh-CN"/>
        </w:rPr>
      </w:pPr>
      <w:r>
        <w:rPr>
          <w:rFonts w:hint="eastAsia"/>
          <w:lang w:eastAsia="zh-CN"/>
        </w:rPr>
        <w:lastRenderedPageBreak/>
        <w:t>3</w:t>
      </w:r>
      <w:r>
        <w:rPr>
          <w:lang w:eastAsia="zh-CN"/>
        </w:rPr>
        <w:tab/>
      </w:r>
      <w:r w:rsidR="007B58A6">
        <w:rPr>
          <w:rFonts w:hint="eastAsia"/>
          <w:lang w:eastAsia="zh-CN"/>
        </w:rPr>
        <w:t>20</w:t>
      </w:r>
      <w:r w:rsidR="00986559">
        <w:rPr>
          <w:rFonts w:hint="eastAsia"/>
          <w:lang w:eastAsia="zh-CN"/>
        </w:rPr>
        <w:t>20</w:t>
      </w:r>
      <w:r w:rsidR="007B58A6">
        <w:rPr>
          <w:rFonts w:hint="eastAsia"/>
          <w:lang w:eastAsia="zh-CN"/>
        </w:rPr>
        <w:t>年</w:t>
      </w:r>
      <w:r w:rsidR="00986559">
        <w:rPr>
          <w:rFonts w:hint="eastAsia"/>
          <w:lang w:eastAsia="zh-CN"/>
        </w:rPr>
        <w:t>-2021</w:t>
      </w:r>
      <w:r w:rsidR="00986559">
        <w:rPr>
          <w:rFonts w:hint="eastAsia"/>
          <w:lang w:eastAsia="zh-CN"/>
        </w:rPr>
        <w:t>年第一季度</w:t>
      </w:r>
      <w:r w:rsidR="008D71AF" w:rsidRPr="006C2561">
        <w:rPr>
          <w:rFonts w:hint="eastAsia"/>
          <w:lang w:eastAsia="zh-CN"/>
        </w:rPr>
        <w:t>部门</w:t>
      </w:r>
      <w:r w:rsidR="008D71AF" w:rsidRPr="006C2561">
        <w:rPr>
          <w:lang w:eastAsia="zh-CN"/>
        </w:rPr>
        <w:t>成员</w:t>
      </w:r>
      <w:r w:rsidR="007B58A6">
        <w:rPr>
          <w:rFonts w:hint="eastAsia"/>
          <w:lang w:eastAsia="zh-CN"/>
        </w:rPr>
        <w:t>和部门准成员</w:t>
      </w:r>
      <w:r w:rsidR="00520649">
        <w:rPr>
          <w:rFonts w:hint="eastAsia"/>
          <w:lang w:eastAsia="zh-CN"/>
        </w:rPr>
        <w:t>的情况</w:t>
      </w:r>
    </w:p>
    <w:p w14:paraId="22808CC9" w14:textId="6AF98274" w:rsidR="00094FC6" w:rsidRDefault="00001C2F" w:rsidP="004F06DC">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eastAsia="zh-CN"/>
        </w:rPr>
      </w:pPr>
      <w:r w:rsidRPr="001F58AB">
        <w:rPr>
          <w:rFonts w:ascii="Calibri" w:hAnsi="Calibri" w:hint="eastAsia"/>
          <w:szCs w:val="24"/>
          <w:lang w:eastAsia="zh-CN"/>
        </w:rPr>
        <w:t>在</w:t>
      </w:r>
      <w:r w:rsidRPr="001F58AB">
        <w:rPr>
          <w:rFonts w:ascii="Calibri" w:hAnsi="Calibri" w:hint="eastAsia"/>
          <w:szCs w:val="24"/>
          <w:lang w:eastAsia="zh-CN"/>
        </w:rPr>
        <w:t>2020</w:t>
      </w:r>
      <w:r w:rsidRPr="001F58AB">
        <w:rPr>
          <w:rFonts w:ascii="Calibri" w:hAnsi="Calibri" w:hint="eastAsia"/>
          <w:szCs w:val="24"/>
          <w:lang w:eastAsia="zh-CN"/>
        </w:rPr>
        <w:t>年，</w:t>
      </w:r>
      <w:r w:rsidRPr="001F58AB">
        <w:rPr>
          <w:rFonts w:ascii="Calibri" w:hAnsi="Calibri" w:hint="eastAsia"/>
          <w:szCs w:val="24"/>
          <w:lang w:eastAsia="zh-CN"/>
        </w:rPr>
        <w:t>ITU-D</w:t>
      </w:r>
      <w:r w:rsidRPr="001F58AB">
        <w:rPr>
          <w:rFonts w:ascii="Calibri" w:hAnsi="Calibri" w:hint="eastAsia"/>
          <w:szCs w:val="24"/>
          <w:lang w:eastAsia="zh-CN"/>
        </w:rPr>
        <w:t>吸</w:t>
      </w:r>
      <w:r>
        <w:rPr>
          <w:rFonts w:ascii="Calibri" w:hAnsi="Calibri" w:hint="eastAsia"/>
          <w:szCs w:val="24"/>
          <w:lang w:eastAsia="zh-CN"/>
        </w:rPr>
        <w:t>收</w:t>
      </w:r>
      <w:r w:rsidRPr="001F58AB">
        <w:rPr>
          <w:rFonts w:ascii="Calibri" w:hAnsi="Calibri" w:hint="eastAsia"/>
          <w:szCs w:val="24"/>
          <w:lang w:eastAsia="zh-CN"/>
        </w:rPr>
        <w:t>了</w:t>
      </w:r>
      <w:r w:rsidRPr="00001C2F">
        <w:rPr>
          <w:rFonts w:ascii="STKaiti" w:eastAsia="STKaiti" w:hAnsi="STKaiti" w:hint="eastAsia"/>
          <w:b/>
          <w:bCs/>
          <w:szCs w:val="24"/>
          <w:lang w:eastAsia="zh-CN"/>
        </w:rPr>
        <w:t>10个新的部门成员</w:t>
      </w:r>
      <w:r>
        <w:rPr>
          <w:rFonts w:ascii="Calibri" w:hAnsi="Calibri" w:hint="eastAsia"/>
          <w:szCs w:val="24"/>
          <w:lang w:eastAsia="zh-CN"/>
        </w:rPr>
        <w:t>：</w:t>
      </w:r>
      <w:r w:rsidR="001F58AB" w:rsidRPr="001F58AB">
        <w:rPr>
          <w:rFonts w:ascii="Calibri" w:hAnsi="Calibri" w:hint="eastAsia"/>
          <w:szCs w:val="24"/>
          <w:lang w:eastAsia="zh-CN"/>
        </w:rPr>
        <w:t>非洲网络信息中心有限公司（毛里求斯）、美国互联网号码注册</w:t>
      </w:r>
      <w:r w:rsidR="00573B41">
        <w:rPr>
          <w:rFonts w:ascii="Calibri" w:hAnsi="Calibri" w:hint="eastAsia"/>
          <w:szCs w:val="24"/>
          <w:lang w:eastAsia="zh-CN"/>
        </w:rPr>
        <w:t>机构</w:t>
      </w:r>
      <w:r w:rsidR="001F58AB" w:rsidRPr="001F58AB">
        <w:rPr>
          <w:rFonts w:ascii="Calibri" w:hAnsi="Calibri" w:hint="eastAsia"/>
          <w:szCs w:val="24"/>
          <w:lang w:eastAsia="zh-CN"/>
        </w:rPr>
        <w:t>（美国）、</w:t>
      </w:r>
      <w:proofErr w:type="spellStart"/>
      <w:r w:rsidR="001F58AB" w:rsidRPr="001F58AB">
        <w:rPr>
          <w:rFonts w:ascii="Calibri" w:hAnsi="Calibri" w:hint="eastAsia"/>
          <w:szCs w:val="24"/>
          <w:lang w:eastAsia="zh-CN"/>
        </w:rPr>
        <w:t>Bitsight</w:t>
      </w:r>
      <w:proofErr w:type="spellEnd"/>
      <w:r w:rsidR="006E106D">
        <w:rPr>
          <w:rFonts w:ascii="Calibri" w:hAnsi="Calibri" w:hint="eastAsia"/>
          <w:szCs w:val="24"/>
          <w:lang w:eastAsia="zh-CN"/>
        </w:rPr>
        <w:t>技术</w:t>
      </w:r>
      <w:r w:rsidR="00573B41">
        <w:rPr>
          <w:rFonts w:ascii="Calibri" w:hAnsi="Calibri" w:hint="eastAsia"/>
          <w:szCs w:val="24"/>
          <w:lang w:eastAsia="zh-CN"/>
        </w:rPr>
        <w:t>公司</w:t>
      </w:r>
      <w:r w:rsidR="001F58AB" w:rsidRPr="001F58AB">
        <w:rPr>
          <w:rFonts w:ascii="Calibri" w:hAnsi="Calibri" w:hint="eastAsia"/>
          <w:szCs w:val="24"/>
          <w:lang w:eastAsia="zh-CN"/>
        </w:rPr>
        <w:t>（美国）、国际移动卫星组织（英国）、</w:t>
      </w:r>
      <w:r w:rsidR="001F58AB" w:rsidRPr="001F58AB">
        <w:rPr>
          <w:rFonts w:ascii="Calibri" w:hAnsi="Calibri" w:hint="eastAsia"/>
          <w:szCs w:val="24"/>
          <w:lang w:eastAsia="zh-CN"/>
        </w:rPr>
        <w:t>KAMALEON</w:t>
      </w:r>
      <w:r w:rsidR="001F58AB" w:rsidRPr="001F58AB">
        <w:rPr>
          <w:rFonts w:ascii="Calibri" w:hAnsi="Calibri" w:hint="eastAsia"/>
          <w:szCs w:val="24"/>
          <w:lang w:eastAsia="zh-CN"/>
        </w:rPr>
        <w:t>（莫桑比克）、</w:t>
      </w:r>
      <w:proofErr w:type="spellStart"/>
      <w:r w:rsidR="001F58AB" w:rsidRPr="001F58AB">
        <w:rPr>
          <w:rFonts w:ascii="Calibri" w:hAnsi="Calibri" w:hint="eastAsia"/>
          <w:szCs w:val="24"/>
          <w:lang w:eastAsia="zh-CN"/>
        </w:rPr>
        <w:t>Polyverse</w:t>
      </w:r>
      <w:proofErr w:type="spellEnd"/>
      <w:r w:rsidR="00573B41">
        <w:rPr>
          <w:rFonts w:ascii="Calibri" w:hAnsi="Calibri" w:hint="eastAsia"/>
          <w:szCs w:val="24"/>
          <w:lang w:eastAsia="zh-CN"/>
        </w:rPr>
        <w:t>公司</w:t>
      </w:r>
      <w:r w:rsidR="001F58AB" w:rsidRPr="001F58AB">
        <w:rPr>
          <w:rFonts w:ascii="Calibri" w:hAnsi="Calibri" w:hint="eastAsia"/>
          <w:szCs w:val="24"/>
          <w:lang w:eastAsia="zh-CN"/>
        </w:rPr>
        <w:t>（美国）、</w:t>
      </w:r>
      <w:r w:rsidR="001F58AB" w:rsidRPr="001F58AB">
        <w:rPr>
          <w:rFonts w:ascii="Calibri" w:hAnsi="Calibri" w:hint="eastAsia"/>
          <w:szCs w:val="24"/>
          <w:lang w:eastAsia="zh-CN"/>
        </w:rPr>
        <w:t>SBA</w:t>
      </w:r>
      <w:r w:rsidR="00573B41">
        <w:rPr>
          <w:rFonts w:ascii="Calibri" w:hAnsi="Calibri" w:hint="eastAsia"/>
          <w:szCs w:val="24"/>
          <w:lang w:eastAsia="zh-CN"/>
        </w:rPr>
        <w:t>通信公司</w:t>
      </w:r>
      <w:r w:rsidR="001F58AB" w:rsidRPr="001F58AB">
        <w:rPr>
          <w:rFonts w:ascii="Calibri" w:hAnsi="Calibri" w:hint="eastAsia"/>
          <w:szCs w:val="24"/>
          <w:lang w:eastAsia="zh-CN"/>
        </w:rPr>
        <w:t>（美国）、</w:t>
      </w:r>
      <w:proofErr w:type="spellStart"/>
      <w:r w:rsidR="001F58AB" w:rsidRPr="001F58AB">
        <w:rPr>
          <w:rFonts w:ascii="Calibri" w:hAnsi="Calibri" w:hint="eastAsia"/>
          <w:szCs w:val="24"/>
          <w:lang w:eastAsia="zh-CN"/>
        </w:rPr>
        <w:t>Welchman</w:t>
      </w:r>
      <w:proofErr w:type="spellEnd"/>
      <w:r w:rsidR="001F58AB" w:rsidRPr="001F58AB">
        <w:rPr>
          <w:rFonts w:ascii="Calibri" w:hAnsi="Calibri" w:hint="eastAsia"/>
          <w:szCs w:val="24"/>
          <w:lang w:eastAsia="zh-CN"/>
        </w:rPr>
        <w:t xml:space="preserve"> Keen</w:t>
      </w:r>
      <w:r w:rsidR="00573B41">
        <w:rPr>
          <w:rFonts w:ascii="Calibri" w:hAnsi="Calibri" w:hint="eastAsia"/>
          <w:szCs w:val="24"/>
          <w:lang w:eastAsia="zh-CN"/>
        </w:rPr>
        <w:t>公司</w:t>
      </w:r>
      <w:r w:rsidR="001F58AB" w:rsidRPr="001F58AB">
        <w:rPr>
          <w:rFonts w:ascii="Calibri" w:hAnsi="Calibri" w:hint="eastAsia"/>
          <w:szCs w:val="24"/>
          <w:lang w:eastAsia="zh-CN"/>
        </w:rPr>
        <w:t>（新加坡）、无线世界研究论坛（瑞士）、</w:t>
      </w:r>
      <w:r w:rsidR="004F06DC" w:rsidRPr="004F06DC">
        <w:rPr>
          <w:rFonts w:ascii="Calibri" w:hAnsi="Calibri" w:hint="eastAsia"/>
          <w:szCs w:val="24"/>
          <w:lang w:eastAsia="zh-CN"/>
        </w:rPr>
        <w:t>拉丁美洲和加勒比地区互联网地址登记</w:t>
      </w:r>
      <w:r w:rsidR="004F06DC">
        <w:rPr>
          <w:rFonts w:ascii="Calibri" w:hAnsi="Calibri" w:hint="eastAsia"/>
          <w:szCs w:val="24"/>
          <w:lang w:eastAsia="zh-CN"/>
        </w:rPr>
        <w:t>注册机构</w:t>
      </w:r>
      <w:r w:rsidR="001F58AB" w:rsidRPr="001F58AB">
        <w:rPr>
          <w:rFonts w:ascii="Calibri" w:hAnsi="Calibri" w:hint="eastAsia"/>
          <w:szCs w:val="24"/>
          <w:lang w:eastAsia="zh-CN"/>
        </w:rPr>
        <w:t>（乌拉圭）。</w:t>
      </w:r>
      <w:r w:rsidR="001F58AB" w:rsidRPr="001F58AB">
        <w:rPr>
          <w:rFonts w:ascii="Calibri" w:hAnsi="Calibri" w:hint="eastAsia"/>
          <w:szCs w:val="24"/>
          <w:lang w:eastAsia="zh-CN"/>
        </w:rPr>
        <w:t>ITU-D</w:t>
      </w:r>
      <w:r w:rsidR="001F58AB" w:rsidRPr="001F58AB">
        <w:rPr>
          <w:rFonts w:ascii="Calibri" w:hAnsi="Calibri" w:hint="eastAsia"/>
          <w:szCs w:val="24"/>
          <w:lang w:eastAsia="zh-CN"/>
        </w:rPr>
        <w:t>还吸</w:t>
      </w:r>
      <w:r>
        <w:rPr>
          <w:rFonts w:ascii="Calibri" w:hAnsi="Calibri" w:hint="eastAsia"/>
          <w:szCs w:val="24"/>
          <w:lang w:eastAsia="zh-CN"/>
        </w:rPr>
        <w:t>收</w:t>
      </w:r>
      <w:r w:rsidR="001F58AB" w:rsidRPr="001F58AB">
        <w:rPr>
          <w:rFonts w:ascii="Calibri" w:hAnsi="Calibri" w:hint="eastAsia"/>
          <w:szCs w:val="24"/>
          <w:lang w:eastAsia="zh-CN"/>
        </w:rPr>
        <w:t>了</w:t>
      </w:r>
      <w:r w:rsidR="001F58AB" w:rsidRPr="00001C2F">
        <w:rPr>
          <w:rFonts w:ascii="STKaiti" w:eastAsia="STKaiti" w:hAnsi="STKaiti" w:hint="eastAsia"/>
          <w:b/>
          <w:bCs/>
          <w:szCs w:val="24"/>
          <w:lang w:eastAsia="zh-CN"/>
        </w:rPr>
        <w:t>4个新的</w:t>
      </w:r>
      <w:r w:rsidRPr="00001C2F">
        <w:rPr>
          <w:rFonts w:ascii="STKaiti" w:eastAsia="STKaiti" w:hAnsi="STKaiti" w:hint="eastAsia"/>
          <w:b/>
          <w:bCs/>
          <w:szCs w:val="24"/>
          <w:lang w:eastAsia="zh-CN"/>
        </w:rPr>
        <w:t>部门准成员</w:t>
      </w:r>
      <w:r>
        <w:rPr>
          <w:rFonts w:ascii="Calibri" w:hAnsi="Calibri" w:hint="eastAsia"/>
          <w:szCs w:val="24"/>
          <w:lang w:eastAsia="zh-CN"/>
        </w:rPr>
        <w:t>：</w:t>
      </w:r>
      <w:proofErr w:type="spellStart"/>
      <w:r w:rsidR="001F58AB" w:rsidRPr="001F58AB">
        <w:rPr>
          <w:rFonts w:ascii="Calibri" w:hAnsi="Calibri" w:hint="eastAsia"/>
          <w:szCs w:val="24"/>
          <w:lang w:eastAsia="zh-CN"/>
        </w:rPr>
        <w:t>Almaahad</w:t>
      </w:r>
      <w:proofErr w:type="spellEnd"/>
      <w:r w:rsidR="001F58AB" w:rsidRPr="001F58AB">
        <w:rPr>
          <w:rFonts w:ascii="Calibri" w:hAnsi="Calibri" w:hint="eastAsia"/>
          <w:szCs w:val="24"/>
          <w:lang w:eastAsia="zh-CN"/>
        </w:rPr>
        <w:t xml:space="preserve"> </w:t>
      </w:r>
      <w:proofErr w:type="spellStart"/>
      <w:r w:rsidR="001F58AB" w:rsidRPr="001F58AB">
        <w:rPr>
          <w:rFonts w:ascii="Calibri" w:hAnsi="Calibri" w:hint="eastAsia"/>
          <w:szCs w:val="24"/>
          <w:lang w:eastAsia="zh-CN"/>
        </w:rPr>
        <w:t>Almutagadem</w:t>
      </w:r>
      <w:proofErr w:type="spellEnd"/>
      <w:r w:rsidR="001F58AB" w:rsidRPr="001F58AB">
        <w:rPr>
          <w:rFonts w:ascii="Calibri" w:hAnsi="Calibri" w:hint="eastAsia"/>
          <w:szCs w:val="24"/>
          <w:lang w:eastAsia="zh-CN"/>
        </w:rPr>
        <w:t>专业计算机培训中心（苏丹）、</w:t>
      </w:r>
      <w:r w:rsidR="001F58AB" w:rsidRPr="001F58AB">
        <w:rPr>
          <w:rFonts w:ascii="Calibri" w:hAnsi="Calibri" w:hint="eastAsia"/>
          <w:szCs w:val="24"/>
          <w:lang w:eastAsia="zh-CN"/>
        </w:rPr>
        <w:t>Just-ICT</w:t>
      </w:r>
      <w:r w:rsidR="001F58AB" w:rsidRPr="001F58AB">
        <w:rPr>
          <w:rFonts w:ascii="Calibri" w:hAnsi="Calibri" w:hint="eastAsia"/>
          <w:szCs w:val="24"/>
          <w:lang w:eastAsia="zh-CN"/>
        </w:rPr>
        <w:t>迪拜（阿联酋）、</w:t>
      </w:r>
      <w:r w:rsidR="001F58AB" w:rsidRPr="001F58AB">
        <w:rPr>
          <w:rFonts w:ascii="Calibri" w:hAnsi="Calibri" w:hint="eastAsia"/>
          <w:szCs w:val="24"/>
          <w:lang w:eastAsia="zh-CN"/>
        </w:rPr>
        <w:t>OISTE</w:t>
      </w:r>
      <w:r w:rsidR="001F58AB" w:rsidRPr="001F58AB">
        <w:rPr>
          <w:rFonts w:ascii="Calibri" w:hAnsi="Calibri" w:hint="eastAsia"/>
          <w:szCs w:val="24"/>
          <w:lang w:eastAsia="zh-CN"/>
        </w:rPr>
        <w:t>基金会（瑞士）、技术</w:t>
      </w:r>
      <w:r w:rsidR="004F06DC">
        <w:rPr>
          <w:rFonts w:ascii="Calibri" w:hAnsi="Calibri" w:hint="eastAsia"/>
          <w:szCs w:val="24"/>
          <w:lang w:eastAsia="zh-CN"/>
        </w:rPr>
        <w:t>促进机构</w:t>
      </w:r>
      <w:r w:rsidR="001F58AB" w:rsidRPr="001F58AB">
        <w:rPr>
          <w:rFonts w:ascii="Calibri" w:hAnsi="Calibri" w:hint="eastAsia"/>
          <w:szCs w:val="24"/>
          <w:lang w:eastAsia="zh-CN"/>
        </w:rPr>
        <w:t>（刚果民主共和国）。</w:t>
      </w:r>
    </w:p>
    <w:p w14:paraId="38A5B397" w14:textId="50A545D0" w:rsidR="00094FC6" w:rsidRDefault="00D86EC6" w:rsidP="00C20CD4">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eastAsia="zh-CN"/>
        </w:rPr>
      </w:pPr>
      <w:r w:rsidRPr="00D86EC6">
        <w:rPr>
          <w:rFonts w:ascii="Calibri" w:hAnsi="Calibri" w:hint="eastAsia"/>
          <w:szCs w:val="24"/>
          <w:lang w:eastAsia="zh-CN"/>
        </w:rPr>
        <w:t>在</w:t>
      </w:r>
      <w:r w:rsidRPr="00D86EC6">
        <w:rPr>
          <w:rFonts w:ascii="Calibri" w:hAnsi="Calibri" w:hint="eastAsia"/>
          <w:szCs w:val="24"/>
          <w:lang w:eastAsia="zh-CN"/>
        </w:rPr>
        <w:t>2021</w:t>
      </w:r>
      <w:r w:rsidRPr="00D86EC6">
        <w:rPr>
          <w:rFonts w:ascii="Calibri" w:hAnsi="Calibri" w:hint="eastAsia"/>
          <w:szCs w:val="24"/>
          <w:lang w:eastAsia="zh-CN"/>
        </w:rPr>
        <w:t>年第一季度，</w:t>
      </w:r>
      <w:r w:rsidRPr="00D86EC6">
        <w:rPr>
          <w:rFonts w:ascii="Calibri" w:hAnsi="Calibri" w:hint="eastAsia"/>
          <w:szCs w:val="24"/>
          <w:lang w:eastAsia="zh-CN"/>
        </w:rPr>
        <w:t>ITU-D</w:t>
      </w:r>
      <w:r w:rsidRPr="00D86EC6">
        <w:rPr>
          <w:rFonts w:ascii="Calibri" w:hAnsi="Calibri" w:hint="eastAsia"/>
          <w:szCs w:val="24"/>
          <w:lang w:eastAsia="zh-CN"/>
        </w:rPr>
        <w:t>已经吸</w:t>
      </w:r>
      <w:r w:rsidR="004F06DC">
        <w:rPr>
          <w:rFonts w:ascii="Calibri" w:hAnsi="Calibri" w:hint="eastAsia"/>
          <w:szCs w:val="24"/>
          <w:lang w:eastAsia="zh-CN"/>
        </w:rPr>
        <w:t>收</w:t>
      </w:r>
      <w:r w:rsidRPr="00D86EC6">
        <w:rPr>
          <w:rFonts w:ascii="Calibri" w:hAnsi="Calibri" w:hint="eastAsia"/>
          <w:szCs w:val="24"/>
          <w:lang w:eastAsia="zh-CN"/>
        </w:rPr>
        <w:t>了</w:t>
      </w:r>
      <w:r w:rsidRPr="004F06DC">
        <w:rPr>
          <w:rFonts w:ascii="STKaiti" w:eastAsia="STKaiti" w:hAnsi="STKaiti" w:hint="eastAsia"/>
          <w:b/>
          <w:bCs/>
          <w:szCs w:val="24"/>
          <w:lang w:eastAsia="zh-CN"/>
        </w:rPr>
        <w:t>4个新的部门成员</w:t>
      </w:r>
      <w:r w:rsidR="004F06DC">
        <w:rPr>
          <w:rFonts w:ascii="Calibri" w:hAnsi="Calibri" w:hint="eastAsia"/>
          <w:szCs w:val="24"/>
          <w:lang w:eastAsia="zh-CN"/>
        </w:rPr>
        <w:t>：</w:t>
      </w:r>
      <w:r w:rsidRPr="00D86EC6">
        <w:rPr>
          <w:rFonts w:ascii="Calibri" w:hAnsi="Calibri" w:hint="eastAsia"/>
          <w:szCs w:val="24"/>
          <w:lang w:eastAsia="zh-CN"/>
        </w:rPr>
        <w:t>Axon</w:t>
      </w:r>
      <w:r w:rsidR="004F06DC">
        <w:rPr>
          <w:rFonts w:ascii="Calibri" w:hAnsi="Calibri" w:hint="eastAsia"/>
          <w:szCs w:val="24"/>
          <w:lang w:eastAsia="zh-CN"/>
        </w:rPr>
        <w:t>伙伴集团</w:t>
      </w:r>
      <w:r w:rsidRPr="00D86EC6">
        <w:rPr>
          <w:rFonts w:ascii="Calibri" w:hAnsi="Calibri" w:hint="eastAsia"/>
          <w:szCs w:val="24"/>
          <w:lang w:eastAsia="zh-CN"/>
        </w:rPr>
        <w:t>（西班牙）、</w:t>
      </w:r>
      <w:r w:rsidRPr="00D86EC6">
        <w:rPr>
          <w:rFonts w:ascii="Calibri" w:hAnsi="Calibri" w:hint="eastAsia"/>
          <w:szCs w:val="24"/>
          <w:lang w:eastAsia="zh-CN"/>
        </w:rPr>
        <w:t>Deloitte</w:t>
      </w:r>
      <w:r w:rsidR="004F06DC">
        <w:rPr>
          <w:rFonts w:ascii="Calibri" w:hAnsi="Calibri" w:hint="eastAsia"/>
          <w:szCs w:val="24"/>
          <w:lang w:eastAsia="zh-CN"/>
        </w:rPr>
        <w:t>风险顾问公司</w:t>
      </w:r>
      <w:r w:rsidRPr="00D86EC6">
        <w:rPr>
          <w:rFonts w:ascii="Calibri" w:hAnsi="Calibri" w:hint="eastAsia"/>
          <w:szCs w:val="24"/>
          <w:lang w:eastAsia="zh-CN"/>
        </w:rPr>
        <w:t>（意大利）、</w:t>
      </w:r>
      <w:r w:rsidR="004F06DC">
        <w:rPr>
          <w:rFonts w:ascii="Calibri" w:hAnsi="Calibri" w:hint="eastAsia"/>
          <w:szCs w:val="24"/>
          <w:lang w:eastAsia="zh-CN"/>
        </w:rPr>
        <w:t>新泽西光纤交换</w:t>
      </w:r>
      <w:r w:rsidRPr="00D86EC6">
        <w:rPr>
          <w:rFonts w:ascii="Calibri" w:hAnsi="Calibri" w:hint="eastAsia"/>
          <w:szCs w:val="24"/>
          <w:lang w:eastAsia="zh-CN"/>
        </w:rPr>
        <w:t>（美国）和</w:t>
      </w:r>
      <w:r w:rsidR="004F06DC">
        <w:rPr>
          <w:rFonts w:ascii="Calibri" w:hAnsi="Calibri" w:hint="eastAsia"/>
          <w:szCs w:val="24"/>
          <w:lang w:eastAsia="zh-CN"/>
        </w:rPr>
        <w:t>安全联盟有限公司</w:t>
      </w:r>
      <w:r w:rsidRPr="00D86EC6">
        <w:rPr>
          <w:rFonts w:ascii="Calibri" w:hAnsi="Calibri" w:hint="eastAsia"/>
          <w:szCs w:val="24"/>
          <w:lang w:eastAsia="zh-CN"/>
        </w:rPr>
        <w:t>（英国）。此外，</w:t>
      </w:r>
      <w:r w:rsidRPr="004F06DC">
        <w:rPr>
          <w:rFonts w:ascii="STKaiti" w:eastAsia="STKaiti" w:hAnsi="STKaiti" w:hint="eastAsia"/>
          <w:b/>
          <w:bCs/>
          <w:szCs w:val="24"/>
          <w:lang w:eastAsia="zh-CN"/>
        </w:rPr>
        <w:t>5个新的部门成员</w:t>
      </w:r>
      <w:r w:rsidRPr="00D86EC6">
        <w:rPr>
          <w:rFonts w:ascii="Calibri" w:hAnsi="Calibri" w:hint="eastAsia"/>
          <w:szCs w:val="24"/>
          <w:lang w:eastAsia="zh-CN"/>
        </w:rPr>
        <w:t>正在完成加入程序，将在第二季度成为正式成员。</w:t>
      </w:r>
    </w:p>
    <w:p w14:paraId="7A35F3D5" w14:textId="263F83EA" w:rsidR="008D71AF" w:rsidRPr="00895832" w:rsidRDefault="00600AEC" w:rsidP="00600AEC">
      <w:pPr>
        <w:pStyle w:val="Heading2"/>
        <w:rPr>
          <w:lang w:eastAsia="zh-CN"/>
        </w:rPr>
      </w:pPr>
      <w:r>
        <w:rPr>
          <w:lang w:eastAsia="zh-CN"/>
        </w:rPr>
        <w:t>3.</w:t>
      </w:r>
      <w:r w:rsidR="00094FC6">
        <w:rPr>
          <w:lang w:eastAsia="zh-CN"/>
        </w:rPr>
        <w:t>1</w:t>
      </w:r>
      <w:r>
        <w:rPr>
          <w:lang w:eastAsia="zh-CN"/>
        </w:rPr>
        <w:tab/>
      </w:r>
      <w:r w:rsidR="00520649">
        <w:rPr>
          <w:rFonts w:hint="eastAsia"/>
          <w:lang w:eastAsia="zh-CN"/>
        </w:rPr>
        <w:t>20</w:t>
      </w:r>
      <w:r w:rsidR="00C20CD4">
        <w:rPr>
          <w:rFonts w:hint="eastAsia"/>
          <w:lang w:eastAsia="zh-CN"/>
        </w:rPr>
        <w:t>20</w:t>
      </w:r>
      <w:r w:rsidR="00520649">
        <w:rPr>
          <w:rFonts w:hint="eastAsia"/>
          <w:lang w:eastAsia="zh-CN"/>
        </w:rPr>
        <w:t>年</w:t>
      </w:r>
      <w:r w:rsidR="008D71AF">
        <w:rPr>
          <w:rFonts w:hint="eastAsia"/>
          <w:lang w:eastAsia="zh-CN"/>
        </w:rPr>
        <w:t>学术成员的</w:t>
      </w:r>
      <w:r w:rsidR="008D71AF" w:rsidRPr="006C2561">
        <w:rPr>
          <w:lang w:eastAsia="zh-CN"/>
        </w:rPr>
        <w:t>情况</w:t>
      </w:r>
    </w:p>
    <w:p w14:paraId="02D83E0D" w14:textId="55F0618D" w:rsidR="00600AEC" w:rsidRDefault="005A4C3D" w:rsidP="00BF7966">
      <w:pPr>
        <w:ind w:firstLineChars="200" w:firstLine="480"/>
        <w:rPr>
          <w:lang w:eastAsia="zh-CN"/>
        </w:rPr>
      </w:pPr>
      <w:r>
        <w:rPr>
          <w:rFonts w:ascii="Calibri" w:eastAsia="SimSun" w:hAnsi="Calibri"/>
          <w:lang w:val="en-US" w:eastAsia="zh-CN"/>
        </w:rPr>
        <w:t>学术成员通过单一会费</w:t>
      </w:r>
      <w:r w:rsidR="00BF7966">
        <w:rPr>
          <w:rFonts w:ascii="Calibri" w:eastAsia="SimSun" w:hAnsi="Calibri"/>
          <w:lang w:val="en-US" w:eastAsia="zh-CN"/>
        </w:rPr>
        <w:t>参</w:t>
      </w:r>
      <w:r w:rsidR="00BF7966">
        <w:rPr>
          <w:rFonts w:ascii="Calibri" w:eastAsia="SimSun" w:hAnsi="Calibri" w:hint="eastAsia"/>
          <w:lang w:val="en-US" w:eastAsia="zh-CN"/>
        </w:rPr>
        <w:t>与国际电</w:t>
      </w:r>
      <w:proofErr w:type="gramStart"/>
      <w:r w:rsidR="00BF7966">
        <w:rPr>
          <w:rFonts w:ascii="Calibri" w:eastAsia="SimSun" w:hAnsi="Calibri" w:hint="eastAsia"/>
          <w:lang w:val="en-US" w:eastAsia="zh-CN"/>
        </w:rPr>
        <w:t>联全部</w:t>
      </w:r>
      <w:proofErr w:type="gramEnd"/>
      <w:r w:rsidR="00BF7966">
        <w:rPr>
          <w:rFonts w:ascii="Calibri" w:eastAsia="SimSun" w:hAnsi="Calibri" w:hint="eastAsia"/>
          <w:lang w:val="en-US" w:eastAsia="zh-CN"/>
        </w:rPr>
        <w:t>三个</w:t>
      </w:r>
      <w:r w:rsidR="00600AEC" w:rsidRPr="00947C96">
        <w:rPr>
          <w:rFonts w:ascii="Calibri" w:eastAsia="SimSun" w:hAnsi="Calibri"/>
          <w:lang w:val="en-US" w:eastAsia="zh-CN"/>
        </w:rPr>
        <w:t>部门</w:t>
      </w:r>
      <w:r>
        <w:rPr>
          <w:rFonts w:ascii="Calibri" w:eastAsia="SimSun" w:hAnsi="Calibri" w:hint="eastAsia"/>
          <w:lang w:val="en-US" w:eastAsia="zh-CN"/>
        </w:rPr>
        <w:t>的</w:t>
      </w:r>
      <w:r w:rsidR="00600AEC" w:rsidRPr="00947C96">
        <w:rPr>
          <w:rFonts w:ascii="Calibri" w:eastAsia="SimSun" w:hAnsi="Calibri"/>
          <w:lang w:val="en-US" w:eastAsia="zh-CN"/>
        </w:rPr>
        <w:t>工作</w:t>
      </w:r>
      <w:r w:rsidR="00BF7966">
        <w:rPr>
          <w:rFonts w:ascii="Calibri" w:eastAsia="SimSun" w:hAnsi="Calibri"/>
          <w:lang w:val="en-US" w:eastAsia="zh-CN"/>
        </w:rPr>
        <w:t>。</w:t>
      </w:r>
      <w:r w:rsidR="00BF7966" w:rsidRPr="00BF7966">
        <w:rPr>
          <w:rFonts w:ascii="Calibri" w:eastAsia="SimSun" w:hAnsi="Calibri" w:hint="eastAsia"/>
          <w:lang w:val="en-US" w:eastAsia="zh-CN"/>
        </w:rPr>
        <w:t>自</w:t>
      </w:r>
      <w:r w:rsidR="00BF7966" w:rsidRPr="00BF7966">
        <w:rPr>
          <w:rFonts w:ascii="Calibri" w:eastAsia="SimSun" w:hAnsi="Calibri" w:hint="eastAsia"/>
          <w:lang w:val="en-US" w:eastAsia="zh-CN"/>
        </w:rPr>
        <w:t>2011</w:t>
      </w:r>
      <w:r w:rsidR="00BF7966" w:rsidRPr="00BF7966">
        <w:rPr>
          <w:rFonts w:ascii="Calibri" w:eastAsia="SimSun" w:hAnsi="Calibri" w:hint="eastAsia"/>
          <w:lang w:val="en-US" w:eastAsia="zh-CN"/>
        </w:rPr>
        <w:t>年以来，已有</w:t>
      </w:r>
      <w:r w:rsidR="00BF7966" w:rsidRPr="00BF7966">
        <w:rPr>
          <w:rFonts w:ascii="Calibri" w:eastAsia="SimSun" w:hAnsi="Calibri" w:hint="eastAsia"/>
          <w:lang w:val="en-US" w:eastAsia="zh-CN"/>
        </w:rPr>
        <w:t>2</w:t>
      </w:r>
      <w:r w:rsidR="00C20CD4">
        <w:rPr>
          <w:rFonts w:ascii="Calibri" w:eastAsia="SimSun" w:hAnsi="Calibri" w:hint="eastAsia"/>
          <w:lang w:val="en-US" w:eastAsia="zh-CN"/>
        </w:rPr>
        <w:t>2</w:t>
      </w:r>
      <w:r w:rsidR="00BF7966" w:rsidRPr="00BF7966">
        <w:rPr>
          <w:rFonts w:ascii="Calibri" w:eastAsia="SimSun" w:hAnsi="Calibri" w:hint="eastAsia"/>
          <w:lang w:val="en-US" w:eastAsia="zh-CN"/>
        </w:rPr>
        <w:t>0</w:t>
      </w:r>
      <w:r w:rsidR="00BF7966">
        <w:rPr>
          <w:rFonts w:ascii="Calibri" w:eastAsia="SimSun" w:hAnsi="Calibri" w:hint="eastAsia"/>
          <w:lang w:val="en-US" w:eastAsia="zh-CN"/>
        </w:rPr>
        <w:t>多位学术成员</w:t>
      </w:r>
      <w:r w:rsidR="0067445D">
        <w:rPr>
          <w:rFonts w:ascii="Calibri" w:eastAsia="SimSun" w:hAnsi="Calibri" w:hint="eastAsia"/>
          <w:lang w:val="en-US" w:eastAsia="zh-CN"/>
        </w:rPr>
        <w:t>加入了国际电联。</w:t>
      </w:r>
      <w:r w:rsidR="00BF7966" w:rsidRPr="00BF7966">
        <w:rPr>
          <w:rFonts w:ascii="Calibri" w:eastAsia="SimSun" w:hAnsi="Calibri" w:hint="eastAsia"/>
          <w:lang w:val="en-US" w:eastAsia="zh-CN"/>
        </w:rPr>
        <w:t>在</w:t>
      </w:r>
      <w:r w:rsidR="00BF7966" w:rsidRPr="00BF7966">
        <w:rPr>
          <w:rFonts w:ascii="Calibri" w:eastAsia="SimSun" w:hAnsi="Calibri" w:hint="eastAsia"/>
          <w:lang w:val="en-US" w:eastAsia="zh-CN"/>
        </w:rPr>
        <w:t>20</w:t>
      </w:r>
      <w:r w:rsidR="00C20CD4">
        <w:rPr>
          <w:rFonts w:ascii="Calibri" w:eastAsia="SimSun" w:hAnsi="Calibri" w:hint="eastAsia"/>
          <w:lang w:val="en-US" w:eastAsia="zh-CN"/>
        </w:rPr>
        <w:t>20</w:t>
      </w:r>
      <w:r w:rsidR="00BF7966" w:rsidRPr="00BF7966">
        <w:rPr>
          <w:rFonts w:ascii="Calibri" w:eastAsia="SimSun" w:hAnsi="Calibri" w:hint="eastAsia"/>
          <w:lang w:val="en-US" w:eastAsia="zh-CN"/>
        </w:rPr>
        <w:t>年，通过总秘书处的协调努力，</w:t>
      </w:r>
      <w:r w:rsidR="00BF7966">
        <w:rPr>
          <w:rFonts w:ascii="Calibri" w:eastAsia="SimSun" w:hAnsi="Calibri" w:hint="eastAsia"/>
          <w:lang w:val="en-US" w:eastAsia="zh-CN"/>
        </w:rPr>
        <w:t>有</w:t>
      </w:r>
      <w:r w:rsidR="00BF7966" w:rsidRPr="00AE3606">
        <w:rPr>
          <w:rFonts w:ascii="STKaiti" w:eastAsia="STKaiti" w:hAnsi="STKaiti" w:hint="eastAsia"/>
          <w:b/>
          <w:bCs/>
          <w:lang w:val="en-US" w:eastAsia="zh-CN"/>
        </w:rPr>
        <w:t>2</w:t>
      </w:r>
      <w:r w:rsidR="00C20CD4">
        <w:rPr>
          <w:rFonts w:ascii="STKaiti" w:eastAsia="STKaiti" w:hAnsi="STKaiti" w:hint="eastAsia"/>
          <w:b/>
          <w:bCs/>
          <w:lang w:val="en-US" w:eastAsia="zh-CN"/>
        </w:rPr>
        <w:t>6</w:t>
      </w:r>
      <w:r w:rsidR="00BF7966" w:rsidRPr="00AE3606">
        <w:rPr>
          <w:rFonts w:ascii="STKaiti" w:eastAsia="STKaiti" w:hAnsi="STKaiti" w:hint="eastAsia"/>
          <w:b/>
          <w:bCs/>
          <w:lang w:val="en-US" w:eastAsia="zh-CN"/>
        </w:rPr>
        <w:t>位新的学术成员</w:t>
      </w:r>
      <w:r w:rsidR="00BF7966" w:rsidRPr="00AE3606">
        <w:rPr>
          <w:rFonts w:asciiTheme="minorEastAsia" w:hAnsiTheme="minorEastAsia" w:hint="eastAsia"/>
          <w:lang w:val="en-US" w:eastAsia="zh-CN"/>
        </w:rPr>
        <w:t>加入了国际电联的三个部门</w:t>
      </w:r>
      <w:r w:rsidR="00094FC6">
        <w:rPr>
          <w:rStyle w:val="FootnoteReference"/>
          <w:szCs w:val="24"/>
        </w:rPr>
        <w:footnoteReference w:id="5"/>
      </w:r>
      <w:r w:rsidR="00EE5749">
        <w:rPr>
          <w:rFonts w:hint="eastAsia"/>
          <w:lang w:eastAsia="zh-CN"/>
        </w:rPr>
        <w:t>。</w:t>
      </w:r>
    </w:p>
    <w:p w14:paraId="21036AD3" w14:textId="5DFAF100" w:rsidR="00094FC6" w:rsidRPr="00094FC6" w:rsidRDefault="00094FC6" w:rsidP="00094FC6">
      <w:pPr>
        <w:pStyle w:val="Heading1"/>
        <w:rPr>
          <w:lang w:eastAsia="zh-CN"/>
        </w:rPr>
      </w:pPr>
      <w:r w:rsidRPr="00094FC6">
        <w:rPr>
          <w:lang w:eastAsia="zh-CN"/>
        </w:rPr>
        <w:t>4</w:t>
      </w:r>
      <w:r w:rsidRPr="00094FC6">
        <w:rPr>
          <w:lang w:eastAsia="zh-CN"/>
        </w:rPr>
        <w:tab/>
      </w:r>
      <w:r w:rsidR="001E1C17" w:rsidRPr="001E1C17">
        <w:rPr>
          <w:rFonts w:hint="eastAsia"/>
          <w:lang w:eastAsia="zh-CN"/>
        </w:rPr>
        <w:t>有效吸引</w:t>
      </w:r>
      <w:r w:rsidR="001E1C17" w:rsidRPr="001E1C17">
        <w:rPr>
          <w:rFonts w:hint="eastAsia"/>
          <w:lang w:eastAsia="zh-CN"/>
        </w:rPr>
        <w:t>ITU-D</w:t>
      </w:r>
      <w:r w:rsidR="001E1C17" w:rsidRPr="001E1C17">
        <w:rPr>
          <w:rFonts w:hint="eastAsia"/>
          <w:lang w:eastAsia="zh-CN"/>
        </w:rPr>
        <w:t>成员的关键行动</w:t>
      </w:r>
    </w:p>
    <w:p w14:paraId="1B25DE9F" w14:textId="16B59E99" w:rsidR="00094FC6" w:rsidRDefault="001E1C17" w:rsidP="00825F06">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eastAsia="zh-CN"/>
        </w:rPr>
      </w:pPr>
      <w:r w:rsidRPr="001E1C17">
        <w:rPr>
          <w:rFonts w:ascii="Calibri" w:hAnsi="Calibri" w:hint="eastAsia"/>
          <w:szCs w:val="24"/>
          <w:lang w:eastAsia="zh-CN"/>
        </w:rPr>
        <w:t>目前正在实施的</w:t>
      </w:r>
      <w:r w:rsidRPr="001E1C17">
        <w:rPr>
          <w:rFonts w:ascii="Calibri" w:hAnsi="Calibri" w:hint="eastAsia"/>
          <w:szCs w:val="24"/>
          <w:lang w:eastAsia="zh-CN"/>
        </w:rPr>
        <w:t>ITU-D</w:t>
      </w:r>
      <w:r w:rsidRPr="001E1C17">
        <w:rPr>
          <w:rFonts w:ascii="Calibri" w:hAnsi="Calibri" w:hint="eastAsia"/>
          <w:szCs w:val="24"/>
          <w:lang w:eastAsia="zh-CN"/>
        </w:rPr>
        <w:t>成员战略方法是基于两条明确的影响途径：更广泛的成员推广和</w:t>
      </w:r>
      <w:r w:rsidR="004E3330">
        <w:rPr>
          <w:rFonts w:ascii="Calibri" w:hAnsi="Calibri" w:hint="eastAsia"/>
          <w:szCs w:val="24"/>
          <w:lang w:eastAsia="zh-CN"/>
        </w:rPr>
        <w:t>提高</w:t>
      </w:r>
      <w:r w:rsidRPr="001E1C17">
        <w:rPr>
          <w:rFonts w:ascii="Calibri" w:hAnsi="Calibri" w:hint="eastAsia"/>
          <w:szCs w:val="24"/>
          <w:lang w:eastAsia="zh-CN"/>
        </w:rPr>
        <w:t>对</w:t>
      </w:r>
      <w:r w:rsidRPr="001E1C17">
        <w:rPr>
          <w:rFonts w:ascii="Calibri" w:hAnsi="Calibri" w:hint="eastAsia"/>
          <w:szCs w:val="24"/>
          <w:lang w:eastAsia="zh-CN"/>
        </w:rPr>
        <w:t>ITU-D</w:t>
      </w:r>
      <w:r w:rsidRPr="001E1C17">
        <w:rPr>
          <w:rFonts w:ascii="Calibri" w:hAnsi="Calibri" w:hint="eastAsia"/>
          <w:szCs w:val="24"/>
          <w:lang w:eastAsia="zh-CN"/>
        </w:rPr>
        <w:t>工作的参与。除了纳入基于结果的管理方法外，它还包括与项目和伙伴关系战略和计划、</w:t>
      </w:r>
      <w:r w:rsidRPr="001E1C17">
        <w:rPr>
          <w:rFonts w:ascii="Calibri" w:hAnsi="Calibri" w:hint="eastAsia"/>
          <w:szCs w:val="24"/>
          <w:lang w:eastAsia="zh-CN"/>
        </w:rPr>
        <w:t>BDT</w:t>
      </w:r>
      <w:r w:rsidRPr="001E1C17">
        <w:rPr>
          <w:rFonts w:ascii="Calibri" w:hAnsi="Calibri" w:hint="eastAsia"/>
          <w:szCs w:val="24"/>
          <w:lang w:eastAsia="zh-CN"/>
        </w:rPr>
        <w:t>内的</w:t>
      </w:r>
      <w:r w:rsidR="004E3330">
        <w:rPr>
          <w:rFonts w:ascii="Calibri" w:hAnsi="Calibri" w:hint="eastAsia"/>
          <w:szCs w:val="24"/>
          <w:lang w:eastAsia="zh-CN"/>
        </w:rPr>
        <w:t>市场</w:t>
      </w:r>
      <w:r w:rsidR="002E0F95">
        <w:rPr>
          <w:rFonts w:ascii="Calibri" w:hAnsi="Calibri" w:hint="eastAsia"/>
          <w:szCs w:val="24"/>
          <w:lang w:eastAsia="zh-CN"/>
        </w:rPr>
        <w:t>和通信团队以及总秘书处的</w:t>
      </w:r>
      <w:r w:rsidRPr="001E1C17">
        <w:rPr>
          <w:rFonts w:ascii="Calibri" w:hAnsi="Calibri" w:hint="eastAsia"/>
          <w:szCs w:val="24"/>
          <w:lang w:eastAsia="zh-CN"/>
        </w:rPr>
        <w:t>协同作用。此外，还</w:t>
      </w:r>
      <w:r w:rsidR="004E3330">
        <w:rPr>
          <w:rFonts w:ascii="Calibri" w:hAnsi="Calibri" w:hint="eastAsia"/>
          <w:szCs w:val="24"/>
          <w:lang w:eastAsia="zh-CN"/>
        </w:rPr>
        <w:t>有</w:t>
      </w:r>
      <w:r w:rsidRPr="001E1C17">
        <w:rPr>
          <w:rFonts w:ascii="Calibri" w:hAnsi="Calibri" w:hint="eastAsia"/>
          <w:szCs w:val="24"/>
          <w:lang w:eastAsia="zh-CN"/>
        </w:rPr>
        <w:t>具体行动</w:t>
      </w:r>
      <w:r w:rsidR="004E3330">
        <w:rPr>
          <w:rFonts w:ascii="Calibri" w:hAnsi="Calibri" w:hint="eastAsia"/>
          <w:szCs w:val="24"/>
          <w:lang w:eastAsia="zh-CN"/>
        </w:rPr>
        <w:t>进行</w:t>
      </w:r>
      <w:r w:rsidRPr="001E1C17">
        <w:rPr>
          <w:rFonts w:ascii="Calibri" w:hAnsi="Calibri" w:hint="eastAsia"/>
          <w:szCs w:val="24"/>
          <w:lang w:eastAsia="zh-CN"/>
        </w:rPr>
        <w:t>支持，以提高</w:t>
      </w:r>
      <w:r w:rsidR="004E3330">
        <w:rPr>
          <w:rFonts w:ascii="Calibri" w:hAnsi="Calibri"/>
          <w:szCs w:val="24"/>
          <w:lang w:eastAsia="zh-CN"/>
        </w:rPr>
        <w:t>BDT</w:t>
      </w:r>
      <w:r w:rsidRPr="001E1C17">
        <w:rPr>
          <w:rFonts w:ascii="Calibri" w:hAnsi="Calibri" w:hint="eastAsia"/>
          <w:szCs w:val="24"/>
          <w:lang w:eastAsia="zh-CN"/>
        </w:rPr>
        <w:t>工作人员的意识和能力</w:t>
      </w:r>
      <w:r w:rsidR="004E3330">
        <w:rPr>
          <w:rFonts w:ascii="Calibri" w:hAnsi="Calibri" w:hint="eastAsia"/>
          <w:szCs w:val="24"/>
          <w:lang w:eastAsia="zh-CN"/>
        </w:rPr>
        <w:t>建设</w:t>
      </w:r>
      <w:r w:rsidRPr="001E1C17">
        <w:rPr>
          <w:rFonts w:ascii="Calibri" w:hAnsi="Calibri" w:hint="eastAsia"/>
          <w:szCs w:val="24"/>
          <w:lang w:eastAsia="zh-CN"/>
        </w:rPr>
        <w:t>，以</w:t>
      </w:r>
      <w:r w:rsidR="00825F06">
        <w:rPr>
          <w:rFonts w:ascii="Calibri" w:hAnsi="Calibri" w:hint="eastAsia"/>
          <w:szCs w:val="24"/>
          <w:lang w:eastAsia="zh-CN"/>
        </w:rPr>
        <w:t>管理</w:t>
      </w:r>
      <w:r w:rsidRPr="001E1C17">
        <w:rPr>
          <w:rFonts w:ascii="Calibri" w:hAnsi="Calibri" w:hint="eastAsia"/>
          <w:szCs w:val="24"/>
          <w:lang w:eastAsia="zh-CN"/>
        </w:rPr>
        <w:t>、</w:t>
      </w:r>
      <w:r w:rsidR="00825F06">
        <w:rPr>
          <w:rFonts w:ascii="Calibri" w:hAnsi="Calibri" w:hint="eastAsia"/>
          <w:szCs w:val="24"/>
          <w:lang w:eastAsia="zh-CN"/>
        </w:rPr>
        <w:t>搜寻</w:t>
      </w:r>
      <w:r w:rsidRPr="001E1C17">
        <w:rPr>
          <w:rFonts w:ascii="Calibri" w:hAnsi="Calibri" w:hint="eastAsia"/>
          <w:szCs w:val="24"/>
          <w:lang w:eastAsia="zh-CN"/>
        </w:rPr>
        <w:t>、</w:t>
      </w:r>
      <w:r w:rsidR="00825F06">
        <w:rPr>
          <w:rFonts w:ascii="Calibri" w:hAnsi="Calibri" w:hint="eastAsia"/>
          <w:szCs w:val="24"/>
          <w:lang w:eastAsia="zh-CN"/>
        </w:rPr>
        <w:t>吸引</w:t>
      </w:r>
      <w:r w:rsidRPr="001E1C17">
        <w:rPr>
          <w:rFonts w:ascii="Calibri" w:hAnsi="Calibri" w:hint="eastAsia"/>
          <w:szCs w:val="24"/>
          <w:lang w:eastAsia="zh-CN"/>
        </w:rPr>
        <w:t>和留</w:t>
      </w:r>
      <w:r w:rsidR="006E106D">
        <w:rPr>
          <w:rFonts w:ascii="Calibri" w:hAnsi="Calibri" w:hint="eastAsia"/>
          <w:szCs w:val="24"/>
          <w:lang w:eastAsia="zh-CN"/>
        </w:rPr>
        <w:t>住</w:t>
      </w:r>
      <w:r w:rsidRPr="001E1C17">
        <w:rPr>
          <w:rFonts w:ascii="Calibri" w:hAnsi="Calibri" w:hint="eastAsia"/>
          <w:szCs w:val="24"/>
          <w:lang w:eastAsia="zh-CN"/>
        </w:rPr>
        <w:t>成员。</w:t>
      </w:r>
    </w:p>
    <w:p w14:paraId="16DA358F" w14:textId="6B4A1B8C" w:rsidR="00094FC6" w:rsidRDefault="001E1C17" w:rsidP="00825F06">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eastAsia="zh-CN"/>
        </w:rPr>
      </w:pPr>
      <w:r w:rsidRPr="001E1C17">
        <w:rPr>
          <w:rFonts w:ascii="Calibri" w:hAnsi="Calibri" w:hint="eastAsia"/>
          <w:szCs w:val="24"/>
          <w:lang w:eastAsia="zh-CN"/>
        </w:rPr>
        <w:t>在</w:t>
      </w:r>
      <w:r w:rsidR="00825F06">
        <w:rPr>
          <w:rFonts w:ascii="Calibri" w:hAnsi="Calibri" w:hint="eastAsia"/>
          <w:szCs w:val="24"/>
          <w:lang w:eastAsia="zh-CN"/>
        </w:rPr>
        <w:t>推广</w:t>
      </w:r>
      <w:r w:rsidRPr="001E1C17">
        <w:rPr>
          <w:rFonts w:ascii="Calibri" w:hAnsi="Calibri" w:hint="eastAsia"/>
          <w:szCs w:val="24"/>
          <w:lang w:eastAsia="zh-CN"/>
        </w:rPr>
        <w:t>影响方面，重点是更多地使用数字营销工具来评估、选择和确定</w:t>
      </w:r>
      <w:r w:rsidR="00A86DC1">
        <w:rPr>
          <w:rFonts w:ascii="Calibri" w:hAnsi="Calibri"/>
          <w:szCs w:val="24"/>
          <w:lang w:eastAsia="zh-CN"/>
        </w:rPr>
        <w:t>ICT</w:t>
      </w:r>
      <w:r w:rsidRPr="001E1C17">
        <w:rPr>
          <w:rFonts w:ascii="Calibri" w:hAnsi="Calibri" w:hint="eastAsia"/>
          <w:szCs w:val="24"/>
          <w:lang w:eastAsia="zh-CN"/>
        </w:rPr>
        <w:t>领域合格</w:t>
      </w:r>
      <w:r w:rsidR="00D06B35" w:rsidRPr="001E1C17">
        <w:rPr>
          <w:rFonts w:ascii="Calibri" w:hAnsi="Calibri" w:hint="eastAsia"/>
          <w:szCs w:val="24"/>
          <w:lang w:eastAsia="zh-CN"/>
        </w:rPr>
        <w:t>的</w:t>
      </w:r>
      <w:r w:rsidRPr="001E1C17">
        <w:rPr>
          <w:rFonts w:ascii="Calibri" w:hAnsi="Calibri" w:hint="eastAsia"/>
          <w:szCs w:val="24"/>
          <w:lang w:eastAsia="zh-CN"/>
        </w:rPr>
        <w:t>潜在实体，以及按行业细分</w:t>
      </w:r>
      <w:r w:rsidR="00D06B35">
        <w:rPr>
          <w:rFonts w:ascii="Calibri" w:hAnsi="Calibri" w:hint="eastAsia"/>
          <w:szCs w:val="24"/>
          <w:lang w:eastAsia="zh-CN"/>
        </w:rPr>
        <w:t>制定</w:t>
      </w:r>
      <w:r w:rsidRPr="001E1C17">
        <w:rPr>
          <w:rFonts w:ascii="Calibri" w:hAnsi="Calibri" w:hint="eastAsia"/>
          <w:szCs w:val="24"/>
          <w:lang w:eastAsia="zh-CN"/>
        </w:rPr>
        <w:t>潜在名单，针对这些</w:t>
      </w:r>
      <w:r w:rsidR="006E106D">
        <w:rPr>
          <w:rFonts w:ascii="Calibri" w:hAnsi="Calibri" w:hint="eastAsia"/>
          <w:szCs w:val="24"/>
          <w:lang w:eastAsia="zh-CN"/>
        </w:rPr>
        <w:t>团体</w:t>
      </w:r>
      <w:r w:rsidRPr="001E1C17">
        <w:rPr>
          <w:rFonts w:ascii="Calibri" w:hAnsi="Calibri" w:hint="eastAsia"/>
          <w:szCs w:val="24"/>
          <w:lang w:eastAsia="zh-CN"/>
        </w:rPr>
        <w:t>提供符合潜在兴趣的</w:t>
      </w:r>
      <w:r w:rsidR="00D06B35">
        <w:rPr>
          <w:rFonts w:ascii="Calibri" w:hAnsi="Calibri" w:hint="eastAsia"/>
          <w:szCs w:val="24"/>
          <w:lang w:eastAsia="zh-CN"/>
        </w:rPr>
        <w:t>宣传</w:t>
      </w:r>
      <w:r w:rsidRPr="001E1C17">
        <w:rPr>
          <w:rFonts w:ascii="Calibri" w:hAnsi="Calibri" w:hint="eastAsia"/>
          <w:szCs w:val="24"/>
          <w:lang w:eastAsia="zh-CN"/>
        </w:rPr>
        <w:t>内容，提高对</w:t>
      </w:r>
      <w:r w:rsidRPr="001E1C17">
        <w:rPr>
          <w:rFonts w:ascii="Calibri" w:hAnsi="Calibri" w:hint="eastAsia"/>
          <w:szCs w:val="24"/>
          <w:lang w:eastAsia="zh-CN"/>
        </w:rPr>
        <w:t>BDT</w:t>
      </w:r>
      <w:r w:rsidRPr="001E1C17">
        <w:rPr>
          <w:rFonts w:ascii="Calibri" w:hAnsi="Calibri" w:hint="eastAsia"/>
          <w:szCs w:val="24"/>
          <w:lang w:eastAsia="zh-CN"/>
        </w:rPr>
        <w:t>产品和服务的认识和兴趣，</w:t>
      </w:r>
      <w:r w:rsidR="00D06B35" w:rsidRPr="001E1C17">
        <w:rPr>
          <w:rFonts w:ascii="Calibri" w:hAnsi="Calibri" w:hint="eastAsia"/>
          <w:szCs w:val="24"/>
          <w:lang w:eastAsia="zh-CN"/>
        </w:rPr>
        <w:t>并</w:t>
      </w:r>
      <w:r w:rsidR="00D06B35">
        <w:rPr>
          <w:rFonts w:ascii="Calibri" w:hAnsi="Calibri" w:hint="eastAsia"/>
          <w:szCs w:val="24"/>
          <w:lang w:eastAsia="zh-CN"/>
        </w:rPr>
        <w:t>发展</w:t>
      </w:r>
      <w:r w:rsidR="00D80392">
        <w:rPr>
          <w:rFonts w:ascii="Calibri" w:hAnsi="Calibri" w:hint="eastAsia"/>
          <w:szCs w:val="24"/>
          <w:lang w:eastAsia="zh-CN"/>
        </w:rPr>
        <w:t>成员</w:t>
      </w:r>
      <w:r w:rsidR="00D06B35">
        <w:rPr>
          <w:rFonts w:ascii="Calibri" w:hAnsi="Calibri" w:hint="eastAsia"/>
          <w:szCs w:val="24"/>
          <w:lang w:eastAsia="zh-CN"/>
        </w:rPr>
        <w:t>感兴趣的</w:t>
      </w:r>
      <w:r w:rsidRPr="001E1C17">
        <w:rPr>
          <w:rFonts w:ascii="Calibri" w:hAnsi="Calibri" w:hint="eastAsia"/>
          <w:szCs w:val="24"/>
          <w:lang w:eastAsia="zh-CN"/>
        </w:rPr>
        <w:t>服务和机会，</w:t>
      </w:r>
      <w:r w:rsidR="00D06B35">
        <w:rPr>
          <w:rFonts w:ascii="Calibri" w:hAnsi="Calibri" w:hint="eastAsia"/>
          <w:szCs w:val="24"/>
          <w:lang w:eastAsia="zh-CN"/>
        </w:rPr>
        <w:t>从而</w:t>
      </w:r>
      <w:r w:rsidRPr="001E1C17">
        <w:rPr>
          <w:rFonts w:ascii="Calibri" w:hAnsi="Calibri" w:hint="eastAsia"/>
          <w:szCs w:val="24"/>
          <w:lang w:eastAsia="zh-CN"/>
        </w:rPr>
        <w:t>促进转化为新</w:t>
      </w:r>
      <w:r w:rsidR="00D80392">
        <w:rPr>
          <w:rFonts w:ascii="Calibri" w:hAnsi="Calibri" w:hint="eastAsia"/>
          <w:szCs w:val="24"/>
          <w:lang w:eastAsia="zh-CN"/>
        </w:rPr>
        <w:t>成员</w:t>
      </w:r>
      <w:r w:rsidRPr="001E1C17">
        <w:rPr>
          <w:rFonts w:ascii="Calibri" w:hAnsi="Calibri" w:hint="eastAsia"/>
          <w:szCs w:val="24"/>
          <w:lang w:eastAsia="zh-CN"/>
        </w:rPr>
        <w:t>。</w:t>
      </w:r>
    </w:p>
    <w:p w14:paraId="4C45607A" w14:textId="5A8A715D" w:rsidR="00094FC6" w:rsidRDefault="001E1C17" w:rsidP="00D06B35">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val="en-US" w:eastAsia="zh-CN"/>
        </w:rPr>
      </w:pPr>
      <w:r w:rsidRPr="001E1C17">
        <w:rPr>
          <w:rFonts w:ascii="Calibri" w:hAnsi="Calibri" w:hint="eastAsia"/>
          <w:szCs w:val="24"/>
          <w:lang w:val="en-US" w:eastAsia="zh-CN"/>
        </w:rPr>
        <w:t>自</w:t>
      </w:r>
      <w:r w:rsidRPr="001E1C17">
        <w:rPr>
          <w:rFonts w:ascii="Calibri" w:hAnsi="Calibri" w:hint="eastAsia"/>
          <w:szCs w:val="24"/>
          <w:lang w:val="en-US" w:eastAsia="zh-CN"/>
        </w:rPr>
        <w:t>2020</w:t>
      </w:r>
      <w:r w:rsidRPr="001E1C17">
        <w:rPr>
          <w:rFonts w:ascii="Calibri" w:hAnsi="Calibri" w:hint="eastAsia"/>
          <w:szCs w:val="24"/>
          <w:lang w:val="en-US" w:eastAsia="zh-CN"/>
        </w:rPr>
        <w:t>年以来，</w:t>
      </w:r>
      <w:r w:rsidR="00A9366B" w:rsidRPr="00D00EDC">
        <w:rPr>
          <w:rFonts w:ascii="Calibri" w:hAnsi="Calibri"/>
          <w:szCs w:val="24"/>
          <w:lang w:val="en-US" w:eastAsia="zh-CN"/>
        </w:rPr>
        <w:t>BDT</w:t>
      </w:r>
      <w:r w:rsidRPr="001E1C17">
        <w:rPr>
          <w:rFonts w:ascii="Calibri" w:hAnsi="Calibri" w:hint="eastAsia"/>
          <w:szCs w:val="24"/>
          <w:lang w:val="en-US" w:eastAsia="zh-CN"/>
        </w:rPr>
        <w:t>开展</w:t>
      </w:r>
      <w:r w:rsidR="00A9366B">
        <w:rPr>
          <w:rFonts w:ascii="Calibri" w:hAnsi="Calibri" w:hint="eastAsia"/>
          <w:szCs w:val="24"/>
          <w:lang w:val="en-US" w:eastAsia="zh-CN"/>
        </w:rPr>
        <w:t>了</w:t>
      </w:r>
      <w:r w:rsidRPr="001E1C17">
        <w:rPr>
          <w:rFonts w:ascii="Calibri" w:hAnsi="Calibri" w:hint="eastAsia"/>
          <w:szCs w:val="24"/>
          <w:lang w:val="en-US" w:eastAsia="zh-CN"/>
        </w:rPr>
        <w:t>一系列行动，旨在加强与</w:t>
      </w:r>
      <w:r w:rsidRPr="001E1C17">
        <w:rPr>
          <w:rFonts w:ascii="Calibri" w:hAnsi="Calibri" w:hint="eastAsia"/>
          <w:szCs w:val="24"/>
          <w:lang w:val="en-US" w:eastAsia="zh-CN"/>
        </w:rPr>
        <w:t>ITU-D</w:t>
      </w:r>
      <w:r w:rsidRPr="001E1C17">
        <w:rPr>
          <w:rFonts w:ascii="Calibri" w:hAnsi="Calibri" w:hint="eastAsia"/>
          <w:szCs w:val="24"/>
          <w:lang w:val="en-US" w:eastAsia="zh-CN"/>
        </w:rPr>
        <w:t>成员的接触以及</w:t>
      </w:r>
      <w:r w:rsidR="00A9366B">
        <w:rPr>
          <w:rFonts w:ascii="Calibri" w:hAnsi="Calibri" w:hint="eastAsia"/>
          <w:szCs w:val="24"/>
          <w:lang w:val="en-US" w:eastAsia="zh-CN"/>
        </w:rPr>
        <w:t>促进</w:t>
      </w:r>
      <w:r w:rsidRPr="001E1C17">
        <w:rPr>
          <w:rFonts w:ascii="Calibri" w:hAnsi="Calibri" w:hint="eastAsia"/>
          <w:szCs w:val="24"/>
          <w:lang w:val="en-US" w:eastAsia="zh-CN"/>
        </w:rPr>
        <w:t>他们对</w:t>
      </w:r>
      <w:r w:rsidR="00A9366B">
        <w:rPr>
          <w:rFonts w:ascii="Calibri" w:hAnsi="Calibri" w:hint="eastAsia"/>
          <w:szCs w:val="24"/>
          <w:lang w:val="en-US" w:eastAsia="zh-CN"/>
        </w:rPr>
        <w:t>本</w:t>
      </w:r>
      <w:r w:rsidRPr="001E1C17">
        <w:rPr>
          <w:rFonts w:ascii="Calibri" w:hAnsi="Calibri" w:hint="eastAsia"/>
          <w:szCs w:val="24"/>
          <w:lang w:val="en-US" w:eastAsia="zh-CN"/>
        </w:rPr>
        <w:t>部门活动和</w:t>
      </w:r>
      <w:r w:rsidR="00A9366B">
        <w:rPr>
          <w:rFonts w:ascii="Calibri" w:hAnsi="Calibri" w:hint="eastAsia"/>
          <w:szCs w:val="24"/>
          <w:lang w:val="en-US" w:eastAsia="zh-CN"/>
        </w:rPr>
        <w:t>计划</w:t>
      </w:r>
      <w:r w:rsidRPr="001E1C17">
        <w:rPr>
          <w:rFonts w:ascii="Calibri" w:hAnsi="Calibri" w:hint="eastAsia"/>
          <w:szCs w:val="24"/>
          <w:lang w:val="en-US" w:eastAsia="zh-CN"/>
        </w:rPr>
        <w:t>的参与。</w:t>
      </w:r>
    </w:p>
    <w:p w14:paraId="1C9304A2" w14:textId="7E28E415" w:rsidR="00094FC6" w:rsidRPr="00D00EDC" w:rsidRDefault="001E1C17" w:rsidP="00D06B35">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szCs w:val="24"/>
          <w:lang w:eastAsia="zh-CN"/>
        </w:rPr>
      </w:pPr>
      <w:r w:rsidRPr="001E1C17">
        <w:rPr>
          <w:rFonts w:ascii="Calibri" w:hAnsi="Calibri" w:hint="eastAsia"/>
          <w:szCs w:val="24"/>
          <w:lang w:eastAsia="zh-CN"/>
        </w:rPr>
        <w:t>在这方面，</w:t>
      </w:r>
      <w:r w:rsidR="00A9366B" w:rsidRPr="00D00EDC">
        <w:rPr>
          <w:rFonts w:ascii="Calibri" w:hAnsi="Calibri"/>
          <w:szCs w:val="24"/>
          <w:lang w:eastAsia="zh-CN"/>
        </w:rPr>
        <w:t>BDT</w:t>
      </w:r>
      <w:r w:rsidRPr="001E1C17">
        <w:rPr>
          <w:rFonts w:ascii="Calibri" w:hAnsi="Calibri" w:hint="eastAsia"/>
          <w:szCs w:val="24"/>
          <w:lang w:eastAsia="zh-CN"/>
        </w:rPr>
        <w:t>开展了以下工作</w:t>
      </w:r>
      <w:r>
        <w:rPr>
          <w:rFonts w:ascii="Calibri" w:hAnsi="Calibri" w:hint="eastAsia"/>
          <w:szCs w:val="24"/>
          <w:lang w:eastAsia="zh-CN"/>
        </w:rPr>
        <w:t>：</w:t>
      </w:r>
    </w:p>
    <w:p w14:paraId="4F258C4C" w14:textId="024341C4" w:rsidR="00094FC6" w:rsidRPr="002E7344" w:rsidRDefault="00094FC6" w:rsidP="00094FC6">
      <w:pPr>
        <w:pStyle w:val="enumlev1"/>
        <w:rPr>
          <w:rFonts w:cs="Calibri"/>
          <w:shd w:val="clear" w:color="auto" w:fill="FFFFFF"/>
          <w:lang w:eastAsia="zh-CN"/>
        </w:rPr>
      </w:pPr>
      <w:bookmarkStart w:id="10" w:name="OLE_LINK95"/>
      <w:bookmarkStart w:id="11" w:name="OLE_LINK96"/>
      <w:r>
        <w:rPr>
          <w:lang w:eastAsia="zh-CN"/>
        </w:rPr>
        <w:t>–</w:t>
      </w:r>
      <w:r>
        <w:rPr>
          <w:lang w:eastAsia="zh-CN"/>
        </w:rPr>
        <w:tab/>
      </w:r>
      <w:bookmarkEnd w:id="10"/>
      <w:bookmarkEnd w:id="11"/>
      <w:r w:rsidR="003E10FD" w:rsidRPr="003E10FD">
        <w:rPr>
          <w:rFonts w:cs="Calibri" w:hint="eastAsia"/>
          <w:b/>
          <w:bCs/>
          <w:shd w:val="clear" w:color="auto" w:fill="FFFFFF"/>
          <w:lang w:eastAsia="zh-CN"/>
        </w:rPr>
        <w:t>发展问题行业顾问组和私营部门首席监管官（</w:t>
      </w:r>
      <w:r w:rsidR="003E10FD" w:rsidRPr="003E10FD">
        <w:rPr>
          <w:rFonts w:cs="Calibri" w:hint="eastAsia"/>
          <w:b/>
          <w:bCs/>
          <w:shd w:val="clear" w:color="auto" w:fill="FFFFFF"/>
          <w:lang w:eastAsia="zh-CN"/>
        </w:rPr>
        <w:t>IAGDI-CRO</w:t>
      </w:r>
      <w:r w:rsidR="003E10FD" w:rsidRPr="003E10FD">
        <w:rPr>
          <w:rFonts w:cs="Calibri" w:hint="eastAsia"/>
          <w:b/>
          <w:bCs/>
          <w:shd w:val="clear" w:color="auto" w:fill="FFFFFF"/>
          <w:lang w:eastAsia="zh-CN"/>
        </w:rPr>
        <w:t>）</w:t>
      </w:r>
      <w:r w:rsidR="003E10FD" w:rsidRPr="001E1C17">
        <w:rPr>
          <w:rFonts w:hint="eastAsia"/>
          <w:lang w:eastAsia="zh-CN"/>
        </w:rPr>
        <w:t>于</w:t>
      </w:r>
      <w:r w:rsidR="003E10FD" w:rsidRPr="001E1C17">
        <w:rPr>
          <w:rFonts w:hint="eastAsia"/>
          <w:lang w:eastAsia="zh-CN"/>
        </w:rPr>
        <w:t>2020</w:t>
      </w:r>
      <w:r w:rsidR="003E10FD" w:rsidRPr="001E1C17">
        <w:rPr>
          <w:rFonts w:hint="eastAsia"/>
          <w:lang w:eastAsia="zh-CN"/>
        </w:rPr>
        <w:t>年</w:t>
      </w:r>
      <w:r w:rsidR="003E10FD" w:rsidRPr="001E1C17">
        <w:rPr>
          <w:rFonts w:hint="eastAsia"/>
          <w:lang w:eastAsia="zh-CN"/>
        </w:rPr>
        <w:t>8</w:t>
      </w:r>
      <w:r w:rsidR="003E10FD" w:rsidRPr="001E1C17">
        <w:rPr>
          <w:rFonts w:hint="eastAsia"/>
          <w:lang w:eastAsia="zh-CN"/>
        </w:rPr>
        <w:t>月</w:t>
      </w:r>
      <w:r w:rsidR="003E10FD" w:rsidRPr="001E1C17">
        <w:rPr>
          <w:rFonts w:hint="eastAsia"/>
          <w:lang w:eastAsia="zh-CN"/>
        </w:rPr>
        <w:t>31</w:t>
      </w:r>
      <w:r w:rsidR="003E10FD" w:rsidRPr="001E1C17">
        <w:rPr>
          <w:rFonts w:hint="eastAsia"/>
          <w:lang w:eastAsia="zh-CN"/>
        </w:rPr>
        <w:t>日举行</w:t>
      </w:r>
      <w:r w:rsidR="003E10FD">
        <w:rPr>
          <w:rFonts w:hint="eastAsia"/>
          <w:lang w:eastAsia="zh-CN"/>
        </w:rPr>
        <w:t>了</w:t>
      </w:r>
      <w:r w:rsidR="003E10FD" w:rsidRPr="001E1C17">
        <w:rPr>
          <w:rFonts w:hint="eastAsia"/>
          <w:lang w:eastAsia="zh-CN"/>
        </w:rPr>
        <w:t>会议，作为全球监管</w:t>
      </w:r>
      <w:r w:rsidR="00864351">
        <w:rPr>
          <w:rFonts w:hint="eastAsia"/>
          <w:lang w:eastAsia="zh-CN"/>
        </w:rPr>
        <w:t>机构专题</w:t>
      </w:r>
      <w:r w:rsidR="003E10FD" w:rsidRPr="001E1C17">
        <w:rPr>
          <w:rFonts w:hint="eastAsia"/>
          <w:lang w:eastAsia="zh-CN"/>
        </w:rPr>
        <w:t>研讨会（</w:t>
      </w:r>
      <w:r w:rsidR="003E10FD" w:rsidRPr="001E1C17">
        <w:rPr>
          <w:rFonts w:hint="eastAsia"/>
          <w:lang w:eastAsia="zh-CN"/>
        </w:rPr>
        <w:t>GSR-20</w:t>
      </w:r>
      <w:r w:rsidR="003E10FD" w:rsidRPr="001E1C17">
        <w:rPr>
          <w:rFonts w:hint="eastAsia"/>
          <w:lang w:eastAsia="zh-CN"/>
        </w:rPr>
        <w:t>）</w:t>
      </w:r>
      <w:r w:rsidR="00864351">
        <w:rPr>
          <w:rFonts w:hint="eastAsia"/>
          <w:lang w:eastAsia="zh-CN"/>
        </w:rPr>
        <w:t>召开前的</w:t>
      </w:r>
      <w:r w:rsidR="003E10FD" w:rsidRPr="001E1C17">
        <w:rPr>
          <w:rFonts w:hint="eastAsia"/>
          <w:lang w:eastAsia="zh-CN"/>
        </w:rPr>
        <w:t>虚拟</w:t>
      </w:r>
      <w:r w:rsidR="00864351">
        <w:rPr>
          <w:rFonts w:hint="eastAsia"/>
          <w:lang w:eastAsia="zh-CN"/>
        </w:rPr>
        <w:t>会议</w:t>
      </w:r>
      <w:r w:rsidR="003E10FD" w:rsidRPr="001E1C17">
        <w:rPr>
          <w:rFonts w:hint="eastAsia"/>
          <w:lang w:eastAsia="zh-CN"/>
        </w:rPr>
        <w:t>。在这次会议上，</w:t>
      </w:r>
      <w:r w:rsidR="003E10FD" w:rsidRPr="001E1C17">
        <w:rPr>
          <w:rFonts w:hint="eastAsia"/>
          <w:lang w:eastAsia="zh-CN"/>
        </w:rPr>
        <w:t>IAGDI-CRO</w:t>
      </w:r>
      <w:r w:rsidR="003E10FD" w:rsidRPr="001E1C17">
        <w:rPr>
          <w:rFonts w:hint="eastAsia"/>
          <w:lang w:eastAsia="zh-CN"/>
        </w:rPr>
        <w:t>再次确认了行业和私营部门的承诺，</w:t>
      </w:r>
      <w:r w:rsidR="00C51EAC">
        <w:rPr>
          <w:rFonts w:hint="eastAsia"/>
          <w:lang w:eastAsia="zh-CN"/>
        </w:rPr>
        <w:t>表示</w:t>
      </w:r>
      <w:r w:rsidR="003E10FD" w:rsidRPr="001E1C17">
        <w:rPr>
          <w:rFonts w:hint="eastAsia"/>
          <w:lang w:eastAsia="zh-CN"/>
        </w:rPr>
        <w:t>在</w:t>
      </w:r>
      <w:r w:rsidR="003E10FD" w:rsidRPr="001E1C17">
        <w:rPr>
          <w:rFonts w:hint="eastAsia"/>
          <w:lang w:eastAsia="zh-CN"/>
        </w:rPr>
        <w:t>COVID-19</w:t>
      </w:r>
      <w:r w:rsidR="00C51EAC">
        <w:rPr>
          <w:rFonts w:hint="eastAsia"/>
          <w:lang w:eastAsia="zh-CN"/>
        </w:rPr>
        <w:t>疫情</w:t>
      </w:r>
      <w:r w:rsidR="003E10FD" w:rsidRPr="001E1C17">
        <w:rPr>
          <w:rFonts w:hint="eastAsia"/>
          <w:lang w:eastAsia="zh-CN"/>
        </w:rPr>
        <w:t>的恢复阶段支持</w:t>
      </w:r>
      <w:r w:rsidR="00C51EAC">
        <w:rPr>
          <w:rFonts w:hint="eastAsia"/>
          <w:lang w:eastAsia="zh-CN"/>
        </w:rPr>
        <w:t>各国</w:t>
      </w:r>
      <w:r w:rsidR="003E10FD" w:rsidRPr="001E1C17">
        <w:rPr>
          <w:rFonts w:hint="eastAsia"/>
          <w:lang w:eastAsia="zh-CN"/>
        </w:rPr>
        <w:t>政府，与</w:t>
      </w:r>
      <w:r w:rsidR="00C51EAC">
        <w:rPr>
          <w:rFonts w:hint="eastAsia"/>
          <w:lang w:eastAsia="zh-CN"/>
        </w:rPr>
        <w:t>各国</w:t>
      </w:r>
      <w:r w:rsidR="003E10FD" w:rsidRPr="001E1C17">
        <w:rPr>
          <w:rFonts w:hint="eastAsia"/>
          <w:lang w:eastAsia="zh-CN"/>
        </w:rPr>
        <w:t>政府和监管机构合作，为未来类似的危机做好准备，在支持</w:t>
      </w:r>
      <w:r w:rsidR="003E10FD" w:rsidRPr="001E1C17">
        <w:rPr>
          <w:rFonts w:hint="eastAsia"/>
          <w:lang w:eastAsia="zh-CN"/>
        </w:rPr>
        <w:t>ICT</w:t>
      </w:r>
      <w:r w:rsidR="003E10FD" w:rsidRPr="001E1C17">
        <w:rPr>
          <w:rFonts w:hint="eastAsia"/>
          <w:lang w:eastAsia="zh-CN"/>
        </w:rPr>
        <w:t>发展工作中发挥更积极的作用。</w:t>
      </w:r>
      <w:r w:rsidR="00C51EAC" w:rsidRPr="001E1C17">
        <w:rPr>
          <w:rFonts w:hint="eastAsia"/>
          <w:lang w:eastAsia="zh-CN"/>
        </w:rPr>
        <w:t>超过</w:t>
      </w:r>
      <w:r w:rsidR="00C51EAC" w:rsidRPr="001E1C17">
        <w:rPr>
          <w:rFonts w:hint="eastAsia"/>
          <w:lang w:eastAsia="zh-CN"/>
        </w:rPr>
        <w:t>100</w:t>
      </w:r>
      <w:r w:rsidR="00C51EAC" w:rsidRPr="001E1C17">
        <w:rPr>
          <w:rFonts w:hint="eastAsia"/>
          <w:lang w:eastAsia="zh-CN"/>
        </w:rPr>
        <w:t>位</w:t>
      </w:r>
      <w:r w:rsidR="002F0684">
        <w:rPr>
          <w:rFonts w:hint="eastAsia"/>
          <w:lang w:eastAsia="zh-CN"/>
        </w:rPr>
        <w:t>高级</w:t>
      </w:r>
      <w:r w:rsidR="00C51EAC" w:rsidRPr="001E1C17">
        <w:rPr>
          <w:rFonts w:hint="eastAsia"/>
          <w:lang w:eastAsia="zh-CN"/>
        </w:rPr>
        <w:t>行业代表强调，应继续优先考虑为</w:t>
      </w:r>
      <w:r w:rsidR="00C51EAC" w:rsidRPr="001E1C17">
        <w:rPr>
          <w:rFonts w:hint="eastAsia"/>
          <w:lang w:eastAsia="zh-CN"/>
        </w:rPr>
        <w:lastRenderedPageBreak/>
        <w:t>所有人提供有意义的、安全的、可负担的和可持续的宽带连接</w:t>
      </w:r>
      <w:r w:rsidR="002F0684">
        <w:rPr>
          <w:rFonts w:hint="eastAsia"/>
          <w:lang w:eastAsia="zh-CN"/>
        </w:rPr>
        <w:t>（</w:t>
      </w:r>
      <w:r w:rsidR="00C51EAC" w:rsidRPr="001E1C17">
        <w:rPr>
          <w:rFonts w:hint="eastAsia"/>
          <w:lang w:eastAsia="zh-CN"/>
        </w:rPr>
        <w:t>见</w:t>
      </w:r>
      <w:hyperlink r:id="rId10" w:history="1">
        <w:r w:rsidR="002F0684">
          <w:rPr>
            <w:rStyle w:val="Hyperlink"/>
            <w:rFonts w:ascii="Calibri" w:hAnsi="Calibri"/>
            <w:szCs w:val="24"/>
            <w:lang w:eastAsia="zh-CN"/>
          </w:rPr>
          <w:t>IAGDI-CRO</w:t>
        </w:r>
        <w:r w:rsidR="002F0684">
          <w:rPr>
            <w:rStyle w:val="Hyperlink"/>
            <w:rFonts w:ascii="Calibri" w:hAnsi="Calibri"/>
            <w:szCs w:val="24"/>
            <w:lang w:eastAsia="zh-CN"/>
          </w:rPr>
          <w:t>成果声明</w:t>
        </w:r>
      </w:hyperlink>
      <w:r w:rsidR="00475B04" w:rsidRPr="001E1C17">
        <w:rPr>
          <w:rFonts w:hint="eastAsia"/>
          <w:lang w:eastAsia="zh-CN"/>
        </w:rPr>
        <w:t>）。</w:t>
      </w:r>
      <w:r w:rsidR="006F393F" w:rsidRPr="001E1C17">
        <w:rPr>
          <w:rFonts w:hint="eastAsia"/>
          <w:lang w:eastAsia="zh-CN"/>
        </w:rPr>
        <w:t>此外，</w:t>
      </w:r>
      <w:r w:rsidR="00556077">
        <w:rPr>
          <w:rFonts w:hint="eastAsia"/>
          <w:lang w:eastAsia="zh-CN"/>
        </w:rPr>
        <w:t>会议提名了</w:t>
      </w:r>
      <w:r w:rsidR="006F393F" w:rsidRPr="001E1C17">
        <w:rPr>
          <w:rFonts w:hint="eastAsia"/>
          <w:lang w:eastAsia="zh-CN"/>
        </w:rPr>
        <w:t>两位副主席，并与主席一起探索了他们现有的网络，以促进</w:t>
      </w:r>
      <w:r w:rsidR="006F393F" w:rsidRPr="001E1C17">
        <w:rPr>
          <w:rFonts w:hint="eastAsia"/>
          <w:lang w:eastAsia="zh-CN"/>
        </w:rPr>
        <w:t>ITU-D</w:t>
      </w:r>
      <w:r w:rsidR="006F393F" w:rsidRPr="001E1C17">
        <w:rPr>
          <w:rFonts w:hint="eastAsia"/>
          <w:lang w:eastAsia="zh-CN"/>
        </w:rPr>
        <w:t>部门的发展，从而招募更多的行业和私营部门参与者，并为每个区域发展论坛和正在进行的</w:t>
      </w:r>
      <w:r w:rsidR="006F393F" w:rsidRPr="001E1C17">
        <w:rPr>
          <w:rFonts w:hint="eastAsia"/>
          <w:lang w:eastAsia="zh-CN"/>
        </w:rPr>
        <w:t>WTDC-21</w:t>
      </w:r>
      <w:r w:rsidR="006F393F" w:rsidRPr="001E1C17">
        <w:rPr>
          <w:rFonts w:hint="eastAsia"/>
          <w:lang w:eastAsia="zh-CN"/>
        </w:rPr>
        <w:t>筹备工作做出贡献。</w:t>
      </w:r>
      <w:r w:rsidR="001E1C17" w:rsidRPr="001E1C17">
        <w:rPr>
          <w:rFonts w:hint="eastAsia"/>
          <w:lang w:eastAsia="zh-CN"/>
        </w:rPr>
        <w:t>下一次</w:t>
      </w:r>
      <w:r w:rsidR="001E1C17" w:rsidRPr="001E1C17">
        <w:rPr>
          <w:rFonts w:hint="eastAsia"/>
          <w:lang w:eastAsia="zh-CN"/>
        </w:rPr>
        <w:t>IAGDI-CRO</w:t>
      </w:r>
      <w:r w:rsidR="001E1C17" w:rsidRPr="001E1C17">
        <w:rPr>
          <w:rFonts w:hint="eastAsia"/>
          <w:lang w:eastAsia="zh-CN"/>
        </w:rPr>
        <w:t>会议将于</w:t>
      </w:r>
      <w:r w:rsidR="001E1C17" w:rsidRPr="001E1C17">
        <w:rPr>
          <w:rFonts w:hint="eastAsia"/>
          <w:lang w:eastAsia="zh-CN"/>
        </w:rPr>
        <w:t>2021</w:t>
      </w:r>
      <w:r w:rsidR="001E1C17" w:rsidRPr="001E1C17">
        <w:rPr>
          <w:rFonts w:hint="eastAsia"/>
          <w:lang w:eastAsia="zh-CN"/>
        </w:rPr>
        <w:t>年</w:t>
      </w:r>
      <w:r w:rsidR="001E1C17" w:rsidRPr="001E1C17">
        <w:rPr>
          <w:rFonts w:hint="eastAsia"/>
          <w:lang w:eastAsia="zh-CN"/>
        </w:rPr>
        <w:t>6</w:t>
      </w:r>
      <w:r w:rsidR="001E1C17" w:rsidRPr="001E1C17">
        <w:rPr>
          <w:rFonts w:hint="eastAsia"/>
          <w:lang w:eastAsia="zh-CN"/>
        </w:rPr>
        <w:t>月</w:t>
      </w:r>
      <w:r w:rsidR="001E1C17" w:rsidRPr="001E1C17">
        <w:rPr>
          <w:rFonts w:hint="eastAsia"/>
          <w:lang w:eastAsia="zh-CN"/>
        </w:rPr>
        <w:t>21</w:t>
      </w:r>
      <w:r w:rsidR="001E1C17" w:rsidRPr="001E1C17">
        <w:rPr>
          <w:rFonts w:hint="eastAsia"/>
          <w:lang w:eastAsia="zh-CN"/>
        </w:rPr>
        <w:t>日举行（虚拟</w:t>
      </w:r>
      <w:r w:rsidR="00556077">
        <w:rPr>
          <w:rFonts w:hint="eastAsia"/>
          <w:lang w:eastAsia="zh-CN"/>
        </w:rPr>
        <w:t>形式</w:t>
      </w:r>
      <w:r w:rsidR="001E1C17" w:rsidRPr="001E1C17">
        <w:rPr>
          <w:rFonts w:hint="eastAsia"/>
          <w:lang w:eastAsia="zh-CN"/>
        </w:rPr>
        <w:t>），与</w:t>
      </w:r>
      <w:r w:rsidR="001E1C17" w:rsidRPr="001E1C17">
        <w:rPr>
          <w:rFonts w:hint="eastAsia"/>
          <w:lang w:eastAsia="zh-CN"/>
        </w:rPr>
        <w:t>GSR-21</w:t>
      </w:r>
      <w:r w:rsidR="001E1C17" w:rsidRPr="001E1C17">
        <w:rPr>
          <w:rFonts w:hint="eastAsia"/>
          <w:lang w:eastAsia="zh-CN"/>
        </w:rPr>
        <w:t>相衔接。</w:t>
      </w:r>
    </w:p>
    <w:p w14:paraId="6E842A74" w14:textId="3A2997B5" w:rsidR="00094FC6" w:rsidRPr="002E7344" w:rsidRDefault="00094FC6" w:rsidP="00094FC6">
      <w:pPr>
        <w:pStyle w:val="enumlev1"/>
        <w:rPr>
          <w:rFonts w:cs="Calibri"/>
          <w:shd w:val="clear" w:color="auto" w:fill="FFFFFF"/>
          <w:lang w:eastAsia="zh-CN"/>
        </w:rPr>
      </w:pPr>
      <w:r>
        <w:rPr>
          <w:lang w:eastAsia="zh-CN"/>
        </w:rPr>
        <w:t>–</w:t>
      </w:r>
      <w:r>
        <w:rPr>
          <w:lang w:eastAsia="zh-CN"/>
        </w:rPr>
        <w:tab/>
      </w:r>
      <w:r w:rsidR="0000759F" w:rsidRPr="00BE5760">
        <w:rPr>
          <w:rFonts w:hint="eastAsia"/>
          <w:b/>
          <w:bCs/>
          <w:lang w:eastAsia="zh-CN"/>
        </w:rPr>
        <w:t>了解成员系列活动</w:t>
      </w:r>
      <w:r w:rsidR="0000759F" w:rsidRPr="001E1C17">
        <w:rPr>
          <w:rFonts w:hint="eastAsia"/>
          <w:lang w:eastAsia="zh-CN"/>
        </w:rPr>
        <w:t>是为电信发展部门（</w:t>
      </w:r>
      <w:r w:rsidR="0000759F" w:rsidRPr="001E1C17">
        <w:rPr>
          <w:rFonts w:hint="eastAsia"/>
          <w:lang w:eastAsia="zh-CN"/>
        </w:rPr>
        <w:t>ITU-D</w:t>
      </w:r>
      <w:r w:rsidR="0000759F" w:rsidRPr="001E1C17">
        <w:rPr>
          <w:rFonts w:hint="eastAsia"/>
          <w:lang w:eastAsia="zh-CN"/>
        </w:rPr>
        <w:t>）成员提供对话</w:t>
      </w:r>
      <w:r w:rsidR="0000759F">
        <w:rPr>
          <w:rFonts w:hint="eastAsia"/>
          <w:lang w:eastAsia="zh-CN"/>
        </w:rPr>
        <w:t>的</w:t>
      </w:r>
      <w:r w:rsidR="0000759F" w:rsidRPr="001E1C17">
        <w:rPr>
          <w:rFonts w:hint="eastAsia"/>
          <w:lang w:eastAsia="zh-CN"/>
        </w:rPr>
        <w:t>平台，按</w:t>
      </w:r>
      <w:r w:rsidR="0000759F">
        <w:rPr>
          <w:rFonts w:hint="eastAsia"/>
          <w:lang w:eastAsia="zh-CN"/>
        </w:rPr>
        <w:t>团体</w:t>
      </w:r>
      <w:r w:rsidR="0000759F" w:rsidRPr="001E1C17">
        <w:rPr>
          <w:rFonts w:hint="eastAsia"/>
          <w:lang w:eastAsia="zh-CN"/>
        </w:rPr>
        <w:t>划分</w:t>
      </w:r>
      <w:r w:rsidR="0000759F">
        <w:rPr>
          <w:rFonts w:hint="eastAsia"/>
          <w:lang w:eastAsia="zh-CN"/>
        </w:rPr>
        <w:t>为不同的</w:t>
      </w:r>
      <w:r w:rsidR="003178D6">
        <w:rPr>
          <w:rFonts w:hint="eastAsia"/>
          <w:lang w:eastAsia="zh-CN"/>
        </w:rPr>
        <w:t>部分</w:t>
      </w:r>
      <w:r>
        <w:rPr>
          <w:rStyle w:val="FootnoteReference"/>
        </w:rPr>
        <w:footnoteReference w:id="6"/>
      </w:r>
      <w:r w:rsidR="001E1C17" w:rsidRPr="001E1C17">
        <w:rPr>
          <w:rFonts w:hint="eastAsia"/>
          <w:lang w:eastAsia="zh-CN"/>
        </w:rPr>
        <w:t>，与电信发展局（</w:t>
      </w:r>
      <w:r w:rsidR="001E1C17" w:rsidRPr="001E1C17">
        <w:rPr>
          <w:rFonts w:hint="eastAsia"/>
          <w:lang w:eastAsia="zh-CN"/>
        </w:rPr>
        <w:t>BDT</w:t>
      </w:r>
      <w:r w:rsidR="001E1C17" w:rsidRPr="001E1C17">
        <w:rPr>
          <w:rFonts w:hint="eastAsia"/>
          <w:lang w:eastAsia="zh-CN"/>
        </w:rPr>
        <w:t>）的领导</w:t>
      </w:r>
      <w:r w:rsidR="003178D6">
        <w:rPr>
          <w:rFonts w:hint="eastAsia"/>
          <w:lang w:eastAsia="zh-CN"/>
        </w:rPr>
        <w:t>层</w:t>
      </w:r>
      <w:r w:rsidR="001E1C17" w:rsidRPr="001E1C17">
        <w:rPr>
          <w:rFonts w:hint="eastAsia"/>
          <w:lang w:eastAsia="zh-CN"/>
        </w:rPr>
        <w:t>进行互动并交换意见。这包括</w:t>
      </w:r>
      <w:r w:rsidR="003178D6">
        <w:rPr>
          <w:lang w:eastAsia="zh-CN"/>
        </w:rPr>
        <w:t>BDT</w:t>
      </w:r>
      <w:r w:rsidR="001E1C17" w:rsidRPr="001E1C17">
        <w:rPr>
          <w:rFonts w:hint="eastAsia"/>
          <w:lang w:eastAsia="zh-CN"/>
        </w:rPr>
        <w:t>提供的正在进行和计划进行的</w:t>
      </w:r>
      <w:r w:rsidR="003178D6">
        <w:rPr>
          <w:rFonts w:hint="eastAsia"/>
          <w:lang w:eastAsia="zh-CN"/>
        </w:rPr>
        <w:t>活动更新</w:t>
      </w:r>
      <w:r w:rsidR="001E1C17" w:rsidRPr="001E1C17">
        <w:rPr>
          <w:rFonts w:hint="eastAsia"/>
          <w:lang w:eastAsia="zh-CN"/>
        </w:rPr>
        <w:t>，以及收集成员对我们</w:t>
      </w:r>
      <w:r w:rsidR="003178D6">
        <w:rPr>
          <w:rFonts w:hint="eastAsia"/>
          <w:lang w:eastAsia="zh-CN"/>
        </w:rPr>
        <w:t>应</w:t>
      </w:r>
      <w:r w:rsidR="001E1C17" w:rsidRPr="001E1C17">
        <w:rPr>
          <w:rFonts w:hint="eastAsia"/>
          <w:lang w:eastAsia="zh-CN"/>
        </w:rPr>
        <w:t>如何加强</w:t>
      </w:r>
      <w:r w:rsidR="003178D6">
        <w:rPr>
          <w:rFonts w:hint="eastAsia"/>
          <w:lang w:eastAsia="zh-CN"/>
        </w:rPr>
        <w:t>成员</w:t>
      </w:r>
      <w:r w:rsidR="001E1C17" w:rsidRPr="001E1C17">
        <w:rPr>
          <w:rFonts w:hint="eastAsia"/>
          <w:lang w:eastAsia="zh-CN"/>
        </w:rPr>
        <w:t>关系和参与的意见。</w:t>
      </w:r>
      <w:r w:rsidR="008469B5">
        <w:rPr>
          <w:rFonts w:hint="eastAsia"/>
          <w:lang w:eastAsia="zh-CN"/>
        </w:rPr>
        <w:t>学术成员</w:t>
      </w:r>
      <w:r w:rsidR="001E1C17" w:rsidRPr="001E1C17">
        <w:rPr>
          <w:rFonts w:hint="eastAsia"/>
          <w:lang w:eastAsia="zh-CN"/>
        </w:rPr>
        <w:t>和研究机构团体的会议将于</w:t>
      </w:r>
      <w:r w:rsidR="001E1C17" w:rsidRPr="001E1C17">
        <w:rPr>
          <w:rFonts w:hint="eastAsia"/>
          <w:lang w:eastAsia="zh-CN"/>
        </w:rPr>
        <w:t>2021</w:t>
      </w:r>
      <w:r w:rsidR="001E1C17" w:rsidRPr="001E1C17">
        <w:rPr>
          <w:rFonts w:hint="eastAsia"/>
          <w:lang w:eastAsia="zh-CN"/>
        </w:rPr>
        <w:t>年</w:t>
      </w:r>
      <w:r w:rsidR="001E1C17" w:rsidRPr="001E1C17">
        <w:rPr>
          <w:rFonts w:hint="eastAsia"/>
          <w:lang w:eastAsia="zh-CN"/>
        </w:rPr>
        <w:t>4</w:t>
      </w:r>
      <w:r w:rsidR="001E1C17" w:rsidRPr="001E1C17">
        <w:rPr>
          <w:rFonts w:hint="eastAsia"/>
          <w:lang w:eastAsia="zh-CN"/>
        </w:rPr>
        <w:t>月</w:t>
      </w:r>
      <w:r w:rsidR="001E1C17" w:rsidRPr="001E1C17">
        <w:rPr>
          <w:rFonts w:hint="eastAsia"/>
          <w:lang w:eastAsia="zh-CN"/>
        </w:rPr>
        <w:t>15</w:t>
      </w:r>
      <w:r w:rsidR="001E1C17" w:rsidRPr="001E1C17">
        <w:rPr>
          <w:rFonts w:hint="eastAsia"/>
          <w:lang w:eastAsia="zh-CN"/>
        </w:rPr>
        <w:t>日举行，随后</w:t>
      </w:r>
      <w:r w:rsidR="003178D6">
        <w:rPr>
          <w:rFonts w:hint="eastAsia"/>
          <w:lang w:eastAsia="zh-CN"/>
        </w:rPr>
        <w:t>全年还</w:t>
      </w:r>
      <w:r w:rsidR="001E1C17" w:rsidRPr="001E1C17">
        <w:rPr>
          <w:rFonts w:hint="eastAsia"/>
          <w:lang w:eastAsia="zh-CN"/>
        </w:rPr>
        <w:t>将计划举行</w:t>
      </w:r>
      <w:r w:rsidR="001E1C17" w:rsidRPr="001E1C17">
        <w:rPr>
          <w:rFonts w:hint="eastAsia"/>
          <w:lang w:eastAsia="zh-CN"/>
        </w:rPr>
        <w:t>ITU-D</w:t>
      </w:r>
      <w:r w:rsidR="003178D6">
        <w:rPr>
          <w:rFonts w:hint="eastAsia"/>
          <w:lang w:eastAsia="zh-CN"/>
        </w:rPr>
        <w:t>其他</w:t>
      </w:r>
      <w:r w:rsidR="001E1C17" w:rsidRPr="001E1C17">
        <w:rPr>
          <w:rFonts w:hint="eastAsia"/>
          <w:lang w:eastAsia="zh-CN"/>
        </w:rPr>
        <w:t>成员团体的</w:t>
      </w:r>
      <w:r w:rsidR="003178D6">
        <w:rPr>
          <w:rFonts w:hint="eastAsia"/>
          <w:lang w:eastAsia="zh-CN"/>
        </w:rPr>
        <w:t>活动</w:t>
      </w:r>
      <w:r w:rsidR="001E1C17" w:rsidRPr="001E1C17">
        <w:rPr>
          <w:rFonts w:hint="eastAsia"/>
          <w:lang w:eastAsia="zh-CN"/>
        </w:rPr>
        <w:t>。</w:t>
      </w:r>
    </w:p>
    <w:p w14:paraId="5F5DA517" w14:textId="3BB14CBD" w:rsidR="00094FC6" w:rsidRDefault="00094FC6" w:rsidP="00094FC6">
      <w:pPr>
        <w:pStyle w:val="enumlev1"/>
        <w:rPr>
          <w:lang w:eastAsia="zh-CN"/>
        </w:rPr>
      </w:pPr>
      <w:r>
        <w:rPr>
          <w:lang w:eastAsia="zh-CN"/>
        </w:rPr>
        <w:t>–</w:t>
      </w:r>
      <w:r>
        <w:rPr>
          <w:lang w:eastAsia="zh-CN"/>
        </w:rPr>
        <w:tab/>
      </w:r>
      <w:r w:rsidR="001E1C17" w:rsidRPr="001A58BA">
        <w:rPr>
          <w:rFonts w:hint="eastAsia"/>
          <w:b/>
          <w:bCs/>
          <w:lang w:eastAsia="zh-CN"/>
        </w:rPr>
        <w:t>技术讲座系列</w:t>
      </w:r>
      <w:r w:rsidR="001A58BA" w:rsidRPr="001A58BA">
        <w:rPr>
          <w:rFonts w:hint="eastAsia"/>
          <w:b/>
          <w:bCs/>
          <w:lang w:eastAsia="zh-CN"/>
        </w:rPr>
        <w:t>活动</w:t>
      </w:r>
      <w:r w:rsidR="001E1C17" w:rsidRPr="001E1C17">
        <w:rPr>
          <w:rFonts w:hint="eastAsia"/>
          <w:lang w:eastAsia="zh-CN"/>
        </w:rPr>
        <w:t>也是为</w:t>
      </w:r>
      <w:r w:rsidR="001E1C17" w:rsidRPr="001E1C17">
        <w:rPr>
          <w:rFonts w:hint="eastAsia"/>
          <w:lang w:eastAsia="zh-CN"/>
        </w:rPr>
        <w:t>ITU-D</w:t>
      </w:r>
      <w:r w:rsidR="001E1C17" w:rsidRPr="001E1C17">
        <w:rPr>
          <w:rFonts w:hint="eastAsia"/>
          <w:lang w:eastAsia="zh-CN"/>
        </w:rPr>
        <w:t>成员设计的参与平台，也是按</w:t>
      </w:r>
      <w:r w:rsidR="001A58BA">
        <w:rPr>
          <w:rFonts w:hint="eastAsia"/>
          <w:lang w:eastAsia="zh-CN"/>
        </w:rPr>
        <w:t>团体</w:t>
      </w:r>
      <w:r w:rsidR="001E1C17" w:rsidRPr="001E1C17">
        <w:rPr>
          <w:rFonts w:hint="eastAsia"/>
          <w:lang w:eastAsia="zh-CN"/>
        </w:rPr>
        <w:t>划分</w:t>
      </w:r>
      <w:r w:rsidR="001A58BA">
        <w:rPr>
          <w:rFonts w:hint="eastAsia"/>
          <w:lang w:eastAsia="zh-CN"/>
        </w:rPr>
        <w:t>为不同</w:t>
      </w:r>
      <w:r w:rsidR="001E1C17" w:rsidRPr="001E1C17">
        <w:rPr>
          <w:rFonts w:hint="eastAsia"/>
          <w:lang w:eastAsia="zh-CN"/>
        </w:rPr>
        <w:t>的</w:t>
      </w:r>
      <w:r w:rsidR="001A58BA">
        <w:rPr>
          <w:rFonts w:hint="eastAsia"/>
          <w:lang w:eastAsia="zh-CN"/>
        </w:rPr>
        <w:t>部分</w:t>
      </w:r>
      <w:r w:rsidR="001E1C17" w:rsidRPr="001E1C17">
        <w:rPr>
          <w:rFonts w:hint="eastAsia"/>
          <w:lang w:eastAsia="zh-CN"/>
        </w:rPr>
        <w:t>，以分享</w:t>
      </w:r>
      <w:r w:rsidR="001A58BA">
        <w:rPr>
          <w:rFonts w:hint="eastAsia"/>
          <w:lang w:eastAsia="zh-CN"/>
        </w:rPr>
        <w:t>成员</w:t>
      </w:r>
      <w:r w:rsidR="001E1C17" w:rsidRPr="001E1C17">
        <w:rPr>
          <w:rFonts w:hint="eastAsia"/>
          <w:lang w:eastAsia="zh-CN"/>
        </w:rPr>
        <w:t>在</w:t>
      </w:r>
      <w:r w:rsidR="001E1C17" w:rsidRPr="001E1C17">
        <w:rPr>
          <w:rFonts w:hint="eastAsia"/>
          <w:lang w:eastAsia="zh-CN"/>
        </w:rPr>
        <w:t>ICT/</w:t>
      </w:r>
      <w:r w:rsidR="001E1C17" w:rsidRPr="001E1C17">
        <w:rPr>
          <w:rFonts w:hint="eastAsia"/>
          <w:lang w:eastAsia="zh-CN"/>
        </w:rPr>
        <w:t>发展和连接领域的技术和创新方法，与各自</w:t>
      </w:r>
      <w:r w:rsidR="001A58BA">
        <w:rPr>
          <w:rFonts w:hint="eastAsia"/>
          <w:lang w:eastAsia="zh-CN"/>
        </w:rPr>
        <w:t>团体</w:t>
      </w:r>
      <w:r w:rsidR="001E1C17" w:rsidRPr="001E1C17">
        <w:rPr>
          <w:rFonts w:hint="eastAsia"/>
          <w:lang w:eastAsia="zh-CN"/>
        </w:rPr>
        <w:t>的行业同行和</w:t>
      </w:r>
      <w:r w:rsidR="001E1C17" w:rsidRPr="001E1C17">
        <w:rPr>
          <w:rFonts w:hint="eastAsia"/>
          <w:lang w:eastAsia="zh-CN"/>
        </w:rPr>
        <w:t>BDT</w:t>
      </w:r>
      <w:r w:rsidR="001E1C17" w:rsidRPr="001E1C17">
        <w:rPr>
          <w:rFonts w:hint="eastAsia"/>
          <w:lang w:eastAsia="zh-CN"/>
        </w:rPr>
        <w:t>专家接触，探索新的合作领域。</w:t>
      </w:r>
      <w:r w:rsidR="001A58BA" w:rsidRPr="001E1C17">
        <w:rPr>
          <w:rFonts w:hint="eastAsia"/>
          <w:lang w:eastAsia="zh-CN"/>
        </w:rPr>
        <w:t>2021</w:t>
      </w:r>
      <w:r w:rsidR="001A58BA" w:rsidRPr="001E1C17">
        <w:rPr>
          <w:rFonts w:hint="eastAsia"/>
          <w:lang w:eastAsia="zh-CN"/>
        </w:rPr>
        <w:t>年</w:t>
      </w:r>
      <w:r w:rsidR="001A58BA" w:rsidRPr="001E1C17">
        <w:rPr>
          <w:rFonts w:hint="eastAsia"/>
          <w:lang w:eastAsia="zh-CN"/>
        </w:rPr>
        <w:t>2</w:t>
      </w:r>
      <w:r w:rsidR="001A58BA" w:rsidRPr="001E1C17">
        <w:rPr>
          <w:rFonts w:hint="eastAsia"/>
          <w:lang w:eastAsia="zh-CN"/>
        </w:rPr>
        <w:t>月</w:t>
      </w:r>
      <w:r w:rsidR="001A58BA" w:rsidRPr="001E1C17">
        <w:rPr>
          <w:rFonts w:hint="eastAsia"/>
          <w:lang w:eastAsia="zh-CN"/>
        </w:rPr>
        <w:t>18</w:t>
      </w:r>
      <w:r w:rsidR="001A58BA" w:rsidRPr="001E1C17">
        <w:rPr>
          <w:rFonts w:hint="eastAsia"/>
          <w:lang w:eastAsia="zh-CN"/>
        </w:rPr>
        <w:t>日举行</w:t>
      </w:r>
      <w:r w:rsidR="001A58BA">
        <w:rPr>
          <w:rFonts w:hint="eastAsia"/>
          <w:lang w:eastAsia="zh-CN"/>
        </w:rPr>
        <w:t>了经</w:t>
      </w:r>
      <w:r w:rsidR="001A58BA" w:rsidRPr="001E1C17">
        <w:rPr>
          <w:rFonts w:hint="eastAsia"/>
          <w:lang w:eastAsia="zh-CN"/>
        </w:rPr>
        <w:t>认可的运营机构（</w:t>
      </w:r>
      <w:r w:rsidR="001A58BA" w:rsidRPr="001E1C17">
        <w:rPr>
          <w:rFonts w:hint="eastAsia"/>
          <w:lang w:eastAsia="zh-CN"/>
        </w:rPr>
        <w:t>ROA</w:t>
      </w:r>
      <w:r w:rsidR="001A58BA" w:rsidRPr="001E1C17">
        <w:rPr>
          <w:rFonts w:hint="eastAsia"/>
          <w:lang w:eastAsia="zh-CN"/>
        </w:rPr>
        <w:t>）</w:t>
      </w:r>
      <w:r w:rsidR="001A58BA">
        <w:rPr>
          <w:rFonts w:hint="eastAsia"/>
          <w:lang w:eastAsia="zh-CN"/>
        </w:rPr>
        <w:t>的</w:t>
      </w:r>
      <w:r w:rsidR="001E1C17" w:rsidRPr="001E1C17">
        <w:rPr>
          <w:rFonts w:hint="eastAsia"/>
          <w:lang w:eastAsia="zh-CN"/>
        </w:rPr>
        <w:t>第一次技术讲座活动，受到了极大的</w:t>
      </w:r>
      <w:r w:rsidR="001A58BA">
        <w:rPr>
          <w:rFonts w:hint="eastAsia"/>
          <w:lang w:eastAsia="zh-CN"/>
        </w:rPr>
        <w:t>欢迎</w:t>
      </w:r>
      <w:r w:rsidR="001E1C17" w:rsidRPr="001E1C17">
        <w:rPr>
          <w:rFonts w:hint="eastAsia"/>
          <w:lang w:eastAsia="zh-CN"/>
        </w:rPr>
        <w:t>，吸引了潜在成员的兴趣。第二次技术讲座活动将于</w:t>
      </w:r>
      <w:r w:rsidR="001E1C17" w:rsidRPr="001E1C17">
        <w:rPr>
          <w:rFonts w:hint="eastAsia"/>
          <w:lang w:eastAsia="zh-CN"/>
        </w:rPr>
        <w:t>2021</w:t>
      </w:r>
      <w:r w:rsidR="001E1C17" w:rsidRPr="001E1C17">
        <w:rPr>
          <w:rFonts w:hint="eastAsia"/>
          <w:lang w:eastAsia="zh-CN"/>
        </w:rPr>
        <w:t>年</w:t>
      </w:r>
      <w:r w:rsidR="001E1C17" w:rsidRPr="001E1C17">
        <w:rPr>
          <w:rFonts w:hint="eastAsia"/>
          <w:lang w:eastAsia="zh-CN"/>
        </w:rPr>
        <w:t>4</w:t>
      </w:r>
      <w:r w:rsidR="001E1C17" w:rsidRPr="001E1C17">
        <w:rPr>
          <w:rFonts w:hint="eastAsia"/>
          <w:lang w:eastAsia="zh-CN"/>
        </w:rPr>
        <w:t>月</w:t>
      </w:r>
      <w:r w:rsidR="001E1C17" w:rsidRPr="001E1C17">
        <w:rPr>
          <w:rFonts w:hint="eastAsia"/>
          <w:lang w:eastAsia="zh-CN"/>
        </w:rPr>
        <w:t>27</w:t>
      </w:r>
      <w:r w:rsidR="001E1C17" w:rsidRPr="001E1C17">
        <w:rPr>
          <w:rFonts w:hint="eastAsia"/>
          <w:lang w:eastAsia="zh-CN"/>
        </w:rPr>
        <w:t>日为科学和工业组织（</w:t>
      </w:r>
      <w:r w:rsidR="001E1C17" w:rsidRPr="001E1C17">
        <w:rPr>
          <w:rFonts w:hint="eastAsia"/>
          <w:lang w:eastAsia="zh-CN"/>
        </w:rPr>
        <w:t>SIO</w:t>
      </w:r>
      <w:r w:rsidR="001E1C17" w:rsidRPr="001E1C17">
        <w:rPr>
          <w:rFonts w:hint="eastAsia"/>
          <w:lang w:eastAsia="zh-CN"/>
        </w:rPr>
        <w:t>）举行，并将在年内为其他成员</w:t>
      </w:r>
      <w:r w:rsidR="001A58BA">
        <w:rPr>
          <w:rFonts w:hint="eastAsia"/>
          <w:lang w:eastAsia="zh-CN"/>
        </w:rPr>
        <w:t>团体也</w:t>
      </w:r>
      <w:r w:rsidR="001E1C17" w:rsidRPr="001E1C17">
        <w:rPr>
          <w:rFonts w:hint="eastAsia"/>
          <w:lang w:eastAsia="zh-CN"/>
        </w:rPr>
        <w:t>举办</w:t>
      </w:r>
      <w:r w:rsidR="001A58BA">
        <w:rPr>
          <w:rFonts w:hint="eastAsia"/>
          <w:lang w:eastAsia="zh-CN"/>
        </w:rPr>
        <w:t>活动</w:t>
      </w:r>
      <w:r w:rsidR="001E1C17" w:rsidRPr="001E1C17">
        <w:rPr>
          <w:rFonts w:hint="eastAsia"/>
          <w:lang w:eastAsia="zh-CN"/>
        </w:rPr>
        <w:t>。</w:t>
      </w:r>
    </w:p>
    <w:p w14:paraId="2693546D" w14:textId="55C9087F" w:rsidR="00094FC6" w:rsidRDefault="00094FC6" w:rsidP="00094FC6">
      <w:pPr>
        <w:pStyle w:val="enumlev1"/>
        <w:rPr>
          <w:lang w:eastAsia="zh-CN"/>
        </w:rPr>
      </w:pPr>
      <w:r>
        <w:rPr>
          <w:lang w:eastAsia="zh-CN"/>
        </w:rPr>
        <w:t>–</w:t>
      </w:r>
      <w:r>
        <w:rPr>
          <w:lang w:eastAsia="zh-CN"/>
        </w:rPr>
        <w:tab/>
      </w:r>
      <w:r w:rsidR="001E1C17" w:rsidRPr="0022355E">
        <w:rPr>
          <w:rFonts w:hint="eastAsia"/>
          <w:b/>
          <w:bCs/>
          <w:lang w:eastAsia="zh-CN"/>
        </w:rPr>
        <w:t>在</w:t>
      </w:r>
      <w:r w:rsidR="00D80392" w:rsidRPr="0022355E">
        <w:rPr>
          <w:rFonts w:hint="eastAsia"/>
          <w:b/>
          <w:bCs/>
          <w:lang w:eastAsia="zh-CN"/>
        </w:rPr>
        <w:t>成员</w:t>
      </w:r>
      <w:r w:rsidR="00187605">
        <w:rPr>
          <w:rFonts w:hint="eastAsia"/>
          <w:b/>
          <w:bCs/>
          <w:lang w:eastAsia="zh-CN"/>
        </w:rPr>
        <w:t>队伍</w:t>
      </w:r>
      <w:r w:rsidR="001E1C17" w:rsidRPr="0022355E">
        <w:rPr>
          <w:rFonts w:hint="eastAsia"/>
          <w:b/>
          <w:bCs/>
          <w:lang w:eastAsia="zh-CN"/>
        </w:rPr>
        <w:t>问题上</w:t>
      </w:r>
      <w:r w:rsidR="0077464D" w:rsidRPr="0022355E">
        <w:rPr>
          <w:rFonts w:hint="eastAsia"/>
          <w:b/>
          <w:bCs/>
          <w:lang w:eastAsia="zh-CN"/>
        </w:rPr>
        <w:t>工作人员</w:t>
      </w:r>
      <w:r w:rsidR="001E1C17" w:rsidRPr="0022355E">
        <w:rPr>
          <w:rFonts w:hint="eastAsia"/>
          <w:b/>
          <w:bCs/>
          <w:lang w:eastAsia="zh-CN"/>
        </w:rPr>
        <w:t>的能力建设</w:t>
      </w:r>
      <w:r w:rsidR="001E1C17" w:rsidRPr="001E1C17">
        <w:rPr>
          <w:rFonts w:hint="eastAsia"/>
          <w:lang w:eastAsia="zh-CN"/>
        </w:rPr>
        <w:t>是</w:t>
      </w:r>
      <w:r w:rsidR="0022355E">
        <w:rPr>
          <w:lang w:eastAsia="zh-CN"/>
        </w:rPr>
        <w:t>BDT</w:t>
      </w:r>
      <w:r w:rsidR="0022355E">
        <w:rPr>
          <w:rFonts w:hint="eastAsia"/>
          <w:lang w:eastAsia="zh-CN"/>
        </w:rPr>
        <w:t>全局范围内使</w:t>
      </w:r>
      <w:r w:rsidR="001E1C17" w:rsidRPr="001E1C17">
        <w:rPr>
          <w:rFonts w:hint="eastAsia"/>
          <w:lang w:eastAsia="zh-CN"/>
        </w:rPr>
        <w:t>ITU-D</w:t>
      </w:r>
      <w:r w:rsidR="00D80392">
        <w:rPr>
          <w:rFonts w:hint="eastAsia"/>
          <w:lang w:eastAsia="zh-CN"/>
        </w:rPr>
        <w:t>成员</w:t>
      </w:r>
      <w:r w:rsidR="001E1C17" w:rsidRPr="001E1C17">
        <w:rPr>
          <w:rFonts w:hint="eastAsia"/>
          <w:lang w:eastAsia="zh-CN"/>
        </w:rPr>
        <w:t>战略方针</w:t>
      </w:r>
      <w:r w:rsidR="0022355E">
        <w:rPr>
          <w:rFonts w:hint="eastAsia"/>
          <w:lang w:eastAsia="zh-CN"/>
        </w:rPr>
        <w:t>取得</w:t>
      </w:r>
      <w:r w:rsidR="001E1C17" w:rsidRPr="001E1C17">
        <w:rPr>
          <w:rFonts w:hint="eastAsia"/>
          <w:lang w:eastAsia="zh-CN"/>
        </w:rPr>
        <w:t>成功的一个关键因素。</w:t>
      </w:r>
      <w:r w:rsidR="0022355E">
        <w:rPr>
          <w:rFonts w:hint="eastAsia"/>
          <w:lang w:eastAsia="zh-CN"/>
        </w:rPr>
        <w:t>这</w:t>
      </w:r>
      <w:r w:rsidR="001E1C17" w:rsidRPr="001E1C17">
        <w:rPr>
          <w:rFonts w:hint="eastAsia"/>
          <w:lang w:eastAsia="zh-CN"/>
        </w:rPr>
        <w:t>旨在</w:t>
      </w:r>
      <w:r w:rsidR="0022355E">
        <w:rPr>
          <w:rFonts w:hint="eastAsia"/>
          <w:lang w:eastAsia="zh-CN"/>
        </w:rPr>
        <w:t>提高</w:t>
      </w:r>
      <w:r w:rsidR="0022355E">
        <w:rPr>
          <w:lang w:eastAsia="zh-CN"/>
        </w:rPr>
        <w:t>BDT</w:t>
      </w:r>
      <w:r w:rsidR="001E1C17" w:rsidRPr="001E1C17">
        <w:rPr>
          <w:rFonts w:hint="eastAsia"/>
          <w:lang w:eastAsia="zh-CN"/>
        </w:rPr>
        <w:t>总部和</w:t>
      </w:r>
      <w:r w:rsidR="0022355E">
        <w:rPr>
          <w:rFonts w:hint="eastAsia"/>
          <w:lang w:eastAsia="zh-CN"/>
        </w:rPr>
        <w:t>其他</w:t>
      </w:r>
      <w:r w:rsidR="001E1C17" w:rsidRPr="001E1C17">
        <w:rPr>
          <w:rFonts w:hint="eastAsia"/>
          <w:lang w:eastAsia="zh-CN"/>
        </w:rPr>
        <w:t>地</w:t>
      </w:r>
      <w:r w:rsidR="0022355E">
        <w:rPr>
          <w:rFonts w:hint="eastAsia"/>
          <w:lang w:eastAsia="zh-CN"/>
        </w:rPr>
        <w:t>方</w:t>
      </w:r>
      <w:r w:rsidR="001E1C17" w:rsidRPr="001E1C17">
        <w:rPr>
          <w:rFonts w:hint="eastAsia"/>
          <w:lang w:eastAsia="zh-CN"/>
        </w:rPr>
        <w:t>的工作人员的意识和能力，以寻找、吸引和留</w:t>
      </w:r>
      <w:r w:rsidR="0022355E">
        <w:rPr>
          <w:rFonts w:hint="eastAsia"/>
          <w:lang w:eastAsia="zh-CN"/>
        </w:rPr>
        <w:t>住</w:t>
      </w:r>
      <w:r w:rsidR="001E1C17" w:rsidRPr="001E1C17">
        <w:rPr>
          <w:rFonts w:hint="eastAsia"/>
          <w:lang w:eastAsia="zh-CN"/>
        </w:rPr>
        <w:t>成员。为每个</w:t>
      </w:r>
      <w:r w:rsidR="0022355E">
        <w:rPr>
          <w:rFonts w:hint="eastAsia"/>
          <w:lang w:eastAsia="zh-CN"/>
        </w:rPr>
        <w:t>区域</w:t>
      </w:r>
      <w:r w:rsidR="001E1C17" w:rsidRPr="001E1C17">
        <w:rPr>
          <w:rFonts w:hint="eastAsia"/>
          <w:lang w:eastAsia="zh-CN"/>
        </w:rPr>
        <w:t>的</w:t>
      </w:r>
      <w:r w:rsidR="0022355E">
        <w:rPr>
          <w:rFonts w:hint="eastAsia"/>
          <w:lang w:eastAsia="zh-CN"/>
        </w:rPr>
        <w:t>所有</w:t>
      </w:r>
      <w:r w:rsidR="001E1C17" w:rsidRPr="001E1C17">
        <w:rPr>
          <w:rFonts w:hint="eastAsia"/>
          <w:lang w:eastAsia="zh-CN"/>
        </w:rPr>
        <w:t>工作人员</w:t>
      </w:r>
      <w:r w:rsidR="0022355E">
        <w:rPr>
          <w:rFonts w:hint="eastAsia"/>
          <w:lang w:eastAsia="zh-CN"/>
        </w:rPr>
        <w:t>都</w:t>
      </w:r>
      <w:r w:rsidR="001E1C17" w:rsidRPr="001E1C17">
        <w:rPr>
          <w:rFonts w:hint="eastAsia"/>
          <w:lang w:eastAsia="zh-CN"/>
        </w:rPr>
        <w:t>举办了专门的和定制</w:t>
      </w:r>
      <w:r w:rsidR="0022355E">
        <w:rPr>
          <w:rFonts w:hint="eastAsia"/>
          <w:lang w:eastAsia="zh-CN"/>
        </w:rPr>
        <w:t>化</w:t>
      </w:r>
      <w:r w:rsidR="001E1C17" w:rsidRPr="001E1C17">
        <w:rPr>
          <w:rFonts w:hint="eastAsia"/>
          <w:lang w:eastAsia="zh-CN"/>
        </w:rPr>
        <w:t>的简报会，提高了</w:t>
      </w:r>
      <w:r w:rsidR="0022355E">
        <w:rPr>
          <w:rFonts w:hint="eastAsia"/>
          <w:lang w:eastAsia="zh-CN"/>
        </w:rPr>
        <w:t>大家</w:t>
      </w:r>
      <w:r w:rsidR="001E1C17" w:rsidRPr="001E1C17">
        <w:rPr>
          <w:rFonts w:hint="eastAsia"/>
          <w:lang w:eastAsia="zh-CN"/>
        </w:rPr>
        <w:t>整体</w:t>
      </w:r>
      <w:r w:rsidR="0022355E">
        <w:rPr>
          <w:rFonts w:hint="eastAsia"/>
          <w:lang w:eastAsia="zh-CN"/>
        </w:rPr>
        <w:t>上</w:t>
      </w:r>
      <w:r w:rsidR="0022355E" w:rsidRPr="001E1C17">
        <w:rPr>
          <w:rFonts w:hint="eastAsia"/>
          <w:lang w:eastAsia="zh-CN"/>
        </w:rPr>
        <w:t>对</w:t>
      </w:r>
      <w:r w:rsidR="0022355E">
        <w:rPr>
          <w:rFonts w:hint="eastAsia"/>
          <w:lang w:eastAsia="zh-CN"/>
        </w:rPr>
        <w:t>推广</w:t>
      </w:r>
      <w:r w:rsidR="001E1C17" w:rsidRPr="001E1C17">
        <w:rPr>
          <w:rFonts w:hint="eastAsia"/>
          <w:lang w:eastAsia="zh-CN"/>
        </w:rPr>
        <w:t>和留</w:t>
      </w:r>
      <w:r w:rsidR="0022355E">
        <w:rPr>
          <w:rFonts w:hint="eastAsia"/>
          <w:lang w:eastAsia="zh-CN"/>
        </w:rPr>
        <w:t>住成员</w:t>
      </w:r>
      <w:r w:rsidR="002E0F95">
        <w:rPr>
          <w:rFonts w:hint="eastAsia"/>
          <w:lang w:eastAsia="zh-CN"/>
        </w:rPr>
        <w:t>行动的</w:t>
      </w:r>
      <w:r w:rsidR="001E1C17" w:rsidRPr="001E1C17">
        <w:rPr>
          <w:rFonts w:hint="eastAsia"/>
          <w:lang w:eastAsia="zh-CN"/>
        </w:rPr>
        <w:t>认识，以及对现有宣传材料、工具和资源的认识。这些会议缩小了</w:t>
      </w:r>
      <w:r w:rsidR="00B14315">
        <w:rPr>
          <w:rFonts w:hint="eastAsia"/>
          <w:lang w:eastAsia="zh-CN"/>
        </w:rPr>
        <w:t>大家</w:t>
      </w:r>
      <w:r w:rsidR="001E1C17" w:rsidRPr="001E1C17">
        <w:rPr>
          <w:rFonts w:hint="eastAsia"/>
          <w:lang w:eastAsia="zh-CN"/>
        </w:rPr>
        <w:t>在</w:t>
      </w:r>
      <w:r w:rsidR="00D80392">
        <w:rPr>
          <w:rFonts w:hint="eastAsia"/>
          <w:lang w:eastAsia="zh-CN"/>
        </w:rPr>
        <w:t>成员</w:t>
      </w:r>
      <w:r w:rsidR="001E1C17" w:rsidRPr="001E1C17">
        <w:rPr>
          <w:rFonts w:hint="eastAsia"/>
          <w:lang w:eastAsia="zh-CN"/>
        </w:rPr>
        <w:t>规则和程序、方法、留</w:t>
      </w:r>
      <w:r w:rsidR="00B14315">
        <w:rPr>
          <w:rFonts w:hint="eastAsia"/>
          <w:lang w:eastAsia="zh-CN"/>
        </w:rPr>
        <w:t>住</w:t>
      </w:r>
      <w:r w:rsidR="00D80392">
        <w:rPr>
          <w:rFonts w:hint="eastAsia"/>
          <w:lang w:eastAsia="zh-CN"/>
        </w:rPr>
        <w:t>成员</w:t>
      </w:r>
      <w:r w:rsidR="001E1C17" w:rsidRPr="001E1C17">
        <w:rPr>
          <w:rFonts w:hint="eastAsia"/>
          <w:lang w:eastAsia="zh-CN"/>
        </w:rPr>
        <w:t>的挑战和机会方面的知识差距。</w:t>
      </w:r>
    </w:p>
    <w:p w14:paraId="7D1A90BE" w14:textId="74FC8F29" w:rsidR="00094FC6" w:rsidRDefault="00094FC6" w:rsidP="00094FC6">
      <w:pPr>
        <w:pStyle w:val="enumlev1"/>
        <w:rPr>
          <w:lang w:eastAsia="zh-CN"/>
        </w:rPr>
      </w:pPr>
      <w:r>
        <w:rPr>
          <w:lang w:eastAsia="zh-CN"/>
        </w:rPr>
        <w:t>–</w:t>
      </w:r>
      <w:r>
        <w:rPr>
          <w:lang w:eastAsia="zh-CN"/>
        </w:rPr>
        <w:tab/>
      </w:r>
      <w:r w:rsidR="001E1C17" w:rsidRPr="00235371">
        <w:rPr>
          <w:rFonts w:hint="eastAsia"/>
          <w:b/>
          <w:bCs/>
          <w:lang w:eastAsia="zh-CN"/>
        </w:rPr>
        <w:t>劝说</w:t>
      </w:r>
      <w:r w:rsidR="00235371" w:rsidRPr="00235371">
        <w:rPr>
          <w:rFonts w:hint="eastAsia"/>
          <w:b/>
          <w:bCs/>
          <w:lang w:eastAsia="zh-CN"/>
        </w:rPr>
        <w:t>有离开风险</w:t>
      </w:r>
      <w:r w:rsidR="001E1C17" w:rsidRPr="00235371">
        <w:rPr>
          <w:rFonts w:hint="eastAsia"/>
          <w:b/>
          <w:bCs/>
          <w:lang w:eastAsia="zh-CN"/>
        </w:rPr>
        <w:t>的</w:t>
      </w:r>
      <w:r w:rsidR="00D80392" w:rsidRPr="00235371">
        <w:rPr>
          <w:rFonts w:hint="eastAsia"/>
          <w:b/>
          <w:bCs/>
          <w:lang w:eastAsia="zh-CN"/>
        </w:rPr>
        <w:t>成员</w:t>
      </w:r>
      <w:r w:rsidR="001E1C17" w:rsidRPr="001E1C17">
        <w:rPr>
          <w:rFonts w:hint="eastAsia"/>
          <w:lang w:eastAsia="zh-CN"/>
        </w:rPr>
        <w:t>，在现有</w:t>
      </w:r>
      <w:r w:rsidR="00D80392">
        <w:rPr>
          <w:rFonts w:hint="eastAsia"/>
          <w:lang w:eastAsia="zh-CN"/>
        </w:rPr>
        <w:t>成员</w:t>
      </w:r>
      <w:r w:rsidR="001E1C17" w:rsidRPr="001E1C17">
        <w:rPr>
          <w:rFonts w:hint="eastAsia"/>
          <w:lang w:eastAsia="zh-CN"/>
        </w:rPr>
        <w:t>表示打算离开的情况下，进行一对一的会议，目的是了解他们打算离开的原因，并劝说他们继续保持</w:t>
      </w:r>
      <w:r w:rsidR="00D80392">
        <w:rPr>
          <w:rFonts w:hint="eastAsia"/>
          <w:lang w:eastAsia="zh-CN"/>
        </w:rPr>
        <w:t>成员</w:t>
      </w:r>
      <w:r w:rsidR="001E1C17" w:rsidRPr="001E1C17">
        <w:rPr>
          <w:rFonts w:hint="eastAsia"/>
          <w:lang w:eastAsia="zh-CN"/>
        </w:rPr>
        <w:t>身份。这在一些情况下是成功的，这些成员改变了他们的决定。</w:t>
      </w:r>
    </w:p>
    <w:p w14:paraId="7F2FBD3C" w14:textId="1BC18D4B" w:rsidR="00094FC6" w:rsidRPr="00A5078C" w:rsidRDefault="00094FC6" w:rsidP="00094FC6">
      <w:pPr>
        <w:pStyle w:val="enumlev1"/>
        <w:rPr>
          <w:b/>
          <w:bCs/>
          <w:lang w:eastAsia="zh-CN"/>
        </w:rPr>
      </w:pPr>
      <w:r>
        <w:rPr>
          <w:lang w:eastAsia="zh-CN"/>
        </w:rPr>
        <w:t>–</w:t>
      </w:r>
      <w:r>
        <w:rPr>
          <w:lang w:eastAsia="zh-CN"/>
        </w:rPr>
        <w:tab/>
      </w:r>
      <w:r w:rsidR="001E1C17" w:rsidRPr="00235371">
        <w:rPr>
          <w:rFonts w:hint="eastAsia"/>
          <w:b/>
          <w:bCs/>
          <w:lang w:eastAsia="zh-CN"/>
        </w:rPr>
        <w:t>采用新的</w:t>
      </w:r>
      <w:r w:rsidR="00D80392" w:rsidRPr="00235371">
        <w:rPr>
          <w:rFonts w:hint="eastAsia"/>
          <w:b/>
          <w:bCs/>
          <w:lang w:eastAsia="zh-CN"/>
        </w:rPr>
        <w:t>成员</w:t>
      </w:r>
      <w:r w:rsidR="001E1C17" w:rsidRPr="00235371">
        <w:rPr>
          <w:rFonts w:hint="eastAsia"/>
          <w:b/>
          <w:bCs/>
          <w:lang w:eastAsia="zh-CN"/>
        </w:rPr>
        <w:t>战略</w:t>
      </w:r>
      <w:r w:rsidR="001E1C17" w:rsidRPr="001E1C17">
        <w:rPr>
          <w:rFonts w:hint="eastAsia"/>
          <w:lang w:eastAsia="zh-CN"/>
        </w:rPr>
        <w:t>，该战略与伙伴关系和资源调动以及项目管理的战略保持一致，以确保三个</w:t>
      </w:r>
      <w:r w:rsidR="00235371">
        <w:rPr>
          <w:rFonts w:hint="eastAsia"/>
          <w:lang w:eastAsia="zh-CN"/>
        </w:rPr>
        <w:t>战略</w:t>
      </w:r>
      <w:r w:rsidR="001E1C17" w:rsidRPr="001E1C17">
        <w:rPr>
          <w:rFonts w:hint="eastAsia"/>
          <w:lang w:eastAsia="zh-CN"/>
        </w:rPr>
        <w:t>之间的相互促进。</w:t>
      </w:r>
    </w:p>
    <w:p w14:paraId="657B9C82" w14:textId="6BAB7FCE" w:rsidR="00094FC6" w:rsidRPr="00EE5749" w:rsidRDefault="00094FC6" w:rsidP="00094FC6">
      <w:pPr>
        <w:pStyle w:val="Heading1"/>
        <w:rPr>
          <w:lang w:eastAsia="zh-CN"/>
        </w:rPr>
      </w:pPr>
      <w:r w:rsidRPr="00EE5749">
        <w:rPr>
          <w:lang w:eastAsia="zh-CN"/>
        </w:rPr>
        <w:t>5</w:t>
      </w:r>
      <w:r w:rsidRPr="00EE5749">
        <w:rPr>
          <w:lang w:eastAsia="zh-CN"/>
        </w:rPr>
        <w:tab/>
      </w:r>
      <w:r w:rsidR="001E1C17" w:rsidRPr="00EE5749">
        <w:rPr>
          <w:rFonts w:hint="eastAsia"/>
          <w:lang w:eastAsia="zh-CN"/>
        </w:rPr>
        <w:t>结论</w:t>
      </w:r>
    </w:p>
    <w:p w14:paraId="52300EDA" w14:textId="0934243F" w:rsidR="00094FC6" w:rsidRPr="00D00EDC" w:rsidRDefault="001E1C17" w:rsidP="00361AC4">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hAnsi="Calibri"/>
          <w:lang w:eastAsia="zh-CN"/>
        </w:rPr>
      </w:pPr>
      <w:r w:rsidRPr="001E1C17">
        <w:rPr>
          <w:rFonts w:ascii="Calibri" w:hAnsi="Calibri" w:hint="eastAsia"/>
          <w:lang w:eastAsia="zh-CN"/>
        </w:rPr>
        <w:t>BDT</w:t>
      </w:r>
      <w:r w:rsidRPr="001E1C17">
        <w:rPr>
          <w:rFonts w:ascii="Calibri" w:hAnsi="Calibri" w:hint="eastAsia"/>
          <w:lang w:eastAsia="zh-CN"/>
        </w:rPr>
        <w:t>决心做到以下几点</w:t>
      </w:r>
    </w:p>
    <w:p w14:paraId="18B6A30E" w14:textId="3A495768" w:rsidR="00094FC6" w:rsidRPr="00094FC6" w:rsidRDefault="00094FC6" w:rsidP="00094FC6">
      <w:pPr>
        <w:pStyle w:val="enumlev1"/>
        <w:rPr>
          <w:lang w:eastAsia="zh-CN"/>
        </w:rPr>
      </w:pPr>
      <w:r w:rsidRPr="00094FC6">
        <w:rPr>
          <w:lang w:eastAsia="zh-CN"/>
        </w:rPr>
        <w:t>a)</w:t>
      </w:r>
      <w:r w:rsidRPr="00094FC6">
        <w:rPr>
          <w:lang w:eastAsia="zh-CN"/>
        </w:rPr>
        <w:tab/>
      </w:r>
      <w:r w:rsidR="001E1C17" w:rsidRPr="001E1C17">
        <w:rPr>
          <w:rFonts w:hint="eastAsia"/>
          <w:lang w:eastAsia="zh-CN"/>
        </w:rPr>
        <w:t>继续增加</w:t>
      </w:r>
      <w:r w:rsidR="001E1C17" w:rsidRPr="001E1C17">
        <w:rPr>
          <w:rFonts w:hint="eastAsia"/>
          <w:lang w:eastAsia="zh-CN"/>
        </w:rPr>
        <w:t>ITU-D</w:t>
      </w:r>
      <w:r w:rsidR="001E1C17" w:rsidRPr="001E1C17">
        <w:rPr>
          <w:rFonts w:hint="eastAsia"/>
          <w:lang w:eastAsia="zh-CN"/>
        </w:rPr>
        <w:t>部门成员的数量，同时通过提供价值留住现有成员</w:t>
      </w:r>
      <w:r w:rsidR="001E1C17">
        <w:rPr>
          <w:rFonts w:hint="eastAsia"/>
          <w:lang w:eastAsia="zh-CN"/>
        </w:rPr>
        <w:t>；</w:t>
      </w:r>
    </w:p>
    <w:p w14:paraId="319A0C1B" w14:textId="4FD349B9" w:rsidR="00094FC6" w:rsidRPr="00094FC6" w:rsidRDefault="00094FC6" w:rsidP="00094FC6">
      <w:pPr>
        <w:pStyle w:val="enumlev1"/>
        <w:rPr>
          <w:lang w:eastAsia="zh-CN"/>
        </w:rPr>
      </w:pPr>
      <w:r w:rsidRPr="00094FC6">
        <w:rPr>
          <w:lang w:eastAsia="zh-CN"/>
        </w:rPr>
        <w:t>b)</w:t>
      </w:r>
      <w:r w:rsidRPr="00094FC6">
        <w:rPr>
          <w:lang w:eastAsia="zh-CN"/>
        </w:rPr>
        <w:tab/>
      </w:r>
      <w:r w:rsidR="00235371">
        <w:rPr>
          <w:rFonts w:hint="eastAsia"/>
          <w:lang w:eastAsia="zh-CN"/>
        </w:rPr>
        <w:t>提高</w:t>
      </w:r>
      <w:r w:rsidR="001E1C17" w:rsidRPr="001E1C17">
        <w:rPr>
          <w:rFonts w:hint="eastAsia"/>
          <w:lang w:eastAsia="zh-CN"/>
        </w:rPr>
        <w:t>ITU-D</w:t>
      </w:r>
      <w:r w:rsidR="001E1C17" w:rsidRPr="001E1C17">
        <w:rPr>
          <w:rFonts w:hint="eastAsia"/>
          <w:lang w:eastAsia="zh-CN"/>
        </w:rPr>
        <w:t>部门成员对</w:t>
      </w:r>
      <w:r w:rsidR="00235371">
        <w:rPr>
          <w:rFonts w:hint="eastAsia"/>
          <w:lang w:eastAsia="zh-CN"/>
        </w:rPr>
        <w:t>本</w:t>
      </w:r>
      <w:r w:rsidR="001E1C17" w:rsidRPr="001E1C17">
        <w:rPr>
          <w:rFonts w:hint="eastAsia"/>
          <w:lang w:eastAsia="zh-CN"/>
        </w:rPr>
        <w:t>部门工作的参与，为伙伴关系和资源调动创造肥沃的土壤，从而为</w:t>
      </w:r>
      <w:r w:rsidR="00187605">
        <w:rPr>
          <w:rFonts w:hint="eastAsia"/>
          <w:lang w:eastAsia="zh-CN"/>
        </w:rPr>
        <w:t>有重要</w:t>
      </w:r>
      <w:r w:rsidR="001E1C17" w:rsidRPr="001E1C17">
        <w:rPr>
          <w:rFonts w:hint="eastAsia"/>
          <w:lang w:eastAsia="zh-CN"/>
        </w:rPr>
        <w:t>影响力的项目和</w:t>
      </w:r>
      <w:r w:rsidR="00C1311C">
        <w:rPr>
          <w:rFonts w:hint="eastAsia"/>
          <w:lang w:eastAsia="zh-CN"/>
        </w:rPr>
        <w:t>举措</w:t>
      </w:r>
      <w:r w:rsidR="001E1C17" w:rsidRPr="001E1C17">
        <w:rPr>
          <w:rFonts w:hint="eastAsia"/>
          <w:lang w:eastAsia="zh-CN"/>
        </w:rPr>
        <w:t>提供资金</w:t>
      </w:r>
      <w:r w:rsidR="00C1311C">
        <w:rPr>
          <w:rFonts w:hint="eastAsia"/>
          <w:lang w:eastAsia="zh-CN"/>
        </w:rPr>
        <w:t>；</w:t>
      </w:r>
    </w:p>
    <w:p w14:paraId="7FF2CF30" w14:textId="49BC597B" w:rsidR="00094FC6" w:rsidRPr="00094FC6" w:rsidRDefault="00094FC6" w:rsidP="00094FC6">
      <w:pPr>
        <w:pStyle w:val="enumlev1"/>
        <w:rPr>
          <w:lang w:eastAsia="zh-CN"/>
        </w:rPr>
      </w:pPr>
      <w:r w:rsidRPr="00094FC6">
        <w:rPr>
          <w:lang w:eastAsia="zh-CN"/>
        </w:rPr>
        <w:t>c)</w:t>
      </w:r>
      <w:r w:rsidRPr="00094FC6">
        <w:rPr>
          <w:lang w:eastAsia="zh-CN"/>
        </w:rPr>
        <w:tab/>
      </w:r>
      <w:r w:rsidR="001E1C17" w:rsidRPr="001E1C17">
        <w:rPr>
          <w:rFonts w:hint="eastAsia"/>
          <w:lang w:eastAsia="zh-CN"/>
        </w:rPr>
        <w:t>增加</w:t>
      </w:r>
      <w:r w:rsidR="001E1C17" w:rsidRPr="001E1C17">
        <w:rPr>
          <w:rFonts w:hint="eastAsia"/>
          <w:lang w:eastAsia="zh-CN"/>
        </w:rPr>
        <w:t>ITU-D</w:t>
      </w:r>
      <w:r w:rsidR="001E1C17" w:rsidRPr="001E1C17">
        <w:rPr>
          <w:rFonts w:hint="eastAsia"/>
          <w:lang w:eastAsia="zh-CN"/>
        </w:rPr>
        <w:t>部门成员对该部门活动和</w:t>
      </w:r>
      <w:r w:rsidR="00187605">
        <w:rPr>
          <w:rFonts w:hint="eastAsia"/>
          <w:lang w:eastAsia="zh-CN"/>
        </w:rPr>
        <w:t>会议</w:t>
      </w:r>
      <w:r w:rsidR="001E1C17" w:rsidRPr="001E1C17">
        <w:rPr>
          <w:rFonts w:hint="eastAsia"/>
          <w:lang w:eastAsia="zh-CN"/>
        </w:rPr>
        <w:t>的参与，</w:t>
      </w:r>
      <w:r w:rsidR="00C1311C">
        <w:rPr>
          <w:rFonts w:hint="eastAsia"/>
          <w:lang w:eastAsia="zh-CN"/>
        </w:rPr>
        <w:t>为该部门带来</w:t>
      </w:r>
      <w:r w:rsidR="001E1C17" w:rsidRPr="001E1C17">
        <w:rPr>
          <w:rFonts w:hint="eastAsia"/>
          <w:lang w:eastAsia="zh-CN"/>
        </w:rPr>
        <w:t>影响</w:t>
      </w:r>
      <w:r w:rsidR="00C1311C">
        <w:rPr>
          <w:rFonts w:hint="eastAsia"/>
          <w:lang w:eastAsia="zh-CN"/>
        </w:rPr>
        <w:t>；</w:t>
      </w:r>
    </w:p>
    <w:p w14:paraId="3EEAAB22" w14:textId="04EE40CD" w:rsidR="00CE5515" w:rsidRPr="009E10D9" w:rsidRDefault="00895832" w:rsidP="00895832">
      <w:pPr>
        <w:pStyle w:val="enumlev1"/>
        <w:rPr>
          <w:lang w:eastAsia="zh-CN"/>
        </w:rPr>
      </w:pPr>
      <w:r>
        <w:rPr>
          <w:rFonts w:hint="eastAsia"/>
          <w:lang w:eastAsia="zh-CN"/>
        </w:rPr>
        <w:t>d</w:t>
      </w:r>
      <w:r>
        <w:rPr>
          <w:lang w:eastAsia="zh-CN"/>
        </w:rPr>
        <w:t>)</w:t>
      </w:r>
      <w:r>
        <w:rPr>
          <w:lang w:eastAsia="zh-CN"/>
        </w:rPr>
        <w:tab/>
      </w:r>
      <w:r w:rsidR="001E1C17" w:rsidRPr="001E1C17">
        <w:rPr>
          <w:rFonts w:ascii="Calibri" w:hAnsi="Calibri" w:hint="eastAsia"/>
          <w:lang w:eastAsia="zh-CN"/>
        </w:rPr>
        <w:t>不断改进工具和服务以促进成员对工作的</w:t>
      </w:r>
      <w:r w:rsidR="00187605">
        <w:rPr>
          <w:rFonts w:ascii="Calibri" w:hAnsi="Calibri" w:hint="eastAsia"/>
          <w:lang w:eastAsia="zh-CN"/>
        </w:rPr>
        <w:t>接触</w:t>
      </w:r>
      <w:r w:rsidR="00C1311C">
        <w:rPr>
          <w:rFonts w:ascii="Calibri" w:hAnsi="Calibri" w:hint="eastAsia"/>
          <w:lang w:eastAsia="zh-CN"/>
        </w:rPr>
        <w:t>和</w:t>
      </w:r>
      <w:r w:rsidR="001E1C17" w:rsidRPr="001E1C17">
        <w:rPr>
          <w:rFonts w:ascii="Calibri" w:hAnsi="Calibri" w:hint="eastAsia"/>
          <w:lang w:eastAsia="zh-CN"/>
        </w:rPr>
        <w:t>参与。</w:t>
      </w:r>
    </w:p>
    <w:p w14:paraId="61200FDD" w14:textId="77777777" w:rsidR="00674B59" w:rsidRDefault="00674B59" w:rsidP="00674B59">
      <w:pPr>
        <w:rPr>
          <w:lang w:eastAsia="zh-CN"/>
        </w:rPr>
      </w:pPr>
    </w:p>
    <w:p w14:paraId="260D8DAB" w14:textId="77777777" w:rsidR="003C58BF" w:rsidRPr="00175C4C" w:rsidRDefault="008D71AF" w:rsidP="00674B59">
      <w:pPr>
        <w:jc w:val="center"/>
      </w:pPr>
      <w:r>
        <w:t>______________</w:t>
      </w:r>
    </w:p>
    <w:sectPr w:rsidR="003C58BF" w:rsidRPr="00175C4C" w:rsidSect="00CC4B75">
      <w:headerReference w:type="default" r:id="rId11"/>
      <w:footerReference w:type="default" r:id="rId12"/>
      <w:footerReference w:type="first" r:id="rId13"/>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8573" w14:textId="77777777" w:rsidR="00BC4676" w:rsidRDefault="00BC4676">
      <w:r>
        <w:separator/>
      </w:r>
    </w:p>
  </w:endnote>
  <w:endnote w:type="continuationSeparator" w:id="0">
    <w:p w14:paraId="1467A816" w14:textId="77777777" w:rsidR="00BC4676" w:rsidRDefault="00BC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0BDA" w14:textId="5E058103" w:rsidR="004F109C" w:rsidRPr="00895832" w:rsidRDefault="004F109C" w:rsidP="008D71AF">
    <w:pPr>
      <w:pStyle w:val="Footer"/>
      <w:rPr>
        <w:caps w:val="0"/>
        <w:szCs w:val="16"/>
        <w:lang w:val="fr-CH"/>
      </w:rPr>
    </w:pPr>
    <w:r w:rsidRPr="00F43E9C">
      <w:rPr>
        <w:caps w:val="0"/>
        <w:szCs w:val="16"/>
      </w:rPr>
      <w:fldChar w:fldCharType="begin"/>
    </w:r>
    <w:r w:rsidRPr="00895832">
      <w:rPr>
        <w:caps w:val="0"/>
        <w:szCs w:val="16"/>
        <w:lang w:val="fr-CH"/>
      </w:rPr>
      <w:instrText xml:space="preserve"> FILENAME \p \* MERGEFORMAT </w:instrText>
    </w:r>
    <w:r w:rsidRPr="00F43E9C">
      <w:rPr>
        <w:caps w:val="0"/>
        <w:szCs w:val="16"/>
      </w:rPr>
      <w:fldChar w:fldCharType="separate"/>
    </w:r>
    <w:r w:rsidR="00B712E5">
      <w:rPr>
        <w:caps w:val="0"/>
        <w:szCs w:val="16"/>
        <w:lang w:val="fr-CH"/>
      </w:rPr>
      <w:t>P:\CHI\ITU-D\CONF-D\TDAG21\000\012C.docx</w:t>
    </w:r>
    <w:r w:rsidRPr="00F43E9C">
      <w:rPr>
        <w:caps w:val="0"/>
        <w:szCs w:val="16"/>
        <w:lang w:val="en-US"/>
      </w:rPr>
      <w:fldChar w:fldCharType="end"/>
    </w:r>
    <w:r w:rsidRPr="00895832">
      <w:rPr>
        <w:caps w:val="0"/>
        <w:szCs w:val="16"/>
        <w:lang w:val="fr-CH"/>
      </w:rPr>
      <w:t xml:space="preserve"> (4</w:t>
    </w:r>
    <w:r w:rsidR="001D0BC4">
      <w:rPr>
        <w:caps w:val="0"/>
        <w:szCs w:val="16"/>
        <w:lang w:val="fr-CH"/>
      </w:rPr>
      <w:t>8696</w:t>
    </w:r>
    <w:r w:rsidR="00EF4484" w:rsidRPr="00895832">
      <w:rPr>
        <w:caps w:val="0"/>
        <w:szCs w:val="16"/>
        <w:lang w:val="fr-CH"/>
      </w:rPr>
      <w:t>8</w:t>
    </w:r>
    <w:r w:rsidRPr="00895832">
      <w:rPr>
        <w:caps w:val="0"/>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F109C" w:rsidRPr="00EF4484" w14:paraId="43854C10" w14:textId="77777777" w:rsidTr="008D71AF">
      <w:tc>
        <w:tcPr>
          <w:tcW w:w="1526" w:type="dxa"/>
          <w:tcBorders>
            <w:top w:val="single" w:sz="4" w:space="0" w:color="000000"/>
          </w:tcBorders>
          <w:shd w:val="clear" w:color="auto" w:fill="auto"/>
        </w:tcPr>
        <w:p w14:paraId="147B6EC7" w14:textId="77777777" w:rsidR="004F109C" w:rsidRPr="004D495C" w:rsidRDefault="004F109C" w:rsidP="008D71A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E559159" w14:textId="77777777" w:rsidR="004F109C" w:rsidRPr="00F1049E" w:rsidRDefault="004F109C" w:rsidP="008D71AF">
          <w:pPr>
            <w:pStyle w:val="FirstFooter"/>
            <w:tabs>
              <w:tab w:val="left" w:pos="2302"/>
            </w:tabs>
            <w:ind w:left="2302" w:hanging="2302"/>
            <w:rPr>
              <w:sz w:val="18"/>
              <w:szCs w:val="18"/>
              <w:lang w:val="fr-CH"/>
            </w:rPr>
          </w:pPr>
          <w:r>
            <w:rPr>
              <w:rFonts w:ascii="SimSun" w:eastAsia="SimSun" w:hAnsi="SimSun" w:hint="eastAsia"/>
              <w:sz w:val="18"/>
              <w:szCs w:val="18"/>
              <w:lang w:val="fr-CH" w:eastAsia="zh-CN"/>
            </w:rPr>
            <w:t>组织/实体/姓名：</w:t>
          </w:r>
        </w:p>
      </w:tc>
      <w:tc>
        <w:tcPr>
          <w:tcW w:w="5987" w:type="dxa"/>
          <w:tcBorders>
            <w:top w:val="single" w:sz="4" w:space="0" w:color="000000"/>
          </w:tcBorders>
        </w:tcPr>
        <w:p w14:paraId="13B5E0FF" w14:textId="504F5259" w:rsidR="004F109C" w:rsidRPr="00EF4484" w:rsidRDefault="004F109C" w:rsidP="00F7702B">
          <w:pPr>
            <w:pStyle w:val="FirstFooter"/>
            <w:tabs>
              <w:tab w:val="left" w:pos="1201"/>
            </w:tabs>
            <w:rPr>
              <w:sz w:val="18"/>
              <w:szCs w:val="18"/>
              <w:lang w:val="fr-CH" w:eastAsia="zh-CN"/>
            </w:rPr>
          </w:pPr>
          <w:r>
            <w:rPr>
              <w:rFonts w:hint="eastAsia"/>
              <w:sz w:val="18"/>
              <w:szCs w:val="18"/>
              <w:lang w:val="en-US" w:eastAsia="zh-CN"/>
            </w:rPr>
            <w:t>电信发展</w:t>
          </w:r>
          <w:proofErr w:type="gramStart"/>
          <w:r>
            <w:rPr>
              <w:rFonts w:hint="eastAsia"/>
              <w:sz w:val="18"/>
              <w:szCs w:val="18"/>
              <w:lang w:val="en-US" w:eastAsia="zh-CN"/>
            </w:rPr>
            <w:t>局</w:t>
          </w:r>
          <w:r w:rsidR="003F6E19" w:rsidRPr="003F6E19">
            <w:rPr>
              <w:rFonts w:hint="eastAsia"/>
              <w:sz w:val="18"/>
              <w:szCs w:val="18"/>
              <w:lang w:val="en-US" w:eastAsia="zh-CN"/>
            </w:rPr>
            <w:t>数字</w:t>
          </w:r>
          <w:proofErr w:type="gramEnd"/>
          <w:r w:rsidR="003F6E19" w:rsidRPr="003F6E19">
            <w:rPr>
              <w:rFonts w:hint="eastAsia"/>
              <w:sz w:val="18"/>
              <w:szCs w:val="18"/>
              <w:lang w:val="en-US" w:eastAsia="zh-CN"/>
            </w:rPr>
            <w:t>发展</w:t>
          </w:r>
          <w:r w:rsidR="003F6E19">
            <w:rPr>
              <w:rFonts w:hint="eastAsia"/>
              <w:sz w:val="18"/>
              <w:szCs w:val="18"/>
              <w:lang w:val="en-US" w:eastAsia="zh-CN"/>
            </w:rPr>
            <w:t>伙伴关系部</w:t>
          </w:r>
          <w:r>
            <w:rPr>
              <w:sz w:val="18"/>
              <w:szCs w:val="18"/>
              <w:lang w:val="en-US" w:eastAsia="zh-CN"/>
            </w:rPr>
            <w:t>主任</w:t>
          </w:r>
          <w:proofErr w:type="spellStart"/>
          <w:r w:rsidR="00EF4484" w:rsidRPr="00F7702B">
            <w:rPr>
              <w:sz w:val="18"/>
              <w:szCs w:val="18"/>
              <w:lang w:val="fr-CH" w:eastAsia="zh-CN"/>
            </w:rPr>
            <w:t>Cosmas</w:t>
          </w:r>
          <w:proofErr w:type="spellEnd"/>
          <w:r w:rsidR="00EF4484" w:rsidRPr="00F7702B">
            <w:rPr>
              <w:sz w:val="18"/>
              <w:szCs w:val="18"/>
              <w:lang w:val="fr-CH" w:eastAsia="zh-CN"/>
            </w:rPr>
            <w:t xml:space="preserve"> </w:t>
          </w:r>
          <w:proofErr w:type="spellStart"/>
          <w:r w:rsidR="00EF4484" w:rsidRPr="00F7702B">
            <w:rPr>
              <w:sz w:val="18"/>
              <w:szCs w:val="18"/>
              <w:lang w:val="fr-CH" w:eastAsia="zh-CN"/>
            </w:rPr>
            <w:t>Zavazava</w:t>
          </w:r>
          <w:proofErr w:type="spellEnd"/>
          <w:r w:rsidR="00F7702B">
            <w:rPr>
              <w:rFonts w:hint="eastAsia"/>
              <w:sz w:val="18"/>
              <w:szCs w:val="18"/>
              <w:lang w:val="fr-CH" w:eastAsia="zh-CN"/>
            </w:rPr>
            <w:t>博士</w:t>
          </w:r>
        </w:p>
      </w:tc>
      <w:bookmarkStart w:id="13" w:name="OrgName"/>
      <w:bookmarkEnd w:id="13"/>
    </w:tr>
    <w:tr w:rsidR="004F109C" w:rsidRPr="004D495C" w14:paraId="17703AD7" w14:textId="77777777" w:rsidTr="008D71AF">
      <w:tc>
        <w:tcPr>
          <w:tcW w:w="1526" w:type="dxa"/>
          <w:shd w:val="clear" w:color="auto" w:fill="auto"/>
        </w:tcPr>
        <w:p w14:paraId="6BC3C8D8" w14:textId="77777777" w:rsidR="004F109C" w:rsidRPr="00EF4484" w:rsidRDefault="004F109C" w:rsidP="00645218">
          <w:pPr>
            <w:pStyle w:val="FirstFooter"/>
            <w:tabs>
              <w:tab w:val="left" w:pos="1559"/>
              <w:tab w:val="left" w:pos="3828"/>
            </w:tabs>
            <w:rPr>
              <w:sz w:val="20"/>
              <w:lang w:val="fr-CH" w:eastAsia="zh-CN"/>
            </w:rPr>
          </w:pPr>
        </w:p>
      </w:tc>
      <w:tc>
        <w:tcPr>
          <w:tcW w:w="2410" w:type="dxa"/>
          <w:shd w:val="clear" w:color="auto" w:fill="auto"/>
        </w:tcPr>
        <w:p w14:paraId="50FCE7CD" w14:textId="77777777"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11557B84" w14:textId="1B1A1872" w:rsidR="004F109C" w:rsidRPr="00103886" w:rsidRDefault="004F109C" w:rsidP="00645218">
          <w:pPr>
            <w:pStyle w:val="FirstFooter"/>
            <w:tabs>
              <w:tab w:val="left" w:pos="2302"/>
            </w:tabs>
            <w:rPr>
              <w:sz w:val="18"/>
              <w:szCs w:val="18"/>
              <w:lang w:val="en-US"/>
            </w:rPr>
          </w:pPr>
          <w:r>
            <w:rPr>
              <w:sz w:val="18"/>
              <w:szCs w:val="18"/>
              <w:lang w:val="en-US"/>
            </w:rPr>
            <w:t>+41 22 730 5</w:t>
          </w:r>
          <w:r w:rsidR="00EF4484">
            <w:rPr>
              <w:sz w:val="18"/>
              <w:szCs w:val="18"/>
              <w:lang w:val="en-US"/>
            </w:rPr>
            <w:t>447</w:t>
          </w:r>
        </w:p>
      </w:tc>
      <w:bookmarkStart w:id="14" w:name="PhoneNo"/>
      <w:bookmarkEnd w:id="14"/>
    </w:tr>
    <w:tr w:rsidR="004F109C" w:rsidRPr="004D495C" w14:paraId="64517250" w14:textId="77777777" w:rsidTr="008D71AF">
      <w:tc>
        <w:tcPr>
          <w:tcW w:w="1526" w:type="dxa"/>
          <w:shd w:val="clear" w:color="auto" w:fill="auto"/>
        </w:tcPr>
        <w:p w14:paraId="478E134F" w14:textId="77777777" w:rsidR="004F109C" w:rsidRPr="004D495C" w:rsidRDefault="004F109C" w:rsidP="00645218">
          <w:pPr>
            <w:pStyle w:val="FirstFooter"/>
            <w:tabs>
              <w:tab w:val="left" w:pos="1559"/>
              <w:tab w:val="left" w:pos="3828"/>
            </w:tabs>
            <w:rPr>
              <w:sz w:val="20"/>
              <w:lang w:val="en-US"/>
            </w:rPr>
          </w:pPr>
        </w:p>
      </w:tc>
      <w:tc>
        <w:tcPr>
          <w:tcW w:w="2410" w:type="dxa"/>
          <w:shd w:val="clear" w:color="auto" w:fill="auto"/>
        </w:tcPr>
        <w:p w14:paraId="3087A94C" w14:textId="77777777"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5F769C27" w14:textId="72882D4C" w:rsidR="004F109C" w:rsidRPr="00103886" w:rsidRDefault="00862002" w:rsidP="00645218">
          <w:pPr>
            <w:pStyle w:val="FirstFooter"/>
            <w:tabs>
              <w:tab w:val="left" w:pos="2302"/>
            </w:tabs>
            <w:rPr>
              <w:sz w:val="18"/>
              <w:szCs w:val="18"/>
              <w:lang w:val="en-US"/>
            </w:rPr>
          </w:pPr>
          <w:hyperlink r:id="rId1" w:history="1">
            <w:r w:rsidR="0091759B" w:rsidRPr="0091759B">
              <w:rPr>
                <w:rStyle w:val="Hyperlink"/>
                <w:lang w:val="en-US"/>
              </w:rPr>
              <w:t>Cosmas.zavazava@itu.int</w:t>
            </w:r>
          </w:hyperlink>
        </w:p>
      </w:tc>
      <w:bookmarkStart w:id="15" w:name="Email"/>
      <w:bookmarkEnd w:id="15"/>
    </w:tr>
  </w:tbl>
  <w:p w14:paraId="6EA48896" w14:textId="5916217E" w:rsidR="004F109C" w:rsidRPr="00E82BF1" w:rsidRDefault="00862002" w:rsidP="00EE5749">
    <w:pPr>
      <w:pStyle w:val="Footer"/>
      <w:spacing w:before="120"/>
      <w:jc w:val="center"/>
      <w:rPr>
        <w:sz w:val="20"/>
      </w:rPr>
    </w:pPr>
    <w:hyperlink r:id="rId2" w:history="1">
      <w:r w:rsidR="004F109C" w:rsidRPr="00E82BF1">
        <w:rPr>
          <w:rStyle w:val="Hyperlink"/>
          <w:caps w:val="0"/>
          <w:noProof w:val="0"/>
          <w:sz w:val="20"/>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C7F0" w14:textId="77777777" w:rsidR="00BC4676" w:rsidRDefault="00BC4676">
      <w:r>
        <w:t>____________________</w:t>
      </w:r>
    </w:p>
  </w:footnote>
  <w:footnote w:type="continuationSeparator" w:id="0">
    <w:p w14:paraId="5244B229" w14:textId="77777777" w:rsidR="00BC4676" w:rsidRDefault="00BC4676">
      <w:r>
        <w:continuationSeparator/>
      </w:r>
    </w:p>
  </w:footnote>
  <w:footnote w:id="1">
    <w:p w14:paraId="016C2FC4" w14:textId="59C85F32" w:rsidR="00B712E5" w:rsidRPr="00EE5749" w:rsidRDefault="00B712E5" w:rsidP="00EE5749">
      <w:pPr>
        <w:pStyle w:val="FootnoteText"/>
        <w:spacing w:after="240"/>
        <w:rPr>
          <w:sz w:val="18"/>
          <w:szCs w:val="18"/>
          <w:lang w:eastAsia="zh-CN"/>
        </w:rPr>
      </w:pPr>
      <w:r w:rsidRPr="0010235F">
        <w:rPr>
          <w:rStyle w:val="FootnoteReference"/>
          <w:szCs w:val="18"/>
        </w:rPr>
        <w:footnoteRef/>
      </w:r>
      <w:r w:rsidRPr="0010235F">
        <w:rPr>
          <w:sz w:val="18"/>
          <w:szCs w:val="18"/>
          <w:lang w:eastAsia="zh-CN"/>
        </w:rPr>
        <w:t xml:space="preserve"> </w:t>
      </w:r>
      <w:bookmarkStart w:id="8" w:name="lt_pId147"/>
      <w:r>
        <w:rPr>
          <w:sz w:val="18"/>
          <w:szCs w:val="18"/>
          <w:lang w:eastAsia="zh-CN"/>
        </w:rPr>
        <w:tab/>
      </w:r>
      <w:r w:rsidRPr="0010235F">
        <w:rPr>
          <w:rFonts w:hint="eastAsia"/>
          <w:sz w:val="18"/>
          <w:szCs w:val="18"/>
          <w:lang w:eastAsia="zh-CN"/>
        </w:rPr>
        <w:t>请参考全权代表大会第</w:t>
      </w:r>
      <w:r w:rsidRPr="0010235F">
        <w:rPr>
          <w:rFonts w:hint="eastAsia"/>
          <w:sz w:val="18"/>
          <w:szCs w:val="18"/>
          <w:lang w:eastAsia="zh-CN"/>
        </w:rPr>
        <w:t>1</w:t>
      </w:r>
      <w:r w:rsidRPr="0010235F">
        <w:rPr>
          <w:sz w:val="18"/>
          <w:szCs w:val="18"/>
          <w:lang w:eastAsia="zh-CN"/>
        </w:rPr>
        <w:t>69</w:t>
      </w:r>
      <w:r w:rsidRPr="0010235F">
        <w:rPr>
          <w:rFonts w:hint="eastAsia"/>
          <w:sz w:val="18"/>
          <w:szCs w:val="18"/>
          <w:lang w:eastAsia="zh-CN"/>
        </w:rPr>
        <w:t>号决议（</w:t>
      </w:r>
      <w:r w:rsidRPr="0010235F">
        <w:rPr>
          <w:sz w:val="18"/>
          <w:szCs w:val="18"/>
          <w:lang w:eastAsia="zh-CN"/>
        </w:rPr>
        <w:t>2010</w:t>
      </w:r>
      <w:r w:rsidRPr="0010235F">
        <w:rPr>
          <w:rFonts w:hint="eastAsia"/>
          <w:sz w:val="18"/>
          <w:szCs w:val="18"/>
          <w:lang w:eastAsia="zh-CN"/>
        </w:rPr>
        <w:t>年，瓜达拉哈拉），允许新分类的学术成员参与国际电联的工作。</w:t>
      </w:r>
      <w:bookmarkEnd w:id="8"/>
    </w:p>
  </w:footnote>
  <w:footnote w:id="2">
    <w:p w14:paraId="014D40BA" w14:textId="7F12D30F" w:rsidR="00EF4484" w:rsidRPr="0010235F" w:rsidRDefault="00EF4484" w:rsidP="00976D6D">
      <w:pPr>
        <w:pStyle w:val="FootnoteText"/>
        <w:rPr>
          <w:sz w:val="18"/>
          <w:szCs w:val="18"/>
          <w:lang w:val="en-US" w:eastAsia="zh-CN"/>
        </w:rPr>
      </w:pPr>
      <w:r w:rsidRPr="0010235F">
        <w:rPr>
          <w:rStyle w:val="FootnoteReference"/>
          <w:szCs w:val="18"/>
        </w:rPr>
        <w:footnoteRef/>
      </w:r>
      <w:r w:rsidR="00B712E5">
        <w:rPr>
          <w:sz w:val="18"/>
          <w:szCs w:val="18"/>
          <w:lang w:eastAsia="zh-CN"/>
        </w:rPr>
        <w:tab/>
      </w:r>
      <w:r w:rsidR="0065701D" w:rsidRPr="0010235F">
        <w:rPr>
          <w:rFonts w:hint="eastAsia"/>
          <w:sz w:val="18"/>
          <w:szCs w:val="18"/>
          <w:lang w:val="en-US" w:eastAsia="zh-CN"/>
        </w:rPr>
        <w:t>第</w:t>
      </w:r>
      <w:r w:rsidR="0065701D" w:rsidRPr="0010235F">
        <w:rPr>
          <w:rFonts w:hint="eastAsia"/>
          <w:sz w:val="18"/>
          <w:szCs w:val="18"/>
          <w:lang w:val="en-US" w:eastAsia="zh-CN"/>
        </w:rPr>
        <w:t>71</w:t>
      </w:r>
      <w:r w:rsidR="0065701D" w:rsidRPr="0010235F">
        <w:rPr>
          <w:rFonts w:hint="eastAsia"/>
          <w:sz w:val="18"/>
          <w:szCs w:val="18"/>
          <w:lang w:val="en-US" w:eastAsia="zh-CN"/>
        </w:rPr>
        <w:t>号决议（</w:t>
      </w:r>
      <w:r w:rsidR="0065701D" w:rsidRPr="0010235F">
        <w:rPr>
          <w:rFonts w:hint="eastAsia"/>
          <w:sz w:val="18"/>
          <w:szCs w:val="18"/>
          <w:lang w:val="en-US" w:eastAsia="zh-CN"/>
        </w:rPr>
        <w:t>2017</w:t>
      </w:r>
      <w:r w:rsidR="0065701D" w:rsidRPr="0010235F">
        <w:rPr>
          <w:rFonts w:hint="eastAsia"/>
          <w:sz w:val="18"/>
          <w:szCs w:val="18"/>
          <w:lang w:val="en-US" w:eastAsia="zh-CN"/>
        </w:rPr>
        <w:t>年，布宜诺斯艾利斯，修订版），“加强成员国与国际电联电信发展部门</w:t>
      </w:r>
      <w:r w:rsidR="006E106D">
        <w:rPr>
          <w:rFonts w:hint="eastAsia"/>
          <w:sz w:val="18"/>
          <w:szCs w:val="18"/>
          <w:lang w:val="en-US" w:eastAsia="zh-CN"/>
        </w:rPr>
        <w:t>的</w:t>
      </w:r>
      <w:r w:rsidR="0065701D" w:rsidRPr="0010235F">
        <w:rPr>
          <w:rFonts w:hint="eastAsia"/>
          <w:sz w:val="18"/>
          <w:szCs w:val="18"/>
          <w:lang w:val="en-US" w:eastAsia="zh-CN"/>
        </w:rPr>
        <w:t>部门成员、部门准成员和学术成员之间的合作</w:t>
      </w:r>
      <w:r w:rsidR="00976D6D" w:rsidRPr="0010235F">
        <w:rPr>
          <w:rFonts w:hint="eastAsia"/>
          <w:sz w:val="18"/>
          <w:szCs w:val="18"/>
          <w:lang w:val="en-US" w:eastAsia="zh-CN"/>
        </w:rPr>
        <w:t>以及推进</w:t>
      </w:r>
      <w:r w:rsidR="0065701D" w:rsidRPr="0010235F">
        <w:rPr>
          <w:rFonts w:hint="eastAsia"/>
          <w:sz w:val="18"/>
          <w:szCs w:val="18"/>
          <w:lang w:val="en-US" w:eastAsia="zh-CN"/>
        </w:rPr>
        <w:t>私营部门在国际电联发展部门中</w:t>
      </w:r>
      <w:r w:rsidR="00976D6D" w:rsidRPr="0010235F">
        <w:rPr>
          <w:rFonts w:hint="eastAsia"/>
          <w:sz w:val="18"/>
          <w:szCs w:val="18"/>
          <w:lang w:val="en-US" w:eastAsia="zh-CN"/>
        </w:rPr>
        <w:t>发挥</w:t>
      </w:r>
      <w:r w:rsidR="0065701D" w:rsidRPr="0010235F">
        <w:rPr>
          <w:rFonts w:hint="eastAsia"/>
          <w:sz w:val="18"/>
          <w:szCs w:val="18"/>
          <w:lang w:val="en-US" w:eastAsia="zh-CN"/>
        </w:rPr>
        <w:t>的作用</w:t>
      </w:r>
      <w:r w:rsidR="00976D6D" w:rsidRPr="0010235F">
        <w:rPr>
          <w:rFonts w:hint="eastAsia"/>
          <w:sz w:val="18"/>
          <w:szCs w:val="18"/>
          <w:lang w:val="en-US" w:eastAsia="zh-CN"/>
        </w:rPr>
        <w:t>。”</w:t>
      </w:r>
    </w:p>
  </w:footnote>
  <w:footnote w:id="3">
    <w:p w14:paraId="4568303C" w14:textId="4BF74212" w:rsidR="0091759B" w:rsidRPr="00A244BC" w:rsidRDefault="0091759B" w:rsidP="0091759B">
      <w:pPr>
        <w:pStyle w:val="FootnoteText"/>
        <w:keepLines w:val="0"/>
        <w:spacing w:before="0"/>
        <w:ind w:left="0" w:firstLine="0"/>
        <w:jc w:val="both"/>
        <w:rPr>
          <w:sz w:val="20"/>
          <w:lang w:val="en-US" w:eastAsia="zh-CN"/>
        </w:rPr>
      </w:pPr>
      <w:r w:rsidRPr="00094FC6">
        <w:rPr>
          <w:rStyle w:val="FootnoteReference"/>
          <w:sz w:val="20"/>
        </w:rPr>
        <w:footnoteRef/>
      </w:r>
      <w:r w:rsidR="00B712E5">
        <w:rPr>
          <w:sz w:val="20"/>
          <w:lang w:eastAsia="zh-CN"/>
        </w:rPr>
        <w:tab/>
      </w:r>
      <w:r w:rsidR="00094FC6">
        <w:rPr>
          <w:rFonts w:hint="eastAsia"/>
          <w:sz w:val="18"/>
          <w:szCs w:val="18"/>
          <w:lang w:eastAsia="zh-CN"/>
        </w:rPr>
        <w:t>请参考第</w:t>
      </w:r>
      <w:r w:rsidR="00094FC6">
        <w:rPr>
          <w:sz w:val="18"/>
          <w:szCs w:val="18"/>
          <w:lang w:eastAsia="zh-CN"/>
        </w:rPr>
        <w:t>169</w:t>
      </w:r>
      <w:r w:rsidR="00094FC6">
        <w:rPr>
          <w:rFonts w:hint="eastAsia"/>
          <w:sz w:val="18"/>
          <w:szCs w:val="18"/>
          <w:lang w:eastAsia="zh-CN"/>
        </w:rPr>
        <w:t>号决议（</w:t>
      </w:r>
      <w:r w:rsidR="00094FC6">
        <w:rPr>
          <w:sz w:val="18"/>
          <w:szCs w:val="18"/>
          <w:lang w:eastAsia="zh-CN"/>
        </w:rPr>
        <w:t>2010</w:t>
      </w:r>
      <w:r w:rsidR="00094FC6">
        <w:rPr>
          <w:rFonts w:hint="eastAsia"/>
          <w:sz w:val="18"/>
          <w:szCs w:val="18"/>
          <w:lang w:eastAsia="zh-CN"/>
        </w:rPr>
        <w:t>年，瓜达拉哈拉），允许新分类的学术成员参与国际电联的工作。</w:t>
      </w:r>
    </w:p>
  </w:footnote>
  <w:footnote w:id="4">
    <w:p w14:paraId="4E2E000A" w14:textId="602AA28C" w:rsidR="004F109C" w:rsidRPr="00EB1FB3" w:rsidRDefault="004F109C" w:rsidP="00BF7966">
      <w:pPr>
        <w:pStyle w:val="FootnoteText"/>
        <w:rPr>
          <w:sz w:val="18"/>
          <w:szCs w:val="18"/>
          <w:lang w:val="en-US" w:eastAsia="zh-CN"/>
        </w:rPr>
      </w:pPr>
      <w:r w:rsidRPr="00C1371A">
        <w:rPr>
          <w:rStyle w:val="FootnoteReference"/>
        </w:rPr>
        <w:footnoteRef/>
      </w:r>
      <w:r w:rsidR="00EB1FB3">
        <w:rPr>
          <w:lang w:eastAsia="zh-CN"/>
        </w:rPr>
        <w:tab/>
      </w:r>
      <w:bookmarkStart w:id="9" w:name="lt_pId093"/>
      <w:r w:rsidRPr="00EB1FB3">
        <w:rPr>
          <w:rFonts w:hint="eastAsia"/>
          <w:sz w:val="18"/>
          <w:szCs w:val="18"/>
          <w:lang w:val="en-US" w:eastAsia="zh-CN"/>
        </w:rPr>
        <w:t>学术成员参与国际电</w:t>
      </w:r>
      <w:proofErr w:type="gramStart"/>
      <w:r w:rsidRPr="00EB1FB3">
        <w:rPr>
          <w:rFonts w:hint="eastAsia"/>
          <w:sz w:val="18"/>
          <w:szCs w:val="18"/>
          <w:lang w:val="en-US" w:eastAsia="zh-CN"/>
        </w:rPr>
        <w:t>联</w:t>
      </w:r>
      <w:r w:rsidR="007913C1">
        <w:rPr>
          <w:rFonts w:hint="eastAsia"/>
          <w:sz w:val="18"/>
          <w:szCs w:val="18"/>
          <w:lang w:val="en-US" w:eastAsia="zh-CN"/>
        </w:rPr>
        <w:t>全部</w:t>
      </w:r>
      <w:proofErr w:type="gramEnd"/>
      <w:r w:rsidRPr="00EB1FB3">
        <w:rPr>
          <w:rFonts w:hint="eastAsia"/>
          <w:sz w:val="18"/>
          <w:szCs w:val="18"/>
          <w:lang w:val="en-US" w:eastAsia="zh-CN"/>
        </w:rPr>
        <w:t>三个部门</w:t>
      </w:r>
      <w:r w:rsidR="007913C1">
        <w:rPr>
          <w:rFonts w:hint="eastAsia"/>
          <w:sz w:val="18"/>
          <w:szCs w:val="18"/>
          <w:lang w:val="en-US" w:eastAsia="zh-CN"/>
        </w:rPr>
        <w:t>及其顾问组</w:t>
      </w:r>
      <w:r w:rsidRPr="00EB1FB3">
        <w:rPr>
          <w:rFonts w:hint="eastAsia"/>
          <w:sz w:val="18"/>
          <w:szCs w:val="18"/>
          <w:lang w:val="en-US" w:eastAsia="zh-CN"/>
        </w:rPr>
        <w:t>的工作。</w:t>
      </w:r>
      <w:bookmarkEnd w:id="9"/>
      <w:r w:rsidR="00016F70" w:rsidRPr="00016F70">
        <w:rPr>
          <w:rFonts w:ascii="inherit" w:hAnsi="inherit"/>
          <w:color w:val="000000"/>
          <w:sz w:val="20"/>
          <w:lang w:eastAsia="zh-CN"/>
        </w:rPr>
        <w:t>根据各相关部门的议事规则，学术成员参加除全权代表大会、世界无线电通信大会、国际电信世界大会和国际电联理事会以外的国际电联其他全球和区域性大会、讲习班与活动</w:t>
      </w:r>
      <w:r w:rsidR="00BF7966">
        <w:rPr>
          <w:rFonts w:ascii="inherit" w:hAnsi="inherit"/>
          <w:color w:val="000000"/>
          <w:sz w:val="20"/>
          <w:lang w:eastAsia="zh-CN"/>
        </w:rPr>
        <w:t>。</w:t>
      </w:r>
    </w:p>
  </w:footnote>
  <w:footnote w:id="5">
    <w:p w14:paraId="5912A872" w14:textId="2FF28B8E" w:rsidR="00094FC6" w:rsidRPr="00A244BC" w:rsidRDefault="00094FC6" w:rsidP="00B712E5">
      <w:pPr>
        <w:pStyle w:val="FootnoteText"/>
        <w:keepLines w:val="0"/>
        <w:spacing w:before="0"/>
        <w:ind w:left="252" w:hangingChars="126" w:hanging="252"/>
        <w:rPr>
          <w:sz w:val="20"/>
          <w:lang w:eastAsia="zh-CN"/>
        </w:rPr>
      </w:pPr>
      <w:r w:rsidRPr="00A244BC">
        <w:rPr>
          <w:rStyle w:val="FootnoteReference"/>
          <w:sz w:val="20"/>
        </w:rPr>
        <w:footnoteRef/>
      </w:r>
      <w:r w:rsidRPr="00A244BC">
        <w:rPr>
          <w:sz w:val="20"/>
          <w:lang w:eastAsia="zh-CN"/>
        </w:rPr>
        <w:t xml:space="preserve"> </w:t>
      </w:r>
      <w:r w:rsidR="00B712E5">
        <w:rPr>
          <w:sz w:val="20"/>
          <w:lang w:eastAsia="zh-CN"/>
        </w:rPr>
        <w:tab/>
      </w:r>
      <w:r w:rsidR="001E1C17" w:rsidRPr="001E1C17">
        <w:rPr>
          <w:rFonts w:hint="eastAsia"/>
          <w:sz w:val="20"/>
          <w:lang w:eastAsia="zh-CN"/>
        </w:rPr>
        <w:t>阿卜杜拉国王科技大学（沙特阿拉伯）</w:t>
      </w:r>
      <w:r w:rsidR="00CC32B6">
        <w:rPr>
          <w:rFonts w:hint="eastAsia"/>
          <w:sz w:val="20"/>
          <w:lang w:eastAsia="zh-CN"/>
        </w:rPr>
        <w:t>、</w:t>
      </w:r>
      <w:r w:rsidR="00026706" w:rsidRPr="001E1C17">
        <w:rPr>
          <w:rFonts w:hint="eastAsia"/>
          <w:sz w:val="20"/>
          <w:lang w:eastAsia="zh-CN"/>
        </w:rPr>
        <w:t>国立</w:t>
      </w:r>
      <w:r w:rsidR="001E1C17" w:rsidRPr="001E1C17">
        <w:rPr>
          <w:rFonts w:hint="eastAsia"/>
          <w:sz w:val="20"/>
          <w:lang w:eastAsia="zh-CN"/>
        </w:rPr>
        <w:t>圣路易斯大学（阿根廷）</w:t>
      </w:r>
      <w:r w:rsidR="00CC32B6">
        <w:rPr>
          <w:rFonts w:hint="eastAsia"/>
          <w:sz w:val="20"/>
          <w:lang w:eastAsia="zh-CN"/>
        </w:rPr>
        <w:t>、</w:t>
      </w:r>
      <w:r w:rsidR="001E1C17" w:rsidRPr="001E1C17">
        <w:rPr>
          <w:rFonts w:hint="eastAsia"/>
          <w:sz w:val="20"/>
          <w:lang w:eastAsia="zh-CN"/>
        </w:rPr>
        <w:t>印度海德拉巴理工学院（印度）</w:t>
      </w:r>
      <w:r w:rsidR="00CC32B6">
        <w:rPr>
          <w:rFonts w:hint="eastAsia"/>
          <w:sz w:val="20"/>
          <w:lang w:eastAsia="zh-CN"/>
        </w:rPr>
        <w:t>、</w:t>
      </w:r>
      <w:r w:rsidR="00026706" w:rsidRPr="001E1C17">
        <w:rPr>
          <w:rFonts w:hint="eastAsia"/>
          <w:sz w:val="20"/>
          <w:lang w:eastAsia="zh-CN"/>
        </w:rPr>
        <w:t>国立</w:t>
      </w:r>
      <w:r w:rsidR="001E1C17" w:rsidRPr="001E1C17">
        <w:rPr>
          <w:rFonts w:hint="eastAsia"/>
          <w:sz w:val="20"/>
          <w:lang w:eastAsia="zh-CN"/>
        </w:rPr>
        <w:t>里奥</w:t>
      </w:r>
      <w:r w:rsidR="00A86DC1">
        <w:rPr>
          <w:rFonts w:asciiTheme="minorEastAsia" w:hAnsiTheme="minorEastAsia" w:hint="eastAsia"/>
          <w:sz w:val="20"/>
          <w:lang w:eastAsia="zh-CN"/>
        </w:rPr>
        <w:t>·</w:t>
      </w:r>
      <w:r w:rsidR="00A86DC1">
        <w:rPr>
          <w:rFonts w:hint="eastAsia"/>
          <w:sz w:val="20"/>
          <w:lang w:eastAsia="zh-CN"/>
        </w:rPr>
        <w:t>卡奥托</w:t>
      </w:r>
      <w:r w:rsidR="001E1C17" w:rsidRPr="001E1C17">
        <w:rPr>
          <w:rFonts w:hint="eastAsia"/>
          <w:sz w:val="20"/>
          <w:lang w:eastAsia="zh-CN"/>
        </w:rPr>
        <w:t>大学（阿根廷）</w:t>
      </w:r>
      <w:r w:rsidR="00CC32B6">
        <w:rPr>
          <w:rFonts w:hint="eastAsia"/>
          <w:sz w:val="20"/>
          <w:lang w:eastAsia="zh-CN"/>
        </w:rPr>
        <w:t>、</w:t>
      </w:r>
      <w:r w:rsidR="00026706" w:rsidRPr="001E1C17">
        <w:rPr>
          <w:rFonts w:hint="eastAsia"/>
          <w:sz w:val="20"/>
          <w:lang w:eastAsia="zh-CN"/>
        </w:rPr>
        <w:t>国立</w:t>
      </w:r>
      <w:r w:rsidR="001E1C17" w:rsidRPr="001E1C17">
        <w:rPr>
          <w:rFonts w:hint="eastAsia"/>
          <w:sz w:val="20"/>
          <w:lang w:eastAsia="zh-CN"/>
        </w:rPr>
        <w:t>图库</w:t>
      </w:r>
      <w:proofErr w:type="gramStart"/>
      <w:r w:rsidR="001E1C17" w:rsidRPr="001E1C17">
        <w:rPr>
          <w:rFonts w:hint="eastAsia"/>
          <w:sz w:val="20"/>
          <w:lang w:eastAsia="zh-CN"/>
        </w:rPr>
        <w:t>曼</w:t>
      </w:r>
      <w:proofErr w:type="gramEnd"/>
      <w:r w:rsidR="001E1C17" w:rsidRPr="001E1C17">
        <w:rPr>
          <w:rFonts w:hint="eastAsia"/>
          <w:sz w:val="20"/>
          <w:lang w:eastAsia="zh-CN"/>
        </w:rPr>
        <w:t>大学（阿根廷）</w:t>
      </w:r>
      <w:r w:rsidR="00CC32B6">
        <w:rPr>
          <w:rFonts w:hint="eastAsia"/>
          <w:sz w:val="20"/>
          <w:lang w:eastAsia="zh-CN"/>
        </w:rPr>
        <w:t>、</w:t>
      </w:r>
      <w:r w:rsidR="00026706" w:rsidRPr="001E1C17">
        <w:rPr>
          <w:rFonts w:hint="eastAsia"/>
          <w:sz w:val="20"/>
          <w:lang w:eastAsia="zh-CN"/>
        </w:rPr>
        <w:t>国立</w:t>
      </w:r>
      <w:r w:rsidR="001E1C17" w:rsidRPr="001E1C17">
        <w:rPr>
          <w:rFonts w:hint="eastAsia"/>
          <w:sz w:val="20"/>
          <w:lang w:eastAsia="zh-CN"/>
        </w:rPr>
        <w:t>科尔多巴大学（阿根廷）</w:t>
      </w:r>
      <w:r w:rsidR="00CC32B6">
        <w:rPr>
          <w:rFonts w:hint="eastAsia"/>
          <w:sz w:val="20"/>
          <w:lang w:eastAsia="zh-CN"/>
        </w:rPr>
        <w:t>、</w:t>
      </w:r>
      <w:r w:rsidR="001E1C17" w:rsidRPr="001E1C17">
        <w:rPr>
          <w:rFonts w:hint="eastAsia"/>
          <w:sz w:val="20"/>
          <w:lang w:eastAsia="zh-CN"/>
        </w:rPr>
        <w:t>洛桑联邦理工学院（瑞士）</w:t>
      </w:r>
      <w:r w:rsidR="005252D0">
        <w:rPr>
          <w:rFonts w:hint="eastAsia"/>
          <w:sz w:val="20"/>
          <w:lang w:eastAsia="zh-CN"/>
        </w:rPr>
        <w:t>、</w:t>
      </w:r>
      <w:r w:rsidR="001E1C17" w:rsidRPr="001E1C17">
        <w:rPr>
          <w:rFonts w:hint="eastAsia"/>
          <w:sz w:val="20"/>
          <w:lang w:eastAsia="zh-CN"/>
        </w:rPr>
        <w:t>印度马德拉斯理工学院（印度）</w:t>
      </w:r>
      <w:r w:rsidR="005252D0">
        <w:rPr>
          <w:rFonts w:hint="eastAsia"/>
          <w:sz w:val="20"/>
          <w:lang w:eastAsia="zh-CN"/>
        </w:rPr>
        <w:t>、</w:t>
      </w:r>
      <w:proofErr w:type="spellStart"/>
      <w:r w:rsidR="001E1C17" w:rsidRPr="001E1C17">
        <w:rPr>
          <w:rFonts w:hint="eastAsia"/>
          <w:sz w:val="20"/>
          <w:lang w:eastAsia="zh-CN"/>
        </w:rPr>
        <w:t>Szechenyi</w:t>
      </w:r>
      <w:proofErr w:type="spellEnd"/>
      <w:r w:rsidR="001E1C17" w:rsidRPr="001E1C17">
        <w:rPr>
          <w:rFonts w:hint="eastAsia"/>
          <w:sz w:val="20"/>
          <w:lang w:eastAsia="zh-CN"/>
        </w:rPr>
        <w:t xml:space="preserve"> Istvan</w:t>
      </w:r>
      <w:r w:rsidR="001E1C17" w:rsidRPr="001E1C17">
        <w:rPr>
          <w:rFonts w:hint="eastAsia"/>
          <w:sz w:val="20"/>
          <w:lang w:eastAsia="zh-CN"/>
        </w:rPr>
        <w:t>大学（匈牙利）</w:t>
      </w:r>
      <w:r w:rsidR="005252D0">
        <w:rPr>
          <w:rFonts w:hint="eastAsia"/>
          <w:sz w:val="20"/>
          <w:lang w:eastAsia="zh-CN"/>
        </w:rPr>
        <w:t>、</w:t>
      </w:r>
      <w:r w:rsidR="001E1C17" w:rsidRPr="001E1C17">
        <w:rPr>
          <w:rFonts w:hint="eastAsia"/>
          <w:sz w:val="20"/>
          <w:lang w:eastAsia="zh-CN"/>
        </w:rPr>
        <w:t>乔治华盛顿大学（美国）</w:t>
      </w:r>
      <w:r w:rsidR="005252D0">
        <w:rPr>
          <w:rFonts w:hint="eastAsia"/>
          <w:sz w:val="20"/>
          <w:lang w:eastAsia="zh-CN"/>
        </w:rPr>
        <w:t>、</w:t>
      </w:r>
      <w:r w:rsidR="001E1C17" w:rsidRPr="001E1C17">
        <w:rPr>
          <w:rFonts w:hint="eastAsia"/>
          <w:sz w:val="20"/>
          <w:lang w:eastAsia="zh-CN"/>
        </w:rPr>
        <w:t>莫纳</w:t>
      </w:r>
      <w:proofErr w:type="gramStart"/>
      <w:r w:rsidR="001E1C17" w:rsidRPr="001E1C17">
        <w:rPr>
          <w:rFonts w:hint="eastAsia"/>
          <w:sz w:val="20"/>
          <w:lang w:eastAsia="zh-CN"/>
        </w:rPr>
        <w:t>什数据</w:t>
      </w:r>
      <w:proofErr w:type="gramEnd"/>
      <w:r w:rsidR="001E1C17" w:rsidRPr="001E1C17">
        <w:rPr>
          <w:rFonts w:hint="eastAsia"/>
          <w:sz w:val="20"/>
          <w:lang w:eastAsia="zh-CN"/>
        </w:rPr>
        <w:t>未来研究所（澳大利亚）</w:t>
      </w:r>
      <w:r w:rsidR="005252D0">
        <w:rPr>
          <w:rFonts w:hint="eastAsia"/>
          <w:sz w:val="20"/>
          <w:lang w:eastAsia="zh-CN"/>
        </w:rPr>
        <w:t>、</w:t>
      </w:r>
      <w:r w:rsidR="001E1C17" w:rsidRPr="001E1C17">
        <w:rPr>
          <w:rFonts w:hint="eastAsia"/>
          <w:sz w:val="20"/>
          <w:lang w:eastAsia="zh-CN"/>
        </w:rPr>
        <w:t>科学和工业研究</w:t>
      </w:r>
      <w:r w:rsidR="003E10FD">
        <w:rPr>
          <w:rFonts w:hint="eastAsia"/>
          <w:sz w:val="20"/>
          <w:lang w:eastAsia="zh-CN"/>
        </w:rPr>
        <w:t>理事</w:t>
      </w:r>
      <w:r w:rsidR="001E1C17" w:rsidRPr="001E1C17">
        <w:rPr>
          <w:rFonts w:hint="eastAsia"/>
          <w:sz w:val="20"/>
          <w:lang w:eastAsia="zh-CN"/>
        </w:rPr>
        <w:t>会（南非）</w:t>
      </w:r>
      <w:r w:rsidR="005252D0">
        <w:rPr>
          <w:rFonts w:hint="eastAsia"/>
          <w:sz w:val="20"/>
          <w:lang w:eastAsia="zh-CN"/>
        </w:rPr>
        <w:t>、</w:t>
      </w:r>
      <w:r w:rsidR="001E1C17" w:rsidRPr="001E1C17">
        <w:rPr>
          <w:rFonts w:hint="eastAsia"/>
          <w:sz w:val="20"/>
          <w:lang w:eastAsia="zh-CN"/>
        </w:rPr>
        <w:t>哈尔滨工业大学（中国）</w:t>
      </w:r>
      <w:r w:rsidR="005252D0">
        <w:rPr>
          <w:rFonts w:hint="eastAsia"/>
          <w:sz w:val="20"/>
          <w:lang w:eastAsia="zh-CN"/>
        </w:rPr>
        <w:t>、</w:t>
      </w:r>
      <w:r w:rsidR="001E1C17" w:rsidRPr="001E1C17">
        <w:rPr>
          <w:rFonts w:hint="eastAsia"/>
          <w:sz w:val="20"/>
          <w:lang w:eastAsia="zh-CN"/>
        </w:rPr>
        <w:t>武汉大学（中国）</w:t>
      </w:r>
      <w:r w:rsidR="005252D0">
        <w:rPr>
          <w:rFonts w:hint="eastAsia"/>
          <w:sz w:val="20"/>
          <w:lang w:eastAsia="zh-CN"/>
        </w:rPr>
        <w:t>、</w:t>
      </w:r>
      <w:r w:rsidR="001E1C17" w:rsidRPr="001E1C17">
        <w:rPr>
          <w:rFonts w:hint="eastAsia"/>
          <w:sz w:val="20"/>
          <w:lang w:eastAsia="zh-CN"/>
        </w:rPr>
        <w:t>华中科技大学（中国）</w:t>
      </w:r>
      <w:r w:rsidR="005252D0">
        <w:rPr>
          <w:rFonts w:hint="eastAsia"/>
          <w:sz w:val="20"/>
          <w:lang w:eastAsia="zh-CN"/>
        </w:rPr>
        <w:t>、</w:t>
      </w:r>
      <w:r w:rsidR="001E1C17" w:rsidRPr="001E1C17">
        <w:rPr>
          <w:rFonts w:hint="eastAsia"/>
          <w:sz w:val="20"/>
          <w:lang w:eastAsia="zh-CN"/>
        </w:rPr>
        <w:t>东北大学（美国）</w:t>
      </w:r>
      <w:r w:rsidR="005252D0">
        <w:rPr>
          <w:rFonts w:hint="eastAsia"/>
          <w:sz w:val="20"/>
          <w:lang w:eastAsia="zh-CN"/>
        </w:rPr>
        <w:t>、</w:t>
      </w:r>
      <w:r w:rsidR="001E1C17" w:rsidRPr="001E1C17">
        <w:rPr>
          <w:rFonts w:hint="eastAsia"/>
          <w:sz w:val="20"/>
          <w:lang w:eastAsia="zh-CN"/>
        </w:rPr>
        <w:t>斯坦福大学（美国）</w:t>
      </w:r>
      <w:r w:rsidR="005252D0">
        <w:rPr>
          <w:rFonts w:hint="eastAsia"/>
          <w:sz w:val="20"/>
          <w:lang w:eastAsia="zh-CN"/>
        </w:rPr>
        <w:t>、</w:t>
      </w:r>
      <w:r w:rsidR="001E1C17" w:rsidRPr="001E1C17">
        <w:rPr>
          <w:rFonts w:hint="eastAsia"/>
          <w:sz w:val="20"/>
          <w:lang w:eastAsia="zh-CN"/>
        </w:rPr>
        <w:t>沈阳自动化研究所（中国）</w:t>
      </w:r>
      <w:r w:rsidR="005252D0">
        <w:rPr>
          <w:rFonts w:hint="eastAsia"/>
          <w:sz w:val="20"/>
          <w:lang w:eastAsia="zh-CN"/>
        </w:rPr>
        <w:t>、</w:t>
      </w:r>
      <w:r w:rsidR="001E1C17" w:rsidRPr="001E1C17">
        <w:rPr>
          <w:rFonts w:hint="eastAsia"/>
          <w:sz w:val="20"/>
          <w:lang w:eastAsia="zh-CN"/>
        </w:rPr>
        <w:t>西北工业大学（中国）</w:t>
      </w:r>
      <w:r w:rsidR="005252D0">
        <w:rPr>
          <w:rFonts w:hint="eastAsia"/>
          <w:sz w:val="20"/>
          <w:lang w:eastAsia="zh-CN"/>
        </w:rPr>
        <w:t>、</w:t>
      </w:r>
      <w:r w:rsidR="001E1C17" w:rsidRPr="001E1C17">
        <w:rPr>
          <w:rFonts w:hint="eastAsia"/>
          <w:sz w:val="20"/>
          <w:lang w:eastAsia="zh-CN"/>
        </w:rPr>
        <w:t>南京</w:t>
      </w:r>
      <w:r w:rsidR="00FB7761">
        <w:rPr>
          <w:rFonts w:hint="eastAsia"/>
          <w:sz w:val="20"/>
          <w:lang w:eastAsia="zh-CN"/>
        </w:rPr>
        <w:t>新</w:t>
      </w:r>
      <w:r w:rsidR="001E1C17" w:rsidRPr="001E1C17">
        <w:rPr>
          <w:rFonts w:hint="eastAsia"/>
          <w:sz w:val="20"/>
          <w:lang w:eastAsia="zh-CN"/>
        </w:rPr>
        <w:t>一代人工智能研究院（中国）、计算技术研究所大数据</w:t>
      </w:r>
      <w:r w:rsidR="00FB7761">
        <w:rPr>
          <w:rFonts w:hint="eastAsia"/>
          <w:sz w:val="20"/>
          <w:lang w:eastAsia="zh-CN"/>
        </w:rPr>
        <w:t>研究</w:t>
      </w:r>
      <w:r w:rsidR="001E1C17" w:rsidRPr="001E1C17">
        <w:rPr>
          <w:rFonts w:hint="eastAsia"/>
          <w:sz w:val="20"/>
          <w:lang w:eastAsia="zh-CN"/>
        </w:rPr>
        <w:t>院（中国）、</w:t>
      </w:r>
      <w:r w:rsidR="00FB7761" w:rsidRPr="00FB7761">
        <w:rPr>
          <w:rFonts w:hint="eastAsia"/>
          <w:sz w:val="20"/>
          <w:lang w:eastAsia="zh-CN"/>
        </w:rPr>
        <w:t>日本星槎大学</w:t>
      </w:r>
      <w:r w:rsidR="001E1C17" w:rsidRPr="001E1C17">
        <w:rPr>
          <w:rFonts w:hint="eastAsia"/>
          <w:sz w:val="20"/>
          <w:lang w:eastAsia="zh-CN"/>
        </w:rPr>
        <w:t>（日本）、</w:t>
      </w:r>
      <w:proofErr w:type="gramStart"/>
      <w:r w:rsidR="001E1C17" w:rsidRPr="001E1C17">
        <w:rPr>
          <w:rFonts w:hint="eastAsia"/>
          <w:sz w:val="20"/>
          <w:lang w:eastAsia="zh-CN"/>
        </w:rPr>
        <w:t>国网湖北省</w:t>
      </w:r>
      <w:proofErr w:type="gramEnd"/>
      <w:r w:rsidR="001E1C17" w:rsidRPr="001E1C17">
        <w:rPr>
          <w:rFonts w:hint="eastAsia"/>
          <w:sz w:val="20"/>
          <w:lang w:eastAsia="zh-CN"/>
        </w:rPr>
        <w:t>电力科学研究院（中国）、同济大学（中国）、以</w:t>
      </w:r>
      <w:proofErr w:type="spellStart"/>
      <w:r w:rsidR="001E1C17" w:rsidRPr="001E1C17">
        <w:rPr>
          <w:rFonts w:hint="eastAsia"/>
          <w:sz w:val="20"/>
          <w:lang w:eastAsia="zh-CN"/>
        </w:rPr>
        <w:t>M.Dulatov</w:t>
      </w:r>
      <w:proofErr w:type="spellEnd"/>
      <w:r w:rsidR="001E1C17" w:rsidRPr="001E1C17">
        <w:rPr>
          <w:rFonts w:hint="eastAsia"/>
          <w:sz w:val="20"/>
          <w:lang w:eastAsia="zh-CN"/>
        </w:rPr>
        <w:t>命名的私立机构</w:t>
      </w:r>
      <w:r w:rsidR="001E1C17" w:rsidRPr="001E1C17">
        <w:rPr>
          <w:rFonts w:hint="eastAsia"/>
          <w:sz w:val="20"/>
          <w:lang w:eastAsia="zh-CN"/>
        </w:rPr>
        <w:t>Kostanay</w:t>
      </w:r>
      <w:r w:rsidR="001E1C17" w:rsidRPr="001E1C17">
        <w:rPr>
          <w:rFonts w:hint="eastAsia"/>
          <w:sz w:val="20"/>
          <w:lang w:eastAsia="zh-CN"/>
        </w:rPr>
        <w:t>工程和经济大学（哈萨克斯坦）</w:t>
      </w:r>
      <w:r w:rsidR="00FB7761">
        <w:rPr>
          <w:rFonts w:hint="eastAsia"/>
          <w:sz w:val="20"/>
          <w:lang w:eastAsia="zh-CN"/>
        </w:rPr>
        <w:t>、</w:t>
      </w:r>
      <w:r w:rsidR="00425267">
        <w:rPr>
          <w:rFonts w:hint="eastAsia"/>
          <w:sz w:val="20"/>
          <w:lang w:eastAsia="zh-CN"/>
        </w:rPr>
        <w:t>浙</w:t>
      </w:r>
      <w:r w:rsidR="001E1C17" w:rsidRPr="001E1C17">
        <w:rPr>
          <w:rFonts w:hint="eastAsia"/>
          <w:sz w:val="20"/>
          <w:lang w:eastAsia="zh-CN"/>
        </w:rPr>
        <w:t>江实验室（中国）。</w:t>
      </w:r>
    </w:p>
  </w:footnote>
  <w:footnote w:id="6">
    <w:p w14:paraId="102DD07A" w14:textId="2A8E9DE5" w:rsidR="00094FC6" w:rsidRPr="00A244BC" w:rsidRDefault="00094FC6" w:rsidP="00EE5749">
      <w:pPr>
        <w:pStyle w:val="FootnoteText"/>
        <w:keepLines w:val="0"/>
        <w:spacing w:before="0"/>
        <w:ind w:left="252" w:hangingChars="126" w:hanging="252"/>
        <w:rPr>
          <w:sz w:val="20"/>
          <w:lang w:val="en-US" w:eastAsia="zh-CN"/>
        </w:rPr>
      </w:pPr>
      <w:r w:rsidRPr="00A244BC">
        <w:rPr>
          <w:rStyle w:val="FootnoteReference"/>
          <w:sz w:val="20"/>
        </w:rPr>
        <w:footnoteRef/>
      </w:r>
      <w:r w:rsidR="00EE5749">
        <w:rPr>
          <w:lang w:eastAsia="zh-CN"/>
        </w:rPr>
        <w:tab/>
      </w:r>
      <w:r w:rsidR="001E1C17" w:rsidRPr="001E1C17">
        <w:rPr>
          <w:rFonts w:hint="eastAsia"/>
          <w:sz w:val="20"/>
          <w:lang w:eastAsia="zh-CN"/>
        </w:rPr>
        <w:t>ITU-D</w:t>
      </w:r>
      <w:r w:rsidR="001E1C17" w:rsidRPr="001E1C17">
        <w:rPr>
          <w:rFonts w:hint="eastAsia"/>
          <w:sz w:val="20"/>
          <w:lang w:eastAsia="zh-CN"/>
        </w:rPr>
        <w:t>成员团体被划分为以下几个</w:t>
      </w:r>
      <w:r w:rsidR="00433C0E">
        <w:rPr>
          <w:rFonts w:hint="eastAsia"/>
          <w:sz w:val="20"/>
          <w:lang w:eastAsia="zh-CN"/>
        </w:rPr>
        <w:t>类别</w:t>
      </w:r>
      <w:r w:rsidR="00863DDA">
        <w:rPr>
          <w:rFonts w:hint="eastAsia"/>
          <w:sz w:val="20"/>
          <w:lang w:eastAsia="zh-CN"/>
        </w:rPr>
        <w:t>：</w:t>
      </w:r>
      <w:r w:rsidR="00433C0E" w:rsidRPr="00433C0E">
        <w:rPr>
          <w:rFonts w:hint="eastAsia"/>
          <w:sz w:val="20"/>
          <w:lang w:eastAsia="zh-CN"/>
        </w:rPr>
        <w:t>经认可的运营机构</w:t>
      </w:r>
      <w:r w:rsidR="001E1C17" w:rsidRPr="001E1C17">
        <w:rPr>
          <w:rFonts w:hint="eastAsia"/>
          <w:sz w:val="20"/>
          <w:lang w:eastAsia="zh-CN"/>
        </w:rPr>
        <w:t>（</w:t>
      </w:r>
      <w:r w:rsidR="001E1C17" w:rsidRPr="001E1C17">
        <w:rPr>
          <w:rFonts w:hint="eastAsia"/>
          <w:sz w:val="20"/>
          <w:lang w:eastAsia="zh-CN"/>
        </w:rPr>
        <w:t>ROA</w:t>
      </w:r>
      <w:r w:rsidR="001E1C17" w:rsidRPr="001E1C17">
        <w:rPr>
          <w:rFonts w:hint="eastAsia"/>
          <w:sz w:val="20"/>
          <w:lang w:eastAsia="zh-CN"/>
        </w:rPr>
        <w:t>）、科学和工业组织（</w:t>
      </w:r>
      <w:r w:rsidR="001E1C17" w:rsidRPr="001E1C17">
        <w:rPr>
          <w:rFonts w:hint="eastAsia"/>
          <w:sz w:val="20"/>
          <w:lang w:eastAsia="zh-CN"/>
        </w:rPr>
        <w:t>SIO</w:t>
      </w:r>
      <w:r w:rsidR="001E1C17" w:rsidRPr="001E1C17">
        <w:rPr>
          <w:rFonts w:hint="eastAsia"/>
          <w:sz w:val="20"/>
          <w:lang w:eastAsia="zh-CN"/>
        </w:rPr>
        <w:t>）、区域电信组织（</w:t>
      </w:r>
      <w:r w:rsidR="001E1C17" w:rsidRPr="001E1C17">
        <w:rPr>
          <w:rFonts w:hint="eastAsia"/>
          <w:sz w:val="20"/>
          <w:lang w:eastAsia="zh-CN"/>
        </w:rPr>
        <w:t>REGORG</w:t>
      </w:r>
      <w:r w:rsidR="001E1C17" w:rsidRPr="001E1C17">
        <w:rPr>
          <w:rFonts w:hint="eastAsia"/>
          <w:sz w:val="20"/>
          <w:lang w:eastAsia="zh-CN"/>
        </w:rPr>
        <w:t>）</w:t>
      </w:r>
      <w:r w:rsidR="00433C0E">
        <w:rPr>
          <w:rFonts w:hint="eastAsia"/>
          <w:sz w:val="20"/>
          <w:lang w:eastAsia="zh-CN"/>
        </w:rPr>
        <w:t>以及</w:t>
      </w:r>
      <w:r w:rsidR="001E1C17" w:rsidRPr="001E1C17">
        <w:rPr>
          <w:rFonts w:hint="eastAsia"/>
          <w:sz w:val="20"/>
          <w:lang w:eastAsia="zh-CN"/>
        </w:rPr>
        <w:t>区域</w:t>
      </w:r>
      <w:r w:rsidR="00433C0E">
        <w:rPr>
          <w:rFonts w:hint="eastAsia"/>
          <w:sz w:val="20"/>
          <w:lang w:eastAsia="zh-CN"/>
        </w:rPr>
        <w:t>和</w:t>
      </w:r>
      <w:r w:rsidR="001E1C17" w:rsidRPr="001E1C17">
        <w:rPr>
          <w:rFonts w:hint="eastAsia"/>
          <w:sz w:val="20"/>
          <w:lang w:eastAsia="zh-CN"/>
        </w:rPr>
        <w:t>其他国际组织（</w:t>
      </w:r>
      <w:r w:rsidR="001E1C17" w:rsidRPr="001E1C17">
        <w:rPr>
          <w:rFonts w:hint="eastAsia"/>
          <w:sz w:val="20"/>
          <w:lang w:eastAsia="zh-CN"/>
        </w:rPr>
        <w:t>REGINTORG</w:t>
      </w:r>
      <w:r w:rsidR="001E1C17" w:rsidRPr="001E1C17">
        <w:rPr>
          <w:rFonts w:hint="eastAsia"/>
          <w:sz w:val="20"/>
          <w:lang w:eastAsia="zh-CN"/>
        </w:rPr>
        <w:t>）、运营卫星系统的政府间组织（</w:t>
      </w:r>
      <w:r w:rsidR="001E1C17" w:rsidRPr="001E1C17">
        <w:rPr>
          <w:rFonts w:hint="eastAsia"/>
          <w:sz w:val="20"/>
          <w:lang w:eastAsia="zh-CN"/>
        </w:rPr>
        <w:t>SATORG</w:t>
      </w:r>
      <w:r w:rsidR="001E1C17" w:rsidRPr="001E1C17">
        <w:rPr>
          <w:rFonts w:hint="eastAsia"/>
          <w:sz w:val="20"/>
          <w:lang w:eastAsia="zh-CN"/>
        </w:rPr>
        <w:t>）以及学术和研究机构。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448C" w14:textId="63700382" w:rsidR="004F109C" w:rsidRPr="00F43E9C" w:rsidRDefault="004F109C" w:rsidP="00F43E9C">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22"/>
        <w:lang w:val="es-ES_tradnl"/>
      </w:rPr>
    </w:pPr>
    <w:r w:rsidRPr="00F43E9C">
      <w:rPr>
        <w:rFonts w:ascii="Calibri" w:eastAsia="SimSun" w:hAnsi="Calibri"/>
        <w:sz w:val="22"/>
        <w:szCs w:val="22"/>
      </w:rPr>
      <w:tab/>
    </w:r>
    <w:r w:rsidRPr="00F43E9C">
      <w:rPr>
        <w:rFonts w:ascii="Calibri" w:eastAsia="SimSun" w:hAnsi="Calibri"/>
        <w:sz w:val="22"/>
        <w:szCs w:val="22"/>
        <w:lang w:val="es-ES_tradnl"/>
      </w:rPr>
      <w:t>TDAG-</w:t>
    </w:r>
    <w:r w:rsidR="00EF4484">
      <w:rPr>
        <w:rFonts w:ascii="Calibri" w:eastAsia="SimSun" w:hAnsi="Calibri"/>
        <w:sz w:val="22"/>
        <w:szCs w:val="22"/>
        <w:lang w:val="es-ES_tradnl"/>
      </w:rPr>
      <w:t>2</w:t>
    </w:r>
    <w:r w:rsidR="0091759B">
      <w:rPr>
        <w:rFonts w:ascii="Calibri" w:eastAsia="SimSun" w:hAnsi="Calibri" w:hint="eastAsia"/>
        <w:sz w:val="22"/>
        <w:szCs w:val="22"/>
        <w:lang w:val="es-ES_tradnl" w:eastAsia="zh-CN"/>
      </w:rPr>
      <w:t>1</w:t>
    </w:r>
    <w:r w:rsidRPr="00F43E9C">
      <w:rPr>
        <w:rFonts w:ascii="Calibri" w:eastAsia="SimSun" w:hAnsi="Calibri"/>
        <w:sz w:val="22"/>
        <w:szCs w:val="22"/>
        <w:lang w:val="es-ES_tradnl"/>
      </w:rPr>
      <w:t>/</w:t>
    </w:r>
    <w:bookmarkStart w:id="12" w:name="DocNo2"/>
    <w:bookmarkEnd w:id="12"/>
    <w:r w:rsidR="00EF4484">
      <w:rPr>
        <w:rFonts w:ascii="Calibri" w:eastAsia="SimSun" w:hAnsi="Calibri"/>
        <w:sz w:val="22"/>
        <w:szCs w:val="22"/>
        <w:lang w:val="es-ES_tradnl"/>
      </w:rPr>
      <w:t>1</w:t>
    </w:r>
    <w:r w:rsidR="0091759B">
      <w:rPr>
        <w:rFonts w:ascii="Calibri" w:eastAsia="SimSun" w:hAnsi="Calibri" w:hint="eastAsia"/>
        <w:sz w:val="22"/>
        <w:szCs w:val="22"/>
        <w:lang w:val="es-ES_tradnl" w:eastAsia="zh-CN"/>
      </w:rPr>
      <w:t>2</w:t>
    </w:r>
    <w:r w:rsidRPr="00F43E9C">
      <w:rPr>
        <w:rFonts w:ascii="Calibri" w:eastAsia="SimSun" w:hAnsi="Calibri"/>
        <w:sz w:val="22"/>
        <w:szCs w:val="22"/>
        <w:lang w:val="es-ES_tradnl"/>
      </w:rPr>
      <w:t>-C</w:t>
    </w:r>
    <w:r w:rsidRPr="00F43E9C">
      <w:rPr>
        <w:rFonts w:ascii="Calibri" w:eastAsia="SimSun" w:hAnsi="Calibri"/>
        <w:sz w:val="22"/>
        <w:szCs w:val="22"/>
        <w:lang w:val="es-ES_tradnl"/>
      </w:rPr>
      <w:tab/>
    </w:r>
    <w:r w:rsidRPr="00F43E9C">
      <w:rPr>
        <w:rFonts w:ascii="Calibri" w:eastAsia="SimSun" w:hAnsi="Calibri"/>
        <w:sz w:val="22"/>
        <w:szCs w:val="22"/>
      </w:rPr>
      <w:fldChar w:fldCharType="begin"/>
    </w:r>
    <w:r w:rsidRPr="00F43E9C">
      <w:rPr>
        <w:rFonts w:ascii="Calibri" w:eastAsia="SimSun" w:hAnsi="Calibri"/>
        <w:sz w:val="22"/>
        <w:szCs w:val="22"/>
        <w:lang w:val="es-ES_tradnl"/>
      </w:rPr>
      <w:instrText xml:space="preserve"> PAGE </w:instrText>
    </w:r>
    <w:r w:rsidRPr="00F43E9C">
      <w:rPr>
        <w:rFonts w:ascii="Calibri" w:eastAsia="SimSun" w:hAnsi="Calibri"/>
        <w:sz w:val="22"/>
        <w:szCs w:val="22"/>
      </w:rPr>
      <w:fldChar w:fldCharType="separate"/>
    </w:r>
    <w:r w:rsidR="00FA4BAE">
      <w:rPr>
        <w:rFonts w:ascii="Calibri" w:eastAsia="SimSun" w:hAnsi="Calibri"/>
        <w:noProof/>
        <w:sz w:val="22"/>
        <w:szCs w:val="22"/>
        <w:lang w:val="es-ES_tradnl"/>
      </w:rPr>
      <w:t>4</w:t>
    </w:r>
    <w:r w:rsidRPr="00F43E9C">
      <w:rPr>
        <w:rFonts w:ascii="Calibri" w:eastAsia="SimSun"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752C9C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CB7926"/>
    <w:multiLevelType w:val="multilevel"/>
    <w:tmpl w:val="DF7C273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241A02"/>
    <w:multiLevelType w:val="hybridMultilevel"/>
    <w:tmpl w:val="512433B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EA"/>
    <w:rsid w:val="00001C2F"/>
    <w:rsid w:val="00002716"/>
    <w:rsid w:val="00005791"/>
    <w:rsid w:val="0000759F"/>
    <w:rsid w:val="00016F70"/>
    <w:rsid w:val="00024E05"/>
    <w:rsid w:val="0002520B"/>
    <w:rsid w:val="00026706"/>
    <w:rsid w:val="0003316E"/>
    <w:rsid w:val="00037A9E"/>
    <w:rsid w:val="00037F91"/>
    <w:rsid w:val="000539F1"/>
    <w:rsid w:val="00055A2A"/>
    <w:rsid w:val="000615C1"/>
    <w:rsid w:val="00065B23"/>
    <w:rsid w:val="0009225C"/>
    <w:rsid w:val="00094FC6"/>
    <w:rsid w:val="000A17C4"/>
    <w:rsid w:val="000A346A"/>
    <w:rsid w:val="000B2352"/>
    <w:rsid w:val="000C44BE"/>
    <w:rsid w:val="000C7B84"/>
    <w:rsid w:val="000D261B"/>
    <w:rsid w:val="000D3553"/>
    <w:rsid w:val="000D58A3"/>
    <w:rsid w:val="000D7DA8"/>
    <w:rsid w:val="000E3ED4"/>
    <w:rsid w:val="000E6291"/>
    <w:rsid w:val="000F6644"/>
    <w:rsid w:val="00100833"/>
    <w:rsid w:val="0010235F"/>
    <w:rsid w:val="00113EE8"/>
    <w:rsid w:val="0011455A"/>
    <w:rsid w:val="00114A65"/>
    <w:rsid w:val="00122E83"/>
    <w:rsid w:val="00141699"/>
    <w:rsid w:val="00141E80"/>
    <w:rsid w:val="00147000"/>
    <w:rsid w:val="00163091"/>
    <w:rsid w:val="001645CB"/>
    <w:rsid w:val="00166305"/>
    <w:rsid w:val="001703C6"/>
    <w:rsid w:val="00173781"/>
    <w:rsid w:val="00175C4C"/>
    <w:rsid w:val="00175CAE"/>
    <w:rsid w:val="001828DB"/>
    <w:rsid w:val="001850FE"/>
    <w:rsid w:val="00185135"/>
    <w:rsid w:val="00187605"/>
    <w:rsid w:val="001878D2"/>
    <w:rsid w:val="0019037C"/>
    <w:rsid w:val="001905A9"/>
    <w:rsid w:val="00191273"/>
    <w:rsid w:val="001942A7"/>
    <w:rsid w:val="0019587B"/>
    <w:rsid w:val="001A163D"/>
    <w:rsid w:val="001A1E1F"/>
    <w:rsid w:val="001A441E"/>
    <w:rsid w:val="001A58BA"/>
    <w:rsid w:val="001B2C5E"/>
    <w:rsid w:val="001B357F"/>
    <w:rsid w:val="001C2C64"/>
    <w:rsid w:val="001C3702"/>
    <w:rsid w:val="001C4656"/>
    <w:rsid w:val="001D0BC4"/>
    <w:rsid w:val="001D12A3"/>
    <w:rsid w:val="001E1C17"/>
    <w:rsid w:val="001E1FE9"/>
    <w:rsid w:val="001E7AFC"/>
    <w:rsid w:val="001F1B3F"/>
    <w:rsid w:val="001F23E6"/>
    <w:rsid w:val="001F4238"/>
    <w:rsid w:val="001F58AB"/>
    <w:rsid w:val="00200A38"/>
    <w:rsid w:val="00200A46"/>
    <w:rsid w:val="00203A95"/>
    <w:rsid w:val="00211B6F"/>
    <w:rsid w:val="00217CC3"/>
    <w:rsid w:val="00220AB6"/>
    <w:rsid w:val="0022120F"/>
    <w:rsid w:val="0022355E"/>
    <w:rsid w:val="0022754A"/>
    <w:rsid w:val="00235371"/>
    <w:rsid w:val="00236560"/>
    <w:rsid w:val="0023662E"/>
    <w:rsid w:val="00245D0F"/>
    <w:rsid w:val="00246166"/>
    <w:rsid w:val="002548C3"/>
    <w:rsid w:val="00257ACD"/>
    <w:rsid w:val="00262908"/>
    <w:rsid w:val="002650F4"/>
    <w:rsid w:val="002715FD"/>
    <w:rsid w:val="00281C49"/>
    <w:rsid w:val="00283EC3"/>
    <w:rsid w:val="00285B33"/>
    <w:rsid w:val="00295C42"/>
    <w:rsid w:val="002B422D"/>
    <w:rsid w:val="002C1EC7"/>
    <w:rsid w:val="002C7EA3"/>
    <w:rsid w:val="002D20AE"/>
    <w:rsid w:val="002D6C61"/>
    <w:rsid w:val="002E0F95"/>
    <w:rsid w:val="002E2104"/>
    <w:rsid w:val="002E4DA2"/>
    <w:rsid w:val="002E6963"/>
    <w:rsid w:val="002F05D8"/>
    <w:rsid w:val="002F0684"/>
    <w:rsid w:val="002F2DE0"/>
    <w:rsid w:val="002F5E25"/>
    <w:rsid w:val="00300217"/>
    <w:rsid w:val="0030029B"/>
    <w:rsid w:val="00311F7F"/>
    <w:rsid w:val="003125C3"/>
    <w:rsid w:val="00312AE6"/>
    <w:rsid w:val="003178D6"/>
    <w:rsid w:val="00317D1A"/>
    <w:rsid w:val="003211FF"/>
    <w:rsid w:val="00327247"/>
    <w:rsid w:val="0032745C"/>
    <w:rsid w:val="00327A9D"/>
    <w:rsid w:val="0033130E"/>
    <w:rsid w:val="00360B73"/>
    <w:rsid w:val="00361AC4"/>
    <w:rsid w:val="00361E81"/>
    <w:rsid w:val="0038365A"/>
    <w:rsid w:val="00386A89"/>
    <w:rsid w:val="0039108C"/>
    <w:rsid w:val="003920DA"/>
    <w:rsid w:val="0039648E"/>
    <w:rsid w:val="003A39EA"/>
    <w:rsid w:val="003A5AFE"/>
    <w:rsid w:val="003A5D5F"/>
    <w:rsid w:val="003A7FBB"/>
    <w:rsid w:val="003A7FFE"/>
    <w:rsid w:val="003B0A63"/>
    <w:rsid w:val="003B2A2A"/>
    <w:rsid w:val="003B50E1"/>
    <w:rsid w:val="003C1746"/>
    <w:rsid w:val="003C58BF"/>
    <w:rsid w:val="003D451D"/>
    <w:rsid w:val="003D76B3"/>
    <w:rsid w:val="003E10FD"/>
    <w:rsid w:val="003F2DD8"/>
    <w:rsid w:val="003F41C7"/>
    <w:rsid w:val="003F50B2"/>
    <w:rsid w:val="003F6E19"/>
    <w:rsid w:val="00401BFF"/>
    <w:rsid w:val="00402DDC"/>
    <w:rsid w:val="004122C5"/>
    <w:rsid w:val="00413B78"/>
    <w:rsid w:val="00416DDE"/>
    <w:rsid w:val="00425267"/>
    <w:rsid w:val="00425A85"/>
    <w:rsid w:val="004321C2"/>
    <w:rsid w:val="00433C0E"/>
    <w:rsid w:val="004413DE"/>
    <w:rsid w:val="0044411E"/>
    <w:rsid w:val="0045198E"/>
    <w:rsid w:val="00453435"/>
    <w:rsid w:val="00466398"/>
    <w:rsid w:val="00475B04"/>
    <w:rsid w:val="0049128B"/>
    <w:rsid w:val="00493B49"/>
    <w:rsid w:val="00495501"/>
    <w:rsid w:val="004A070A"/>
    <w:rsid w:val="004A320E"/>
    <w:rsid w:val="004A4E9C"/>
    <w:rsid w:val="004B0921"/>
    <w:rsid w:val="004B1A3C"/>
    <w:rsid w:val="004B56E7"/>
    <w:rsid w:val="004C3B40"/>
    <w:rsid w:val="004C5C6B"/>
    <w:rsid w:val="004D2CC3"/>
    <w:rsid w:val="004D33B2"/>
    <w:rsid w:val="004D35CB"/>
    <w:rsid w:val="004E20E5"/>
    <w:rsid w:val="004E3330"/>
    <w:rsid w:val="004E64EA"/>
    <w:rsid w:val="004E7828"/>
    <w:rsid w:val="004F06DC"/>
    <w:rsid w:val="004F109C"/>
    <w:rsid w:val="004F46AA"/>
    <w:rsid w:val="004F47B2"/>
    <w:rsid w:val="004F6A70"/>
    <w:rsid w:val="00502ABF"/>
    <w:rsid w:val="00504DB0"/>
    <w:rsid w:val="00520649"/>
    <w:rsid w:val="005252D0"/>
    <w:rsid w:val="005274AC"/>
    <w:rsid w:val="005406BE"/>
    <w:rsid w:val="0054420E"/>
    <w:rsid w:val="00544D1B"/>
    <w:rsid w:val="00545DC0"/>
    <w:rsid w:val="00545F6C"/>
    <w:rsid w:val="005521B6"/>
    <w:rsid w:val="00553950"/>
    <w:rsid w:val="00554088"/>
    <w:rsid w:val="00554989"/>
    <w:rsid w:val="00556077"/>
    <w:rsid w:val="0055720C"/>
    <w:rsid w:val="0056423B"/>
    <w:rsid w:val="00573424"/>
    <w:rsid w:val="00573B41"/>
    <w:rsid w:val="0057402F"/>
    <w:rsid w:val="005849D6"/>
    <w:rsid w:val="00585367"/>
    <w:rsid w:val="005862E6"/>
    <w:rsid w:val="00592518"/>
    <w:rsid w:val="00592E87"/>
    <w:rsid w:val="00594C4D"/>
    <w:rsid w:val="005A28AC"/>
    <w:rsid w:val="005A33B0"/>
    <w:rsid w:val="005A3E62"/>
    <w:rsid w:val="005A4C3D"/>
    <w:rsid w:val="005B725F"/>
    <w:rsid w:val="005C2523"/>
    <w:rsid w:val="005C2DC2"/>
    <w:rsid w:val="005C304A"/>
    <w:rsid w:val="005C7FA9"/>
    <w:rsid w:val="005D0203"/>
    <w:rsid w:val="005D57C8"/>
    <w:rsid w:val="005D7761"/>
    <w:rsid w:val="005E0278"/>
    <w:rsid w:val="005E3CA0"/>
    <w:rsid w:val="005E3F42"/>
    <w:rsid w:val="005E44B1"/>
    <w:rsid w:val="005E47E4"/>
    <w:rsid w:val="005E67B0"/>
    <w:rsid w:val="005E6E87"/>
    <w:rsid w:val="005E7047"/>
    <w:rsid w:val="005E777F"/>
    <w:rsid w:val="005F1CA7"/>
    <w:rsid w:val="005F43DD"/>
    <w:rsid w:val="005F51A9"/>
    <w:rsid w:val="005F7416"/>
    <w:rsid w:val="00600AEC"/>
    <w:rsid w:val="00600C11"/>
    <w:rsid w:val="00606B89"/>
    <w:rsid w:val="00613F25"/>
    <w:rsid w:val="00625FB8"/>
    <w:rsid w:val="006261BD"/>
    <w:rsid w:val="00636284"/>
    <w:rsid w:val="00645218"/>
    <w:rsid w:val="0064734E"/>
    <w:rsid w:val="00647BC4"/>
    <w:rsid w:val="00650137"/>
    <w:rsid w:val="006509D7"/>
    <w:rsid w:val="0065521B"/>
    <w:rsid w:val="0065701D"/>
    <w:rsid w:val="00671EF6"/>
    <w:rsid w:val="0067205B"/>
    <w:rsid w:val="00672592"/>
    <w:rsid w:val="0067445D"/>
    <w:rsid w:val="006748F8"/>
    <w:rsid w:val="00674B59"/>
    <w:rsid w:val="00680489"/>
    <w:rsid w:val="0069054E"/>
    <w:rsid w:val="006925CE"/>
    <w:rsid w:val="006926F0"/>
    <w:rsid w:val="006A7710"/>
    <w:rsid w:val="006A7A61"/>
    <w:rsid w:val="006B2FFB"/>
    <w:rsid w:val="006B4F8A"/>
    <w:rsid w:val="006C108A"/>
    <w:rsid w:val="006C10A2"/>
    <w:rsid w:val="006C1F18"/>
    <w:rsid w:val="006D40D5"/>
    <w:rsid w:val="006E106D"/>
    <w:rsid w:val="006F009A"/>
    <w:rsid w:val="006F393F"/>
    <w:rsid w:val="006F3D93"/>
    <w:rsid w:val="007019B1"/>
    <w:rsid w:val="00703E66"/>
    <w:rsid w:val="0071251F"/>
    <w:rsid w:val="00715959"/>
    <w:rsid w:val="00717FED"/>
    <w:rsid w:val="00721657"/>
    <w:rsid w:val="00727B1A"/>
    <w:rsid w:val="00730E2C"/>
    <w:rsid w:val="00745F13"/>
    <w:rsid w:val="00752258"/>
    <w:rsid w:val="00762880"/>
    <w:rsid w:val="00764F1D"/>
    <w:rsid w:val="00772290"/>
    <w:rsid w:val="0077464D"/>
    <w:rsid w:val="00777265"/>
    <w:rsid w:val="007805E7"/>
    <w:rsid w:val="0078222A"/>
    <w:rsid w:val="007874EA"/>
    <w:rsid w:val="0078753A"/>
    <w:rsid w:val="00787D48"/>
    <w:rsid w:val="007913C1"/>
    <w:rsid w:val="007A4E50"/>
    <w:rsid w:val="007B17C7"/>
    <w:rsid w:val="007B18A7"/>
    <w:rsid w:val="007B250E"/>
    <w:rsid w:val="007B58A6"/>
    <w:rsid w:val="007C27FC"/>
    <w:rsid w:val="007C51FF"/>
    <w:rsid w:val="007D020F"/>
    <w:rsid w:val="007D50E4"/>
    <w:rsid w:val="007E62D9"/>
    <w:rsid w:val="007E7FEE"/>
    <w:rsid w:val="00801F5E"/>
    <w:rsid w:val="008028CE"/>
    <w:rsid w:val="0080332E"/>
    <w:rsid w:val="00804622"/>
    <w:rsid w:val="00811873"/>
    <w:rsid w:val="008141E0"/>
    <w:rsid w:val="00816EE1"/>
    <w:rsid w:val="00816F88"/>
    <w:rsid w:val="00822323"/>
    <w:rsid w:val="00823118"/>
    <w:rsid w:val="00825F06"/>
    <w:rsid w:val="00833024"/>
    <w:rsid w:val="00843164"/>
    <w:rsid w:val="008432A3"/>
    <w:rsid w:val="00844A56"/>
    <w:rsid w:val="008450D4"/>
    <w:rsid w:val="008469B5"/>
    <w:rsid w:val="00852081"/>
    <w:rsid w:val="008543C0"/>
    <w:rsid w:val="00862002"/>
    <w:rsid w:val="00863DDA"/>
    <w:rsid w:val="00864351"/>
    <w:rsid w:val="008717AC"/>
    <w:rsid w:val="008741A1"/>
    <w:rsid w:val="00874DFD"/>
    <w:rsid w:val="00883086"/>
    <w:rsid w:val="008879FD"/>
    <w:rsid w:val="00894C37"/>
    <w:rsid w:val="00895832"/>
    <w:rsid w:val="008A00EA"/>
    <w:rsid w:val="008A3F93"/>
    <w:rsid w:val="008A6236"/>
    <w:rsid w:val="008A6E1C"/>
    <w:rsid w:val="008A72FD"/>
    <w:rsid w:val="008B2EDF"/>
    <w:rsid w:val="008B54CB"/>
    <w:rsid w:val="008B5A3D"/>
    <w:rsid w:val="008B7AFE"/>
    <w:rsid w:val="008C2B02"/>
    <w:rsid w:val="008C4010"/>
    <w:rsid w:val="008C4FDF"/>
    <w:rsid w:val="008C5C2E"/>
    <w:rsid w:val="008C6B1F"/>
    <w:rsid w:val="008D5E4F"/>
    <w:rsid w:val="008D71AF"/>
    <w:rsid w:val="008F14F5"/>
    <w:rsid w:val="008F71C1"/>
    <w:rsid w:val="00902D41"/>
    <w:rsid w:val="00914004"/>
    <w:rsid w:val="00914C6E"/>
    <w:rsid w:val="00915C8E"/>
    <w:rsid w:val="0091759B"/>
    <w:rsid w:val="00922EC1"/>
    <w:rsid w:val="009301F1"/>
    <w:rsid w:val="009359B8"/>
    <w:rsid w:val="009431F8"/>
    <w:rsid w:val="00947A35"/>
    <w:rsid w:val="00962F6D"/>
    <w:rsid w:val="00966CB5"/>
    <w:rsid w:val="00975786"/>
    <w:rsid w:val="00976D6D"/>
    <w:rsid w:val="00981CB7"/>
    <w:rsid w:val="00983E1F"/>
    <w:rsid w:val="00986559"/>
    <w:rsid w:val="009911BE"/>
    <w:rsid w:val="00993F46"/>
    <w:rsid w:val="00997358"/>
    <w:rsid w:val="009A26DC"/>
    <w:rsid w:val="009A452B"/>
    <w:rsid w:val="009A6118"/>
    <w:rsid w:val="009B050C"/>
    <w:rsid w:val="009B087F"/>
    <w:rsid w:val="009B7936"/>
    <w:rsid w:val="009C105C"/>
    <w:rsid w:val="009C110B"/>
    <w:rsid w:val="009C5441"/>
    <w:rsid w:val="009D119F"/>
    <w:rsid w:val="009E10D9"/>
    <w:rsid w:val="009F3940"/>
    <w:rsid w:val="009F3EB2"/>
    <w:rsid w:val="009F6EB1"/>
    <w:rsid w:val="00A15749"/>
    <w:rsid w:val="00A20267"/>
    <w:rsid w:val="00A3158C"/>
    <w:rsid w:val="00A33E32"/>
    <w:rsid w:val="00A3727C"/>
    <w:rsid w:val="00A426A0"/>
    <w:rsid w:val="00A447AA"/>
    <w:rsid w:val="00A53E7C"/>
    <w:rsid w:val="00A54605"/>
    <w:rsid w:val="00A60087"/>
    <w:rsid w:val="00A67D34"/>
    <w:rsid w:val="00A705E8"/>
    <w:rsid w:val="00A7076A"/>
    <w:rsid w:val="00A86DC1"/>
    <w:rsid w:val="00A9366B"/>
    <w:rsid w:val="00A9392C"/>
    <w:rsid w:val="00A9462B"/>
    <w:rsid w:val="00A97D59"/>
    <w:rsid w:val="00AA193B"/>
    <w:rsid w:val="00AA3E09"/>
    <w:rsid w:val="00AA4BEF"/>
    <w:rsid w:val="00AB181A"/>
    <w:rsid w:val="00AB4962"/>
    <w:rsid w:val="00AB740F"/>
    <w:rsid w:val="00AC7221"/>
    <w:rsid w:val="00AD0A21"/>
    <w:rsid w:val="00AD2D25"/>
    <w:rsid w:val="00AE27A9"/>
    <w:rsid w:val="00AE3606"/>
    <w:rsid w:val="00AE5961"/>
    <w:rsid w:val="00AF4971"/>
    <w:rsid w:val="00AF5A46"/>
    <w:rsid w:val="00AF5EF0"/>
    <w:rsid w:val="00B01046"/>
    <w:rsid w:val="00B13CB6"/>
    <w:rsid w:val="00B14315"/>
    <w:rsid w:val="00B17AE4"/>
    <w:rsid w:val="00B310F9"/>
    <w:rsid w:val="00B34439"/>
    <w:rsid w:val="00B34B2C"/>
    <w:rsid w:val="00B37866"/>
    <w:rsid w:val="00B412FB"/>
    <w:rsid w:val="00B4576B"/>
    <w:rsid w:val="00B46350"/>
    <w:rsid w:val="00B530C6"/>
    <w:rsid w:val="00B6688E"/>
    <w:rsid w:val="00B66B65"/>
    <w:rsid w:val="00B70DD6"/>
    <w:rsid w:val="00B712E5"/>
    <w:rsid w:val="00B74000"/>
    <w:rsid w:val="00B83D5E"/>
    <w:rsid w:val="00B83DDE"/>
    <w:rsid w:val="00B8460A"/>
    <w:rsid w:val="00B8650D"/>
    <w:rsid w:val="00B879B4"/>
    <w:rsid w:val="00B90F07"/>
    <w:rsid w:val="00B97BB9"/>
    <w:rsid w:val="00BA0009"/>
    <w:rsid w:val="00BA4D75"/>
    <w:rsid w:val="00BB1863"/>
    <w:rsid w:val="00BB25EE"/>
    <w:rsid w:val="00BB363A"/>
    <w:rsid w:val="00BB6E20"/>
    <w:rsid w:val="00BC10A0"/>
    <w:rsid w:val="00BC233D"/>
    <w:rsid w:val="00BC4676"/>
    <w:rsid w:val="00BC7BA2"/>
    <w:rsid w:val="00BD426B"/>
    <w:rsid w:val="00BD79F0"/>
    <w:rsid w:val="00BE0986"/>
    <w:rsid w:val="00BE246C"/>
    <w:rsid w:val="00BE2B4D"/>
    <w:rsid w:val="00BE5760"/>
    <w:rsid w:val="00BF7966"/>
    <w:rsid w:val="00C015F8"/>
    <w:rsid w:val="00C0533A"/>
    <w:rsid w:val="00C07E26"/>
    <w:rsid w:val="00C1011C"/>
    <w:rsid w:val="00C1311C"/>
    <w:rsid w:val="00C177C5"/>
    <w:rsid w:val="00C20CD4"/>
    <w:rsid w:val="00C4038C"/>
    <w:rsid w:val="00C42BA2"/>
    <w:rsid w:val="00C44066"/>
    <w:rsid w:val="00C44E13"/>
    <w:rsid w:val="00C453F2"/>
    <w:rsid w:val="00C46094"/>
    <w:rsid w:val="00C51EAC"/>
    <w:rsid w:val="00C60A41"/>
    <w:rsid w:val="00C60CCE"/>
    <w:rsid w:val="00C625A8"/>
    <w:rsid w:val="00C62DE8"/>
    <w:rsid w:val="00C62DFB"/>
    <w:rsid w:val="00C64029"/>
    <w:rsid w:val="00C66F4D"/>
    <w:rsid w:val="00C86600"/>
    <w:rsid w:val="00C87BCA"/>
    <w:rsid w:val="00C93548"/>
    <w:rsid w:val="00C94506"/>
    <w:rsid w:val="00C954BC"/>
    <w:rsid w:val="00CA1F0B"/>
    <w:rsid w:val="00CB110F"/>
    <w:rsid w:val="00CB2A2E"/>
    <w:rsid w:val="00CB338A"/>
    <w:rsid w:val="00CB79C5"/>
    <w:rsid w:val="00CC32B6"/>
    <w:rsid w:val="00CC3DFF"/>
    <w:rsid w:val="00CC411F"/>
    <w:rsid w:val="00CC4B75"/>
    <w:rsid w:val="00CC732E"/>
    <w:rsid w:val="00CD7207"/>
    <w:rsid w:val="00CE0DBE"/>
    <w:rsid w:val="00CE5515"/>
    <w:rsid w:val="00CE5E4D"/>
    <w:rsid w:val="00CE6FBB"/>
    <w:rsid w:val="00CF02C4"/>
    <w:rsid w:val="00CF167F"/>
    <w:rsid w:val="00CF27A0"/>
    <w:rsid w:val="00CF72E5"/>
    <w:rsid w:val="00D01F54"/>
    <w:rsid w:val="00D06B35"/>
    <w:rsid w:val="00D10FC7"/>
    <w:rsid w:val="00D20E99"/>
    <w:rsid w:val="00D21C83"/>
    <w:rsid w:val="00D35BDD"/>
    <w:rsid w:val="00D36479"/>
    <w:rsid w:val="00D63006"/>
    <w:rsid w:val="00D659A7"/>
    <w:rsid w:val="00D72301"/>
    <w:rsid w:val="00D76FC1"/>
    <w:rsid w:val="00D80392"/>
    <w:rsid w:val="00D86EC6"/>
    <w:rsid w:val="00D91B97"/>
    <w:rsid w:val="00D93ACC"/>
    <w:rsid w:val="00D93C08"/>
    <w:rsid w:val="00D95DAC"/>
    <w:rsid w:val="00D97961"/>
    <w:rsid w:val="00DA5BA2"/>
    <w:rsid w:val="00DB1171"/>
    <w:rsid w:val="00DB1519"/>
    <w:rsid w:val="00DB2840"/>
    <w:rsid w:val="00DD66B4"/>
    <w:rsid w:val="00DE1972"/>
    <w:rsid w:val="00DE2721"/>
    <w:rsid w:val="00DE27AB"/>
    <w:rsid w:val="00DE39CC"/>
    <w:rsid w:val="00DF2AB3"/>
    <w:rsid w:val="00DF7250"/>
    <w:rsid w:val="00DF7AE9"/>
    <w:rsid w:val="00E00CAA"/>
    <w:rsid w:val="00E014F1"/>
    <w:rsid w:val="00E03EBF"/>
    <w:rsid w:val="00E05209"/>
    <w:rsid w:val="00E14C94"/>
    <w:rsid w:val="00E2258E"/>
    <w:rsid w:val="00E260C2"/>
    <w:rsid w:val="00E32596"/>
    <w:rsid w:val="00E368F7"/>
    <w:rsid w:val="00E36EB8"/>
    <w:rsid w:val="00E37FB8"/>
    <w:rsid w:val="00E40B07"/>
    <w:rsid w:val="00E42326"/>
    <w:rsid w:val="00E43544"/>
    <w:rsid w:val="00E44D89"/>
    <w:rsid w:val="00E477EA"/>
    <w:rsid w:val="00E62428"/>
    <w:rsid w:val="00E63B14"/>
    <w:rsid w:val="00E82BF1"/>
    <w:rsid w:val="00E83810"/>
    <w:rsid w:val="00E86933"/>
    <w:rsid w:val="00E9641C"/>
    <w:rsid w:val="00E97298"/>
    <w:rsid w:val="00E97753"/>
    <w:rsid w:val="00E97E58"/>
    <w:rsid w:val="00EA2BC2"/>
    <w:rsid w:val="00EA7DE7"/>
    <w:rsid w:val="00EB1FB3"/>
    <w:rsid w:val="00EB2A66"/>
    <w:rsid w:val="00EB7A8A"/>
    <w:rsid w:val="00EC71CA"/>
    <w:rsid w:val="00ED6F3E"/>
    <w:rsid w:val="00EE3A64"/>
    <w:rsid w:val="00EE5600"/>
    <w:rsid w:val="00EE5749"/>
    <w:rsid w:val="00EE7A37"/>
    <w:rsid w:val="00EF01CF"/>
    <w:rsid w:val="00EF4484"/>
    <w:rsid w:val="00F03590"/>
    <w:rsid w:val="00F03622"/>
    <w:rsid w:val="00F077FD"/>
    <w:rsid w:val="00F1049E"/>
    <w:rsid w:val="00F204F3"/>
    <w:rsid w:val="00F238B3"/>
    <w:rsid w:val="00F25586"/>
    <w:rsid w:val="00F2651D"/>
    <w:rsid w:val="00F31498"/>
    <w:rsid w:val="00F32FEF"/>
    <w:rsid w:val="00F36ACC"/>
    <w:rsid w:val="00F42E13"/>
    <w:rsid w:val="00F42F1C"/>
    <w:rsid w:val="00F43B44"/>
    <w:rsid w:val="00F43E9C"/>
    <w:rsid w:val="00F440E5"/>
    <w:rsid w:val="00F448F6"/>
    <w:rsid w:val="00F44D87"/>
    <w:rsid w:val="00F52741"/>
    <w:rsid w:val="00F53D8A"/>
    <w:rsid w:val="00F545EB"/>
    <w:rsid w:val="00F626F7"/>
    <w:rsid w:val="00F745C1"/>
    <w:rsid w:val="00F7702B"/>
    <w:rsid w:val="00F82CB2"/>
    <w:rsid w:val="00F9211C"/>
    <w:rsid w:val="00F92B4A"/>
    <w:rsid w:val="00F93D2E"/>
    <w:rsid w:val="00FA095D"/>
    <w:rsid w:val="00FA0F28"/>
    <w:rsid w:val="00FA1136"/>
    <w:rsid w:val="00FA4BAE"/>
    <w:rsid w:val="00FA6C8B"/>
    <w:rsid w:val="00FB125B"/>
    <w:rsid w:val="00FB4139"/>
    <w:rsid w:val="00FB476E"/>
    <w:rsid w:val="00FB7761"/>
    <w:rsid w:val="00FC09EA"/>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A26B3A"/>
  <w15:docId w15:val="{BB4628F7-5A9C-4261-86CB-CCDA069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E5749"/>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402DDC"/>
    <w:pPr>
      <w:jc w:val="center"/>
    </w:pPr>
    <w:rPr>
      <w:b/>
      <w:sz w:val="28"/>
    </w:rPr>
  </w:style>
  <w:style w:type="paragraph" w:customStyle="1" w:styleId="Title1">
    <w:name w:val="Title 1"/>
    <w:basedOn w:val="Source"/>
    <w:next w:val="Title2"/>
    <w:rsid w:val="00402DDC"/>
    <w:pPr>
      <w:tabs>
        <w:tab w:val="clear" w:pos="794"/>
        <w:tab w:val="clear" w:pos="1191"/>
        <w:tab w:val="clear" w:pos="1588"/>
        <w:tab w:val="clear" w:pos="1985"/>
        <w:tab w:val="left" w:pos="567"/>
        <w:tab w:val="left" w:pos="1134"/>
        <w:tab w:val="left" w:pos="1701"/>
        <w:tab w:val="left" w:pos="2268"/>
        <w:tab w:val="left" w:pos="2835"/>
      </w:tabs>
      <w:spacing w:before="24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F1049E"/>
    <w:pPr>
      <w:tabs>
        <w:tab w:val="clear" w:pos="794"/>
        <w:tab w:val="clear" w:pos="1191"/>
        <w:tab w:val="clear" w:pos="1588"/>
        <w:tab w:val="clear" w:pos="1985"/>
        <w:tab w:val="left" w:pos="1134"/>
        <w:tab w:val="left" w:pos="1871"/>
        <w:tab w:val="left" w:pos="2268"/>
      </w:tabs>
      <w:ind w:left="720"/>
      <w:contextualSpacing/>
    </w:pPr>
  </w:style>
  <w:style w:type="character" w:customStyle="1" w:styleId="enumlev1Char">
    <w:name w:val="enumlev1 Char"/>
    <w:basedOn w:val="DefaultParagraphFont"/>
    <w:link w:val="enumlev1"/>
    <w:locked/>
    <w:rsid w:val="00F1049E"/>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F1049E"/>
    <w:rPr>
      <w:rFonts w:asciiTheme="minorHAnsi" w:hAnsiTheme="minorHAnsi"/>
      <w:sz w:val="24"/>
      <w:lang w:val="en-GB" w:eastAsia="en-US"/>
    </w:rPr>
  </w:style>
  <w:style w:type="character" w:customStyle="1" w:styleId="SourceChar">
    <w:name w:val="Source Char"/>
    <w:link w:val="Source"/>
    <w:locked/>
    <w:rsid w:val="00402DDC"/>
    <w:rPr>
      <w:rFonts w:asciiTheme="minorHAnsi" w:hAnsiTheme="minorHAnsi"/>
      <w:b/>
      <w:sz w:val="28"/>
      <w:lang w:val="en-GB" w:eastAsia="en-US"/>
    </w:rPr>
  </w:style>
  <w:style w:type="character" w:styleId="FollowedHyperlink">
    <w:name w:val="FollowedHyperlink"/>
    <w:basedOn w:val="DefaultParagraphFont"/>
    <w:semiHidden/>
    <w:unhideWhenUsed/>
    <w:rsid w:val="00DA5BA2"/>
    <w:rPr>
      <w:color w:val="800080" w:themeColor="followedHyperlink"/>
      <w:u w:val="single"/>
    </w:rPr>
  </w:style>
  <w:style w:type="character" w:customStyle="1" w:styleId="FootnoteTextChar">
    <w:name w:val="Footnote Text Char"/>
    <w:basedOn w:val="DefaultParagraphFont"/>
    <w:link w:val="FootnoteText"/>
    <w:rsid w:val="008D71AF"/>
    <w:rPr>
      <w:rFonts w:asciiTheme="minorHAnsi" w:hAnsiTheme="minorHAnsi"/>
      <w:sz w:val="24"/>
      <w:lang w:val="en-GB" w:eastAsia="en-US"/>
    </w:rPr>
  </w:style>
  <w:style w:type="paragraph" w:customStyle="1" w:styleId="Reasons">
    <w:name w:val="Reasons"/>
    <w:basedOn w:val="Normal"/>
    <w:qFormat/>
    <w:rsid w:val="008D71AF"/>
    <w:pPr>
      <w:tabs>
        <w:tab w:val="clear" w:pos="794"/>
        <w:tab w:val="clear" w:pos="1191"/>
        <w:tab w:val="left" w:pos="1134"/>
        <w:tab w:val="left" w:pos="1871"/>
      </w:tabs>
    </w:pPr>
  </w:style>
  <w:style w:type="paragraph" w:styleId="PlainText">
    <w:name w:val="Plain Text"/>
    <w:basedOn w:val="Normal"/>
    <w:link w:val="PlainTextChar"/>
    <w:uiPriority w:val="99"/>
    <w:unhideWhenUsed/>
    <w:rsid w:val="008D71AF"/>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8D71AF"/>
    <w:rPr>
      <w:rFonts w:ascii="Calibri" w:hAnsi="Calibri" w:cstheme="minorBidi"/>
      <w:sz w:val="22"/>
      <w:szCs w:val="21"/>
    </w:rPr>
  </w:style>
  <w:style w:type="paragraph" w:customStyle="1" w:styleId="CEONormal">
    <w:name w:val="CEO_Normal"/>
    <w:link w:val="CEONormalChar"/>
    <w:rsid w:val="008D71AF"/>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D71AF"/>
    <w:rPr>
      <w:rFonts w:ascii="Calibri" w:eastAsia="SimSun" w:hAnsi="Calibri" w:cs="Simplified Arabic"/>
      <w:sz w:val="22"/>
      <w:szCs w:val="19"/>
      <w:lang w:val="en-GB" w:eastAsia="en-US"/>
    </w:rPr>
  </w:style>
  <w:style w:type="paragraph" w:styleId="NormalWeb">
    <w:name w:val="Normal (Web)"/>
    <w:basedOn w:val="Normal"/>
    <w:uiPriority w:val="99"/>
    <w:unhideWhenUsed/>
    <w:rsid w:val="008D71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Strong">
    <w:name w:val="Strong"/>
    <w:basedOn w:val="DefaultParagraphFont"/>
    <w:uiPriority w:val="22"/>
    <w:qFormat/>
    <w:rsid w:val="008D71AF"/>
    <w:rPr>
      <w:b/>
      <w:bCs/>
    </w:rPr>
  </w:style>
  <w:style w:type="character" w:customStyle="1" w:styleId="ms-rtefontsize-1">
    <w:name w:val="ms-rtefontsize-1"/>
    <w:basedOn w:val="DefaultParagraphFont"/>
    <w:rsid w:val="008D71AF"/>
  </w:style>
  <w:style w:type="character" w:customStyle="1" w:styleId="href">
    <w:name w:val="href"/>
    <w:basedOn w:val="DefaultParagraphFont"/>
    <w:qFormat/>
    <w:rsid w:val="00645218"/>
    <w:rPr>
      <w:color w:val="auto"/>
    </w:rPr>
  </w:style>
  <w:style w:type="paragraph" w:styleId="CommentText">
    <w:name w:val="annotation text"/>
    <w:basedOn w:val="Normal"/>
    <w:link w:val="CommentTextChar"/>
    <w:semiHidden/>
    <w:unhideWhenUsed/>
    <w:rsid w:val="00024E05"/>
    <w:rPr>
      <w:sz w:val="20"/>
    </w:rPr>
  </w:style>
  <w:style w:type="character" w:customStyle="1" w:styleId="CommentTextChar">
    <w:name w:val="Comment Text Char"/>
    <w:basedOn w:val="DefaultParagraphFont"/>
    <w:link w:val="CommentText"/>
    <w:semiHidden/>
    <w:rsid w:val="00024E05"/>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024E05"/>
    <w:pPr>
      <w:tabs>
        <w:tab w:val="clear" w:pos="794"/>
        <w:tab w:val="clear" w:pos="1191"/>
        <w:tab w:val="clear" w:pos="1588"/>
        <w:tab w:val="clear" w:pos="1985"/>
        <w:tab w:val="left" w:pos="1134"/>
        <w:tab w:val="left" w:pos="1871"/>
        <w:tab w:val="left" w:pos="2268"/>
      </w:tabs>
    </w:pPr>
    <w:rPr>
      <w:rFonts w:eastAsia="Times New Roman"/>
      <w:b/>
      <w:bCs/>
    </w:rPr>
  </w:style>
  <w:style w:type="character" w:customStyle="1" w:styleId="CommentSubjectChar">
    <w:name w:val="Comment Subject Char"/>
    <w:basedOn w:val="CommentTextChar"/>
    <w:link w:val="CommentSubject"/>
    <w:uiPriority w:val="99"/>
    <w:semiHidden/>
    <w:rsid w:val="00024E05"/>
    <w:rPr>
      <w:rFonts w:asciiTheme="minorHAnsi" w:eastAsia="Times New Roman" w:hAnsiTheme="minorHAnsi"/>
      <w:b/>
      <w:bCs/>
      <w:lang w:val="en-GB" w:eastAsia="en-US"/>
    </w:rPr>
  </w:style>
  <w:style w:type="character" w:customStyle="1" w:styleId="UnresolvedMention1">
    <w:name w:val="Unresolved Mention1"/>
    <w:basedOn w:val="DefaultParagraphFont"/>
    <w:uiPriority w:val="99"/>
    <w:semiHidden/>
    <w:unhideWhenUsed/>
    <w:rsid w:val="0091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D/Conferences/CRO/PublishingImages/CRO11/IAGDI-CRO%20Outcome%20Statemen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C20A-9028-43A8-8FCD-F08A76C4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29</TotalTime>
  <Pages>4</Pages>
  <Words>2857</Words>
  <Characters>876</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Li, Jianying</cp:lastModifiedBy>
  <cp:revision>4</cp:revision>
  <cp:lastPrinted>2020-02-17T14:42:00Z</cp:lastPrinted>
  <dcterms:created xsi:type="dcterms:W3CDTF">2021-05-03T08:24:00Z</dcterms:created>
  <dcterms:modified xsi:type="dcterms:W3CDTF">2021-05-03T08:58:00Z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TWinEqns">
    <vt:bool>true</vt:bool>
  </property>
</Properties>
</file>