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986"/>
        <w:gridCol w:w="4682"/>
        <w:gridCol w:w="1556"/>
        <w:gridCol w:w="1417"/>
      </w:tblGrid>
      <w:tr w:rsidR="00D43388" w:rsidRPr="003049A9" w14:paraId="1F64357D" w14:textId="77777777" w:rsidTr="00DA5DBE">
        <w:trPr>
          <w:cantSplit/>
          <w:trHeight w:val="853"/>
        </w:trPr>
        <w:tc>
          <w:tcPr>
            <w:tcW w:w="1030" w:type="pct"/>
            <w:tcBorders>
              <w:bottom w:val="single" w:sz="12" w:space="0" w:color="auto"/>
            </w:tcBorders>
          </w:tcPr>
          <w:p w14:paraId="7FD2DDBA" w14:textId="77777777" w:rsidR="00D43388" w:rsidRPr="003049A9" w:rsidRDefault="00D43388" w:rsidP="00D43388">
            <w:pPr>
              <w:spacing w:after="60"/>
              <w:jc w:val="left"/>
              <w:rPr>
                <w:b/>
                <w:bCs/>
                <w:position w:val="2"/>
                <w:sz w:val="32"/>
                <w:szCs w:val="32"/>
                <w:rtl/>
                <w:lang w:bidi="ar-EG"/>
              </w:rPr>
            </w:pPr>
            <w:r w:rsidRPr="003049A9">
              <w:rPr>
                <w:b/>
                <w:bCs/>
                <w:noProof/>
                <w:position w:val="2"/>
                <w:sz w:val="32"/>
                <w:szCs w:val="32"/>
                <w:rtl/>
                <w:lang w:bidi="ar-EG"/>
              </w:rPr>
              <w:drawing>
                <wp:inline distT="0" distB="0" distL="0" distR="0" wp14:anchorId="51E4BEE2" wp14:editId="4F7BC1C3">
                  <wp:extent cx="1026795" cy="1044584"/>
                  <wp:effectExtent l="0" t="0" r="1905"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235" w:type="pct"/>
            <w:gridSpan w:val="2"/>
            <w:tcBorders>
              <w:bottom w:val="single" w:sz="12" w:space="0" w:color="auto"/>
            </w:tcBorders>
          </w:tcPr>
          <w:p w14:paraId="57912686" w14:textId="77777777" w:rsidR="00D43388" w:rsidRPr="003049A9" w:rsidRDefault="00E77EF2" w:rsidP="00CA457A">
            <w:pPr>
              <w:spacing w:before="360" w:after="240" w:line="240" w:lineRule="auto"/>
              <w:jc w:val="left"/>
              <w:rPr>
                <w:b/>
                <w:bCs/>
                <w:position w:val="2"/>
                <w:sz w:val="32"/>
                <w:szCs w:val="32"/>
                <w:rtl/>
                <w:lang w:bidi="ar-EG"/>
              </w:rPr>
            </w:pPr>
            <w:r w:rsidRPr="003049A9">
              <w:rPr>
                <w:rFonts w:hint="cs"/>
                <w:b/>
                <w:bCs/>
                <w:position w:val="2"/>
                <w:sz w:val="32"/>
                <w:szCs w:val="32"/>
                <w:rtl/>
                <w:lang w:bidi="ar-EG"/>
              </w:rPr>
              <w:t>الفريق الاستشاري لتنمية الاتصالات</w:t>
            </w:r>
            <w:r w:rsidR="00D43388" w:rsidRPr="003049A9">
              <w:rPr>
                <w:b/>
                <w:bCs/>
                <w:position w:val="2"/>
                <w:sz w:val="32"/>
                <w:szCs w:val="32"/>
                <w:rtl/>
                <w:lang w:bidi="ar-EG"/>
              </w:rPr>
              <w:t xml:space="preserve"> </w:t>
            </w:r>
            <w:r w:rsidR="00D43388" w:rsidRPr="003049A9">
              <w:rPr>
                <w:b/>
                <w:bCs/>
                <w:position w:val="2"/>
                <w:sz w:val="32"/>
                <w:szCs w:val="32"/>
                <w:lang w:bidi="ar-EG"/>
              </w:rPr>
              <w:t>(</w:t>
            </w:r>
            <w:r w:rsidRPr="003049A9">
              <w:rPr>
                <w:b/>
                <w:bCs/>
                <w:position w:val="2"/>
                <w:sz w:val="32"/>
                <w:szCs w:val="32"/>
                <w:lang w:bidi="ar-EG"/>
              </w:rPr>
              <w:t>TDAG</w:t>
            </w:r>
            <w:r w:rsidR="00D43388" w:rsidRPr="003049A9">
              <w:rPr>
                <w:b/>
                <w:bCs/>
                <w:position w:val="2"/>
                <w:sz w:val="32"/>
                <w:szCs w:val="32"/>
                <w:lang w:bidi="ar-EG"/>
              </w:rPr>
              <w:t>)</w:t>
            </w:r>
            <w:r w:rsidR="00D43388" w:rsidRPr="003049A9">
              <w:rPr>
                <w:rFonts w:hint="cs"/>
                <w:b/>
                <w:bCs/>
                <w:position w:val="2"/>
                <w:sz w:val="32"/>
                <w:szCs w:val="32"/>
                <w:rtl/>
              </w:rPr>
              <w:t xml:space="preserve"> </w:t>
            </w:r>
            <w:r w:rsidR="00D43388" w:rsidRPr="003049A9">
              <w:rPr>
                <w:b/>
                <w:bCs/>
                <w:position w:val="2"/>
                <w:sz w:val="32"/>
                <w:szCs w:val="32"/>
                <w:rtl/>
              </w:rPr>
              <w:br/>
            </w:r>
            <w:r w:rsidRPr="003049A9">
              <w:rPr>
                <w:rFonts w:hint="cs"/>
                <w:b/>
                <w:bCs/>
                <w:position w:val="2"/>
                <w:sz w:val="24"/>
                <w:szCs w:val="24"/>
                <w:rtl/>
                <w:lang w:bidi="ar-EG"/>
              </w:rPr>
              <w:t>الاجتماع الثامن والعشرون</w:t>
            </w:r>
            <w:r w:rsidR="00D43388" w:rsidRPr="003049A9">
              <w:rPr>
                <w:rFonts w:hint="cs"/>
                <w:b/>
                <w:bCs/>
                <w:position w:val="2"/>
                <w:sz w:val="24"/>
                <w:szCs w:val="24"/>
                <w:rtl/>
                <w:lang w:bidi="ar-EG"/>
              </w:rPr>
              <w:t>،</w:t>
            </w:r>
            <w:r w:rsidRPr="003049A9">
              <w:rPr>
                <w:rFonts w:hint="cs"/>
                <w:b/>
                <w:bCs/>
                <w:position w:val="2"/>
                <w:sz w:val="24"/>
                <w:szCs w:val="24"/>
                <w:rtl/>
                <w:lang w:bidi="ar-EG"/>
              </w:rPr>
              <w:t xml:space="preserve"> اجتماع افتراضي،</w:t>
            </w:r>
            <w:r w:rsidR="00D43388" w:rsidRPr="003049A9">
              <w:rPr>
                <w:b/>
                <w:bCs/>
                <w:position w:val="2"/>
                <w:sz w:val="24"/>
                <w:szCs w:val="24"/>
                <w:rtl/>
                <w:lang w:bidi="ar-EG"/>
              </w:rPr>
              <w:t xml:space="preserve"> </w:t>
            </w:r>
            <w:r w:rsidRPr="003049A9">
              <w:rPr>
                <w:b/>
                <w:bCs/>
                <w:position w:val="2"/>
                <w:sz w:val="24"/>
                <w:szCs w:val="24"/>
                <w:lang w:bidi="ar-EG"/>
              </w:rPr>
              <w:t>28-24</w:t>
            </w:r>
            <w:r w:rsidR="00D43388" w:rsidRPr="003049A9">
              <w:rPr>
                <w:b/>
                <w:bCs/>
                <w:position w:val="2"/>
                <w:sz w:val="24"/>
                <w:szCs w:val="24"/>
                <w:rtl/>
                <w:lang w:bidi="ar-EG"/>
              </w:rPr>
              <w:t xml:space="preserve"> </w:t>
            </w:r>
            <w:r w:rsidRPr="003049A9">
              <w:rPr>
                <w:rFonts w:hint="cs"/>
                <w:b/>
                <w:bCs/>
                <w:position w:val="2"/>
                <w:sz w:val="24"/>
                <w:szCs w:val="24"/>
                <w:rtl/>
                <w:lang w:bidi="ar-EG"/>
              </w:rPr>
              <w:t>مايو</w:t>
            </w:r>
            <w:r w:rsidR="00D43388" w:rsidRPr="003049A9">
              <w:rPr>
                <w:b/>
                <w:bCs/>
                <w:position w:val="2"/>
                <w:sz w:val="24"/>
                <w:szCs w:val="24"/>
                <w:rtl/>
                <w:lang w:bidi="ar-EG"/>
              </w:rPr>
              <w:t xml:space="preserve"> 2021</w:t>
            </w:r>
          </w:p>
        </w:tc>
        <w:tc>
          <w:tcPr>
            <w:tcW w:w="735" w:type="pct"/>
            <w:tcBorders>
              <w:bottom w:val="single" w:sz="12" w:space="0" w:color="auto"/>
            </w:tcBorders>
          </w:tcPr>
          <w:p w14:paraId="767FC98E" w14:textId="77777777" w:rsidR="00D43388" w:rsidRPr="003049A9" w:rsidRDefault="00D43388" w:rsidP="00D43388">
            <w:pPr>
              <w:spacing w:before="360"/>
              <w:jc w:val="left"/>
              <w:rPr>
                <w:b/>
                <w:bCs/>
                <w:position w:val="2"/>
                <w:sz w:val="32"/>
                <w:szCs w:val="32"/>
                <w:lang w:bidi="ar-EG"/>
              </w:rPr>
            </w:pPr>
            <w:r w:rsidRPr="003049A9">
              <w:rPr>
                <w:b/>
                <w:bCs/>
                <w:noProof/>
                <w:position w:val="2"/>
                <w:sz w:val="32"/>
                <w:szCs w:val="32"/>
                <w:lang w:val="fr-FR" w:bidi="ar-EG"/>
              </w:rPr>
              <w:drawing>
                <wp:inline distT="0" distB="0" distL="0" distR="0" wp14:anchorId="59C531A0" wp14:editId="7D0DB484">
                  <wp:extent cx="712470" cy="785495"/>
                  <wp:effectExtent l="0" t="0" r="0" b="0"/>
                  <wp:docPr id="6" name="Picture 6"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62E0" w:rsidRPr="003049A9" w14:paraId="0FE91C7D" w14:textId="77777777" w:rsidTr="00254C2D">
        <w:trPr>
          <w:cantSplit/>
        </w:trPr>
        <w:tc>
          <w:tcPr>
            <w:tcW w:w="3458" w:type="pct"/>
            <w:gridSpan w:val="2"/>
            <w:tcBorders>
              <w:top w:val="single" w:sz="8" w:space="0" w:color="auto"/>
            </w:tcBorders>
          </w:tcPr>
          <w:p w14:paraId="6264BB46" w14:textId="77777777" w:rsidR="008E62E0" w:rsidRPr="003049A9" w:rsidRDefault="008E62E0" w:rsidP="008E62E0">
            <w:pPr>
              <w:tabs>
                <w:tab w:val="clear" w:pos="794"/>
              </w:tabs>
              <w:spacing w:before="0"/>
              <w:rPr>
                <w:b/>
                <w:bCs/>
                <w:position w:val="2"/>
                <w:lang w:bidi="ar-SY"/>
              </w:rPr>
            </w:pPr>
          </w:p>
        </w:tc>
        <w:tc>
          <w:tcPr>
            <w:tcW w:w="1542" w:type="pct"/>
            <w:gridSpan w:val="2"/>
            <w:tcBorders>
              <w:top w:val="single" w:sz="8" w:space="0" w:color="auto"/>
            </w:tcBorders>
          </w:tcPr>
          <w:p w14:paraId="4D71557B" w14:textId="77777777" w:rsidR="008E62E0" w:rsidRPr="003049A9" w:rsidRDefault="008E62E0" w:rsidP="008E62E0">
            <w:pPr>
              <w:tabs>
                <w:tab w:val="clear" w:pos="794"/>
              </w:tabs>
              <w:spacing w:before="0"/>
              <w:rPr>
                <w:b/>
                <w:bCs/>
                <w:position w:val="2"/>
                <w:lang w:bidi="ar-SY"/>
              </w:rPr>
            </w:pPr>
          </w:p>
        </w:tc>
      </w:tr>
      <w:tr w:rsidR="008E62E0" w:rsidRPr="003049A9" w14:paraId="11BF3804" w14:textId="77777777" w:rsidTr="002261A9">
        <w:trPr>
          <w:cantSplit/>
        </w:trPr>
        <w:tc>
          <w:tcPr>
            <w:tcW w:w="3458" w:type="pct"/>
            <w:gridSpan w:val="2"/>
            <w:vMerge w:val="restart"/>
          </w:tcPr>
          <w:p w14:paraId="7CF6A1DA" w14:textId="77777777" w:rsidR="008E62E0" w:rsidRPr="003049A9" w:rsidRDefault="008E62E0" w:rsidP="008E62E0">
            <w:pPr>
              <w:tabs>
                <w:tab w:val="clear" w:pos="794"/>
              </w:tabs>
              <w:spacing w:before="60" w:after="60" w:line="300" w:lineRule="exact"/>
              <w:rPr>
                <w:b/>
                <w:bCs/>
                <w:position w:val="2"/>
                <w:rtl/>
                <w:lang w:bidi="ar-EG"/>
              </w:rPr>
            </w:pPr>
          </w:p>
        </w:tc>
        <w:tc>
          <w:tcPr>
            <w:tcW w:w="1542" w:type="pct"/>
            <w:gridSpan w:val="2"/>
            <w:vAlign w:val="center"/>
          </w:tcPr>
          <w:p w14:paraId="1CAC1C1D" w14:textId="6DD3A5BC" w:rsidR="008E62E0" w:rsidRPr="003049A9" w:rsidRDefault="008E62E0" w:rsidP="005C09DB">
            <w:pPr>
              <w:tabs>
                <w:tab w:val="clear" w:pos="794"/>
              </w:tabs>
              <w:spacing w:before="60" w:after="60" w:line="260" w:lineRule="exact"/>
              <w:rPr>
                <w:b/>
                <w:bCs/>
                <w:position w:val="2"/>
                <w:rtl/>
                <w:lang w:bidi="ar-SY"/>
              </w:rPr>
            </w:pPr>
            <w:r w:rsidRPr="003049A9">
              <w:rPr>
                <w:b/>
                <w:bCs/>
                <w:position w:val="2"/>
                <w:rtl/>
                <w:lang w:bidi="ar-EG"/>
              </w:rPr>
              <w:t xml:space="preserve">الوثيقة </w:t>
            </w:r>
            <w:r w:rsidR="00E77EF2" w:rsidRPr="003049A9">
              <w:rPr>
                <w:b/>
                <w:bCs/>
                <w:position w:val="2"/>
                <w:lang w:bidi="ar-SY"/>
              </w:rPr>
              <w:t>TDAG</w:t>
            </w:r>
            <w:r w:rsidR="00542D27">
              <w:rPr>
                <w:b/>
                <w:bCs/>
                <w:position w:val="2"/>
                <w:lang w:bidi="ar-SY"/>
              </w:rPr>
              <w:t>-</w:t>
            </w:r>
            <w:r w:rsidR="00E77EF2" w:rsidRPr="003049A9">
              <w:rPr>
                <w:b/>
                <w:bCs/>
                <w:position w:val="2"/>
                <w:lang w:bidi="ar-SY"/>
              </w:rPr>
              <w:t>21</w:t>
            </w:r>
            <w:r w:rsidR="0068331F" w:rsidRPr="003049A9">
              <w:rPr>
                <w:b/>
                <w:bCs/>
                <w:position w:val="2"/>
                <w:lang w:bidi="ar-SY"/>
              </w:rPr>
              <w:t>/</w:t>
            </w:r>
            <w:r w:rsidR="000250CA" w:rsidRPr="003049A9">
              <w:rPr>
                <w:b/>
                <w:bCs/>
                <w:position w:val="2"/>
                <w:lang w:bidi="ar-SY"/>
              </w:rPr>
              <w:t>12</w:t>
            </w:r>
            <w:r w:rsidR="0068331F" w:rsidRPr="003049A9">
              <w:rPr>
                <w:b/>
                <w:bCs/>
                <w:position w:val="2"/>
                <w:lang w:bidi="ar-SY"/>
              </w:rPr>
              <w:t xml:space="preserve">-A </w:t>
            </w:r>
          </w:p>
        </w:tc>
      </w:tr>
      <w:tr w:rsidR="008E62E0" w:rsidRPr="003049A9" w14:paraId="6124ABBB" w14:textId="77777777" w:rsidTr="002261A9">
        <w:trPr>
          <w:cantSplit/>
        </w:trPr>
        <w:tc>
          <w:tcPr>
            <w:tcW w:w="3458" w:type="pct"/>
            <w:gridSpan w:val="2"/>
            <w:vMerge/>
          </w:tcPr>
          <w:p w14:paraId="6FD49CC2" w14:textId="77777777" w:rsidR="008E62E0" w:rsidRPr="003049A9" w:rsidRDefault="008E62E0" w:rsidP="008E62E0">
            <w:pPr>
              <w:tabs>
                <w:tab w:val="clear" w:pos="794"/>
              </w:tabs>
              <w:spacing w:before="60" w:after="60" w:line="300" w:lineRule="exact"/>
              <w:rPr>
                <w:b/>
                <w:bCs/>
                <w:position w:val="2"/>
                <w:lang w:bidi="ar-SY"/>
              </w:rPr>
            </w:pPr>
          </w:p>
        </w:tc>
        <w:tc>
          <w:tcPr>
            <w:tcW w:w="1542" w:type="pct"/>
            <w:gridSpan w:val="2"/>
            <w:vAlign w:val="center"/>
          </w:tcPr>
          <w:p w14:paraId="4A8EBE3B" w14:textId="6880884C" w:rsidR="008E62E0" w:rsidRPr="003049A9" w:rsidRDefault="000250CA" w:rsidP="005C09DB">
            <w:pPr>
              <w:tabs>
                <w:tab w:val="clear" w:pos="794"/>
              </w:tabs>
              <w:spacing w:before="60" w:after="60" w:line="260" w:lineRule="exact"/>
              <w:rPr>
                <w:b/>
                <w:bCs/>
                <w:position w:val="2"/>
                <w:rtl/>
                <w:lang w:val="en-US" w:bidi="ar-EG"/>
              </w:rPr>
            </w:pPr>
            <w:r w:rsidRPr="003049A9">
              <w:rPr>
                <w:rFonts w:hint="cs"/>
                <w:b/>
                <w:bCs/>
                <w:position w:val="2"/>
                <w:rtl/>
                <w:lang w:val="en-US" w:bidi="ar-SY"/>
              </w:rPr>
              <w:t>13 أبريل 2021</w:t>
            </w:r>
          </w:p>
        </w:tc>
      </w:tr>
      <w:tr w:rsidR="008E62E0" w:rsidRPr="003049A9" w14:paraId="45DD40BE" w14:textId="77777777" w:rsidTr="002261A9">
        <w:trPr>
          <w:cantSplit/>
        </w:trPr>
        <w:tc>
          <w:tcPr>
            <w:tcW w:w="3458" w:type="pct"/>
            <w:gridSpan w:val="2"/>
            <w:vMerge/>
          </w:tcPr>
          <w:p w14:paraId="56DD1E04" w14:textId="77777777" w:rsidR="008E62E0" w:rsidRPr="003049A9" w:rsidRDefault="008E62E0" w:rsidP="008E62E0">
            <w:pPr>
              <w:tabs>
                <w:tab w:val="clear" w:pos="794"/>
              </w:tabs>
              <w:spacing w:before="60" w:after="60" w:line="300" w:lineRule="exact"/>
              <w:rPr>
                <w:b/>
                <w:bCs/>
                <w:position w:val="2"/>
                <w:lang w:bidi="ar-SY"/>
              </w:rPr>
            </w:pPr>
          </w:p>
        </w:tc>
        <w:tc>
          <w:tcPr>
            <w:tcW w:w="1542" w:type="pct"/>
            <w:gridSpan w:val="2"/>
            <w:vAlign w:val="center"/>
          </w:tcPr>
          <w:p w14:paraId="7BD56DAB" w14:textId="7A54C482" w:rsidR="008E62E0" w:rsidRPr="003049A9" w:rsidRDefault="008E62E0" w:rsidP="005C09DB">
            <w:pPr>
              <w:tabs>
                <w:tab w:val="clear" w:pos="794"/>
              </w:tabs>
              <w:spacing w:before="60" w:after="60" w:line="260" w:lineRule="exact"/>
              <w:rPr>
                <w:b/>
                <w:bCs/>
                <w:position w:val="2"/>
                <w:rtl/>
                <w:lang w:bidi="ar-EG"/>
              </w:rPr>
            </w:pPr>
            <w:r w:rsidRPr="003049A9">
              <w:rPr>
                <w:b/>
                <w:bCs/>
                <w:position w:val="2"/>
                <w:rtl/>
                <w:lang w:bidi="ar-EG"/>
              </w:rPr>
              <w:t>الأصل: بالإنكليزية</w:t>
            </w:r>
          </w:p>
        </w:tc>
      </w:tr>
      <w:tr w:rsidR="000250CA" w:rsidRPr="003049A9" w14:paraId="0D0688F6" w14:textId="77777777" w:rsidTr="008E62E0">
        <w:trPr>
          <w:cantSplit/>
        </w:trPr>
        <w:tc>
          <w:tcPr>
            <w:tcW w:w="5000" w:type="pct"/>
            <w:gridSpan w:val="4"/>
          </w:tcPr>
          <w:p w14:paraId="54098A2B" w14:textId="067051A8" w:rsidR="000250CA" w:rsidRPr="003049A9" w:rsidRDefault="000250CA" w:rsidP="00CA457A">
            <w:pPr>
              <w:pStyle w:val="Source"/>
              <w:spacing w:before="600"/>
              <w:rPr>
                <w:b w:val="0"/>
                <w:bCs w:val="0"/>
                <w:position w:val="2"/>
                <w:sz w:val="32"/>
                <w:szCs w:val="32"/>
                <w:lang w:bidi="ar-SY"/>
              </w:rPr>
            </w:pPr>
            <w:r w:rsidRPr="003049A9">
              <w:rPr>
                <w:rFonts w:hint="cs"/>
                <w:rtl/>
                <w:lang w:bidi="ar-EG"/>
              </w:rPr>
              <w:t>مديرة مكتب تنمية الاتصالات</w:t>
            </w:r>
          </w:p>
        </w:tc>
      </w:tr>
      <w:tr w:rsidR="000250CA" w:rsidRPr="003049A9" w14:paraId="5EAC6A65" w14:textId="77777777" w:rsidTr="008E62E0">
        <w:trPr>
          <w:cantSplit/>
        </w:trPr>
        <w:tc>
          <w:tcPr>
            <w:tcW w:w="5000" w:type="pct"/>
            <w:gridSpan w:val="4"/>
          </w:tcPr>
          <w:p w14:paraId="4EC10A13" w14:textId="2BDB691E" w:rsidR="000250CA" w:rsidRPr="003049A9" w:rsidRDefault="000250CA" w:rsidP="000250CA">
            <w:pPr>
              <w:pStyle w:val="Title1"/>
              <w:spacing w:before="120"/>
              <w:rPr>
                <w:position w:val="2"/>
                <w:sz w:val="32"/>
                <w:szCs w:val="32"/>
                <w:rtl/>
                <w:lang w:bidi="ar-EG"/>
              </w:rPr>
            </w:pPr>
            <w:r w:rsidRPr="003049A9">
              <w:rPr>
                <w:rFonts w:hint="cs"/>
                <w:rtl/>
                <w:lang w:bidi="ar-EG"/>
              </w:rPr>
              <w:t>أعضاء قطاع تنمية الاتصالات والمنتسبون إليه</w:t>
            </w:r>
            <w:r w:rsidR="00CA457A">
              <w:rPr>
                <w:rFonts w:hint="cs"/>
                <w:rtl/>
                <w:lang w:bidi="ar-EG"/>
              </w:rPr>
              <w:t xml:space="preserve"> </w:t>
            </w:r>
            <w:r w:rsidRPr="003049A9">
              <w:rPr>
                <w:rFonts w:hint="cs"/>
                <w:rtl/>
                <w:lang w:bidi="ar-EG"/>
              </w:rPr>
              <w:t>والهيئات</w:t>
            </w:r>
            <w:r w:rsidR="00E406B3" w:rsidRPr="003049A9">
              <w:rPr>
                <w:rStyle w:val="CommentReference"/>
              </w:rPr>
              <w:t xml:space="preserve"> </w:t>
            </w:r>
            <w:r w:rsidRPr="003049A9">
              <w:rPr>
                <w:rFonts w:hint="cs"/>
                <w:rtl/>
                <w:lang w:bidi="ar-EG"/>
              </w:rPr>
              <w:t>الأكاديمية المنضمة إليه</w:t>
            </w:r>
          </w:p>
        </w:tc>
      </w:tr>
      <w:tr w:rsidR="008E62E0" w:rsidRPr="003049A9" w14:paraId="52F2E674" w14:textId="77777777" w:rsidTr="002937C8">
        <w:trPr>
          <w:cantSplit/>
        </w:trPr>
        <w:tc>
          <w:tcPr>
            <w:tcW w:w="5000" w:type="pct"/>
            <w:gridSpan w:val="4"/>
            <w:tcBorders>
              <w:bottom w:val="single" w:sz="4" w:space="0" w:color="auto"/>
            </w:tcBorders>
          </w:tcPr>
          <w:p w14:paraId="177A8953" w14:textId="77777777" w:rsidR="008E62E0" w:rsidRPr="00CA457A" w:rsidRDefault="008E62E0" w:rsidP="00CA457A">
            <w:pPr>
              <w:rPr>
                <w:rtl/>
                <w:lang w:bidi="ar-EG"/>
              </w:rPr>
            </w:pPr>
          </w:p>
        </w:tc>
      </w:tr>
      <w:tr w:rsidR="008E62E0" w:rsidRPr="003049A9" w14:paraId="299E5981" w14:textId="77777777" w:rsidTr="002937C8">
        <w:trPr>
          <w:cantSplit/>
        </w:trPr>
        <w:tc>
          <w:tcPr>
            <w:tcW w:w="5000" w:type="pct"/>
            <w:gridSpan w:val="4"/>
            <w:tcBorders>
              <w:top w:val="single" w:sz="4" w:space="0" w:color="auto"/>
              <w:left w:val="single" w:sz="4" w:space="0" w:color="auto"/>
              <w:bottom w:val="single" w:sz="4" w:space="0" w:color="auto"/>
              <w:right w:val="single" w:sz="4" w:space="0" w:color="auto"/>
            </w:tcBorders>
          </w:tcPr>
          <w:p w14:paraId="4B7FDDE9" w14:textId="6BF9F151" w:rsidR="00752E20" w:rsidRPr="003049A9" w:rsidRDefault="003935C5" w:rsidP="00142E5C">
            <w:pPr>
              <w:spacing w:after="120"/>
              <w:rPr>
                <w:b/>
                <w:bCs/>
                <w:position w:val="2"/>
                <w:lang w:bidi="ar-EG"/>
              </w:rPr>
            </w:pPr>
            <w:r w:rsidRPr="003049A9">
              <w:rPr>
                <w:rFonts w:hint="cs"/>
                <w:b/>
                <w:bCs/>
                <w:position w:val="2"/>
                <w:rtl/>
                <w:lang w:bidi="ar-EG"/>
              </w:rPr>
              <w:t>ملخص</w:t>
            </w:r>
            <w:r w:rsidR="00115F0A" w:rsidRPr="003049A9">
              <w:rPr>
                <w:b/>
                <w:bCs/>
                <w:position w:val="2"/>
                <w:rtl/>
                <w:lang w:bidi="ar-EG"/>
              </w:rPr>
              <w:t>:</w:t>
            </w:r>
          </w:p>
          <w:p w14:paraId="62B0E54F" w14:textId="18EDBDC8" w:rsidR="000250CA" w:rsidRPr="003049A9" w:rsidRDefault="000250CA" w:rsidP="000250CA">
            <w:pPr>
              <w:rPr>
                <w:spacing w:val="4"/>
                <w:rtl/>
                <w:lang w:bidi="ar-JO"/>
              </w:rPr>
            </w:pPr>
            <w:r w:rsidRPr="003049A9">
              <w:rPr>
                <w:rFonts w:hint="cs"/>
                <w:spacing w:val="4"/>
                <w:rtl/>
                <w:lang w:bidi="ar-JO"/>
              </w:rPr>
              <w:t xml:space="preserve">تقدم هذه الوثيقة لمحة عامة عن تطور </w:t>
            </w:r>
            <w:r w:rsidR="000A6B54" w:rsidRPr="003049A9">
              <w:rPr>
                <w:rFonts w:hint="cs"/>
                <w:spacing w:val="4"/>
                <w:rtl/>
                <w:lang w:bidi="ar-JO"/>
              </w:rPr>
              <w:t xml:space="preserve">حالة </w:t>
            </w:r>
            <w:r w:rsidRPr="003049A9">
              <w:rPr>
                <w:spacing w:val="4"/>
                <w:rtl/>
                <w:lang w:bidi="ar-JO"/>
              </w:rPr>
              <w:t xml:space="preserve">عضوية قطاع تنمية الاتصالات </w:t>
            </w:r>
            <w:r w:rsidRPr="003049A9">
              <w:rPr>
                <w:rFonts w:hint="cs"/>
                <w:spacing w:val="4"/>
                <w:rtl/>
                <w:lang w:bidi="ar-JO"/>
              </w:rPr>
              <w:t>ب</w:t>
            </w:r>
            <w:r w:rsidRPr="003049A9">
              <w:rPr>
                <w:spacing w:val="4"/>
                <w:rtl/>
                <w:lang w:bidi="ar-JO"/>
              </w:rPr>
              <w:t>الاتحاد الدولي للاتصالات</w:t>
            </w:r>
            <w:r w:rsidR="002E38BB" w:rsidRPr="003049A9">
              <w:rPr>
                <w:rFonts w:hint="cs"/>
                <w:spacing w:val="4"/>
                <w:rtl/>
                <w:lang w:bidi="ar-JO"/>
              </w:rPr>
              <w:t xml:space="preserve"> </w:t>
            </w:r>
            <w:r w:rsidR="002E38BB" w:rsidRPr="003049A9">
              <w:rPr>
                <w:spacing w:val="4"/>
                <w:lang w:val="en-US" w:bidi="ar-JO"/>
              </w:rPr>
              <w:t>(ITU-D)</w:t>
            </w:r>
            <w:r w:rsidRPr="003049A9">
              <w:rPr>
                <w:rFonts w:hint="cs"/>
                <w:spacing w:val="4"/>
                <w:rtl/>
                <w:lang w:bidi="ar-JO"/>
              </w:rPr>
              <w:t>.</w:t>
            </w:r>
            <w:r w:rsidRPr="003049A9">
              <w:rPr>
                <w:spacing w:val="4"/>
                <w:rtl/>
                <w:lang w:bidi="ar-JO"/>
              </w:rPr>
              <w:t xml:space="preserve"> </w:t>
            </w:r>
            <w:r w:rsidRPr="003049A9">
              <w:rPr>
                <w:rFonts w:hint="cs"/>
                <w:spacing w:val="4"/>
                <w:rtl/>
                <w:lang w:bidi="ar-JO"/>
              </w:rPr>
              <w:t xml:space="preserve">وتوصي أيضاً </w:t>
            </w:r>
            <w:r w:rsidR="00020849" w:rsidRPr="003049A9">
              <w:rPr>
                <w:rFonts w:hint="cs"/>
                <w:spacing w:val="4"/>
                <w:rtl/>
                <w:lang w:bidi="ar-JO"/>
              </w:rPr>
              <w:t xml:space="preserve">بإجراءات </w:t>
            </w:r>
            <w:r w:rsidRPr="003049A9">
              <w:rPr>
                <w:rFonts w:hint="cs"/>
                <w:spacing w:val="4"/>
                <w:rtl/>
                <w:lang w:bidi="ar-JO"/>
              </w:rPr>
              <w:t>لتعزيز هذه العضوية وفقاً</w:t>
            </w:r>
            <w:r w:rsidRPr="003049A9">
              <w:rPr>
                <w:spacing w:val="4"/>
                <w:rtl/>
                <w:lang w:bidi="ar-JO"/>
              </w:rPr>
              <w:t xml:space="preserve"> لنتائج المؤتمر العالمي لتنمية الاتصالات لعام </w:t>
            </w:r>
            <w:r w:rsidRPr="003049A9">
              <w:rPr>
                <w:spacing w:val="4"/>
                <w:lang w:bidi="ar-SY"/>
              </w:rPr>
              <w:t>2017</w:t>
            </w:r>
            <w:r w:rsidRPr="003049A9">
              <w:rPr>
                <w:spacing w:val="4"/>
                <w:rtl/>
                <w:lang w:bidi="ar-JO"/>
              </w:rPr>
              <w:t xml:space="preserve"> </w:t>
            </w:r>
            <w:r w:rsidRPr="003049A9">
              <w:rPr>
                <w:spacing w:val="4"/>
                <w:lang w:bidi="ar-SY"/>
              </w:rPr>
              <w:t>(WTDC-17)</w:t>
            </w:r>
            <w:r w:rsidRPr="003049A9">
              <w:rPr>
                <w:spacing w:val="4"/>
                <w:rtl/>
                <w:lang w:bidi="ar-JO"/>
              </w:rPr>
              <w:t xml:space="preserve"> ومؤتمر المندوبين المفوضين لعام </w:t>
            </w:r>
            <w:r w:rsidRPr="003049A9">
              <w:rPr>
                <w:spacing w:val="4"/>
                <w:lang w:bidi="ar-SY"/>
              </w:rPr>
              <w:t>2018</w:t>
            </w:r>
            <w:r w:rsidRPr="003049A9">
              <w:rPr>
                <w:rFonts w:hint="cs"/>
                <w:spacing w:val="4"/>
                <w:rtl/>
                <w:lang w:bidi="ar-JO"/>
              </w:rPr>
              <w:t>. وتشمل عضوية قطاع تنمية الاتصالات أعضاء القطاع والمنتسبين إليه والهيئات الأكاديمية المنضمة إليه.</w:t>
            </w:r>
            <w:r w:rsidRPr="003049A9">
              <w:rPr>
                <w:rStyle w:val="FootnoteReference"/>
                <w:spacing w:val="4"/>
                <w:rtl/>
                <w:lang w:bidi="ar-JO"/>
              </w:rPr>
              <w:footnoteReference w:id="1"/>
            </w:r>
          </w:p>
          <w:p w14:paraId="3759ED01" w14:textId="77777777" w:rsidR="000250CA" w:rsidRPr="003049A9" w:rsidRDefault="000250CA" w:rsidP="000250CA">
            <w:pPr>
              <w:rPr>
                <w:b/>
                <w:bCs/>
                <w:rtl/>
                <w:lang w:bidi="ar-EG"/>
              </w:rPr>
            </w:pPr>
            <w:r w:rsidRPr="003049A9">
              <w:rPr>
                <w:rFonts w:hint="cs"/>
                <w:b/>
                <w:bCs/>
                <w:rtl/>
                <w:lang w:bidi="ar-SY"/>
              </w:rPr>
              <w:t>الإجراء المطلوب:</w:t>
            </w:r>
          </w:p>
          <w:p w14:paraId="0FE60905" w14:textId="04DF134B" w:rsidR="000250CA" w:rsidRPr="003049A9" w:rsidRDefault="00BF6985" w:rsidP="000250CA">
            <w:pPr>
              <w:rPr>
                <w:rtl/>
                <w:lang w:bidi="ar-EG"/>
              </w:rPr>
            </w:pPr>
            <w:r w:rsidRPr="003049A9">
              <w:rPr>
                <w:rFonts w:hint="cs"/>
                <w:rtl/>
              </w:rPr>
              <w:t>يُدعى</w:t>
            </w:r>
            <w:r w:rsidR="000250CA" w:rsidRPr="003049A9">
              <w:rPr>
                <w:rtl/>
              </w:rPr>
              <w:t xml:space="preserve"> الفريق الاستشاري لتنمية الاتصالات</w:t>
            </w:r>
            <w:r w:rsidR="00584B80" w:rsidRPr="003049A9">
              <w:rPr>
                <w:rFonts w:hint="cs"/>
                <w:rtl/>
              </w:rPr>
              <w:t xml:space="preserve"> </w:t>
            </w:r>
            <w:r w:rsidR="00584B80" w:rsidRPr="003049A9">
              <w:rPr>
                <w:lang w:val="en-US"/>
              </w:rPr>
              <w:t>(TDAG)</w:t>
            </w:r>
            <w:r w:rsidRPr="003049A9">
              <w:rPr>
                <w:rFonts w:hint="cs"/>
                <w:rtl/>
              </w:rPr>
              <w:t xml:space="preserve"> إلى</w:t>
            </w:r>
            <w:r w:rsidR="000250CA" w:rsidRPr="003049A9">
              <w:rPr>
                <w:rtl/>
              </w:rPr>
              <w:t xml:space="preserve"> الإحاطة علماً بهذ</w:t>
            </w:r>
            <w:r w:rsidR="00E007B6" w:rsidRPr="003049A9">
              <w:rPr>
                <w:rFonts w:hint="cs"/>
                <w:rtl/>
              </w:rPr>
              <w:t xml:space="preserve">ه </w:t>
            </w:r>
            <w:r w:rsidR="000250CA" w:rsidRPr="003049A9">
              <w:rPr>
                <w:rFonts w:hint="cs"/>
                <w:rtl/>
              </w:rPr>
              <w:t>الوثيقة</w:t>
            </w:r>
            <w:r w:rsidR="000250CA" w:rsidRPr="003049A9">
              <w:rPr>
                <w:rtl/>
              </w:rPr>
              <w:t xml:space="preserve"> </w:t>
            </w:r>
            <w:r w:rsidR="00020849" w:rsidRPr="003049A9">
              <w:rPr>
                <w:rFonts w:hint="cs"/>
                <w:rtl/>
              </w:rPr>
              <w:t>وتقديم</w:t>
            </w:r>
            <w:r w:rsidR="00E007B6" w:rsidRPr="003049A9">
              <w:rPr>
                <w:rFonts w:hint="cs"/>
                <w:rtl/>
              </w:rPr>
              <w:t xml:space="preserve"> التوجيه</w:t>
            </w:r>
            <w:r w:rsidR="00E406B3" w:rsidRPr="003049A9">
              <w:rPr>
                <w:rFonts w:hint="cs"/>
                <w:rtl/>
              </w:rPr>
              <w:t>ات التي يراها مناسبة.</w:t>
            </w:r>
            <w:r w:rsidR="00E007B6" w:rsidRPr="003049A9">
              <w:rPr>
                <w:rFonts w:hint="cs"/>
                <w:rtl/>
              </w:rPr>
              <w:t xml:space="preserve"> </w:t>
            </w:r>
          </w:p>
          <w:p w14:paraId="06F4CD80" w14:textId="77777777" w:rsidR="000250CA" w:rsidRPr="003049A9" w:rsidRDefault="000250CA" w:rsidP="000250CA">
            <w:pPr>
              <w:rPr>
                <w:b/>
                <w:bCs/>
                <w:rtl/>
                <w:lang w:bidi="ar-SY"/>
              </w:rPr>
            </w:pPr>
            <w:r w:rsidRPr="003049A9">
              <w:rPr>
                <w:rFonts w:hint="cs"/>
                <w:b/>
                <w:bCs/>
                <w:rtl/>
                <w:lang w:bidi="ar-SY"/>
              </w:rPr>
              <w:t>المراجع:</w:t>
            </w:r>
          </w:p>
          <w:p w14:paraId="2989E18B" w14:textId="05EC19E0" w:rsidR="008E62E0" w:rsidRPr="003049A9" w:rsidRDefault="000250CA" w:rsidP="000250CA">
            <w:pPr>
              <w:spacing w:after="120"/>
              <w:rPr>
                <w:position w:val="2"/>
                <w:rtl/>
                <w:lang w:bidi="ar-EG"/>
              </w:rPr>
            </w:pPr>
            <w:r w:rsidRPr="003049A9">
              <w:rPr>
                <w:rtl/>
              </w:rPr>
              <w:t xml:space="preserve">القرار </w:t>
            </w:r>
            <w:r w:rsidRPr="003049A9">
              <w:t>71</w:t>
            </w:r>
            <w:r w:rsidRPr="003049A9">
              <w:rPr>
                <w:rtl/>
              </w:rPr>
              <w:t xml:space="preserve"> (المراجَع في بوينس آيرس، </w:t>
            </w:r>
            <w:r w:rsidRPr="003049A9">
              <w:t>2017</w:t>
            </w:r>
            <w:r w:rsidRPr="003049A9">
              <w:rPr>
                <w:rtl/>
              </w:rPr>
              <w:t>) للمؤتمر العالمي لتنمية الاتصالات</w:t>
            </w:r>
            <w:r w:rsidR="00020849" w:rsidRPr="003049A9">
              <w:rPr>
                <w:rFonts w:hint="cs"/>
                <w:rtl/>
              </w:rPr>
              <w:t>؛</w:t>
            </w:r>
            <w:r w:rsidRPr="003049A9">
              <w:rPr>
                <w:rFonts w:hint="cs"/>
                <w:rtl/>
              </w:rPr>
              <w:t xml:space="preserve"> و</w:t>
            </w:r>
            <w:r w:rsidRPr="003049A9">
              <w:rPr>
                <w:rtl/>
              </w:rPr>
              <w:t>القرار </w:t>
            </w:r>
            <w:r w:rsidRPr="003049A9">
              <w:t>169</w:t>
            </w:r>
            <w:r w:rsidRPr="003049A9">
              <w:rPr>
                <w:rFonts w:hint="cs"/>
                <w:rtl/>
              </w:rPr>
              <w:t xml:space="preserve"> (المراجَع في دبي، </w:t>
            </w:r>
            <w:r w:rsidRPr="003049A9">
              <w:t>2018</w:t>
            </w:r>
            <w:r w:rsidRPr="003049A9">
              <w:rPr>
                <w:rFonts w:hint="cs"/>
                <w:rtl/>
              </w:rPr>
              <w:t>) والقرار</w:t>
            </w:r>
            <w:r w:rsidRPr="003049A9">
              <w:rPr>
                <w:rFonts w:hint="eastAsia"/>
                <w:rtl/>
              </w:rPr>
              <w:t> </w:t>
            </w:r>
            <w:r w:rsidRPr="003049A9">
              <w:t>205</w:t>
            </w:r>
            <w:r w:rsidRPr="003049A9">
              <w:rPr>
                <w:rFonts w:hint="cs"/>
                <w:rtl/>
              </w:rPr>
              <w:t xml:space="preserve"> (دبي، </w:t>
            </w:r>
            <w:r w:rsidRPr="003049A9">
              <w:t>2018</w:t>
            </w:r>
            <w:r w:rsidRPr="003049A9">
              <w:rPr>
                <w:rFonts w:hint="cs"/>
                <w:rtl/>
              </w:rPr>
              <w:t xml:space="preserve">) والقرار </w:t>
            </w:r>
            <w:r w:rsidRPr="003049A9">
              <w:t>209</w:t>
            </w:r>
            <w:r w:rsidRPr="003049A9">
              <w:rPr>
                <w:rFonts w:hint="cs"/>
                <w:rtl/>
              </w:rPr>
              <w:t> </w:t>
            </w:r>
            <w:r w:rsidRPr="003049A9">
              <w:rPr>
                <w:rtl/>
              </w:rPr>
              <w:t>(</w:t>
            </w:r>
            <w:r w:rsidRPr="003049A9">
              <w:rPr>
                <w:rFonts w:hint="cs"/>
                <w:rtl/>
              </w:rPr>
              <w:t>دبي</w:t>
            </w:r>
            <w:r w:rsidRPr="003049A9">
              <w:rPr>
                <w:rtl/>
              </w:rPr>
              <w:t xml:space="preserve">، </w:t>
            </w:r>
            <w:r w:rsidRPr="003049A9">
              <w:t>2018</w:t>
            </w:r>
            <w:r w:rsidRPr="003049A9">
              <w:rPr>
                <w:rtl/>
              </w:rPr>
              <w:t>) لمؤتمر المندوبين المفوضين.</w:t>
            </w:r>
          </w:p>
        </w:tc>
      </w:tr>
    </w:tbl>
    <w:p w14:paraId="3ADC72B2" w14:textId="77777777" w:rsidR="002937C8" w:rsidRPr="003049A9" w:rsidRDefault="002937C8" w:rsidP="002937C8">
      <w:pPr>
        <w:rPr>
          <w:lang w:bidi="ar-SY"/>
        </w:rPr>
      </w:pPr>
    </w:p>
    <w:p w14:paraId="3628DF6C" w14:textId="77777777" w:rsidR="008E62E0" w:rsidRPr="003049A9" w:rsidRDefault="008E62E0" w:rsidP="002937C8">
      <w:pPr>
        <w:rPr>
          <w:rtl/>
          <w:lang w:bidi="ar-EG"/>
        </w:rPr>
      </w:pPr>
      <w:r w:rsidRPr="003049A9">
        <w:rPr>
          <w:rtl/>
          <w:lang w:bidi="ar-SY"/>
        </w:rPr>
        <w:br w:type="page"/>
      </w:r>
    </w:p>
    <w:p w14:paraId="3F73A2F0" w14:textId="77777777" w:rsidR="000250CA" w:rsidRPr="003049A9" w:rsidRDefault="000250CA" w:rsidP="000250CA">
      <w:pPr>
        <w:pStyle w:val="Heading1"/>
        <w:rPr>
          <w:rtl/>
        </w:rPr>
      </w:pPr>
      <w:r w:rsidRPr="003049A9">
        <w:lastRenderedPageBreak/>
        <w:t>1</w:t>
      </w:r>
      <w:r w:rsidRPr="003049A9">
        <w:rPr>
          <w:rtl/>
          <w:lang w:bidi="ar-EG"/>
        </w:rPr>
        <w:tab/>
      </w:r>
      <w:r w:rsidRPr="003049A9">
        <w:rPr>
          <w:rFonts w:hint="cs"/>
          <w:rtl/>
        </w:rPr>
        <w:t>خلفية</w:t>
      </w:r>
    </w:p>
    <w:p w14:paraId="523E9E70" w14:textId="631AF701" w:rsidR="000250CA" w:rsidRPr="003049A9" w:rsidRDefault="000250CA" w:rsidP="000250CA">
      <w:pPr>
        <w:rPr>
          <w:rtl/>
        </w:rPr>
      </w:pPr>
      <w:r w:rsidRPr="003049A9">
        <w:rPr>
          <w:rtl/>
        </w:rPr>
        <w:t xml:space="preserve">راجع المؤتمر العالمي لتنمية الاتصالات لعام </w:t>
      </w:r>
      <w:r w:rsidRPr="003049A9">
        <w:rPr>
          <w:lang w:bidi="ar-EG"/>
        </w:rPr>
        <w:t>2017</w:t>
      </w:r>
      <w:r w:rsidRPr="003049A9">
        <w:rPr>
          <w:rtl/>
        </w:rPr>
        <w:t xml:space="preserve"> </w:t>
      </w:r>
      <w:r w:rsidRPr="003049A9">
        <w:rPr>
          <w:lang w:bidi="ar-EG"/>
        </w:rPr>
        <w:t>(WTDC-17)</w:t>
      </w:r>
      <w:r w:rsidRPr="003049A9">
        <w:rPr>
          <w:rtl/>
        </w:rPr>
        <w:t xml:space="preserve"> القرار </w:t>
      </w:r>
      <w:r w:rsidRPr="003049A9">
        <w:rPr>
          <w:lang w:bidi="ar-EG"/>
        </w:rPr>
        <w:t>71</w:t>
      </w:r>
      <w:r w:rsidRPr="003049A9">
        <w:rPr>
          <w:rtl/>
        </w:rPr>
        <w:t xml:space="preserve"> </w:t>
      </w:r>
      <w:r w:rsidRPr="003049A9">
        <w:rPr>
          <w:rFonts w:hint="cs"/>
          <w:rtl/>
        </w:rPr>
        <w:t>(المراجَع في بوينس آيرس،</w:t>
      </w:r>
      <w:r w:rsidRPr="003049A9">
        <w:rPr>
          <w:rFonts w:hint="cs"/>
          <w:rtl/>
          <w:lang w:bidi="ar-EG"/>
        </w:rPr>
        <w:t xml:space="preserve"> </w:t>
      </w:r>
      <w:r w:rsidRPr="003049A9">
        <w:t>2017</w:t>
      </w:r>
      <w:r w:rsidRPr="003049A9">
        <w:rPr>
          <w:rFonts w:hint="cs"/>
          <w:sz w:val="2"/>
          <w:szCs w:val="2"/>
          <w:rtl/>
        </w:rPr>
        <w:t xml:space="preserve"> </w:t>
      </w:r>
      <w:r w:rsidRPr="003049A9">
        <w:rPr>
          <w:rStyle w:val="FootnoteReference"/>
          <w:lang w:bidi="ar-EG"/>
        </w:rPr>
        <w:footnoteReference w:id="2"/>
      </w:r>
      <w:r w:rsidRPr="003049A9">
        <w:rPr>
          <w:rFonts w:hint="cs"/>
          <w:rtl/>
        </w:rPr>
        <w:t xml:space="preserve">) </w:t>
      </w:r>
      <w:r w:rsidRPr="003049A9">
        <w:rPr>
          <w:rtl/>
        </w:rPr>
        <w:t>واعتمده بغية تعزيز المشاركة الفع</w:t>
      </w:r>
      <w:r w:rsidRPr="003049A9">
        <w:rPr>
          <w:rFonts w:hint="cs"/>
          <w:rtl/>
        </w:rPr>
        <w:t>ّ</w:t>
      </w:r>
      <w:r w:rsidRPr="003049A9">
        <w:rPr>
          <w:rtl/>
        </w:rPr>
        <w:t>الة لأعضاء</w:t>
      </w:r>
      <w:r w:rsidR="002E38BB" w:rsidRPr="003049A9">
        <w:rPr>
          <w:rFonts w:hint="cs"/>
          <w:rtl/>
          <w:lang w:bidi="ar-EG"/>
        </w:rPr>
        <w:t xml:space="preserve"> قطاع</w:t>
      </w:r>
      <w:r w:rsidRPr="003049A9">
        <w:rPr>
          <w:rtl/>
        </w:rPr>
        <w:t xml:space="preserve"> </w:t>
      </w:r>
      <w:r w:rsidR="002E38BB" w:rsidRPr="003049A9">
        <w:rPr>
          <w:rtl/>
        </w:rPr>
        <w:t>تنمية الاتصالات</w:t>
      </w:r>
      <w:r w:rsidR="002E38BB" w:rsidRPr="003049A9">
        <w:rPr>
          <w:rFonts w:hint="cs"/>
          <w:rtl/>
        </w:rPr>
        <w:t xml:space="preserve"> بالاتحاد </w:t>
      </w:r>
      <w:r w:rsidR="002E38BB" w:rsidRPr="003049A9">
        <w:rPr>
          <w:lang w:val="en-US"/>
        </w:rPr>
        <w:t>(ITU-D)</w:t>
      </w:r>
      <w:r w:rsidRPr="003049A9">
        <w:rPr>
          <w:rtl/>
        </w:rPr>
        <w:t xml:space="preserve"> </w:t>
      </w:r>
      <w:r w:rsidR="00E406B3" w:rsidRPr="003049A9">
        <w:rPr>
          <w:rFonts w:hint="cs"/>
          <w:rtl/>
        </w:rPr>
        <w:t xml:space="preserve">الحاليين </w:t>
      </w:r>
      <w:r w:rsidRPr="003049A9">
        <w:rPr>
          <w:rtl/>
        </w:rPr>
        <w:t xml:space="preserve">والمنتسبين إليه والهيئات الأكاديمية المنضمة إليه في أنشطة </w:t>
      </w:r>
      <w:r w:rsidR="00361490" w:rsidRPr="003049A9">
        <w:rPr>
          <w:rFonts w:hint="cs"/>
          <w:rtl/>
        </w:rPr>
        <w:t>ال</w:t>
      </w:r>
      <w:r w:rsidRPr="003049A9">
        <w:rPr>
          <w:rtl/>
        </w:rPr>
        <w:t>قطاع، بما</w:t>
      </w:r>
      <w:r w:rsidRPr="003049A9">
        <w:rPr>
          <w:rFonts w:hint="cs"/>
          <w:rtl/>
        </w:rPr>
        <w:t> </w:t>
      </w:r>
      <w:r w:rsidRPr="003049A9">
        <w:rPr>
          <w:rtl/>
        </w:rPr>
        <w:t>في</w:t>
      </w:r>
      <w:r w:rsidRPr="003049A9">
        <w:rPr>
          <w:rFonts w:hint="cs"/>
          <w:rtl/>
        </w:rPr>
        <w:t> </w:t>
      </w:r>
      <w:r w:rsidRPr="003049A9">
        <w:rPr>
          <w:rtl/>
        </w:rPr>
        <w:t>ذلك المشاركة في</w:t>
      </w:r>
      <w:r w:rsidRPr="003049A9">
        <w:rPr>
          <w:rFonts w:hint="cs"/>
          <w:rtl/>
        </w:rPr>
        <w:t> </w:t>
      </w:r>
      <w:r w:rsidRPr="003049A9">
        <w:rPr>
          <w:rtl/>
        </w:rPr>
        <w:t xml:space="preserve">أعمال لجان دراسات </w:t>
      </w:r>
      <w:r w:rsidR="002E38BB" w:rsidRPr="003049A9">
        <w:rPr>
          <w:rFonts w:hint="cs"/>
          <w:rtl/>
        </w:rPr>
        <w:t>ال</w:t>
      </w:r>
      <w:r w:rsidRPr="003049A9">
        <w:rPr>
          <w:rtl/>
        </w:rPr>
        <w:t>قطاع و</w:t>
      </w:r>
      <w:r w:rsidRPr="003049A9">
        <w:rPr>
          <w:rFonts w:hint="cs"/>
          <w:rtl/>
        </w:rPr>
        <w:t>اجتذاب أعضاء جدد من</w:t>
      </w:r>
      <w:r w:rsidRPr="003049A9">
        <w:rPr>
          <w:rtl/>
        </w:rPr>
        <w:t xml:space="preserve"> القطاعين العام والخاص والهيئات الأكاديمية</w:t>
      </w:r>
      <w:r w:rsidRPr="003049A9">
        <w:rPr>
          <w:rFonts w:hint="cs"/>
          <w:rtl/>
        </w:rPr>
        <w:t>.</w:t>
      </w:r>
    </w:p>
    <w:p w14:paraId="475112F1" w14:textId="61E456F7" w:rsidR="000250CA" w:rsidRPr="003049A9" w:rsidRDefault="00AD7B02" w:rsidP="000250CA">
      <w:pPr>
        <w:rPr>
          <w:rtl/>
        </w:rPr>
      </w:pPr>
      <w:r w:rsidRPr="003049A9">
        <w:rPr>
          <w:rFonts w:hint="cs"/>
          <w:rtl/>
        </w:rPr>
        <w:t xml:space="preserve">وقد </w:t>
      </w:r>
      <w:r w:rsidR="000250CA" w:rsidRPr="003049A9">
        <w:rPr>
          <w:rFonts w:hint="cs"/>
          <w:rtl/>
        </w:rPr>
        <w:t xml:space="preserve">عزز </w:t>
      </w:r>
      <w:r w:rsidR="000250CA" w:rsidRPr="003049A9">
        <w:rPr>
          <w:rtl/>
        </w:rPr>
        <w:t xml:space="preserve">القرار 71 (المراجَع في بوينس آيرس، 2017) </w:t>
      </w:r>
      <w:r w:rsidR="000250CA" w:rsidRPr="003049A9">
        <w:rPr>
          <w:rtl/>
          <w:lang w:bidi="ar-EG"/>
        </w:rPr>
        <w:t xml:space="preserve">التركيز على الدور المتطور الذي يؤديه القطاع الخاص في قطاع تنمية الاتصالات من خلال توجيه تعليمات </w:t>
      </w:r>
      <w:r w:rsidR="000250CA" w:rsidRPr="003049A9">
        <w:rPr>
          <w:rFonts w:hint="cs"/>
          <w:rtl/>
          <w:lang w:bidi="ar-EG"/>
        </w:rPr>
        <w:t xml:space="preserve">لمكتب تنمية الاتصالات </w:t>
      </w:r>
      <w:r w:rsidR="000250CA" w:rsidRPr="003049A9">
        <w:rPr>
          <w:rFonts w:hint="cs"/>
          <w:color w:val="000000"/>
          <w:rtl/>
        </w:rPr>
        <w:t>ل</w:t>
      </w:r>
      <w:r w:rsidR="000250CA" w:rsidRPr="003049A9">
        <w:rPr>
          <w:color w:val="000000"/>
          <w:rtl/>
        </w:rPr>
        <w:t>مواصلة تنظيم اجتماعات للمديرين التنفيذيين</w:t>
      </w:r>
      <w:r w:rsidR="007C1824">
        <w:rPr>
          <w:rFonts w:hint="cs"/>
          <w:color w:val="000000"/>
          <w:rtl/>
        </w:rPr>
        <w:t xml:space="preserve"> للصناعة</w:t>
      </w:r>
      <w:r w:rsidR="000250CA" w:rsidRPr="003049A9">
        <w:rPr>
          <w:color w:val="000000"/>
          <w:rtl/>
        </w:rPr>
        <w:t xml:space="preserve"> رفيعي المستوى</w:t>
      </w:r>
      <w:r w:rsidR="000250CA" w:rsidRPr="003049A9">
        <w:rPr>
          <w:rFonts w:hint="cs"/>
          <w:color w:val="000000"/>
          <w:rtl/>
        </w:rPr>
        <w:t xml:space="preserve"> مثل</w:t>
      </w:r>
      <w:r w:rsidR="000250CA" w:rsidRPr="003049A9">
        <w:rPr>
          <w:rtl/>
          <w:lang w:bidi="ar-EG"/>
        </w:rPr>
        <w:t xml:space="preserve"> </w:t>
      </w:r>
      <w:r w:rsidR="000250CA" w:rsidRPr="003049A9">
        <w:rPr>
          <w:rtl/>
        </w:rPr>
        <w:t>الفريق الاستشاري للصناعة المعني بقضايا التنمية</w:t>
      </w:r>
      <w:r w:rsidR="000250CA" w:rsidRPr="003049A9">
        <w:rPr>
          <w:rFonts w:hint="cs"/>
          <w:rtl/>
        </w:rPr>
        <w:t> </w:t>
      </w:r>
      <w:r w:rsidR="000250CA" w:rsidRPr="003049A9">
        <w:rPr>
          <w:lang w:bidi="ar-EG"/>
        </w:rPr>
        <w:t>(IAGDI)</w:t>
      </w:r>
      <w:r w:rsidR="001E298F" w:rsidRPr="003049A9">
        <w:rPr>
          <w:rFonts w:hint="cs"/>
          <w:rtl/>
        </w:rPr>
        <w:t xml:space="preserve">. </w:t>
      </w:r>
      <w:r w:rsidR="000250CA" w:rsidRPr="003049A9">
        <w:rPr>
          <w:rFonts w:hint="cs"/>
          <w:rtl/>
        </w:rPr>
        <w:t xml:space="preserve">ويشارك </w:t>
      </w:r>
      <w:r w:rsidR="001E298F" w:rsidRPr="003049A9">
        <w:rPr>
          <w:rFonts w:hint="cs"/>
          <w:rtl/>
        </w:rPr>
        <w:t>عدد كبير من ممثّلي</w:t>
      </w:r>
      <w:r w:rsidR="000250CA" w:rsidRPr="003049A9">
        <w:rPr>
          <w:rFonts w:hint="cs"/>
          <w:rtl/>
        </w:rPr>
        <w:t xml:space="preserve"> دوائر الصناعة </w:t>
      </w:r>
      <w:r w:rsidR="00361490" w:rsidRPr="003049A9">
        <w:rPr>
          <w:rFonts w:hint="cs"/>
          <w:rtl/>
        </w:rPr>
        <w:t xml:space="preserve">من </w:t>
      </w:r>
      <w:r w:rsidR="000250CA" w:rsidRPr="003049A9">
        <w:rPr>
          <w:rFonts w:hint="cs"/>
          <w:rtl/>
        </w:rPr>
        <w:t xml:space="preserve">أعضاء قطاع تنمية الاتصالات من جميع المناطق في اجتماعات الفريق </w:t>
      </w:r>
      <w:r w:rsidR="000250CA" w:rsidRPr="003049A9">
        <w:rPr>
          <w:lang w:bidi="ar-EG"/>
        </w:rPr>
        <w:t>IAGDI</w:t>
      </w:r>
      <w:r w:rsidR="000250CA" w:rsidRPr="003049A9">
        <w:rPr>
          <w:rFonts w:hint="cs"/>
          <w:rtl/>
          <w:lang w:bidi="ar-EG"/>
        </w:rPr>
        <w:t xml:space="preserve">. ويعترف القرار أيضاً بعمل </w:t>
      </w:r>
      <w:r w:rsidR="000250CA" w:rsidRPr="003049A9">
        <w:rPr>
          <w:color w:val="000000"/>
          <w:rtl/>
        </w:rPr>
        <w:t xml:space="preserve">كبار </w:t>
      </w:r>
      <w:r w:rsidR="007C1824">
        <w:rPr>
          <w:rFonts w:hint="cs"/>
          <w:color w:val="000000"/>
          <w:rtl/>
        </w:rPr>
        <w:t>مسؤولي</w:t>
      </w:r>
      <w:r w:rsidR="00E06926" w:rsidRPr="003049A9">
        <w:rPr>
          <w:rFonts w:hint="cs"/>
          <w:color w:val="000000"/>
          <w:rtl/>
        </w:rPr>
        <w:t xml:space="preserve"> التنظيم</w:t>
      </w:r>
      <w:r w:rsidR="007C1824">
        <w:rPr>
          <w:rFonts w:hint="eastAsia"/>
          <w:color w:val="000000"/>
          <w:rtl/>
        </w:rPr>
        <w:t> </w:t>
      </w:r>
      <w:r w:rsidR="000250CA" w:rsidRPr="003049A9">
        <w:rPr>
          <w:lang w:bidi="ar-EG"/>
        </w:rPr>
        <w:t>(CRO)</w:t>
      </w:r>
      <w:r w:rsidR="000250CA" w:rsidRPr="003049A9">
        <w:rPr>
          <w:rFonts w:hint="cs"/>
          <w:rtl/>
        </w:rPr>
        <w:t>.</w:t>
      </w:r>
    </w:p>
    <w:p w14:paraId="3192CF3A" w14:textId="02C5F794" w:rsidR="000250CA" w:rsidRPr="003049A9" w:rsidRDefault="000250CA" w:rsidP="000250CA">
      <w:pPr>
        <w:pStyle w:val="Heading1"/>
        <w:rPr>
          <w:rtl/>
        </w:rPr>
      </w:pPr>
      <w:r w:rsidRPr="003049A9">
        <w:rPr>
          <w:rFonts w:hint="cs"/>
          <w:rtl/>
        </w:rPr>
        <w:t>2</w:t>
      </w:r>
      <w:r w:rsidRPr="003049A9">
        <w:tab/>
      </w:r>
      <w:r w:rsidRPr="003049A9">
        <w:rPr>
          <w:rFonts w:hint="cs"/>
          <w:rtl/>
        </w:rPr>
        <w:t>حالة عضوية قطاع تنمية الاتصالات</w:t>
      </w:r>
      <w:r w:rsidR="00AD7B02" w:rsidRPr="003049A9">
        <w:rPr>
          <w:rFonts w:hint="cs"/>
          <w:rtl/>
        </w:rPr>
        <w:t xml:space="preserve"> بالاتحاد</w:t>
      </w:r>
    </w:p>
    <w:p w14:paraId="6824ACAC" w14:textId="3561E139" w:rsidR="000250CA" w:rsidRPr="00430CF5" w:rsidRDefault="000250CA" w:rsidP="000250CA">
      <w:pPr>
        <w:rPr>
          <w:rtl/>
        </w:rPr>
      </w:pPr>
      <w:r w:rsidRPr="00430CF5">
        <w:rPr>
          <w:rFonts w:hint="cs"/>
          <w:rtl/>
        </w:rPr>
        <w:t>يبين الجدول أدناه</w:t>
      </w:r>
      <w:r w:rsidRPr="00430CF5">
        <w:rPr>
          <w:rFonts w:hint="cs"/>
          <w:rtl/>
          <w:lang w:bidi="ar-EG"/>
        </w:rPr>
        <w:t xml:space="preserve"> تطور </w:t>
      </w:r>
      <w:r w:rsidR="000A6B54" w:rsidRPr="00430CF5">
        <w:rPr>
          <w:rFonts w:hint="cs"/>
          <w:rtl/>
          <w:lang w:bidi="ar-EG"/>
        </w:rPr>
        <w:t xml:space="preserve">حالة </w:t>
      </w:r>
      <w:r w:rsidRPr="00430CF5">
        <w:rPr>
          <w:rFonts w:hint="cs"/>
          <w:rtl/>
          <w:lang w:bidi="ar-EG"/>
        </w:rPr>
        <w:t>عضوية</w:t>
      </w:r>
      <w:r w:rsidRPr="00430CF5">
        <w:rPr>
          <w:rtl/>
          <w:lang w:bidi="ar-EG"/>
        </w:rPr>
        <w:t xml:space="preserve"> قطاع تنمية الاتصالات</w:t>
      </w:r>
      <w:r w:rsidR="000A6B54" w:rsidRPr="00430CF5">
        <w:rPr>
          <w:rFonts w:hint="cs"/>
          <w:rtl/>
          <w:lang w:bidi="ar-EG"/>
        </w:rPr>
        <w:t xml:space="preserve"> بالاتحاد</w:t>
      </w:r>
      <w:r w:rsidRPr="00430CF5">
        <w:rPr>
          <w:rtl/>
          <w:lang w:bidi="ar-EG"/>
        </w:rPr>
        <w:t xml:space="preserve"> (أعضاء </w:t>
      </w:r>
      <w:r w:rsidRPr="00430CF5">
        <w:rPr>
          <w:rFonts w:hint="cs"/>
          <w:rtl/>
          <w:lang w:bidi="ar-EG"/>
        </w:rPr>
        <w:t>ال</w:t>
      </w:r>
      <w:r w:rsidRPr="00430CF5">
        <w:rPr>
          <w:rtl/>
          <w:lang w:bidi="ar-EG"/>
        </w:rPr>
        <w:t>قطاع والمنتسب</w:t>
      </w:r>
      <w:r w:rsidRPr="00430CF5">
        <w:rPr>
          <w:rFonts w:hint="cs"/>
          <w:rtl/>
          <w:lang w:bidi="ar-EG"/>
        </w:rPr>
        <w:t>و</w:t>
      </w:r>
      <w:r w:rsidRPr="00430CF5">
        <w:rPr>
          <w:rtl/>
          <w:lang w:bidi="ar-EG"/>
        </w:rPr>
        <w:t>ن إليه والهيئات الأكاديمية المنضمة إليه</w:t>
      </w:r>
      <w:r w:rsidRPr="00430CF5">
        <w:rPr>
          <w:rStyle w:val="FootnoteReference"/>
          <w:rtl/>
          <w:lang w:bidi="ar-EG"/>
        </w:rPr>
        <w:footnoteReference w:id="3"/>
      </w:r>
      <w:r w:rsidRPr="00430CF5">
        <w:rPr>
          <w:rtl/>
          <w:lang w:bidi="ar-EG"/>
        </w:rPr>
        <w:t xml:space="preserve">) </w:t>
      </w:r>
      <w:r w:rsidR="00872603" w:rsidRPr="00430CF5">
        <w:rPr>
          <w:rFonts w:hint="cs"/>
          <w:rtl/>
          <w:lang w:bidi="ar-EG"/>
        </w:rPr>
        <w:t xml:space="preserve">في الفترة </w:t>
      </w:r>
      <w:r w:rsidRPr="00430CF5">
        <w:rPr>
          <w:rtl/>
          <w:lang w:bidi="ar-EG"/>
        </w:rPr>
        <w:t>من</w:t>
      </w:r>
      <w:r w:rsidR="000A6B54" w:rsidRPr="00430CF5">
        <w:rPr>
          <w:rFonts w:hint="cs"/>
          <w:rtl/>
          <w:lang w:bidi="ar-EG"/>
        </w:rPr>
        <w:t xml:space="preserve"> عام</w:t>
      </w:r>
      <w:r w:rsidRPr="00430CF5">
        <w:rPr>
          <w:rFonts w:hint="cs"/>
          <w:rtl/>
          <w:lang w:bidi="ar-EG"/>
        </w:rPr>
        <w:t> 2010 إلى</w:t>
      </w:r>
      <w:r w:rsidRPr="00430CF5">
        <w:rPr>
          <w:rtl/>
          <w:lang w:bidi="ar-EG"/>
        </w:rPr>
        <w:t xml:space="preserve"> </w:t>
      </w:r>
      <w:r w:rsidRPr="00430CF5">
        <w:rPr>
          <w:rFonts w:hint="cs"/>
          <w:rtl/>
          <w:lang w:bidi="ar-EG"/>
        </w:rPr>
        <w:t>مارس 2021</w:t>
      </w:r>
      <w:r w:rsidRPr="00430CF5">
        <w:rPr>
          <w:rtl/>
          <w:lang w:bidi="ar-EG"/>
        </w:rPr>
        <w:t>.</w:t>
      </w:r>
      <w:r w:rsidRPr="00430CF5">
        <w:rPr>
          <w:lang w:bidi="ar-EG"/>
        </w:rPr>
        <w:t xml:space="preserve"> </w:t>
      </w:r>
      <w:r w:rsidR="000A6B54" w:rsidRPr="00430CF5">
        <w:rPr>
          <w:rFonts w:hint="cs"/>
          <w:rtl/>
        </w:rPr>
        <w:t xml:space="preserve">فعقب مضي فترة عصيبة </w:t>
      </w:r>
      <w:r w:rsidR="000A6B54" w:rsidRPr="00430CF5">
        <w:rPr>
          <w:rFonts w:hint="cs"/>
          <w:rtl/>
          <w:lang w:bidi="ar-EG"/>
        </w:rPr>
        <w:t>لوحظ فيها</w:t>
      </w:r>
      <w:r w:rsidR="000A6B54" w:rsidRPr="00430CF5">
        <w:rPr>
          <w:rFonts w:hint="cs"/>
          <w:rtl/>
        </w:rPr>
        <w:t xml:space="preserve"> انخفاض عدد أعضاء القطاع، انضم إليه</w:t>
      </w:r>
      <w:r w:rsidRPr="00430CF5">
        <w:rPr>
          <w:rFonts w:hint="cs"/>
          <w:rtl/>
        </w:rPr>
        <w:t xml:space="preserve"> </w:t>
      </w:r>
      <w:r w:rsidR="006345CB" w:rsidRPr="00430CF5">
        <w:rPr>
          <w:rFonts w:hint="cs"/>
          <w:rtl/>
        </w:rPr>
        <w:t>في</w:t>
      </w:r>
      <w:r w:rsidR="00430CF5" w:rsidRPr="00430CF5">
        <w:rPr>
          <w:rFonts w:hint="eastAsia"/>
          <w:rtl/>
        </w:rPr>
        <w:t> </w:t>
      </w:r>
      <w:r w:rsidR="006345CB" w:rsidRPr="00430CF5">
        <w:rPr>
          <w:rFonts w:hint="cs"/>
          <w:rtl/>
        </w:rPr>
        <w:t xml:space="preserve">عام </w:t>
      </w:r>
      <w:r w:rsidR="006345CB" w:rsidRPr="00430CF5">
        <w:rPr>
          <w:lang w:val="en-US"/>
        </w:rPr>
        <w:t>2020</w:t>
      </w:r>
      <w:r w:rsidR="006345CB" w:rsidRPr="00430CF5">
        <w:rPr>
          <w:rFonts w:hint="cs"/>
          <w:rtl/>
          <w:lang w:val="en-US" w:bidi="ar-EG"/>
        </w:rPr>
        <w:t xml:space="preserve"> والربع الأول من عام </w:t>
      </w:r>
      <w:r w:rsidR="006345CB" w:rsidRPr="00430CF5">
        <w:rPr>
          <w:lang w:val="en-US" w:bidi="ar-EG"/>
        </w:rPr>
        <w:t>2021</w:t>
      </w:r>
      <w:r w:rsidR="00CA457A">
        <w:rPr>
          <w:rFonts w:hint="cs"/>
          <w:rtl/>
          <w:lang w:val="en-US" w:bidi="ar-EG"/>
        </w:rPr>
        <w:t>،</w:t>
      </w:r>
      <w:r w:rsidR="006345CB" w:rsidRPr="00430CF5">
        <w:rPr>
          <w:rFonts w:hint="cs"/>
          <w:rtl/>
          <w:lang w:val="en-US" w:bidi="ar-EG"/>
        </w:rPr>
        <w:t xml:space="preserve"> </w:t>
      </w:r>
      <w:r w:rsidR="0003452E" w:rsidRPr="00430CF5">
        <w:rPr>
          <w:lang w:val="en-US"/>
        </w:rPr>
        <w:t>10</w:t>
      </w:r>
      <w:r w:rsidR="006345CB" w:rsidRPr="00430CF5">
        <w:rPr>
          <w:rFonts w:hint="cs"/>
          <w:rtl/>
          <w:lang w:val="en-US"/>
        </w:rPr>
        <w:t xml:space="preserve"> كيانات جديدة </w:t>
      </w:r>
      <w:r w:rsidRPr="00430CF5">
        <w:rPr>
          <w:rFonts w:hint="cs"/>
          <w:rtl/>
        </w:rPr>
        <w:t xml:space="preserve">كأعضاء </w:t>
      </w:r>
      <w:r w:rsidR="006345CB" w:rsidRPr="00430CF5">
        <w:rPr>
          <w:rFonts w:hint="cs"/>
          <w:rtl/>
        </w:rPr>
        <w:t xml:space="preserve">قطاع، </w:t>
      </w:r>
      <w:r w:rsidRPr="00430CF5">
        <w:rPr>
          <w:rFonts w:hint="cs"/>
          <w:rtl/>
        </w:rPr>
        <w:t xml:space="preserve">على النحو المبين في القسمين </w:t>
      </w:r>
      <w:r w:rsidRPr="00430CF5">
        <w:t>1.3</w:t>
      </w:r>
      <w:r w:rsidRPr="00430CF5">
        <w:rPr>
          <w:rFonts w:hint="cs"/>
          <w:rtl/>
        </w:rPr>
        <w:t xml:space="preserve"> و</w:t>
      </w:r>
      <w:r w:rsidRPr="00430CF5">
        <w:rPr>
          <w:lang w:val="en-US"/>
        </w:rPr>
        <w:t>2.3</w:t>
      </w:r>
      <w:r w:rsidR="00430CF5">
        <w:rPr>
          <w:rFonts w:hint="eastAsia"/>
          <w:rtl/>
          <w:lang w:val="en-US" w:bidi="ar-EG"/>
        </w:rPr>
        <w:t> </w:t>
      </w:r>
      <w:r w:rsidRPr="00430CF5">
        <w:rPr>
          <w:rFonts w:hint="cs"/>
          <w:rtl/>
        </w:rPr>
        <w:t>أدناه</w:t>
      </w:r>
      <w:r w:rsidR="006345CB" w:rsidRPr="00430CF5">
        <w:rPr>
          <w:rFonts w:hint="cs"/>
          <w:rtl/>
        </w:rPr>
        <w:t xml:space="preserve">. </w:t>
      </w:r>
    </w:p>
    <w:p w14:paraId="314972D9" w14:textId="00BDC60C" w:rsidR="000250CA" w:rsidRPr="00CA457A" w:rsidRDefault="001E4FE0" w:rsidP="000250CA">
      <w:pPr>
        <w:rPr>
          <w:rtl/>
          <w:lang w:val="en-US" w:bidi="ar-EG"/>
        </w:rPr>
      </w:pPr>
      <w:r w:rsidRPr="00430CF5">
        <w:rPr>
          <w:rFonts w:hint="cs"/>
          <w:rtl/>
          <w:lang w:val="en-US" w:bidi="ar-EG"/>
        </w:rPr>
        <w:t>وبفضل تنفيذ نهجَي الاتصال والإبقاء على الأعضاء الاستراتيجي</w:t>
      </w:r>
      <w:r w:rsidR="00F149A3" w:rsidRPr="00430CF5">
        <w:rPr>
          <w:rFonts w:hint="cs"/>
          <w:rtl/>
          <w:lang w:val="en-US" w:bidi="ar-EG"/>
        </w:rPr>
        <w:t>َّ</w:t>
      </w:r>
      <w:r w:rsidRPr="00430CF5">
        <w:rPr>
          <w:rFonts w:hint="cs"/>
          <w:rtl/>
          <w:lang w:val="en-US" w:bidi="ar-EG"/>
        </w:rPr>
        <w:t>ين الجديدين، ورغم ما أثاره تفشي جائحة فيروس كورونا</w:t>
      </w:r>
      <w:r w:rsidR="00542D27" w:rsidRPr="00430CF5">
        <w:rPr>
          <w:rFonts w:hint="eastAsia"/>
          <w:rtl/>
          <w:lang w:val="en-US" w:bidi="ar-EG"/>
        </w:rPr>
        <w:t> </w:t>
      </w:r>
      <w:r w:rsidR="00CA457A">
        <w:rPr>
          <w:lang w:val="en-US" w:bidi="ar-EG"/>
        </w:rPr>
        <w:t>(COVID</w:t>
      </w:r>
      <w:r w:rsidR="00CA457A">
        <w:rPr>
          <w:lang w:val="en-US" w:bidi="ar-EG"/>
        </w:rPr>
        <w:noBreakHyphen/>
        <w:t>19)</w:t>
      </w:r>
      <w:r w:rsidRPr="00430CF5">
        <w:rPr>
          <w:rFonts w:hint="cs"/>
          <w:rtl/>
          <w:lang w:val="en-US" w:bidi="ar-EG"/>
        </w:rPr>
        <w:t xml:space="preserve"> من شواغل مالية، ينبغي الإشارة إلى أن</w:t>
      </w:r>
      <w:r w:rsidR="00F149A3" w:rsidRPr="00430CF5">
        <w:rPr>
          <w:rFonts w:hint="cs"/>
          <w:rtl/>
          <w:lang w:val="en-US" w:bidi="ar-EG"/>
        </w:rPr>
        <w:t xml:space="preserve"> عدد أعضاء القطاع الجدد قد تضاعف</w:t>
      </w:r>
      <w:r w:rsidRPr="00430CF5">
        <w:rPr>
          <w:rFonts w:hint="cs"/>
          <w:rtl/>
          <w:lang w:val="en-US" w:bidi="ar-EG"/>
        </w:rPr>
        <w:t xml:space="preserve"> في الربع الأول من عام </w:t>
      </w:r>
      <w:r w:rsidRPr="00430CF5">
        <w:rPr>
          <w:lang w:val="en-US" w:bidi="ar-EG"/>
        </w:rPr>
        <w:t>2021</w:t>
      </w:r>
      <w:r w:rsidRPr="00430CF5">
        <w:rPr>
          <w:rFonts w:hint="cs"/>
          <w:rtl/>
          <w:lang w:val="en-US" w:bidi="ar-EG"/>
        </w:rPr>
        <w:t xml:space="preserve"> </w:t>
      </w:r>
      <w:r w:rsidRPr="00CA457A">
        <w:rPr>
          <w:rFonts w:hint="cs"/>
          <w:rtl/>
          <w:lang w:val="en-US" w:bidi="ar-EG"/>
        </w:rPr>
        <w:t xml:space="preserve">مقارنةً بعددهم في الفترة ذاتها من عام </w:t>
      </w:r>
      <w:r w:rsidRPr="00CA457A">
        <w:rPr>
          <w:lang w:val="en-US" w:bidi="ar-EG"/>
        </w:rPr>
        <w:t>2020</w:t>
      </w:r>
      <w:r w:rsidRPr="00CA457A">
        <w:rPr>
          <w:rFonts w:hint="cs"/>
          <w:rtl/>
          <w:lang w:val="en-US" w:bidi="ar-EG"/>
        </w:rPr>
        <w:t xml:space="preserve">، إذ انضم إليه </w:t>
      </w:r>
      <w:r w:rsidR="0003452E" w:rsidRPr="00CA457A">
        <w:rPr>
          <w:lang w:val="en-US" w:bidi="ar-EG"/>
        </w:rPr>
        <w:t>4</w:t>
      </w:r>
      <w:r w:rsidR="0003452E" w:rsidRPr="00CA457A">
        <w:rPr>
          <w:rFonts w:hint="cs"/>
          <w:rtl/>
          <w:lang w:val="en-US" w:bidi="ar-EG"/>
        </w:rPr>
        <w:t xml:space="preserve"> أعضاء جدد</w:t>
      </w:r>
      <w:r w:rsidR="00B44EBB" w:rsidRPr="00CA457A">
        <w:rPr>
          <w:rFonts w:hint="cs"/>
          <w:rtl/>
          <w:lang w:val="en-US" w:bidi="ar-EG"/>
        </w:rPr>
        <w:t xml:space="preserve"> كأعضاء قطاع</w:t>
      </w:r>
      <w:r w:rsidR="0003452E" w:rsidRPr="00CA457A">
        <w:rPr>
          <w:rFonts w:hint="cs"/>
          <w:rtl/>
          <w:lang w:val="en-US" w:bidi="ar-EG"/>
        </w:rPr>
        <w:t xml:space="preserve"> منذ يناير </w:t>
      </w:r>
      <w:r w:rsidR="0003452E" w:rsidRPr="00CA457A">
        <w:rPr>
          <w:lang w:val="en-US" w:bidi="ar-EG"/>
        </w:rPr>
        <w:t>2021</w:t>
      </w:r>
      <w:r w:rsidR="00F149A3" w:rsidRPr="00CA457A">
        <w:rPr>
          <w:rFonts w:hint="cs"/>
          <w:rtl/>
          <w:lang w:val="en-US" w:bidi="ar-EG"/>
        </w:rPr>
        <w:t xml:space="preserve"> </w:t>
      </w:r>
      <w:r w:rsidR="0003452E" w:rsidRPr="00CA457A">
        <w:rPr>
          <w:rFonts w:hint="cs"/>
          <w:rtl/>
          <w:lang w:val="en-US" w:bidi="ar-EG"/>
        </w:rPr>
        <w:t xml:space="preserve">ووافقت بالفعل الإدارات المعنية بـ </w:t>
      </w:r>
      <w:r w:rsidR="0003452E" w:rsidRPr="00CA457A">
        <w:rPr>
          <w:lang w:val="en-US" w:bidi="ar-EG"/>
        </w:rPr>
        <w:t>5</w:t>
      </w:r>
      <w:r w:rsidR="0003452E" w:rsidRPr="00CA457A">
        <w:rPr>
          <w:rFonts w:hint="cs"/>
          <w:rtl/>
          <w:lang w:val="en-US" w:bidi="ar-EG"/>
        </w:rPr>
        <w:t xml:space="preserve"> كيانات إضافية على انضمام هذه الكيانات إلى القطاع ويتوقع أن تصبح كاملة العضوية في الربع الثاني من عام</w:t>
      </w:r>
      <w:r w:rsidR="00542D27" w:rsidRPr="00CA457A">
        <w:rPr>
          <w:rFonts w:hint="eastAsia"/>
          <w:rtl/>
          <w:lang w:val="en-US" w:bidi="ar-EG"/>
        </w:rPr>
        <w:t> </w:t>
      </w:r>
      <w:r w:rsidR="0003452E" w:rsidRPr="00CA457A">
        <w:rPr>
          <w:lang w:val="en-US" w:bidi="ar-EG"/>
        </w:rPr>
        <w:t>2021</w:t>
      </w:r>
      <w:r w:rsidR="0003452E" w:rsidRPr="00CA457A">
        <w:rPr>
          <w:rFonts w:hint="cs"/>
          <w:rtl/>
          <w:lang w:val="en-US" w:bidi="ar-EG"/>
        </w:rPr>
        <w:t xml:space="preserve">. </w:t>
      </w:r>
    </w:p>
    <w:p w14:paraId="15C6493C" w14:textId="37F4F82C" w:rsidR="000250CA" w:rsidRPr="00430CF5" w:rsidRDefault="00B44EBB" w:rsidP="000250CA">
      <w:pPr>
        <w:rPr>
          <w:rtl/>
          <w:lang w:val="en-US" w:bidi="ar-EG"/>
        </w:rPr>
      </w:pPr>
      <w:r w:rsidRPr="00CA457A">
        <w:rPr>
          <w:rFonts w:hint="cs"/>
          <w:rtl/>
        </w:rPr>
        <w:t xml:space="preserve">وقد أثمرت أيضاً جهود الإبقاء </w:t>
      </w:r>
      <w:r w:rsidR="0068053D" w:rsidRPr="00CA457A">
        <w:rPr>
          <w:rFonts w:hint="cs"/>
          <w:rtl/>
        </w:rPr>
        <w:t>على الأعضاء</w:t>
      </w:r>
      <w:r w:rsidRPr="00CA457A">
        <w:rPr>
          <w:rFonts w:hint="cs"/>
          <w:rtl/>
        </w:rPr>
        <w:t>، حيث انسحب من</w:t>
      </w:r>
      <w:r w:rsidR="0068053D" w:rsidRPr="00CA457A">
        <w:rPr>
          <w:rFonts w:hint="cs"/>
          <w:rtl/>
        </w:rPr>
        <w:t xml:space="preserve"> القطاع</w:t>
      </w:r>
      <w:r w:rsidR="00251D17" w:rsidRPr="00CA457A">
        <w:rPr>
          <w:rFonts w:hint="cs"/>
          <w:rtl/>
        </w:rPr>
        <w:t xml:space="preserve"> </w:t>
      </w:r>
      <w:r w:rsidR="0068053D" w:rsidRPr="00CA457A">
        <w:rPr>
          <w:rFonts w:hint="cs"/>
          <w:rtl/>
        </w:rPr>
        <w:t>عضو قطاع واحد</w:t>
      </w:r>
      <w:r w:rsidRPr="00CA457A">
        <w:rPr>
          <w:rFonts w:hint="cs"/>
          <w:rtl/>
        </w:rPr>
        <w:t xml:space="preserve"> فقط</w:t>
      </w:r>
      <w:r w:rsidR="00251D17" w:rsidRPr="00CA457A">
        <w:rPr>
          <w:rFonts w:hint="cs"/>
          <w:rtl/>
        </w:rPr>
        <w:t xml:space="preserve"> </w:t>
      </w:r>
      <w:r w:rsidRPr="00CA457A">
        <w:rPr>
          <w:rFonts w:hint="cs"/>
          <w:rtl/>
        </w:rPr>
        <w:t xml:space="preserve">في الربع الأول من عام </w:t>
      </w:r>
      <w:r w:rsidRPr="00CA457A">
        <w:rPr>
          <w:lang w:val="en-US"/>
        </w:rPr>
        <w:t>2021</w:t>
      </w:r>
      <w:r w:rsidRPr="00CA457A">
        <w:rPr>
          <w:rFonts w:hint="cs"/>
          <w:rtl/>
          <w:lang w:val="en-US" w:bidi="ar-EG"/>
        </w:rPr>
        <w:t xml:space="preserve">، مقارنةً </w:t>
      </w:r>
      <w:r w:rsidR="000A1E26" w:rsidRPr="00CA457A">
        <w:rPr>
          <w:rFonts w:hint="cs"/>
          <w:rtl/>
          <w:lang w:val="en-US" w:bidi="ar-EG"/>
        </w:rPr>
        <w:t>بـ</w:t>
      </w:r>
      <w:r w:rsidR="00542D27" w:rsidRPr="00CA457A">
        <w:rPr>
          <w:rFonts w:hint="eastAsia"/>
          <w:rtl/>
          <w:lang w:val="en-US" w:bidi="ar-EG"/>
        </w:rPr>
        <w:t> </w:t>
      </w:r>
      <w:r w:rsidR="000A1E26" w:rsidRPr="00CA457A">
        <w:rPr>
          <w:rFonts w:hint="cs"/>
          <w:rtl/>
          <w:lang w:val="en-US" w:bidi="ar-EG"/>
        </w:rPr>
        <w:t xml:space="preserve">7 حالات انسحاب في الفترة ذاتها من عام </w:t>
      </w:r>
      <w:r w:rsidR="000A1E26" w:rsidRPr="00CA457A">
        <w:rPr>
          <w:lang w:val="en-US" w:bidi="ar-EG"/>
        </w:rPr>
        <w:t>2020</w:t>
      </w:r>
      <w:r w:rsidR="000A1E26" w:rsidRPr="00CA457A">
        <w:rPr>
          <w:rFonts w:hint="cs"/>
          <w:rtl/>
          <w:lang w:val="en-US" w:bidi="ar-EG"/>
        </w:rPr>
        <w:t xml:space="preserve">. </w:t>
      </w:r>
      <w:r w:rsidR="00866437" w:rsidRPr="00CA457A">
        <w:rPr>
          <w:rFonts w:hint="cs"/>
          <w:rtl/>
          <w:lang w:val="en-US" w:bidi="ar-EG"/>
        </w:rPr>
        <w:t>و</w:t>
      </w:r>
      <w:r w:rsidR="009261F7" w:rsidRPr="00CA457A">
        <w:rPr>
          <w:rFonts w:hint="cs"/>
          <w:rtl/>
          <w:lang w:val="en-US" w:bidi="ar-EG"/>
        </w:rPr>
        <w:t xml:space="preserve">عمد </w:t>
      </w:r>
      <w:r w:rsidR="00866437" w:rsidRPr="00CA457A">
        <w:rPr>
          <w:rFonts w:hint="cs"/>
          <w:rtl/>
          <w:lang w:val="en-US" w:bidi="ar-EG"/>
        </w:rPr>
        <w:t>عضو منتسب واحد</w:t>
      </w:r>
      <w:r w:rsidR="0068053D" w:rsidRPr="00CA457A">
        <w:rPr>
          <w:rFonts w:hint="cs"/>
          <w:rtl/>
          <w:lang w:val="en-US" w:bidi="ar-EG"/>
        </w:rPr>
        <w:t xml:space="preserve"> </w:t>
      </w:r>
      <w:r w:rsidR="009261F7" w:rsidRPr="00CA457A">
        <w:rPr>
          <w:rFonts w:hint="cs"/>
          <w:rtl/>
          <w:lang w:val="en-US" w:bidi="ar-EG"/>
        </w:rPr>
        <w:t xml:space="preserve">إلى </w:t>
      </w:r>
      <w:r w:rsidR="0068053D" w:rsidRPr="00CA457A">
        <w:rPr>
          <w:rFonts w:hint="cs"/>
          <w:rtl/>
          <w:lang w:val="en-US" w:bidi="ar-EG"/>
        </w:rPr>
        <w:t>ترقية وضعه</w:t>
      </w:r>
      <w:r w:rsidR="00F149A3" w:rsidRPr="00CA457A">
        <w:rPr>
          <w:rFonts w:hint="cs"/>
          <w:rtl/>
          <w:lang w:val="en-US" w:bidi="ar-EG"/>
        </w:rPr>
        <w:t xml:space="preserve"> </w:t>
      </w:r>
      <w:r w:rsidR="00866437" w:rsidRPr="00CA457A">
        <w:rPr>
          <w:rFonts w:hint="cs"/>
          <w:rtl/>
          <w:lang w:val="en-US" w:bidi="ar-EG"/>
        </w:rPr>
        <w:t xml:space="preserve">إلى عضو قطاع في الربع الأول من عام </w:t>
      </w:r>
      <w:r w:rsidR="00866437" w:rsidRPr="00CA457A">
        <w:rPr>
          <w:lang w:val="en-US" w:bidi="ar-EG"/>
        </w:rPr>
        <w:t>2021</w:t>
      </w:r>
      <w:r w:rsidR="00866437" w:rsidRPr="00CA457A">
        <w:rPr>
          <w:rFonts w:hint="cs"/>
          <w:rtl/>
          <w:lang w:val="en-US" w:bidi="ar-EG"/>
        </w:rPr>
        <w:t>.</w:t>
      </w:r>
    </w:p>
    <w:p w14:paraId="6201430F" w14:textId="646F9879" w:rsidR="000250CA" w:rsidRPr="003049A9" w:rsidRDefault="000250CA" w:rsidP="000250CA">
      <w:pPr>
        <w:pStyle w:val="Tabletitle0"/>
        <w:rPr>
          <w:rtl/>
          <w:lang w:bidi="ar-EG"/>
        </w:rPr>
      </w:pPr>
      <w:r w:rsidRPr="003049A9">
        <w:rPr>
          <w:rFonts w:hint="cs"/>
          <w:rtl/>
        </w:rPr>
        <w:t xml:space="preserve">الجدول </w:t>
      </w:r>
      <w:r w:rsidR="00872603" w:rsidRPr="003049A9">
        <w:rPr>
          <w:rtl/>
        </w:rPr>
        <w:t>–</w:t>
      </w:r>
      <w:r w:rsidRPr="003049A9">
        <w:rPr>
          <w:rtl/>
        </w:rPr>
        <w:t xml:space="preserve"> </w:t>
      </w:r>
      <w:r w:rsidRPr="003049A9">
        <w:rPr>
          <w:rFonts w:hint="cs"/>
          <w:rtl/>
        </w:rPr>
        <w:t>تطور</w:t>
      </w:r>
      <w:r w:rsidR="00872603" w:rsidRPr="003049A9">
        <w:rPr>
          <w:rFonts w:hint="cs"/>
          <w:rtl/>
        </w:rPr>
        <w:t xml:space="preserve"> </w:t>
      </w:r>
      <w:r w:rsidRPr="003049A9">
        <w:rPr>
          <w:rFonts w:hint="cs"/>
          <w:rtl/>
        </w:rPr>
        <w:t>عضوية</w:t>
      </w:r>
      <w:r w:rsidRPr="003049A9">
        <w:rPr>
          <w:rtl/>
        </w:rPr>
        <w:t xml:space="preserve"> قطاع تنمية الاتصالات</w:t>
      </w:r>
      <w:r w:rsidR="00E548E9">
        <w:rPr>
          <w:rFonts w:hint="cs"/>
          <w:rtl/>
          <w:lang w:bidi="ar-EG"/>
        </w:rPr>
        <w:t xml:space="preserve"> </w:t>
      </w:r>
      <w:r w:rsidRPr="003049A9">
        <w:rPr>
          <w:rtl/>
        </w:rPr>
        <w:t xml:space="preserve">(أعضاء </w:t>
      </w:r>
      <w:r w:rsidRPr="003049A9">
        <w:rPr>
          <w:rFonts w:hint="cs"/>
          <w:rtl/>
        </w:rPr>
        <w:t>ال</w:t>
      </w:r>
      <w:r w:rsidRPr="003049A9">
        <w:rPr>
          <w:rtl/>
        </w:rPr>
        <w:t>قطاع والمنتسب</w:t>
      </w:r>
      <w:r w:rsidRPr="003049A9">
        <w:rPr>
          <w:rFonts w:hint="cs"/>
          <w:rtl/>
        </w:rPr>
        <w:t>و</w:t>
      </w:r>
      <w:r w:rsidRPr="003049A9">
        <w:rPr>
          <w:rtl/>
        </w:rPr>
        <w:t>ن إليه والهيئات الأكاديمية المنضمة إليه</w:t>
      </w:r>
      <w:r w:rsidRPr="003049A9">
        <w:rPr>
          <w:rStyle w:val="FootnoteReference"/>
          <w:rtl/>
        </w:rPr>
        <w:footnoteReference w:id="4"/>
      </w:r>
      <w:r w:rsidRPr="003049A9">
        <w:rPr>
          <w:rtl/>
        </w:rPr>
        <w:t xml:space="preserve">) </w:t>
      </w:r>
      <w:r w:rsidR="00E548E9">
        <w:rPr>
          <w:rtl/>
        </w:rPr>
        <w:br/>
      </w:r>
      <w:r w:rsidR="00872603" w:rsidRPr="003049A9">
        <w:rPr>
          <w:rFonts w:hint="cs"/>
          <w:rtl/>
        </w:rPr>
        <w:t xml:space="preserve">في الفترة ما بين عامي </w:t>
      </w:r>
      <w:r w:rsidR="00872603" w:rsidRPr="003049A9">
        <w:t>2010</w:t>
      </w:r>
      <w:r w:rsidR="00872603" w:rsidRPr="003049A9">
        <w:rPr>
          <w:rFonts w:hint="cs"/>
          <w:rtl/>
          <w:lang w:bidi="ar-EG"/>
        </w:rPr>
        <w:t xml:space="preserve"> و2021</w:t>
      </w:r>
    </w:p>
    <w:tbl>
      <w:tblPr>
        <w:bidiVisual/>
        <w:tblW w:w="5006" w:type="pct"/>
        <w:jc w:val="center"/>
        <w:tblLayout w:type="fixed"/>
        <w:tblCellMar>
          <w:left w:w="0" w:type="dxa"/>
          <w:right w:w="0" w:type="dxa"/>
        </w:tblCellMar>
        <w:tblLook w:val="04A0" w:firstRow="1" w:lastRow="0" w:firstColumn="1" w:lastColumn="0" w:noHBand="0" w:noVBand="1"/>
      </w:tblPr>
      <w:tblGrid>
        <w:gridCol w:w="1145"/>
        <w:gridCol w:w="715"/>
        <w:gridCol w:w="715"/>
        <w:gridCol w:w="715"/>
        <w:gridCol w:w="714"/>
        <w:gridCol w:w="713"/>
        <w:gridCol w:w="713"/>
        <w:gridCol w:w="713"/>
        <w:gridCol w:w="712"/>
        <w:gridCol w:w="713"/>
        <w:gridCol w:w="713"/>
        <w:gridCol w:w="626"/>
        <w:gridCol w:w="741"/>
      </w:tblGrid>
      <w:tr w:rsidR="00542D27" w:rsidRPr="00542D27" w14:paraId="1D2C9F60" w14:textId="77777777" w:rsidTr="00542D27">
        <w:trPr>
          <w:trHeight w:val="20"/>
          <w:tblHeader/>
          <w:jc w:val="center"/>
        </w:trPr>
        <w:tc>
          <w:tcPr>
            <w:tcW w:w="1143" w:type="dxa"/>
            <w:tcBorders>
              <w:top w:val="nil"/>
              <w:left w:val="nil"/>
              <w:bottom w:val="single" w:sz="4" w:space="0" w:color="auto"/>
              <w:right w:val="single" w:sz="4" w:space="0" w:color="auto"/>
            </w:tcBorders>
            <w:tcMar>
              <w:top w:w="0" w:type="dxa"/>
              <w:left w:w="108" w:type="dxa"/>
              <w:bottom w:w="0" w:type="dxa"/>
              <w:right w:w="108" w:type="dxa"/>
            </w:tcMar>
            <w:hideMark/>
          </w:tcPr>
          <w:p w14:paraId="30D460EB" w14:textId="77777777" w:rsidR="00542D27" w:rsidRPr="00542D27" w:rsidRDefault="00542D27" w:rsidP="00CA457A">
            <w:pPr>
              <w:keepNext/>
              <w:spacing w:before="80" w:after="80" w:line="240" w:lineRule="exact"/>
              <w:rPr>
                <w:sz w:val="20"/>
                <w:szCs w:val="20"/>
                <w:lang w:eastAsia="zh-CN"/>
              </w:rPr>
            </w:pPr>
          </w:p>
        </w:tc>
        <w:tc>
          <w:tcPr>
            <w:tcW w:w="714"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5E96EF2F"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b/>
                <w:sz w:val="20"/>
                <w:szCs w:val="20"/>
                <w:lang w:eastAsia="zh-CN"/>
              </w:rPr>
            </w:pPr>
            <w:r w:rsidRPr="00542D27">
              <w:rPr>
                <w:b/>
                <w:sz w:val="20"/>
                <w:szCs w:val="20"/>
                <w:lang w:eastAsia="zh-CN"/>
              </w:rPr>
              <w:t>2010</w:t>
            </w:r>
          </w:p>
        </w:tc>
        <w:tc>
          <w:tcPr>
            <w:tcW w:w="714"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5F62D9C7"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b/>
                <w:sz w:val="20"/>
                <w:szCs w:val="20"/>
                <w:lang w:eastAsia="zh-CN"/>
              </w:rPr>
            </w:pPr>
            <w:r w:rsidRPr="00542D27">
              <w:rPr>
                <w:b/>
                <w:sz w:val="20"/>
                <w:szCs w:val="20"/>
                <w:lang w:eastAsia="zh-CN"/>
              </w:rPr>
              <w:t>2011</w:t>
            </w:r>
          </w:p>
        </w:tc>
        <w:tc>
          <w:tcPr>
            <w:tcW w:w="714"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6E49A339"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b/>
                <w:sz w:val="20"/>
                <w:szCs w:val="20"/>
                <w:lang w:eastAsia="zh-CN"/>
              </w:rPr>
            </w:pPr>
            <w:r w:rsidRPr="00542D27">
              <w:rPr>
                <w:b/>
                <w:sz w:val="20"/>
                <w:szCs w:val="20"/>
                <w:lang w:eastAsia="zh-CN"/>
              </w:rPr>
              <w:t>2012</w:t>
            </w:r>
          </w:p>
        </w:tc>
        <w:tc>
          <w:tcPr>
            <w:tcW w:w="713"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1A07AC2F"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b/>
                <w:sz w:val="20"/>
                <w:szCs w:val="20"/>
                <w:lang w:eastAsia="zh-CN"/>
              </w:rPr>
            </w:pPr>
            <w:r w:rsidRPr="00542D27">
              <w:rPr>
                <w:b/>
                <w:sz w:val="20"/>
                <w:szCs w:val="20"/>
                <w:lang w:eastAsia="zh-CN"/>
              </w:rPr>
              <w:t>2013</w:t>
            </w:r>
          </w:p>
        </w:tc>
        <w:tc>
          <w:tcPr>
            <w:tcW w:w="713"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33653EE6"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b/>
                <w:sz w:val="20"/>
                <w:szCs w:val="20"/>
                <w:lang w:eastAsia="zh-CN"/>
              </w:rPr>
            </w:pPr>
            <w:r w:rsidRPr="00542D27">
              <w:rPr>
                <w:b/>
                <w:sz w:val="20"/>
                <w:szCs w:val="20"/>
                <w:lang w:eastAsia="zh-CN"/>
              </w:rPr>
              <w:t>2014</w:t>
            </w:r>
          </w:p>
        </w:tc>
        <w:tc>
          <w:tcPr>
            <w:tcW w:w="713"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4E2ABD65"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b/>
                <w:sz w:val="20"/>
                <w:szCs w:val="20"/>
                <w:lang w:eastAsia="zh-CN"/>
              </w:rPr>
            </w:pPr>
            <w:r w:rsidRPr="00542D27">
              <w:rPr>
                <w:b/>
                <w:sz w:val="20"/>
                <w:szCs w:val="20"/>
                <w:lang w:eastAsia="zh-CN"/>
              </w:rPr>
              <w:t>2015</w:t>
            </w:r>
          </w:p>
        </w:tc>
        <w:tc>
          <w:tcPr>
            <w:tcW w:w="713"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58B09C3D"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b/>
                <w:sz w:val="20"/>
                <w:szCs w:val="20"/>
                <w:lang w:eastAsia="zh-CN"/>
              </w:rPr>
            </w:pPr>
            <w:r w:rsidRPr="00542D27">
              <w:rPr>
                <w:b/>
                <w:sz w:val="20"/>
                <w:szCs w:val="20"/>
                <w:lang w:eastAsia="zh-CN"/>
              </w:rPr>
              <w:t>2016</w:t>
            </w:r>
          </w:p>
        </w:tc>
        <w:tc>
          <w:tcPr>
            <w:tcW w:w="712"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0A66B41E"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b/>
                <w:sz w:val="20"/>
                <w:szCs w:val="20"/>
                <w:lang w:eastAsia="zh-CN"/>
              </w:rPr>
            </w:pPr>
            <w:r w:rsidRPr="00542D27">
              <w:rPr>
                <w:b/>
                <w:sz w:val="20"/>
                <w:szCs w:val="20"/>
                <w:lang w:eastAsia="zh-CN"/>
              </w:rPr>
              <w:t>2017</w:t>
            </w:r>
          </w:p>
        </w:tc>
        <w:tc>
          <w:tcPr>
            <w:tcW w:w="713" w:type="dxa"/>
            <w:tcBorders>
              <w:top w:val="single" w:sz="4" w:space="0" w:color="auto"/>
              <w:left w:val="single" w:sz="4" w:space="0" w:color="auto"/>
              <w:bottom w:val="single" w:sz="4" w:space="0" w:color="auto"/>
              <w:right w:val="single" w:sz="4" w:space="0" w:color="auto"/>
            </w:tcBorders>
            <w:shd w:val="clear" w:color="auto" w:fill="9CC2E5"/>
            <w:hideMark/>
          </w:tcPr>
          <w:p w14:paraId="2118A237"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b/>
                <w:sz w:val="20"/>
                <w:szCs w:val="20"/>
                <w:lang w:eastAsia="zh-CN"/>
              </w:rPr>
            </w:pPr>
            <w:r w:rsidRPr="00542D27">
              <w:rPr>
                <w:b/>
                <w:sz w:val="20"/>
                <w:szCs w:val="20"/>
                <w:lang w:eastAsia="zh-CN"/>
              </w:rPr>
              <w:t>2018</w:t>
            </w:r>
          </w:p>
        </w:tc>
        <w:tc>
          <w:tcPr>
            <w:tcW w:w="713" w:type="dxa"/>
            <w:tcBorders>
              <w:top w:val="single" w:sz="4" w:space="0" w:color="auto"/>
              <w:left w:val="single" w:sz="4" w:space="0" w:color="auto"/>
              <w:bottom w:val="single" w:sz="4" w:space="0" w:color="auto"/>
              <w:right w:val="single" w:sz="4" w:space="0" w:color="auto"/>
            </w:tcBorders>
            <w:shd w:val="clear" w:color="auto" w:fill="9CC2E5"/>
          </w:tcPr>
          <w:p w14:paraId="4913DE1D"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b/>
                <w:sz w:val="20"/>
                <w:szCs w:val="20"/>
                <w:lang w:eastAsia="zh-CN"/>
              </w:rPr>
            </w:pPr>
            <w:r w:rsidRPr="00542D27">
              <w:rPr>
                <w:b/>
                <w:sz w:val="20"/>
                <w:szCs w:val="20"/>
                <w:lang w:eastAsia="zh-CN"/>
              </w:rPr>
              <w:t>2019</w:t>
            </w:r>
          </w:p>
        </w:tc>
        <w:tc>
          <w:tcPr>
            <w:tcW w:w="626" w:type="dxa"/>
            <w:tcBorders>
              <w:top w:val="single" w:sz="4" w:space="0" w:color="auto"/>
              <w:left w:val="single" w:sz="4" w:space="0" w:color="auto"/>
              <w:bottom w:val="single" w:sz="4" w:space="0" w:color="auto"/>
              <w:right w:val="single" w:sz="4" w:space="0" w:color="auto"/>
            </w:tcBorders>
            <w:shd w:val="clear" w:color="auto" w:fill="9CC2E5"/>
          </w:tcPr>
          <w:p w14:paraId="1A3CD8FA"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b/>
                <w:sz w:val="20"/>
                <w:szCs w:val="20"/>
                <w:lang w:eastAsia="zh-CN"/>
              </w:rPr>
            </w:pPr>
            <w:r w:rsidRPr="00542D27">
              <w:rPr>
                <w:b/>
                <w:sz w:val="20"/>
                <w:szCs w:val="20"/>
                <w:lang w:eastAsia="zh-CN"/>
              </w:rPr>
              <w:t>2020</w:t>
            </w:r>
          </w:p>
        </w:tc>
        <w:tc>
          <w:tcPr>
            <w:tcW w:w="741" w:type="dxa"/>
            <w:tcBorders>
              <w:top w:val="single" w:sz="4" w:space="0" w:color="auto"/>
              <w:left w:val="single" w:sz="4" w:space="0" w:color="auto"/>
              <w:bottom w:val="single" w:sz="4" w:space="0" w:color="auto"/>
              <w:right w:val="single" w:sz="4" w:space="0" w:color="auto"/>
            </w:tcBorders>
            <w:shd w:val="clear" w:color="auto" w:fill="9CC2E5"/>
          </w:tcPr>
          <w:p w14:paraId="2B5CAB84" w14:textId="379F136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b/>
                <w:sz w:val="20"/>
                <w:szCs w:val="20"/>
                <w:lang w:eastAsia="zh-CN"/>
              </w:rPr>
            </w:pPr>
            <w:r w:rsidRPr="00542D27">
              <w:rPr>
                <w:rFonts w:hint="cs"/>
                <w:bCs/>
                <w:sz w:val="20"/>
                <w:szCs w:val="20"/>
                <w:rtl/>
                <w:lang w:eastAsia="zh-CN"/>
              </w:rPr>
              <w:t>مارس</w:t>
            </w:r>
            <w:r w:rsidRPr="00542D27">
              <w:rPr>
                <w:b/>
                <w:sz w:val="20"/>
                <w:szCs w:val="20"/>
                <w:lang w:eastAsia="zh-CN"/>
              </w:rPr>
              <w:t xml:space="preserve"> 2021</w:t>
            </w:r>
          </w:p>
        </w:tc>
      </w:tr>
      <w:tr w:rsidR="00542D27" w:rsidRPr="00542D27" w14:paraId="4E41C734" w14:textId="77777777" w:rsidTr="00542D27">
        <w:trPr>
          <w:trHeight w:val="346"/>
          <w:jc w:val="center"/>
        </w:trPr>
        <w:tc>
          <w:tcPr>
            <w:tcW w:w="1143" w:type="dxa"/>
            <w:tcBorders>
              <w:top w:val="single" w:sz="4" w:space="0" w:color="auto"/>
              <w:left w:val="single" w:sz="4" w:space="0" w:color="auto"/>
              <w:bottom w:val="single" w:sz="8" w:space="0" w:color="auto"/>
              <w:right w:val="single" w:sz="4" w:space="0" w:color="auto"/>
            </w:tcBorders>
            <w:shd w:val="clear" w:color="auto" w:fill="DEEAF6"/>
            <w:tcMar>
              <w:top w:w="0" w:type="dxa"/>
              <w:left w:w="108" w:type="dxa"/>
              <w:bottom w:w="0" w:type="dxa"/>
              <w:right w:w="108" w:type="dxa"/>
            </w:tcMar>
            <w:hideMark/>
          </w:tcPr>
          <w:p w14:paraId="53EAF719" w14:textId="04D07822"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rPr>
                <w:b/>
                <w:sz w:val="20"/>
                <w:szCs w:val="20"/>
                <w:lang w:eastAsia="zh-CN"/>
              </w:rPr>
            </w:pPr>
            <w:r w:rsidRPr="003049A9">
              <w:rPr>
                <w:rFonts w:hint="cs"/>
                <w:b/>
                <w:bCs/>
                <w:sz w:val="20"/>
                <w:szCs w:val="20"/>
                <w:rtl/>
              </w:rPr>
              <w:t>أعضاء القطاع</w:t>
            </w:r>
          </w:p>
        </w:tc>
        <w:tc>
          <w:tcPr>
            <w:tcW w:w="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165006"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311</w:t>
            </w:r>
          </w:p>
        </w:tc>
        <w:tc>
          <w:tcPr>
            <w:tcW w:w="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08DD22"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323</w:t>
            </w:r>
          </w:p>
        </w:tc>
        <w:tc>
          <w:tcPr>
            <w:tcW w:w="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182B01"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330</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36B469"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346</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B3DB1D"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338</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E9BF80"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340</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6474C8"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331</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E0E9FC"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318</w:t>
            </w:r>
          </w:p>
        </w:tc>
        <w:tc>
          <w:tcPr>
            <w:tcW w:w="713" w:type="dxa"/>
            <w:tcBorders>
              <w:top w:val="single" w:sz="4" w:space="0" w:color="auto"/>
              <w:left w:val="single" w:sz="4" w:space="0" w:color="auto"/>
              <w:bottom w:val="single" w:sz="4" w:space="0" w:color="auto"/>
              <w:right w:val="single" w:sz="4" w:space="0" w:color="auto"/>
            </w:tcBorders>
            <w:hideMark/>
          </w:tcPr>
          <w:p w14:paraId="1C7D2D69"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310</w:t>
            </w:r>
          </w:p>
        </w:tc>
        <w:tc>
          <w:tcPr>
            <w:tcW w:w="713" w:type="dxa"/>
            <w:tcBorders>
              <w:top w:val="single" w:sz="4" w:space="0" w:color="auto"/>
              <w:left w:val="single" w:sz="4" w:space="0" w:color="auto"/>
              <w:bottom w:val="single" w:sz="4" w:space="0" w:color="auto"/>
              <w:right w:val="single" w:sz="4" w:space="0" w:color="auto"/>
            </w:tcBorders>
          </w:tcPr>
          <w:p w14:paraId="0943C5DA"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307</w:t>
            </w:r>
          </w:p>
        </w:tc>
        <w:tc>
          <w:tcPr>
            <w:tcW w:w="626" w:type="dxa"/>
            <w:tcBorders>
              <w:top w:val="single" w:sz="4" w:space="0" w:color="auto"/>
              <w:left w:val="single" w:sz="4" w:space="0" w:color="auto"/>
              <w:bottom w:val="single" w:sz="4" w:space="0" w:color="auto"/>
              <w:right w:val="single" w:sz="4" w:space="0" w:color="auto"/>
            </w:tcBorders>
          </w:tcPr>
          <w:p w14:paraId="0809F239"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298</w:t>
            </w:r>
          </w:p>
        </w:tc>
        <w:tc>
          <w:tcPr>
            <w:tcW w:w="741" w:type="dxa"/>
            <w:tcBorders>
              <w:top w:val="single" w:sz="4" w:space="0" w:color="auto"/>
              <w:left w:val="single" w:sz="4" w:space="0" w:color="auto"/>
              <w:bottom w:val="single" w:sz="4" w:space="0" w:color="auto"/>
              <w:right w:val="single" w:sz="4" w:space="0" w:color="auto"/>
            </w:tcBorders>
            <w:shd w:val="clear" w:color="auto" w:fill="EAF1DD"/>
          </w:tcPr>
          <w:p w14:paraId="009E26C3"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301</w:t>
            </w:r>
          </w:p>
        </w:tc>
      </w:tr>
      <w:tr w:rsidR="00542D27" w:rsidRPr="00542D27" w14:paraId="3FD7D37C" w14:textId="77777777" w:rsidTr="00542D27">
        <w:trPr>
          <w:trHeight w:val="486"/>
          <w:jc w:val="center"/>
        </w:trPr>
        <w:tc>
          <w:tcPr>
            <w:tcW w:w="1143" w:type="dxa"/>
            <w:tcBorders>
              <w:top w:val="single" w:sz="8" w:space="0" w:color="auto"/>
              <w:left w:val="single" w:sz="4" w:space="0" w:color="auto"/>
              <w:bottom w:val="single" w:sz="8" w:space="0" w:color="auto"/>
              <w:right w:val="single" w:sz="4" w:space="0" w:color="auto"/>
            </w:tcBorders>
            <w:shd w:val="clear" w:color="auto" w:fill="DEEAF6"/>
            <w:tcMar>
              <w:top w:w="0" w:type="dxa"/>
              <w:left w:w="108" w:type="dxa"/>
              <w:bottom w:w="0" w:type="dxa"/>
              <w:right w:w="108" w:type="dxa"/>
            </w:tcMar>
            <w:hideMark/>
          </w:tcPr>
          <w:p w14:paraId="4C83F0DB" w14:textId="4C45369C"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rPr>
                <w:b/>
                <w:sz w:val="20"/>
                <w:szCs w:val="20"/>
                <w:lang w:eastAsia="zh-CN"/>
              </w:rPr>
            </w:pPr>
            <w:r w:rsidRPr="003049A9">
              <w:rPr>
                <w:rFonts w:hint="cs"/>
                <w:b/>
                <w:bCs/>
                <w:sz w:val="20"/>
                <w:szCs w:val="20"/>
                <w:rtl/>
              </w:rPr>
              <w:t>المنتسبون إليه</w:t>
            </w:r>
          </w:p>
        </w:tc>
        <w:tc>
          <w:tcPr>
            <w:tcW w:w="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BBD420"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5</w:t>
            </w:r>
          </w:p>
        </w:tc>
        <w:tc>
          <w:tcPr>
            <w:tcW w:w="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C5D645"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6</w:t>
            </w:r>
          </w:p>
        </w:tc>
        <w:tc>
          <w:tcPr>
            <w:tcW w:w="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B9FEA4"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7</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6AB0CB"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9</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0D4612"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10</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45F0B6"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11</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305D98"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12</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836423"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12</w:t>
            </w:r>
          </w:p>
        </w:tc>
        <w:tc>
          <w:tcPr>
            <w:tcW w:w="713" w:type="dxa"/>
            <w:tcBorders>
              <w:top w:val="single" w:sz="4" w:space="0" w:color="auto"/>
              <w:left w:val="single" w:sz="4" w:space="0" w:color="auto"/>
              <w:bottom w:val="single" w:sz="4" w:space="0" w:color="auto"/>
              <w:right w:val="single" w:sz="4" w:space="0" w:color="auto"/>
            </w:tcBorders>
            <w:hideMark/>
          </w:tcPr>
          <w:p w14:paraId="41A57D57"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14</w:t>
            </w:r>
          </w:p>
        </w:tc>
        <w:tc>
          <w:tcPr>
            <w:tcW w:w="713" w:type="dxa"/>
            <w:tcBorders>
              <w:top w:val="single" w:sz="4" w:space="0" w:color="auto"/>
              <w:left w:val="single" w:sz="4" w:space="0" w:color="auto"/>
              <w:bottom w:val="single" w:sz="4" w:space="0" w:color="auto"/>
              <w:right w:val="single" w:sz="4" w:space="0" w:color="auto"/>
            </w:tcBorders>
          </w:tcPr>
          <w:p w14:paraId="04C6385E"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17</w:t>
            </w:r>
          </w:p>
        </w:tc>
        <w:tc>
          <w:tcPr>
            <w:tcW w:w="626" w:type="dxa"/>
            <w:tcBorders>
              <w:top w:val="single" w:sz="4" w:space="0" w:color="auto"/>
              <w:left w:val="single" w:sz="4" w:space="0" w:color="auto"/>
              <w:bottom w:val="single" w:sz="4" w:space="0" w:color="auto"/>
              <w:right w:val="single" w:sz="4" w:space="0" w:color="auto"/>
            </w:tcBorders>
          </w:tcPr>
          <w:p w14:paraId="436D25BF"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21</w:t>
            </w:r>
          </w:p>
        </w:tc>
        <w:tc>
          <w:tcPr>
            <w:tcW w:w="741" w:type="dxa"/>
            <w:tcBorders>
              <w:top w:val="single" w:sz="4" w:space="0" w:color="auto"/>
              <w:left w:val="single" w:sz="4" w:space="0" w:color="auto"/>
              <w:bottom w:val="single" w:sz="4" w:space="0" w:color="auto"/>
              <w:right w:val="single" w:sz="4" w:space="0" w:color="auto"/>
            </w:tcBorders>
            <w:shd w:val="clear" w:color="auto" w:fill="EAF1DD"/>
          </w:tcPr>
          <w:p w14:paraId="4D4DE1AF"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20</w:t>
            </w:r>
          </w:p>
        </w:tc>
      </w:tr>
      <w:tr w:rsidR="00542D27" w:rsidRPr="00542D27" w14:paraId="74C5EF07" w14:textId="77777777" w:rsidTr="00542D27">
        <w:trPr>
          <w:trHeight w:val="536"/>
          <w:jc w:val="center"/>
        </w:trPr>
        <w:tc>
          <w:tcPr>
            <w:tcW w:w="1143" w:type="dxa"/>
            <w:tcBorders>
              <w:top w:val="single" w:sz="8" w:space="0" w:color="auto"/>
              <w:left w:val="single" w:sz="4" w:space="0" w:color="auto"/>
              <w:bottom w:val="single" w:sz="8" w:space="0" w:color="auto"/>
              <w:right w:val="single" w:sz="4" w:space="0" w:color="auto"/>
            </w:tcBorders>
            <w:shd w:val="clear" w:color="auto" w:fill="DEEAF6"/>
            <w:tcMar>
              <w:top w:w="0" w:type="dxa"/>
              <w:left w:w="108" w:type="dxa"/>
              <w:bottom w:w="0" w:type="dxa"/>
              <w:right w:w="108" w:type="dxa"/>
            </w:tcMar>
            <w:hideMark/>
          </w:tcPr>
          <w:p w14:paraId="55D91EE0" w14:textId="1F6830C1"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rPr>
                <w:b/>
                <w:sz w:val="20"/>
                <w:szCs w:val="20"/>
                <w:lang w:eastAsia="zh-CN"/>
              </w:rPr>
            </w:pPr>
            <w:r w:rsidRPr="003049A9">
              <w:rPr>
                <w:rFonts w:hint="cs"/>
                <w:b/>
                <w:bCs/>
                <w:sz w:val="20"/>
                <w:szCs w:val="20"/>
                <w:rtl/>
              </w:rPr>
              <w:t>الهيئات الأكاديمية</w:t>
            </w:r>
          </w:p>
        </w:tc>
        <w:tc>
          <w:tcPr>
            <w:tcW w:w="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82679F"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noBreakHyphen/>
            </w:r>
          </w:p>
        </w:tc>
        <w:tc>
          <w:tcPr>
            <w:tcW w:w="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CDF5FB"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25</w:t>
            </w:r>
          </w:p>
        </w:tc>
        <w:tc>
          <w:tcPr>
            <w:tcW w:w="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62995D"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36</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A2764E"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45</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148EE"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86</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77ADF2"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109</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5914CC"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107</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7FC7EE"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125</w:t>
            </w:r>
          </w:p>
        </w:tc>
        <w:tc>
          <w:tcPr>
            <w:tcW w:w="713" w:type="dxa"/>
            <w:tcBorders>
              <w:top w:val="single" w:sz="4" w:space="0" w:color="auto"/>
              <w:left w:val="single" w:sz="4" w:space="0" w:color="auto"/>
              <w:bottom w:val="single" w:sz="4" w:space="0" w:color="auto"/>
              <w:right w:val="single" w:sz="4" w:space="0" w:color="auto"/>
            </w:tcBorders>
            <w:hideMark/>
          </w:tcPr>
          <w:p w14:paraId="3325A591"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156</w:t>
            </w:r>
          </w:p>
        </w:tc>
        <w:tc>
          <w:tcPr>
            <w:tcW w:w="713" w:type="dxa"/>
            <w:tcBorders>
              <w:top w:val="single" w:sz="4" w:space="0" w:color="auto"/>
              <w:left w:val="single" w:sz="4" w:space="0" w:color="auto"/>
              <w:bottom w:val="single" w:sz="4" w:space="0" w:color="auto"/>
              <w:right w:val="single" w:sz="4" w:space="0" w:color="auto"/>
            </w:tcBorders>
          </w:tcPr>
          <w:p w14:paraId="464D76AE"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163</w:t>
            </w:r>
          </w:p>
        </w:tc>
        <w:tc>
          <w:tcPr>
            <w:tcW w:w="626" w:type="dxa"/>
            <w:tcBorders>
              <w:top w:val="single" w:sz="4" w:space="0" w:color="auto"/>
              <w:left w:val="single" w:sz="4" w:space="0" w:color="auto"/>
              <w:bottom w:val="single" w:sz="4" w:space="0" w:color="auto"/>
              <w:right w:val="single" w:sz="4" w:space="0" w:color="auto"/>
            </w:tcBorders>
          </w:tcPr>
          <w:p w14:paraId="24CEC43C"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162</w:t>
            </w:r>
          </w:p>
        </w:tc>
        <w:tc>
          <w:tcPr>
            <w:tcW w:w="741" w:type="dxa"/>
            <w:tcBorders>
              <w:top w:val="single" w:sz="4" w:space="0" w:color="auto"/>
              <w:left w:val="single" w:sz="4" w:space="0" w:color="auto"/>
              <w:bottom w:val="single" w:sz="4" w:space="0" w:color="auto"/>
              <w:right w:val="single" w:sz="4" w:space="0" w:color="auto"/>
            </w:tcBorders>
            <w:shd w:val="clear" w:color="auto" w:fill="EAF1DD"/>
          </w:tcPr>
          <w:p w14:paraId="2B4AEF2A" w14:textId="77777777" w:rsidR="00542D27" w:rsidRPr="00542D27" w:rsidRDefault="00542D27" w:rsidP="00CA457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163</w:t>
            </w:r>
          </w:p>
        </w:tc>
      </w:tr>
      <w:tr w:rsidR="00542D27" w:rsidRPr="00542D27" w14:paraId="2A8DF19F" w14:textId="77777777" w:rsidTr="00542D27">
        <w:trPr>
          <w:trHeight w:val="544"/>
          <w:jc w:val="center"/>
        </w:trPr>
        <w:tc>
          <w:tcPr>
            <w:tcW w:w="1143" w:type="dxa"/>
            <w:tcBorders>
              <w:top w:val="single" w:sz="8"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hideMark/>
          </w:tcPr>
          <w:p w14:paraId="686FD866" w14:textId="0AE907BB" w:rsidR="00542D27" w:rsidRPr="00542D27" w:rsidRDefault="00542D27" w:rsidP="00CA457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rPr>
                <w:b/>
                <w:sz w:val="20"/>
                <w:szCs w:val="20"/>
                <w:lang w:eastAsia="zh-CN"/>
              </w:rPr>
            </w:pPr>
            <w:r w:rsidRPr="003049A9">
              <w:rPr>
                <w:rFonts w:hint="cs"/>
                <w:b/>
                <w:bCs/>
                <w:sz w:val="20"/>
                <w:szCs w:val="20"/>
                <w:rtl/>
              </w:rPr>
              <w:t>المجموع</w:t>
            </w:r>
            <w:r w:rsidRPr="003049A9">
              <w:rPr>
                <w:b/>
                <w:bCs/>
                <w:sz w:val="20"/>
                <w:szCs w:val="20"/>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DC0CF" w14:textId="77777777" w:rsidR="00542D27" w:rsidRPr="00542D27" w:rsidRDefault="00542D27" w:rsidP="00CA457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316</w:t>
            </w:r>
          </w:p>
        </w:tc>
        <w:tc>
          <w:tcPr>
            <w:tcW w:w="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6A936C" w14:textId="77777777" w:rsidR="00542D27" w:rsidRPr="00542D27" w:rsidRDefault="00542D27" w:rsidP="00CA457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354</w:t>
            </w:r>
          </w:p>
        </w:tc>
        <w:tc>
          <w:tcPr>
            <w:tcW w:w="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68859" w14:textId="77777777" w:rsidR="00542D27" w:rsidRPr="00542D27" w:rsidRDefault="00542D27" w:rsidP="00CA457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373</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C9B0AD" w14:textId="77777777" w:rsidR="00542D27" w:rsidRPr="00542D27" w:rsidRDefault="00542D27" w:rsidP="00CA457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400</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B975F" w14:textId="77777777" w:rsidR="00542D27" w:rsidRPr="00542D27" w:rsidRDefault="00542D27" w:rsidP="00CA457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434</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AC5AA" w14:textId="77777777" w:rsidR="00542D27" w:rsidRPr="00542D27" w:rsidRDefault="00542D27" w:rsidP="00CA457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460</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BE06C4" w14:textId="77777777" w:rsidR="00542D27" w:rsidRPr="00542D27" w:rsidRDefault="00542D27" w:rsidP="00CA457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450</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165848" w14:textId="77777777" w:rsidR="00542D27" w:rsidRPr="00542D27" w:rsidRDefault="00542D27" w:rsidP="00CA457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455</w:t>
            </w:r>
          </w:p>
        </w:tc>
        <w:tc>
          <w:tcPr>
            <w:tcW w:w="713" w:type="dxa"/>
            <w:tcBorders>
              <w:top w:val="single" w:sz="4" w:space="0" w:color="auto"/>
              <w:left w:val="single" w:sz="4" w:space="0" w:color="auto"/>
              <w:bottom w:val="single" w:sz="4" w:space="0" w:color="auto"/>
              <w:right w:val="single" w:sz="4" w:space="0" w:color="auto"/>
            </w:tcBorders>
            <w:hideMark/>
          </w:tcPr>
          <w:p w14:paraId="6B459C25" w14:textId="77777777" w:rsidR="00542D27" w:rsidRPr="00542D27" w:rsidRDefault="00542D27" w:rsidP="00CA457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480</w:t>
            </w:r>
          </w:p>
        </w:tc>
        <w:tc>
          <w:tcPr>
            <w:tcW w:w="713" w:type="dxa"/>
            <w:tcBorders>
              <w:top w:val="single" w:sz="4" w:space="0" w:color="auto"/>
              <w:left w:val="single" w:sz="4" w:space="0" w:color="auto"/>
              <w:bottom w:val="single" w:sz="4" w:space="0" w:color="auto"/>
              <w:right w:val="single" w:sz="4" w:space="0" w:color="auto"/>
            </w:tcBorders>
          </w:tcPr>
          <w:p w14:paraId="6884170C" w14:textId="77777777" w:rsidR="00542D27" w:rsidRPr="00542D27" w:rsidRDefault="00542D27" w:rsidP="00CA457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487</w:t>
            </w:r>
          </w:p>
        </w:tc>
        <w:tc>
          <w:tcPr>
            <w:tcW w:w="626" w:type="dxa"/>
            <w:tcBorders>
              <w:top w:val="single" w:sz="4" w:space="0" w:color="auto"/>
              <w:left w:val="single" w:sz="4" w:space="0" w:color="auto"/>
              <w:bottom w:val="single" w:sz="4" w:space="0" w:color="auto"/>
              <w:right w:val="single" w:sz="4" w:space="0" w:color="auto"/>
            </w:tcBorders>
          </w:tcPr>
          <w:p w14:paraId="2E751EDF" w14:textId="77777777" w:rsidR="00542D27" w:rsidRPr="00542D27" w:rsidRDefault="00542D27" w:rsidP="00CA457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481</w:t>
            </w:r>
          </w:p>
        </w:tc>
        <w:tc>
          <w:tcPr>
            <w:tcW w:w="741" w:type="dxa"/>
            <w:tcBorders>
              <w:top w:val="single" w:sz="4" w:space="0" w:color="auto"/>
              <w:left w:val="single" w:sz="4" w:space="0" w:color="auto"/>
              <w:bottom w:val="single" w:sz="4" w:space="0" w:color="auto"/>
              <w:right w:val="single" w:sz="4" w:space="0" w:color="auto"/>
            </w:tcBorders>
            <w:shd w:val="clear" w:color="auto" w:fill="EAF1DD"/>
          </w:tcPr>
          <w:p w14:paraId="5E2E1FFC" w14:textId="77777777" w:rsidR="00542D27" w:rsidRPr="00542D27" w:rsidRDefault="00542D27" w:rsidP="00CA457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exact"/>
              <w:jc w:val="center"/>
              <w:rPr>
                <w:sz w:val="20"/>
                <w:szCs w:val="20"/>
                <w:lang w:eastAsia="zh-CN"/>
              </w:rPr>
            </w:pPr>
            <w:r w:rsidRPr="00542D27">
              <w:rPr>
                <w:sz w:val="20"/>
                <w:szCs w:val="20"/>
                <w:lang w:eastAsia="zh-CN"/>
              </w:rPr>
              <w:t>484</w:t>
            </w:r>
          </w:p>
        </w:tc>
      </w:tr>
    </w:tbl>
    <w:p w14:paraId="07E48036" w14:textId="165119E4" w:rsidR="000250CA" w:rsidRPr="003049A9" w:rsidRDefault="000250CA" w:rsidP="000250CA">
      <w:pPr>
        <w:pStyle w:val="Heading1"/>
        <w:rPr>
          <w:rtl/>
        </w:rPr>
      </w:pPr>
      <w:r w:rsidRPr="003049A9">
        <w:lastRenderedPageBreak/>
        <w:t>3</w:t>
      </w:r>
      <w:r w:rsidRPr="003049A9">
        <w:rPr>
          <w:rtl/>
        </w:rPr>
        <w:tab/>
      </w:r>
      <w:r w:rsidRPr="003049A9">
        <w:rPr>
          <w:rFonts w:hint="cs"/>
          <w:rtl/>
        </w:rPr>
        <w:t>أعضاء القطاع والمنتسبون إليه في</w:t>
      </w:r>
      <w:r w:rsidR="00E5154E" w:rsidRPr="003049A9">
        <w:rPr>
          <w:rFonts w:hint="cs"/>
          <w:rtl/>
        </w:rPr>
        <w:t xml:space="preserve"> الفترة </w:t>
      </w:r>
      <w:r w:rsidRPr="003049A9">
        <w:rPr>
          <w:rFonts w:hint="cs"/>
          <w:rtl/>
        </w:rPr>
        <w:t>2020 - الربع الأول من عام 2021</w:t>
      </w:r>
    </w:p>
    <w:p w14:paraId="2DD77405" w14:textId="66E70937" w:rsidR="000250CA" w:rsidRPr="00542D27" w:rsidRDefault="000250CA" w:rsidP="00542D27">
      <w:pPr>
        <w:rPr>
          <w:spacing w:val="-4"/>
          <w:rtl/>
        </w:rPr>
      </w:pPr>
      <w:r w:rsidRPr="00542D27">
        <w:rPr>
          <w:rFonts w:hint="cs"/>
          <w:spacing w:val="-4"/>
          <w:rtl/>
        </w:rPr>
        <w:t>في</w:t>
      </w:r>
      <w:r w:rsidR="005F7785" w:rsidRPr="00542D27">
        <w:rPr>
          <w:rFonts w:hint="cs"/>
          <w:spacing w:val="-4"/>
          <w:rtl/>
        </w:rPr>
        <w:t xml:space="preserve"> عام</w:t>
      </w:r>
      <w:r w:rsidRPr="00542D27">
        <w:rPr>
          <w:rFonts w:hint="cs"/>
          <w:spacing w:val="-4"/>
          <w:rtl/>
        </w:rPr>
        <w:t xml:space="preserve"> </w:t>
      </w:r>
      <w:r w:rsidRPr="00542D27">
        <w:rPr>
          <w:spacing w:val="-4"/>
        </w:rPr>
        <w:t>20</w:t>
      </w:r>
      <w:r w:rsidRPr="00542D27">
        <w:rPr>
          <w:spacing w:val="-4"/>
          <w:lang w:val="en-US"/>
        </w:rPr>
        <w:t>20</w:t>
      </w:r>
      <w:r w:rsidRPr="00542D27">
        <w:rPr>
          <w:rFonts w:hint="cs"/>
          <w:spacing w:val="-4"/>
          <w:rtl/>
        </w:rPr>
        <w:t>، اجتذب قطاع تنمية الاتصالات</w:t>
      </w:r>
      <w:r w:rsidR="00F149A3" w:rsidRPr="00542D27">
        <w:rPr>
          <w:rFonts w:hint="cs"/>
          <w:spacing w:val="-4"/>
          <w:rtl/>
        </w:rPr>
        <w:t xml:space="preserve"> بالاتحاد</w:t>
      </w:r>
      <w:r w:rsidRPr="00542D27">
        <w:rPr>
          <w:rFonts w:hint="cs"/>
          <w:spacing w:val="-4"/>
          <w:rtl/>
        </w:rPr>
        <w:t xml:space="preserve"> </w:t>
      </w:r>
      <w:r w:rsidRPr="00542D27">
        <w:rPr>
          <w:rFonts w:hint="cs"/>
          <w:b/>
          <w:bCs/>
          <w:i/>
          <w:iCs/>
          <w:spacing w:val="-4"/>
          <w:rtl/>
        </w:rPr>
        <w:t>10 أعضاء قطاع جدد</w:t>
      </w:r>
      <w:r w:rsidR="005F7785" w:rsidRPr="00542D27">
        <w:rPr>
          <w:rFonts w:hint="cs"/>
          <w:b/>
          <w:bCs/>
          <w:i/>
          <w:iCs/>
          <w:spacing w:val="-4"/>
          <w:rtl/>
        </w:rPr>
        <w:t xml:space="preserve"> </w:t>
      </w:r>
      <w:r w:rsidR="005F7785" w:rsidRPr="00542D27">
        <w:rPr>
          <w:rFonts w:hint="cs"/>
          <w:spacing w:val="-4"/>
          <w:rtl/>
        </w:rPr>
        <w:t>كالتالي</w:t>
      </w:r>
      <w:r w:rsidRPr="00542D27">
        <w:rPr>
          <w:rFonts w:hint="cs"/>
          <w:spacing w:val="-4"/>
          <w:rtl/>
        </w:rPr>
        <w:t xml:space="preserve">: </w:t>
      </w:r>
      <w:r w:rsidRPr="00542D27">
        <w:rPr>
          <w:spacing w:val="-4"/>
        </w:rPr>
        <w:t>African Network Information Centre</w:t>
      </w:r>
      <w:r w:rsidR="00542D27" w:rsidRPr="00542D27">
        <w:rPr>
          <w:spacing w:val="-4"/>
        </w:rPr>
        <w:t> </w:t>
      </w:r>
      <w:r w:rsidRPr="00542D27">
        <w:rPr>
          <w:spacing w:val="-4"/>
        </w:rPr>
        <w:t>Ltd</w:t>
      </w:r>
      <w:r w:rsidRPr="00542D27">
        <w:rPr>
          <w:rFonts w:hint="cs"/>
          <w:spacing w:val="-4"/>
          <w:rtl/>
        </w:rPr>
        <w:t xml:space="preserve"> (</w:t>
      </w:r>
      <w:r w:rsidR="00542D27" w:rsidRPr="00542D27">
        <w:rPr>
          <w:spacing w:val="-4"/>
          <w:rtl/>
        </w:rPr>
        <w:t>موريشيوس</w:t>
      </w:r>
      <w:r w:rsidRPr="00542D27">
        <w:rPr>
          <w:rFonts w:hint="cs"/>
          <w:spacing w:val="-4"/>
          <w:rtl/>
        </w:rPr>
        <w:t xml:space="preserve">) </w:t>
      </w:r>
      <w:r w:rsidRPr="00542D27">
        <w:rPr>
          <w:spacing w:val="-4"/>
          <w:rtl/>
        </w:rPr>
        <w:t>و</w:t>
      </w:r>
      <w:r w:rsidRPr="00542D27">
        <w:rPr>
          <w:spacing w:val="-4"/>
        </w:rPr>
        <w:t>American Registry for Internet Numbers</w:t>
      </w:r>
      <w:r w:rsidRPr="00542D27">
        <w:rPr>
          <w:rFonts w:hint="cs"/>
          <w:spacing w:val="-4"/>
          <w:rtl/>
        </w:rPr>
        <w:t xml:space="preserve"> (الولايات المتحدة الأمريكية)</w:t>
      </w:r>
      <w:r w:rsidRPr="00542D27">
        <w:rPr>
          <w:spacing w:val="-4"/>
          <w:rtl/>
        </w:rPr>
        <w:t xml:space="preserve"> و</w:t>
      </w:r>
      <w:proofErr w:type="spellStart"/>
      <w:r w:rsidRPr="00542D27">
        <w:rPr>
          <w:spacing w:val="-4"/>
        </w:rPr>
        <w:t>Bitsight</w:t>
      </w:r>
      <w:proofErr w:type="spellEnd"/>
      <w:r w:rsidRPr="00542D27">
        <w:rPr>
          <w:spacing w:val="-4"/>
        </w:rPr>
        <w:t xml:space="preserve"> Technologies</w:t>
      </w:r>
      <w:r w:rsidRPr="00542D27">
        <w:rPr>
          <w:rFonts w:hint="cs"/>
          <w:spacing w:val="-4"/>
          <w:rtl/>
        </w:rPr>
        <w:t xml:space="preserve"> (الولايات المتحدة الأمريكية)</w:t>
      </w:r>
      <w:r w:rsidRPr="00542D27">
        <w:rPr>
          <w:spacing w:val="-4"/>
          <w:rtl/>
        </w:rPr>
        <w:t xml:space="preserve"> و</w:t>
      </w:r>
      <w:r w:rsidRPr="00542D27">
        <w:rPr>
          <w:spacing w:val="-4"/>
        </w:rPr>
        <w:t>International Mobile Satellite Organization</w:t>
      </w:r>
      <w:r w:rsidRPr="00542D27">
        <w:rPr>
          <w:rFonts w:hint="cs"/>
          <w:spacing w:val="-4"/>
          <w:rtl/>
        </w:rPr>
        <w:t xml:space="preserve"> (المملكة المتحدة)</w:t>
      </w:r>
      <w:r w:rsidRPr="00542D27">
        <w:rPr>
          <w:spacing w:val="-4"/>
          <w:rtl/>
        </w:rPr>
        <w:t xml:space="preserve"> و</w:t>
      </w:r>
      <w:r w:rsidRPr="00542D27">
        <w:rPr>
          <w:spacing w:val="-4"/>
        </w:rPr>
        <w:t>KAMALEON</w:t>
      </w:r>
      <w:r w:rsidRPr="00542D27">
        <w:rPr>
          <w:rFonts w:hint="cs"/>
          <w:spacing w:val="-4"/>
          <w:rtl/>
        </w:rPr>
        <w:t xml:space="preserve"> (موزامبيق)</w:t>
      </w:r>
      <w:r w:rsidRPr="00542D27">
        <w:rPr>
          <w:spacing w:val="-4"/>
          <w:rtl/>
        </w:rPr>
        <w:t xml:space="preserve"> و</w:t>
      </w:r>
      <w:proofErr w:type="spellStart"/>
      <w:r w:rsidRPr="00542D27">
        <w:rPr>
          <w:spacing w:val="-4"/>
        </w:rPr>
        <w:t>Polyverse</w:t>
      </w:r>
      <w:proofErr w:type="spellEnd"/>
      <w:r w:rsidRPr="00542D27">
        <w:rPr>
          <w:spacing w:val="-4"/>
        </w:rPr>
        <w:t xml:space="preserve"> Corporation</w:t>
      </w:r>
      <w:r w:rsidRPr="00542D27">
        <w:rPr>
          <w:rFonts w:hint="cs"/>
          <w:spacing w:val="-4"/>
          <w:rtl/>
        </w:rPr>
        <w:t xml:space="preserve"> (الولايات المتحدة الأمريكية)</w:t>
      </w:r>
      <w:r w:rsidRPr="00542D27">
        <w:rPr>
          <w:spacing w:val="-4"/>
          <w:rtl/>
        </w:rPr>
        <w:t xml:space="preserve"> و</w:t>
      </w:r>
      <w:r w:rsidRPr="00542D27">
        <w:rPr>
          <w:spacing w:val="-4"/>
        </w:rPr>
        <w:t>SBA Communications</w:t>
      </w:r>
      <w:r w:rsidRPr="00542D27">
        <w:rPr>
          <w:rFonts w:hint="cs"/>
          <w:spacing w:val="-4"/>
          <w:rtl/>
        </w:rPr>
        <w:t xml:space="preserve"> (الولايات المتحدة الأمريكية)</w:t>
      </w:r>
      <w:r w:rsidRPr="00542D27">
        <w:rPr>
          <w:spacing w:val="-4"/>
          <w:rtl/>
        </w:rPr>
        <w:t xml:space="preserve"> و</w:t>
      </w:r>
      <w:proofErr w:type="spellStart"/>
      <w:r w:rsidRPr="00542D27">
        <w:rPr>
          <w:spacing w:val="-4"/>
        </w:rPr>
        <w:t>Welchman</w:t>
      </w:r>
      <w:proofErr w:type="spellEnd"/>
      <w:r w:rsidRPr="00542D27">
        <w:rPr>
          <w:spacing w:val="-4"/>
        </w:rPr>
        <w:t xml:space="preserve"> Keen</w:t>
      </w:r>
      <w:r w:rsidRPr="00542D27">
        <w:rPr>
          <w:rFonts w:hint="cs"/>
          <w:spacing w:val="-4"/>
          <w:rtl/>
        </w:rPr>
        <w:t xml:space="preserve"> (سنغافورة)</w:t>
      </w:r>
      <w:r w:rsidRPr="00542D27">
        <w:rPr>
          <w:spacing w:val="-4"/>
          <w:rtl/>
        </w:rPr>
        <w:t xml:space="preserve"> و</w:t>
      </w:r>
      <w:r w:rsidRPr="00542D27">
        <w:rPr>
          <w:spacing w:val="-4"/>
        </w:rPr>
        <w:t>Wireless World Research Forum</w:t>
      </w:r>
      <w:r w:rsidRPr="00542D27">
        <w:rPr>
          <w:rFonts w:hint="cs"/>
          <w:spacing w:val="-4"/>
          <w:rtl/>
        </w:rPr>
        <w:t xml:space="preserve"> (سويسرا)</w:t>
      </w:r>
      <w:r w:rsidRPr="00542D27">
        <w:rPr>
          <w:spacing w:val="-4"/>
          <w:rtl/>
        </w:rPr>
        <w:t xml:space="preserve"> و</w:t>
      </w:r>
      <w:proofErr w:type="spellStart"/>
      <w:r w:rsidRPr="00542D27">
        <w:rPr>
          <w:spacing w:val="-4"/>
        </w:rPr>
        <w:t>Registro</w:t>
      </w:r>
      <w:proofErr w:type="spellEnd"/>
      <w:r w:rsidRPr="00542D27">
        <w:rPr>
          <w:spacing w:val="-4"/>
        </w:rPr>
        <w:t xml:space="preserve"> de </w:t>
      </w:r>
      <w:proofErr w:type="spellStart"/>
      <w:r w:rsidRPr="00542D27">
        <w:rPr>
          <w:spacing w:val="-4"/>
        </w:rPr>
        <w:t>Direcciones</w:t>
      </w:r>
      <w:proofErr w:type="spellEnd"/>
      <w:r w:rsidRPr="00542D27">
        <w:rPr>
          <w:spacing w:val="-4"/>
        </w:rPr>
        <w:t xml:space="preserve"> de Internet para América Latina y Caribe</w:t>
      </w:r>
      <w:r w:rsidRPr="00542D27">
        <w:rPr>
          <w:rFonts w:hint="cs"/>
          <w:spacing w:val="-4"/>
          <w:rtl/>
        </w:rPr>
        <w:t xml:space="preserve"> (أوروغواي). واجتذب قطاع تنمية الاتصالات أيضاً</w:t>
      </w:r>
      <w:r w:rsidRPr="00542D27">
        <w:rPr>
          <w:rFonts w:hint="eastAsia"/>
          <w:spacing w:val="-4"/>
          <w:rtl/>
          <w:lang w:bidi="ar-EG"/>
        </w:rPr>
        <w:t> </w:t>
      </w:r>
      <w:r w:rsidRPr="00542D27">
        <w:rPr>
          <w:rFonts w:hint="cs"/>
          <w:b/>
          <w:bCs/>
          <w:i/>
          <w:iCs/>
          <w:spacing w:val="-4"/>
          <w:rtl/>
        </w:rPr>
        <w:t>4</w:t>
      </w:r>
      <w:r w:rsidR="00F149A3" w:rsidRPr="00542D27">
        <w:rPr>
          <w:rFonts w:hint="cs"/>
          <w:b/>
          <w:bCs/>
          <w:i/>
          <w:iCs/>
          <w:spacing w:val="-4"/>
          <w:rtl/>
        </w:rPr>
        <w:t xml:space="preserve"> </w:t>
      </w:r>
      <w:r w:rsidRPr="00542D27">
        <w:rPr>
          <w:rFonts w:hint="cs"/>
          <w:b/>
          <w:bCs/>
          <w:i/>
          <w:iCs/>
          <w:spacing w:val="-4"/>
          <w:rtl/>
        </w:rPr>
        <w:t>منتسبين</w:t>
      </w:r>
      <w:r w:rsidR="001850AC" w:rsidRPr="00542D27">
        <w:rPr>
          <w:rFonts w:hint="cs"/>
          <w:b/>
          <w:bCs/>
          <w:i/>
          <w:iCs/>
          <w:spacing w:val="-4"/>
          <w:rtl/>
        </w:rPr>
        <w:t xml:space="preserve"> إليه</w:t>
      </w:r>
      <w:r w:rsidRPr="00542D27">
        <w:rPr>
          <w:rFonts w:hint="cs"/>
          <w:b/>
          <w:bCs/>
          <w:i/>
          <w:iCs/>
          <w:spacing w:val="-4"/>
          <w:rtl/>
        </w:rPr>
        <w:t xml:space="preserve"> جدد</w:t>
      </w:r>
      <w:r w:rsidR="0068053D" w:rsidRPr="00542D27">
        <w:rPr>
          <w:rFonts w:hint="cs"/>
          <w:b/>
          <w:bCs/>
          <w:i/>
          <w:iCs/>
          <w:spacing w:val="-4"/>
          <w:rtl/>
        </w:rPr>
        <w:t xml:space="preserve"> </w:t>
      </w:r>
      <w:r w:rsidR="00F149A3" w:rsidRPr="00542D27">
        <w:rPr>
          <w:rFonts w:hint="cs"/>
          <w:spacing w:val="-4"/>
          <w:rtl/>
        </w:rPr>
        <w:t>كالتالي</w:t>
      </w:r>
      <w:r w:rsidRPr="00542D27">
        <w:rPr>
          <w:rFonts w:hint="cs"/>
          <w:spacing w:val="-4"/>
          <w:rtl/>
        </w:rPr>
        <w:t xml:space="preserve">: </w:t>
      </w:r>
      <w:proofErr w:type="spellStart"/>
      <w:r w:rsidRPr="00542D27">
        <w:rPr>
          <w:spacing w:val="-4"/>
        </w:rPr>
        <w:t>Almaahad</w:t>
      </w:r>
      <w:proofErr w:type="spellEnd"/>
      <w:r w:rsidRPr="00542D27">
        <w:rPr>
          <w:spacing w:val="-4"/>
        </w:rPr>
        <w:t xml:space="preserve"> </w:t>
      </w:r>
      <w:proofErr w:type="spellStart"/>
      <w:r w:rsidRPr="00542D27">
        <w:rPr>
          <w:spacing w:val="-4"/>
        </w:rPr>
        <w:t>Almutagadem</w:t>
      </w:r>
      <w:proofErr w:type="spellEnd"/>
      <w:r w:rsidRPr="00542D27">
        <w:rPr>
          <w:spacing w:val="-4"/>
        </w:rPr>
        <w:t xml:space="preserve"> Specialized Computer Training </w:t>
      </w:r>
      <w:proofErr w:type="spellStart"/>
      <w:r w:rsidRPr="00542D27">
        <w:rPr>
          <w:spacing w:val="-4"/>
        </w:rPr>
        <w:t>Center</w:t>
      </w:r>
      <w:proofErr w:type="spellEnd"/>
      <w:r w:rsidRPr="00542D27">
        <w:rPr>
          <w:rFonts w:hint="cs"/>
          <w:spacing w:val="-4"/>
          <w:rtl/>
        </w:rPr>
        <w:t xml:space="preserve"> (السودان) </w:t>
      </w:r>
      <w:r w:rsidRPr="00542D27">
        <w:rPr>
          <w:spacing w:val="-4"/>
          <w:rtl/>
        </w:rPr>
        <w:t>و</w:t>
      </w:r>
      <w:r w:rsidRPr="00542D27">
        <w:rPr>
          <w:spacing w:val="-4"/>
        </w:rPr>
        <w:t>Just-ICT Dubai</w:t>
      </w:r>
      <w:r w:rsidRPr="00542D27">
        <w:rPr>
          <w:rFonts w:hint="cs"/>
          <w:spacing w:val="-4"/>
          <w:rtl/>
        </w:rPr>
        <w:t xml:space="preserve"> (الإمارات العربية المتحدة)</w:t>
      </w:r>
      <w:r w:rsidRPr="00542D27">
        <w:rPr>
          <w:spacing w:val="-4"/>
          <w:rtl/>
        </w:rPr>
        <w:t xml:space="preserve"> و</w:t>
      </w:r>
      <w:r w:rsidRPr="00542D27">
        <w:rPr>
          <w:spacing w:val="-4"/>
        </w:rPr>
        <w:t>OISTE Foundation</w:t>
      </w:r>
      <w:r w:rsidRPr="00542D27">
        <w:rPr>
          <w:rFonts w:hint="cs"/>
          <w:spacing w:val="-4"/>
          <w:rtl/>
        </w:rPr>
        <w:t xml:space="preserve"> (سويسرا)</w:t>
      </w:r>
      <w:r w:rsidRPr="00542D27">
        <w:rPr>
          <w:spacing w:val="-4"/>
          <w:rtl/>
        </w:rPr>
        <w:t xml:space="preserve"> و</w:t>
      </w:r>
      <w:r w:rsidRPr="00542D27">
        <w:rPr>
          <w:spacing w:val="-4"/>
        </w:rPr>
        <w:t xml:space="preserve">Promotion de la </w:t>
      </w:r>
      <w:proofErr w:type="spellStart"/>
      <w:r w:rsidRPr="00542D27">
        <w:rPr>
          <w:spacing w:val="-4"/>
        </w:rPr>
        <w:t>Technologie</w:t>
      </w:r>
      <w:proofErr w:type="spellEnd"/>
      <w:r w:rsidRPr="00542D27">
        <w:rPr>
          <w:rFonts w:hint="cs"/>
          <w:spacing w:val="-4"/>
          <w:rtl/>
        </w:rPr>
        <w:t xml:space="preserve"> (</w:t>
      </w:r>
      <w:r w:rsidRPr="00542D27">
        <w:rPr>
          <w:spacing w:val="-4"/>
          <w:rtl/>
        </w:rPr>
        <w:t>جمهورية الكونغو الديمقراطية</w:t>
      </w:r>
      <w:r w:rsidRPr="00542D27">
        <w:rPr>
          <w:rFonts w:hint="cs"/>
          <w:spacing w:val="-4"/>
          <w:rtl/>
        </w:rPr>
        <w:t>).</w:t>
      </w:r>
    </w:p>
    <w:p w14:paraId="64175CED" w14:textId="441E72D5" w:rsidR="000250CA" w:rsidRPr="003049A9" w:rsidRDefault="00F149A3" w:rsidP="000250CA">
      <w:pPr>
        <w:rPr>
          <w:color w:val="000000"/>
          <w:rtl/>
          <w:lang w:val="en-US" w:bidi="ar-EG"/>
        </w:rPr>
      </w:pPr>
      <w:r w:rsidRPr="003049A9">
        <w:rPr>
          <w:rFonts w:hint="cs"/>
          <w:rtl/>
        </w:rPr>
        <w:t>و</w:t>
      </w:r>
      <w:r w:rsidR="000250CA" w:rsidRPr="003049A9">
        <w:rPr>
          <w:rFonts w:hint="cs"/>
          <w:rtl/>
        </w:rPr>
        <w:t xml:space="preserve">في </w:t>
      </w:r>
      <w:r w:rsidR="00FE19F6" w:rsidRPr="003049A9">
        <w:rPr>
          <w:rFonts w:hint="cs"/>
          <w:rtl/>
        </w:rPr>
        <w:t>الربع الأول من عام 2021</w:t>
      </w:r>
      <w:r w:rsidR="000250CA" w:rsidRPr="003049A9">
        <w:rPr>
          <w:rFonts w:hint="cs"/>
          <w:rtl/>
        </w:rPr>
        <w:t xml:space="preserve">، اجتذب قطاع تنمية الاتصالات </w:t>
      </w:r>
      <w:r w:rsidR="000250CA" w:rsidRPr="003049A9">
        <w:rPr>
          <w:rFonts w:hint="cs"/>
          <w:b/>
          <w:bCs/>
          <w:i/>
          <w:iCs/>
          <w:rtl/>
        </w:rPr>
        <w:t>4 أعضاء قطاع جدد</w:t>
      </w:r>
      <w:r w:rsidR="0068053D" w:rsidRPr="003049A9">
        <w:rPr>
          <w:rFonts w:hint="cs"/>
          <w:b/>
          <w:bCs/>
          <w:i/>
          <w:iCs/>
          <w:rtl/>
        </w:rPr>
        <w:t xml:space="preserve"> </w:t>
      </w:r>
      <w:r w:rsidR="0068053D" w:rsidRPr="003049A9">
        <w:rPr>
          <w:rFonts w:hint="cs"/>
          <w:rtl/>
        </w:rPr>
        <w:t>كالتالي</w:t>
      </w:r>
      <w:r w:rsidR="000250CA" w:rsidRPr="003049A9">
        <w:rPr>
          <w:rFonts w:hint="cs"/>
          <w:rtl/>
        </w:rPr>
        <w:t xml:space="preserve">: </w:t>
      </w:r>
      <w:r w:rsidR="000250CA" w:rsidRPr="003049A9">
        <w:t>Axon Partners Group</w:t>
      </w:r>
      <w:r w:rsidR="000250CA" w:rsidRPr="003049A9">
        <w:rPr>
          <w:rFonts w:hint="cs"/>
          <w:rtl/>
        </w:rPr>
        <w:t xml:space="preserve"> (إسبانيا)</w:t>
      </w:r>
      <w:r w:rsidR="000250CA" w:rsidRPr="003049A9">
        <w:rPr>
          <w:rtl/>
        </w:rPr>
        <w:t xml:space="preserve"> و</w:t>
      </w:r>
      <w:r w:rsidR="000250CA" w:rsidRPr="003049A9">
        <w:t>Deloitte Risk Advisory</w:t>
      </w:r>
      <w:r w:rsidR="000250CA" w:rsidRPr="003049A9">
        <w:rPr>
          <w:rFonts w:hint="cs"/>
          <w:rtl/>
        </w:rPr>
        <w:t xml:space="preserve"> (إيطاليا)</w:t>
      </w:r>
      <w:r w:rsidR="000250CA" w:rsidRPr="003049A9">
        <w:rPr>
          <w:rtl/>
        </w:rPr>
        <w:t xml:space="preserve"> و</w:t>
      </w:r>
      <w:r w:rsidR="000250CA" w:rsidRPr="003049A9">
        <w:t xml:space="preserve">New Jersey </w:t>
      </w:r>
      <w:proofErr w:type="spellStart"/>
      <w:r w:rsidR="000250CA" w:rsidRPr="003049A9">
        <w:t>Fiber</w:t>
      </w:r>
      <w:proofErr w:type="spellEnd"/>
      <w:r w:rsidR="000250CA" w:rsidRPr="003049A9">
        <w:t xml:space="preserve"> Exchange</w:t>
      </w:r>
      <w:r w:rsidR="000250CA" w:rsidRPr="003049A9">
        <w:rPr>
          <w:rFonts w:hint="cs"/>
          <w:rtl/>
        </w:rPr>
        <w:t xml:space="preserve"> (الولايات المتحدة الأمريكية)</w:t>
      </w:r>
      <w:r w:rsidR="000250CA" w:rsidRPr="003049A9">
        <w:rPr>
          <w:rtl/>
        </w:rPr>
        <w:t xml:space="preserve"> و</w:t>
      </w:r>
      <w:r w:rsidR="000250CA" w:rsidRPr="003049A9">
        <w:t>Security Alliance Limited</w:t>
      </w:r>
      <w:r w:rsidR="000250CA" w:rsidRPr="003049A9">
        <w:rPr>
          <w:rFonts w:hint="cs"/>
          <w:rtl/>
        </w:rPr>
        <w:t xml:space="preserve"> (المملكة المتحدة). </w:t>
      </w:r>
      <w:r w:rsidR="0068053D" w:rsidRPr="003049A9">
        <w:rPr>
          <w:rFonts w:hint="cs"/>
          <w:rtl/>
        </w:rPr>
        <w:t xml:space="preserve">إضافةً إلى ذلك، يقوم </w:t>
      </w:r>
      <w:r w:rsidR="0068053D" w:rsidRPr="003049A9">
        <w:rPr>
          <w:b/>
          <w:bCs/>
          <w:i/>
          <w:iCs/>
          <w:lang w:val="en-US"/>
        </w:rPr>
        <w:t>5</w:t>
      </w:r>
      <w:r w:rsidR="0068053D" w:rsidRPr="003049A9">
        <w:rPr>
          <w:rFonts w:hint="cs"/>
          <w:b/>
          <w:bCs/>
          <w:i/>
          <w:iCs/>
          <w:rtl/>
          <w:lang w:val="en-US" w:bidi="ar-EG"/>
        </w:rPr>
        <w:t xml:space="preserve"> أعضاء قطاع جدد</w:t>
      </w:r>
      <w:r w:rsidR="0068053D" w:rsidRPr="003049A9">
        <w:rPr>
          <w:rFonts w:hint="cs"/>
          <w:rtl/>
          <w:lang w:val="en-US" w:bidi="ar-EG"/>
        </w:rPr>
        <w:t xml:space="preserve"> حالياً بإتمام عملية انضمامهم إلى القطاع ليصبحوا أعضاءً كاملي العضوية في الربع الثاني من العام.</w:t>
      </w:r>
    </w:p>
    <w:p w14:paraId="6F54CA9C" w14:textId="459F8005" w:rsidR="000250CA" w:rsidRPr="003049A9" w:rsidRDefault="000250CA" w:rsidP="000250CA">
      <w:pPr>
        <w:pStyle w:val="Heading2"/>
      </w:pPr>
      <w:r w:rsidRPr="003049A9">
        <w:t>1.3</w:t>
      </w:r>
      <w:r w:rsidRPr="003049A9">
        <w:rPr>
          <w:rtl/>
        </w:rPr>
        <w:tab/>
      </w:r>
      <w:r w:rsidRPr="003049A9">
        <w:rPr>
          <w:rFonts w:hint="cs"/>
          <w:rtl/>
        </w:rPr>
        <w:t>الهيئات الأكاديمية في</w:t>
      </w:r>
      <w:r w:rsidR="00952E60" w:rsidRPr="003049A9">
        <w:rPr>
          <w:rFonts w:hint="cs"/>
          <w:rtl/>
        </w:rPr>
        <w:t xml:space="preserve"> عام</w:t>
      </w:r>
      <w:r w:rsidRPr="003049A9">
        <w:rPr>
          <w:rFonts w:hint="cs"/>
          <w:rtl/>
        </w:rPr>
        <w:t xml:space="preserve"> </w:t>
      </w:r>
      <w:r w:rsidR="00FE19F6" w:rsidRPr="003049A9">
        <w:rPr>
          <w:rFonts w:hint="cs"/>
          <w:rtl/>
        </w:rPr>
        <w:t>2020</w:t>
      </w:r>
    </w:p>
    <w:p w14:paraId="22EDACB3" w14:textId="2CB59590" w:rsidR="000250CA" w:rsidRPr="00542D27" w:rsidRDefault="000250CA" w:rsidP="000250CA">
      <w:pPr>
        <w:rPr>
          <w:spacing w:val="-4"/>
          <w:rtl/>
        </w:rPr>
      </w:pPr>
      <w:r w:rsidRPr="00542D27">
        <w:rPr>
          <w:rFonts w:hint="cs"/>
          <w:spacing w:val="-4"/>
          <w:rtl/>
        </w:rPr>
        <w:t>تشارك الهيئات الأكاديمية</w:t>
      </w:r>
      <w:r w:rsidR="00952E60" w:rsidRPr="00542D27">
        <w:rPr>
          <w:rFonts w:hint="cs"/>
          <w:spacing w:val="-4"/>
          <w:rtl/>
        </w:rPr>
        <w:t xml:space="preserve"> الأعضاء</w:t>
      </w:r>
      <w:r w:rsidRPr="00542D27">
        <w:rPr>
          <w:rFonts w:hint="cs"/>
          <w:spacing w:val="-4"/>
          <w:rtl/>
        </w:rPr>
        <w:t xml:space="preserve"> في أعمال قطاعات الاتحاد الثلاثة بدفع رسم واحد. </w:t>
      </w:r>
      <w:r w:rsidR="00952E60" w:rsidRPr="00542D27">
        <w:rPr>
          <w:rFonts w:hint="cs"/>
          <w:spacing w:val="-4"/>
          <w:rtl/>
        </w:rPr>
        <w:t>و</w:t>
      </w:r>
      <w:r w:rsidRPr="00542D27">
        <w:rPr>
          <w:rFonts w:hint="cs"/>
          <w:spacing w:val="-4"/>
          <w:rtl/>
        </w:rPr>
        <w:t xml:space="preserve">منذ </w:t>
      </w:r>
      <w:r w:rsidRPr="00542D27">
        <w:rPr>
          <w:spacing w:val="-4"/>
        </w:rPr>
        <w:t>2011</w:t>
      </w:r>
      <w:r w:rsidRPr="00542D27">
        <w:rPr>
          <w:rFonts w:hint="cs"/>
          <w:spacing w:val="-4"/>
          <w:rtl/>
        </w:rPr>
        <w:t xml:space="preserve">، انضم أكثر من </w:t>
      </w:r>
      <w:r w:rsidRPr="00542D27">
        <w:rPr>
          <w:spacing w:val="-4"/>
        </w:rPr>
        <w:t>2</w:t>
      </w:r>
      <w:r w:rsidR="00FE19F6" w:rsidRPr="00542D27">
        <w:rPr>
          <w:spacing w:val="-4"/>
          <w:lang w:val="en-US"/>
        </w:rPr>
        <w:t>2</w:t>
      </w:r>
      <w:r w:rsidRPr="00542D27">
        <w:rPr>
          <w:spacing w:val="-4"/>
        </w:rPr>
        <w:t>0</w:t>
      </w:r>
      <w:r w:rsidRPr="00542D27">
        <w:rPr>
          <w:rFonts w:hint="cs"/>
          <w:spacing w:val="-4"/>
          <w:rtl/>
        </w:rPr>
        <w:t xml:space="preserve"> هيئة أكاديمية إلى الاتحاد. وفي</w:t>
      </w:r>
      <w:r w:rsidR="00952E60" w:rsidRPr="00542D27">
        <w:rPr>
          <w:rFonts w:hint="cs"/>
          <w:spacing w:val="-4"/>
          <w:rtl/>
        </w:rPr>
        <w:t xml:space="preserve"> عام</w:t>
      </w:r>
      <w:r w:rsidRPr="00542D27">
        <w:rPr>
          <w:rFonts w:hint="cs"/>
          <w:spacing w:val="-4"/>
          <w:rtl/>
        </w:rPr>
        <w:t xml:space="preserve"> </w:t>
      </w:r>
      <w:r w:rsidRPr="00542D27">
        <w:rPr>
          <w:spacing w:val="-4"/>
        </w:rPr>
        <w:t>20</w:t>
      </w:r>
      <w:r w:rsidR="00FE19F6" w:rsidRPr="00542D27">
        <w:rPr>
          <w:spacing w:val="-4"/>
        </w:rPr>
        <w:t>20</w:t>
      </w:r>
      <w:r w:rsidRPr="00542D27">
        <w:rPr>
          <w:rFonts w:hint="cs"/>
          <w:spacing w:val="-4"/>
          <w:rtl/>
        </w:rPr>
        <w:t xml:space="preserve">، انضمت </w:t>
      </w:r>
      <w:r w:rsidR="00FE19F6" w:rsidRPr="00542D27">
        <w:rPr>
          <w:b/>
          <w:bCs/>
          <w:i/>
          <w:iCs/>
          <w:spacing w:val="-4"/>
        </w:rPr>
        <w:t>26</w:t>
      </w:r>
      <w:r w:rsidRPr="00542D27">
        <w:rPr>
          <w:rFonts w:hint="cs"/>
          <w:b/>
          <w:bCs/>
          <w:i/>
          <w:iCs/>
          <w:spacing w:val="-4"/>
          <w:rtl/>
        </w:rPr>
        <w:t xml:space="preserve"> هيئة أكاديمية جديدة</w:t>
      </w:r>
      <w:r w:rsidRPr="00542D27">
        <w:rPr>
          <w:rFonts w:hint="cs"/>
          <w:spacing w:val="-4"/>
          <w:rtl/>
        </w:rPr>
        <w:t xml:space="preserve"> إلى </w:t>
      </w:r>
      <w:r w:rsidR="00952E60" w:rsidRPr="00542D27">
        <w:rPr>
          <w:rFonts w:hint="cs"/>
          <w:spacing w:val="-4"/>
          <w:rtl/>
        </w:rPr>
        <w:t>قطاعات الاتحاد الثلاثة</w:t>
      </w:r>
      <w:r w:rsidRPr="00542D27">
        <w:rPr>
          <w:rFonts w:hint="cs"/>
          <w:spacing w:val="-4"/>
          <w:rtl/>
        </w:rPr>
        <w:t xml:space="preserve"> </w:t>
      </w:r>
      <w:r w:rsidR="00952E60" w:rsidRPr="00542D27">
        <w:rPr>
          <w:rFonts w:hint="cs"/>
          <w:spacing w:val="-4"/>
          <w:rtl/>
        </w:rPr>
        <w:t>بتنسيق الجهود</w:t>
      </w:r>
      <w:r w:rsidRPr="00542D27">
        <w:rPr>
          <w:rFonts w:hint="cs"/>
          <w:spacing w:val="-4"/>
          <w:rtl/>
        </w:rPr>
        <w:t xml:space="preserve"> مع الأمانة العام</w:t>
      </w:r>
      <w:r w:rsidRPr="00542D27">
        <w:rPr>
          <w:rFonts w:hint="cs"/>
          <w:spacing w:val="-4"/>
          <w:rtl/>
          <w:lang w:bidi="ar-EG"/>
        </w:rPr>
        <w:t>ة.</w:t>
      </w:r>
      <w:r w:rsidRPr="00542D27">
        <w:rPr>
          <w:rStyle w:val="FootnoteReference"/>
          <w:spacing w:val="-4"/>
          <w:rtl/>
          <w:lang w:bidi="ar-EG"/>
        </w:rPr>
        <w:footnoteReference w:id="5"/>
      </w:r>
    </w:p>
    <w:p w14:paraId="13070368" w14:textId="3A71F4E8" w:rsidR="000250CA" w:rsidRPr="003049A9" w:rsidRDefault="000250CA" w:rsidP="000250CA">
      <w:pPr>
        <w:pStyle w:val="Heading1"/>
        <w:rPr>
          <w:rtl/>
          <w:lang w:val="en-US" w:bidi="ar-EG"/>
        </w:rPr>
      </w:pPr>
      <w:r w:rsidRPr="003049A9">
        <w:t>4</w:t>
      </w:r>
      <w:r w:rsidRPr="003049A9">
        <w:tab/>
      </w:r>
      <w:r w:rsidR="001D2DF3" w:rsidRPr="003049A9">
        <w:rPr>
          <w:rFonts w:hint="cs"/>
          <w:rtl/>
        </w:rPr>
        <w:t>الأعمال</w:t>
      </w:r>
      <w:r w:rsidR="007F00CB" w:rsidRPr="003049A9">
        <w:rPr>
          <w:rStyle w:val="CommentReference"/>
          <w:rFonts w:hint="cs"/>
          <w:b w:val="0"/>
          <w:bCs w:val="0"/>
          <w:rtl/>
        </w:rPr>
        <w:t xml:space="preserve"> </w:t>
      </w:r>
      <w:r w:rsidRPr="003049A9">
        <w:rPr>
          <w:rFonts w:hint="cs"/>
          <w:rtl/>
        </w:rPr>
        <w:t>الرئيسية</w:t>
      </w:r>
      <w:r w:rsidR="00FE19F6" w:rsidRPr="003049A9">
        <w:rPr>
          <w:rFonts w:hint="cs"/>
          <w:rtl/>
        </w:rPr>
        <w:t xml:space="preserve"> </w:t>
      </w:r>
      <w:r w:rsidR="001D2DF3" w:rsidRPr="003049A9">
        <w:rPr>
          <w:rFonts w:hint="cs"/>
          <w:rtl/>
          <w:lang w:val="en-US" w:bidi="ar-EG"/>
        </w:rPr>
        <w:t>المضطل</w:t>
      </w:r>
      <w:r w:rsidR="00CB5110" w:rsidRPr="003049A9">
        <w:rPr>
          <w:rFonts w:hint="cs"/>
          <w:rtl/>
          <w:lang w:val="en-US" w:bidi="ar-EG"/>
        </w:rPr>
        <w:t>َ</w:t>
      </w:r>
      <w:r w:rsidR="001D2DF3" w:rsidRPr="003049A9">
        <w:rPr>
          <w:rFonts w:hint="cs"/>
          <w:rtl/>
          <w:lang w:val="en-US" w:bidi="ar-EG"/>
        </w:rPr>
        <w:t xml:space="preserve">ع بها </w:t>
      </w:r>
      <w:r w:rsidR="00250F30" w:rsidRPr="003049A9">
        <w:rPr>
          <w:rFonts w:hint="cs"/>
          <w:rtl/>
          <w:lang w:val="en-US" w:bidi="ar-EG"/>
        </w:rPr>
        <w:t>لإشراك أعضاء قطاع تنمية الاتصالات بالاتحاد</w:t>
      </w:r>
      <w:r w:rsidR="001D2DF3" w:rsidRPr="003049A9">
        <w:rPr>
          <w:lang w:val="en-US" w:bidi="ar-EG"/>
        </w:rPr>
        <w:t xml:space="preserve"> </w:t>
      </w:r>
      <w:r w:rsidR="001D2DF3" w:rsidRPr="003049A9">
        <w:rPr>
          <w:rFonts w:hint="cs"/>
          <w:rtl/>
          <w:lang w:val="en-US" w:bidi="ar-EG"/>
        </w:rPr>
        <w:t>إشراكاً فعالاً</w:t>
      </w:r>
      <w:r w:rsidR="00250F30" w:rsidRPr="003049A9">
        <w:rPr>
          <w:rFonts w:hint="cs"/>
          <w:rtl/>
          <w:lang w:val="en-US" w:bidi="ar-EG"/>
        </w:rPr>
        <w:t xml:space="preserve"> في</w:t>
      </w:r>
      <w:r w:rsidR="00542D27">
        <w:rPr>
          <w:rFonts w:hint="eastAsia"/>
          <w:lang w:val="en-US" w:bidi="ar-EG"/>
        </w:rPr>
        <w:t> </w:t>
      </w:r>
      <w:r w:rsidR="00250F30" w:rsidRPr="003049A9">
        <w:rPr>
          <w:rFonts w:hint="cs"/>
          <w:rtl/>
          <w:lang w:val="en-US" w:bidi="ar-EG"/>
        </w:rPr>
        <w:t>أعمال</w:t>
      </w:r>
      <w:r w:rsidR="007A543C" w:rsidRPr="003049A9">
        <w:rPr>
          <w:rFonts w:hint="cs"/>
          <w:rtl/>
          <w:lang w:val="en-US" w:bidi="ar-EG"/>
        </w:rPr>
        <w:t xml:space="preserve"> القطاع</w:t>
      </w:r>
      <w:r w:rsidR="00250F30" w:rsidRPr="003049A9">
        <w:rPr>
          <w:rFonts w:hint="cs"/>
          <w:rtl/>
          <w:lang w:val="en-US" w:bidi="ar-EG"/>
        </w:rPr>
        <w:t xml:space="preserve"> </w:t>
      </w:r>
    </w:p>
    <w:p w14:paraId="5C0C3087" w14:textId="38B40E28" w:rsidR="00FE19F6" w:rsidRPr="003049A9" w:rsidRDefault="009261F7" w:rsidP="00FE19F6">
      <w:r w:rsidRPr="003049A9">
        <w:rPr>
          <w:rFonts w:hint="cs"/>
          <w:rtl/>
        </w:rPr>
        <w:t xml:space="preserve">يستند النهج الاستراتيجي لعضوية قطاع تنمية الاتصالات بالاتحاد، قيد التنفيذ حالياً، إلى سبيلَين واضحَين للتأثير، هما: توسيع نطاق الاتصال بالأعضاء وزيادة إشراكهم في أعمال </w:t>
      </w:r>
      <w:r w:rsidR="00C52CC3" w:rsidRPr="003049A9">
        <w:rPr>
          <w:rFonts w:hint="cs"/>
          <w:rtl/>
        </w:rPr>
        <w:t>ال</w:t>
      </w:r>
      <w:r w:rsidRPr="003049A9">
        <w:rPr>
          <w:rFonts w:hint="cs"/>
          <w:rtl/>
        </w:rPr>
        <w:t>قطاع. وإضافةً إلى تضمّن هذا النهج الاستراتيجي لنهج الإدارة القائمة على النتائج، فإنه يشتمل أيضاً على أوجه تآزر مع استراتيجيات وخطط المشاريع والشراكات ومع أعمال فِرَق التسويق والاتصالات بمكتب تنمية الاتصالات</w:t>
      </w:r>
      <w:r w:rsidR="007C4F02" w:rsidRPr="003049A9">
        <w:rPr>
          <w:rFonts w:hint="cs"/>
          <w:rtl/>
        </w:rPr>
        <w:t xml:space="preserve"> والأمانة العامة. فضلاً عن ذلك، يُدعم هذا النهج بإجراءات محددة لتوعية موظفي المكتب وبناء قدرتهم على رصد </w:t>
      </w:r>
      <w:r w:rsidR="00C52CC3" w:rsidRPr="003049A9">
        <w:rPr>
          <w:rFonts w:hint="cs"/>
          <w:rtl/>
        </w:rPr>
        <w:t>أ</w:t>
      </w:r>
      <w:r w:rsidR="007C4F02" w:rsidRPr="003049A9">
        <w:rPr>
          <w:rFonts w:hint="cs"/>
          <w:rtl/>
        </w:rPr>
        <w:t>عضاء</w:t>
      </w:r>
      <w:r w:rsidR="00C52CC3" w:rsidRPr="003049A9">
        <w:rPr>
          <w:rFonts w:hint="cs"/>
          <w:rtl/>
        </w:rPr>
        <w:t xml:space="preserve"> القطاع</w:t>
      </w:r>
      <w:r w:rsidR="007C4F02" w:rsidRPr="003049A9">
        <w:rPr>
          <w:rFonts w:hint="cs"/>
          <w:rtl/>
        </w:rPr>
        <w:t xml:space="preserve"> و</w:t>
      </w:r>
      <w:r w:rsidR="000310F1" w:rsidRPr="003049A9">
        <w:rPr>
          <w:rFonts w:hint="cs"/>
          <w:rtl/>
        </w:rPr>
        <w:t>تحديد</w:t>
      </w:r>
      <w:r w:rsidR="007C4F02" w:rsidRPr="003049A9">
        <w:rPr>
          <w:rFonts w:hint="cs"/>
          <w:rtl/>
        </w:rPr>
        <w:t xml:space="preserve"> </w:t>
      </w:r>
      <w:r w:rsidR="000310F1" w:rsidRPr="003049A9">
        <w:rPr>
          <w:rFonts w:hint="cs"/>
          <w:rtl/>
        </w:rPr>
        <w:t>ال</w:t>
      </w:r>
      <w:r w:rsidR="007C4F02" w:rsidRPr="003049A9">
        <w:rPr>
          <w:rFonts w:hint="cs"/>
          <w:rtl/>
        </w:rPr>
        <w:t xml:space="preserve">أعضاء </w:t>
      </w:r>
      <w:r w:rsidR="000310F1" w:rsidRPr="003049A9">
        <w:rPr>
          <w:rFonts w:hint="cs"/>
          <w:rtl/>
        </w:rPr>
        <w:t>ال</w:t>
      </w:r>
      <w:r w:rsidR="007C4F02" w:rsidRPr="003049A9">
        <w:rPr>
          <w:rFonts w:hint="cs"/>
          <w:rtl/>
        </w:rPr>
        <w:t>محتملين وإشراك</w:t>
      </w:r>
      <w:r w:rsidR="00C52CC3" w:rsidRPr="003049A9">
        <w:rPr>
          <w:rFonts w:hint="cs"/>
          <w:rtl/>
        </w:rPr>
        <w:t xml:space="preserve"> الأعضاء</w:t>
      </w:r>
      <w:r w:rsidR="007C4F02" w:rsidRPr="003049A9">
        <w:rPr>
          <w:rFonts w:hint="cs"/>
          <w:rtl/>
        </w:rPr>
        <w:t xml:space="preserve"> في أعمال القطاع والإبقاء عليهم. </w:t>
      </w:r>
    </w:p>
    <w:p w14:paraId="7AB0B9B4" w14:textId="44462133" w:rsidR="00FE19F6" w:rsidRPr="003049A9" w:rsidRDefault="000E1F3F" w:rsidP="00FE19F6">
      <w:pPr>
        <w:rPr>
          <w:lang w:val="en-US" w:bidi="ar-EG"/>
        </w:rPr>
      </w:pPr>
      <w:r w:rsidRPr="003049A9">
        <w:rPr>
          <w:rFonts w:hint="cs"/>
          <w:rtl/>
        </w:rPr>
        <w:t>و</w:t>
      </w:r>
      <w:r w:rsidR="000310F1" w:rsidRPr="003049A9">
        <w:rPr>
          <w:rFonts w:hint="cs"/>
          <w:rtl/>
        </w:rPr>
        <w:t>عن</w:t>
      </w:r>
      <w:r w:rsidRPr="003049A9">
        <w:rPr>
          <w:rFonts w:hint="cs"/>
          <w:rtl/>
        </w:rPr>
        <w:t xml:space="preserve"> سبيل التأثير المتمثل في الاتصال</w:t>
      </w:r>
      <w:r w:rsidR="000310F1" w:rsidRPr="003049A9">
        <w:rPr>
          <w:rFonts w:hint="cs"/>
          <w:rtl/>
        </w:rPr>
        <w:t>، فينصب</w:t>
      </w:r>
      <w:r w:rsidR="00765901" w:rsidRPr="003049A9">
        <w:rPr>
          <w:rFonts w:hint="cs"/>
          <w:rtl/>
        </w:rPr>
        <w:t>ّ</w:t>
      </w:r>
      <w:r w:rsidR="000310F1" w:rsidRPr="003049A9">
        <w:rPr>
          <w:rFonts w:hint="cs"/>
          <w:rtl/>
        </w:rPr>
        <w:t xml:space="preserve"> تركيزه على زيادة استخدام أدوات التسويق</w:t>
      </w:r>
      <w:r w:rsidR="000310F1" w:rsidRPr="003049A9">
        <w:rPr>
          <w:rFonts w:hint="cs"/>
          <w:rtl/>
          <w:lang w:bidi="ar-EG"/>
        </w:rPr>
        <w:t xml:space="preserve"> الرقمي لتقييم الكيانات المحتملة المؤهلة لعضوية القطاع من الكيانات العاملة في مجال تكنولوجيا المعلومات والاتصالات </w:t>
      </w:r>
      <w:r w:rsidR="000310F1" w:rsidRPr="003049A9">
        <w:rPr>
          <w:lang w:val="en-US" w:bidi="ar-EG"/>
        </w:rPr>
        <w:t>(ICT)</w:t>
      </w:r>
      <w:r w:rsidR="000310F1" w:rsidRPr="003049A9">
        <w:rPr>
          <w:rFonts w:hint="cs"/>
          <w:rtl/>
          <w:lang w:val="en-US" w:bidi="ar-EG"/>
        </w:rPr>
        <w:t xml:space="preserve"> واختيارها</w:t>
      </w:r>
      <w:r w:rsidR="00B01C39" w:rsidRPr="003049A9">
        <w:rPr>
          <w:rFonts w:hint="cs"/>
          <w:rtl/>
          <w:lang w:val="en-US" w:bidi="ar-EG"/>
        </w:rPr>
        <w:t xml:space="preserve"> و</w:t>
      </w:r>
      <w:r w:rsidR="000310F1" w:rsidRPr="003049A9">
        <w:rPr>
          <w:rFonts w:hint="cs"/>
          <w:rtl/>
          <w:lang w:val="en-US" w:bidi="ar-EG"/>
        </w:rPr>
        <w:t xml:space="preserve">تحديدها، وكذلك لإنشاء قوائم للأعضاء المحتملين بحسب قطاعات هذه الصناعة، واستهداف </w:t>
      </w:r>
      <w:r w:rsidR="00B01C39" w:rsidRPr="003049A9">
        <w:rPr>
          <w:rFonts w:hint="cs"/>
          <w:rtl/>
          <w:lang w:val="en-US" w:bidi="ar-EG"/>
        </w:rPr>
        <w:t xml:space="preserve">كل من </w:t>
      </w:r>
      <w:r w:rsidR="000310F1" w:rsidRPr="003049A9">
        <w:rPr>
          <w:rFonts w:hint="cs"/>
          <w:rtl/>
          <w:lang w:val="en-US" w:bidi="ar-EG"/>
        </w:rPr>
        <w:t>هذه ال</w:t>
      </w:r>
      <w:r w:rsidR="00B01C39" w:rsidRPr="003049A9">
        <w:rPr>
          <w:rFonts w:hint="cs"/>
          <w:rtl/>
          <w:lang w:val="en-US" w:bidi="ar-EG"/>
        </w:rPr>
        <w:t>فئات بحافظة محتوى تلائم اهتماماتها المحتملة، وللتوعية وإثارة الاهتمام أيضاً بمنتجات مكتب تنمية الاتصالات وخدماته، وحفز الاهتمام بالعروض والفرص المقترنة بالعضوية، و</w:t>
      </w:r>
      <w:r w:rsidR="00765901" w:rsidRPr="003049A9">
        <w:rPr>
          <w:rFonts w:hint="cs"/>
          <w:rtl/>
          <w:lang w:val="en-US" w:bidi="ar-EG"/>
        </w:rPr>
        <w:t>التشجيع على الانضمام إلى القطاع كأعضاء جدد.</w:t>
      </w:r>
    </w:p>
    <w:p w14:paraId="387354AC" w14:textId="719D79E7" w:rsidR="000250CA" w:rsidRPr="003049A9" w:rsidRDefault="00250F30" w:rsidP="00797470">
      <w:pPr>
        <w:rPr>
          <w:rtl/>
        </w:rPr>
      </w:pPr>
      <w:r w:rsidRPr="003049A9">
        <w:rPr>
          <w:rFonts w:hint="cs"/>
          <w:rtl/>
        </w:rPr>
        <w:t>ويباشر</w:t>
      </w:r>
      <w:r w:rsidR="00CB5110" w:rsidRPr="003049A9">
        <w:rPr>
          <w:rFonts w:hint="cs"/>
          <w:rtl/>
        </w:rPr>
        <w:t xml:space="preserve"> </w:t>
      </w:r>
      <w:r w:rsidR="000250CA" w:rsidRPr="003049A9">
        <w:rPr>
          <w:rtl/>
        </w:rPr>
        <w:t>مكتب تنمية الاتصالات</w:t>
      </w:r>
      <w:r w:rsidRPr="003049A9">
        <w:rPr>
          <w:rFonts w:hint="cs"/>
          <w:rtl/>
        </w:rPr>
        <w:t xml:space="preserve"> منذ عام </w:t>
      </w:r>
      <w:r w:rsidRPr="003049A9">
        <w:rPr>
          <w:lang w:val="en-US"/>
        </w:rPr>
        <w:t>2020</w:t>
      </w:r>
      <w:r w:rsidR="000250CA" w:rsidRPr="003049A9">
        <w:rPr>
          <w:rtl/>
        </w:rPr>
        <w:t xml:space="preserve"> مجموعة من </w:t>
      </w:r>
      <w:r w:rsidR="00C7143F" w:rsidRPr="003049A9">
        <w:rPr>
          <w:rFonts w:hint="cs"/>
          <w:rtl/>
        </w:rPr>
        <w:t>الأعمال</w:t>
      </w:r>
      <w:r w:rsidR="000250CA" w:rsidRPr="003049A9">
        <w:rPr>
          <w:rtl/>
        </w:rPr>
        <w:t xml:space="preserve"> الاستراتيجية </w:t>
      </w:r>
      <w:r w:rsidR="00034BB9" w:rsidRPr="003049A9">
        <w:rPr>
          <w:rFonts w:hint="cs"/>
          <w:rtl/>
        </w:rPr>
        <w:t>الرامية إلى</w:t>
      </w:r>
      <w:r w:rsidRPr="003049A9">
        <w:rPr>
          <w:rFonts w:hint="cs"/>
          <w:rtl/>
        </w:rPr>
        <w:t xml:space="preserve"> تعزيز</w:t>
      </w:r>
      <w:r w:rsidR="000250CA" w:rsidRPr="003049A9">
        <w:rPr>
          <w:rFonts w:hint="cs"/>
          <w:rtl/>
        </w:rPr>
        <w:t xml:space="preserve"> العمل مع</w:t>
      </w:r>
      <w:r w:rsidR="000250CA" w:rsidRPr="003049A9">
        <w:rPr>
          <w:rtl/>
        </w:rPr>
        <w:t xml:space="preserve"> أعضاء قطاع تنمية الاتصالات </w:t>
      </w:r>
      <w:r w:rsidR="000250CA" w:rsidRPr="003049A9">
        <w:rPr>
          <w:rFonts w:hint="cs"/>
          <w:rtl/>
        </w:rPr>
        <w:t xml:space="preserve">ومشاركتهم في </w:t>
      </w:r>
      <w:r w:rsidR="000A7C89" w:rsidRPr="003049A9">
        <w:rPr>
          <w:rFonts w:hint="cs"/>
          <w:rtl/>
        </w:rPr>
        <w:t>أنشطة</w:t>
      </w:r>
      <w:r w:rsidR="000250CA" w:rsidRPr="003049A9">
        <w:rPr>
          <w:rFonts w:hint="cs"/>
          <w:rtl/>
        </w:rPr>
        <w:t xml:space="preserve"> القطاع</w:t>
      </w:r>
      <w:r w:rsidR="000A7C89" w:rsidRPr="003049A9">
        <w:rPr>
          <w:rFonts w:hint="cs"/>
          <w:rtl/>
        </w:rPr>
        <w:t xml:space="preserve"> وبرامجه</w:t>
      </w:r>
      <w:r w:rsidR="000250CA" w:rsidRPr="003049A9">
        <w:rPr>
          <w:rFonts w:hint="cs"/>
          <w:rtl/>
        </w:rPr>
        <w:t>.</w:t>
      </w:r>
    </w:p>
    <w:p w14:paraId="19215CB9" w14:textId="5BC236A0" w:rsidR="00797470" w:rsidRPr="003049A9" w:rsidRDefault="006B6CD4" w:rsidP="00542D27">
      <w:pPr>
        <w:keepNext/>
        <w:rPr>
          <w:rtl/>
          <w:lang w:bidi="ar-EG"/>
        </w:rPr>
      </w:pPr>
      <w:r w:rsidRPr="003049A9">
        <w:rPr>
          <w:rFonts w:hint="cs"/>
          <w:rtl/>
          <w:lang w:bidi="ar-EG"/>
        </w:rPr>
        <w:lastRenderedPageBreak/>
        <w:t>وفي هذا الصدد، اضطلع مكتب تنمية الاتصالات بما يلي:</w:t>
      </w:r>
    </w:p>
    <w:p w14:paraId="6B2CC85A" w14:textId="7406EA53" w:rsidR="00FE19F6" w:rsidRPr="003049A9" w:rsidRDefault="00FE19F6" w:rsidP="00FE19F6">
      <w:pPr>
        <w:pStyle w:val="enumlev10"/>
        <w:rPr>
          <w:rtl/>
          <w:lang w:bidi="ar-EG"/>
        </w:rPr>
      </w:pPr>
      <w:r w:rsidRPr="003049A9">
        <w:rPr>
          <w:rFonts w:hint="cs"/>
          <w:rtl/>
        </w:rPr>
        <w:t>-</w:t>
      </w:r>
      <w:r w:rsidRPr="003049A9">
        <w:rPr>
          <w:rtl/>
        </w:rPr>
        <w:tab/>
      </w:r>
      <w:r w:rsidR="00EB7507" w:rsidRPr="003049A9">
        <w:rPr>
          <w:rFonts w:hint="cs"/>
          <w:rtl/>
        </w:rPr>
        <w:t xml:space="preserve">اجتمع </w:t>
      </w:r>
      <w:r w:rsidR="00EB7507" w:rsidRPr="003049A9">
        <w:rPr>
          <w:b/>
          <w:bCs/>
          <w:rtl/>
        </w:rPr>
        <w:t>الفريق الاستشاري للصناعة المعني بقضايا التنمية</w:t>
      </w:r>
      <w:r w:rsidR="00EB7507" w:rsidRPr="003049A9">
        <w:rPr>
          <w:rFonts w:hint="cs"/>
          <w:b/>
          <w:bCs/>
          <w:rtl/>
        </w:rPr>
        <w:t> </w:t>
      </w:r>
      <w:r w:rsidR="00EB7507" w:rsidRPr="003049A9">
        <w:rPr>
          <w:b/>
          <w:bCs/>
          <w:lang w:bidi="ar-EG"/>
        </w:rPr>
        <w:t>(IAGDI)</w:t>
      </w:r>
      <w:r w:rsidR="00EB7507" w:rsidRPr="003049A9">
        <w:rPr>
          <w:rFonts w:hint="cs"/>
          <w:b/>
          <w:bCs/>
          <w:rtl/>
        </w:rPr>
        <w:t xml:space="preserve"> وكبار</w:t>
      </w:r>
      <w:r w:rsidR="007F00CB" w:rsidRPr="003049A9">
        <w:rPr>
          <w:b/>
          <w:bCs/>
        </w:rPr>
        <w:t xml:space="preserve"> </w:t>
      </w:r>
      <w:r w:rsidR="007F00CB" w:rsidRPr="003049A9">
        <w:rPr>
          <w:rFonts w:hint="cs"/>
          <w:b/>
          <w:bCs/>
          <w:rtl/>
        </w:rPr>
        <w:t>مسؤولي التنظيم</w:t>
      </w:r>
      <w:r w:rsidR="00EB7507" w:rsidRPr="003049A9">
        <w:rPr>
          <w:rFonts w:hint="cs"/>
          <w:b/>
          <w:bCs/>
          <w:rtl/>
        </w:rPr>
        <w:t xml:space="preserve"> في القطاع الخاص</w:t>
      </w:r>
      <w:r w:rsidR="00542D27">
        <w:rPr>
          <w:rFonts w:hint="eastAsia"/>
          <w:b/>
          <w:bCs/>
          <w:rtl/>
        </w:rPr>
        <w:t> </w:t>
      </w:r>
      <w:r w:rsidR="00EB7507" w:rsidRPr="003049A9">
        <w:rPr>
          <w:b/>
          <w:bCs/>
        </w:rPr>
        <w:t>(IAGD-CRO)</w:t>
      </w:r>
      <w:r w:rsidR="00EB7507" w:rsidRPr="003049A9">
        <w:rPr>
          <w:rFonts w:hint="cs"/>
          <w:rtl/>
          <w:lang w:bidi="ar-EG"/>
        </w:rPr>
        <w:t xml:space="preserve"> في </w:t>
      </w:r>
      <w:r w:rsidR="00EB7507" w:rsidRPr="003049A9">
        <w:rPr>
          <w:lang w:bidi="ar-EG"/>
        </w:rPr>
        <w:t>31</w:t>
      </w:r>
      <w:r w:rsidR="00EB7507" w:rsidRPr="003049A9">
        <w:rPr>
          <w:rFonts w:hint="cs"/>
          <w:rtl/>
          <w:lang w:bidi="ar-EG"/>
        </w:rPr>
        <w:t xml:space="preserve"> أغسطس</w:t>
      </w:r>
      <w:r w:rsidR="00CD222E" w:rsidRPr="003049A9">
        <w:rPr>
          <w:rFonts w:hint="cs"/>
          <w:rtl/>
          <w:lang w:bidi="ar-EG"/>
        </w:rPr>
        <w:t xml:space="preserve"> </w:t>
      </w:r>
      <w:r w:rsidR="00EB7507" w:rsidRPr="003049A9">
        <w:rPr>
          <w:lang w:bidi="ar-EG"/>
        </w:rPr>
        <w:t>2020</w:t>
      </w:r>
      <w:r w:rsidR="00542D27">
        <w:rPr>
          <w:rFonts w:hint="cs"/>
          <w:rtl/>
          <w:lang w:bidi="ar-EG"/>
        </w:rPr>
        <w:t xml:space="preserve"> </w:t>
      </w:r>
      <w:r w:rsidR="00EB7507" w:rsidRPr="003049A9">
        <w:rPr>
          <w:rFonts w:hint="cs"/>
          <w:rtl/>
          <w:lang w:bidi="ar-EG"/>
        </w:rPr>
        <w:t>كحدث افتراضي تمهيدي للندوة العالمية لهيئات تنظيم الاتصالات لعام</w:t>
      </w:r>
      <w:r w:rsidR="00542D27">
        <w:rPr>
          <w:rFonts w:hint="eastAsia"/>
          <w:rtl/>
          <w:lang w:bidi="ar-EG"/>
        </w:rPr>
        <w:t> </w:t>
      </w:r>
      <w:r w:rsidR="00EB7507" w:rsidRPr="003049A9">
        <w:rPr>
          <w:lang w:bidi="ar-EG"/>
        </w:rPr>
        <w:t>2020</w:t>
      </w:r>
      <w:r w:rsidR="00542D27">
        <w:rPr>
          <w:rFonts w:hint="eastAsia"/>
          <w:rtl/>
          <w:lang w:bidi="ar-EG"/>
        </w:rPr>
        <w:t> </w:t>
      </w:r>
      <w:r w:rsidR="00EB7507" w:rsidRPr="003049A9">
        <w:rPr>
          <w:lang w:bidi="ar-EG"/>
        </w:rPr>
        <w:t>(GSR-20)</w:t>
      </w:r>
      <w:r w:rsidR="00EB7507" w:rsidRPr="003049A9">
        <w:rPr>
          <w:rFonts w:hint="cs"/>
          <w:rtl/>
          <w:lang w:bidi="ar-EG"/>
        </w:rPr>
        <w:t>. وفي هذا الاجتماع، أكد الفريق الاستشاري</w:t>
      </w:r>
      <w:r w:rsidR="00A467BE" w:rsidRPr="003049A9">
        <w:rPr>
          <w:rFonts w:hint="cs"/>
          <w:rtl/>
          <w:lang w:bidi="ar-EG"/>
        </w:rPr>
        <w:t xml:space="preserve"> للصناعة</w:t>
      </w:r>
      <w:r w:rsidR="00EB7507" w:rsidRPr="003049A9">
        <w:rPr>
          <w:rFonts w:hint="cs"/>
          <w:rtl/>
          <w:lang w:bidi="ar-EG"/>
        </w:rPr>
        <w:t xml:space="preserve"> وكبار </w:t>
      </w:r>
      <w:r w:rsidR="007F00CB" w:rsidRPr="00542D27">
        <w:rPr>
          <w:rFonts w:hint="cs"/>
          <w:rtl/>
        </w:rPr>
        <w:t>مسؤولي التنظيم</w:t>
      </w:r>
      <w:r w:rsidR="007F00CB" w:rsidRPr="003049A9">
        <w:rPr>
          <w:rFonts w:hint="cs"/>
          <w:b/>
          <w:bCs/>
          <w:rtl/>
        </w:rPr>
        <w:t xml:space="preserve"> </w:t>
      </w:r>
      <w:r w:rsidR="00EB7507" w:rsidRPr="003049A9">
        <w:rPr>
          <w:rFonts w:hint="cs"/>
          <w:rtl/>
          <w:lang w:bidi="ar-EG"/>
        </w:rPr>
        <w:t xml:space="preserve">مجدداً التزام </w:t>
      </w:r>
      <w:r w:rsidR="00611D58" w:rsidRPr="003049A9">
        <w:rPr>
          <w:rFonts w:hint="cs"/>
          <w:rtl/>
          <w:lang w:bidi="ar-EG"/>
        </w:rPr>
        <w:t xml:space="preserve">دوائر الصناعة والقطاع الخاص بدعم الحكومات في مرحلة التعافي من آثار جائحة فيروس كورونا </w:t>
      </w:r>
      <w:r w:rsidR="004B019B">
        <w:rPr>
          <w:lang w:bidi="ar-EG"/>
        </w:rPr>
        <w:t>(COVID</w:t>
      </w:r>
      <w:r w:rsidR="004B019B">
        <w:rPr>
          <w:lang w:bidi="ar-EG"/>
        </w:rPr>
        <w:noBreakHyphen/>
        <w:t>19)</w:t>
      </w:r>
      <w:r w:rsidR="00611D58" w:rsidRPr="003049A9">
        <w:rPr>
          <w:rFonts w:hint="cs"/>
          <w:rtl/>
          <w:lang w:bidi="ar-EG"/>
        </w:rPr>
        <w:t xml:space="preserve">، وبالعمل معها ومع </w:t>
      </w:r>
      <w:r w:rsidR="00B24041" w:rsidRPr="003049A9">
        <w:rPr>
          <w:rFonts w:hint="cs"/>
          <w:rtl/>
          <w:lang w:bidi="ar-EG"/>
        </w:rPr>
        <w:t>هيئات تنظيم الاتصالات</w:t>
      </w:r>
      <w:r w:rsidR="00611D58" w:rsidRPr="003049A9">
        <w:rPr>
          <w:rFonts w:hint="cs"/>
          <w:rtl/>
          <w:lang w:bidi="ar-EG"/>
        </w:rPr>
        <w:t xml:space="preserve"> من أجل تحسين مستوى التأهب لما قد يندلع في المستقبل من أزمات مماثلة، وكذلك بالاضطلاع بدور أنشط في دعم أعمال </w:t>
      </w:r>
      <w:r w:rsidR="0010000D" w:rsidRPr="003049A9">
        <w:rPr>
          <w:rFonts w:hint="cs"/>
          <w:rtl/>
          <w:lang w:bidi="ar-EG"/>
        </w:rPr>
        <w:t xml:space="preserve">تنمية </w:t>
      </w:r>
      <w:r w:rsidR="00611D58" w:rsidRPr="003049A9">
        <w:rPr>
          <w:rFonts w:hint="cs"/>
          <w:rtl/>
          <w:lang w:bidi="ar-EG"/>
        </w:rPr>
        <w:t xml:space="preserve">تكنولوجيا المعلومات والاتصالات. </w:t>
      </w:r>
      <w:r w:rsidR="00483063" w:rsidRPr="003049A9">
        <w:rPr>
          <w:rFonts w:hint="cs"/>
          <w:rtl/>
          <w:lang w:bidi="ar-EG"/>
        </w:rPr>
        <w:t xml:space="preserve">وأكد أكثر من مائة ممثّل من كبار ممثلي دوائر الصناعة أنه ينبغي مواصلة إيلاء الأولوية </w:t>
      </w:r>
      <w:r w:rsidR="00D91F1B" w:rsidRPr="003049A9">
        <w:rPr>
          <w:rFonts w:hint="cs"/>
          <w:rtl/>
          <w:lang w:bidi="ar-EG"/>
        </w:rPr>
        <w:t xml:space="preserve">لضمان </w:t>
      </w:r>
      <w:r w:rsidR="00B24041" w:rsidRPr="003049A9">
        <w:rPr>
          <w:rFonts w:hint="cs"/>
          <w:rtl/>
          <w:lang w:bidi="ar-EG"/>
        </w:rPr>
        <w:t xml:space="preserve">إمكانية نفاذ </w:t>
      </w:r>
      <w:r w:rsidR="00D91F1B" w:rsidRPr="003049A9">
        <w:rPr>
          <w:rFonts w:hint="cs"/>
          <w:rtl/>
          <w:lang w:bidi="ar-EG"/>
        </w:rPr>
        <w:t xml:space="preserve">الجميع </w:t>
      </w:r>
      <w:r w:rsidR="00B24041" w:rsidRPr="003049A9">
        <w:rPr>
          <w:rFonts w:hint="cs"/>
          <w:rtl/>
          <w:lang w:bidi="ar-EG"/>
        </w:rPr>
        <w:t xml:space="preserve">إلى </w:t>
      </w:r>
      <w:r w:rsidR="00D91F1B" w:rsidRPr="003049A9">
        <w:rPr>
          <w:rFonts w:hint="cs"/>
          <w:rtl/>
          <w:lang w:bidi="ar-EG"/>
        </w:rPr>
        <w:t xml:space="preserve">توصيلية عريضة </w:t>
      </w:r>
      <w:r w:rsidR="00B24041" w:rsidRPr="003049A9">
        <w:rPr>
          <w:rFonts w:hint="cs"/>
          <w:rtl/>
          <w:lang w:bidi="ar-EG"/>
        </w:rPr>
        <w:t>ال</w:t>
      </w:r>
      <w:r w:rsidR="00D91F1B" w:rsidRPr="003049A9">
        <w:rPr>
          <w:rFonts w:hint="cs"/>
          <w:rtl/>
          <w:lang w:bidi="ar-EG"/>
        </w:rPr>
        <w:t xml:space="preserve">نطاق </w:t>
      </w:r>
      <w:proofErr w:type="gramStart"/>
      <w:r w:rsidR="00D91F1B" w:rsidRPr="003049A9">
        <w:rPr>
          <w:rFonts w:hint="cs"/>
          <w:rtl/>
          <w:lang w:bidi="ar-EG"/>
        </w:rPr>
        <w:t>هادفة</w:t>
      </w:r>
      <w:proofErr w:type="gramEnd"/>
      <w:r w:rsidR="00D91F1B" w:rsidRPr="003049A9">
        <w:rPr>
          <w:rFonts w:hint="cs"/>
          <w:rtl/>
          <w:lang w:bidi="ar-EG"/>
        </w:rPr>
        <w:t xml:space="preserve"> ومأمونة وميسورة التكلفة ومستدامة</w:t>
      </w:r>
      <w:r w:rsidR="00B24041" w:rsidRPr="003049A9">
        <w:rPr>
          <w:rFonts w:hint="cs"/>
          <w:rtl/>
          <w:lang w:bidi="ar-EG"/>
        </w:rPr>
        <w:t xml:space="preserve">. (انظر </w:t>
      </w:r>
      <w:hyperlink r:id="rId10" w:history="1">
        <w:r w:rsidR="00B24041" w:rsidRPr="00542D27">
          <w:rPr>
            <w:rStyle w:val="Hyperlink"/>
            <w:rFonts w:hint="cs"/>
            <w:rtl/>
            <w:lang w:bidi="ar-EG"/>
          </w:rPr>
          <w:t>بيان النتائج الصادر عن</w:t>
        </w:r>
        <w:r w:rsidR="00D23636" w:rsidRPr="00542D27">
          <w:rPr>
            <w:rStyle w:val="Hyperlink"/>
            <w:rFonts w:hint="cs"/>
            <w:rtl/>
            <w:lang w:bidi="ar-EG"/>
          </w:rPr>
          <w:t xml:space="preserve"> اجتماع</w:t>
        </w:r>
        <w:r w:rsidR="00A467BE" w:rsidRPr="00542D27">
          <w:rPr>
            <w:rStyle w:val="Hyperlink"/>
            <w:rFonts w:hint="cs"/>
            <w:rtl/>
            <w:lang w:bidi="ar-EG"/>
          </w:rPr>
          <w:t xml:space="preserve"> الفريق الاستشاري للصناعة المعني بقضايا التنمية وكبار </w:t>
        </w:r>
        <w:r w:rsidR="007F00CB" w:rsidRPr="00542D27">
          <w:rPr>
            <w:rStyle w:val="Hyperlink"/>
            <w:rFonts w:hint="cs"/>
            <w:rtl/>
          </w:rPr>
          <w:t>مسؤولي التنظيم</w:t>
        </w:r>
        <w:r w:rsidR="00A467BE" w:rsidRPr="00542D27">
          <w:rPr>
            <w:rStyle w:val="Hyperlink"/>
            <w:rFonts w:hint="cs"/>
            <w:rtl/>
            <w:lang w:bidi="ar-EG"/>
          </w:rPr>
          <w:t xml:space="preserve"> في القطاع الخاص</w:t>
        </w:r>
        <w:r w:rsidR="00B24041" w:rsidRPr="00542D27">
          <w:rPr>
            <w:rStyle w:val="Hyperlink"/>
            <w:rFonts w:hint="cs"/>
            <w:rtl/>
            <w:lang w:bidi="ar-EG"/>
          </w:rPr>
          <w:t xml:space="preserve"> </w:t>
        </w:r>
        <w:r w:rsidR="00A467BE" w:rsidRPr="00542D27">
          <w:rPr>
            <w:rStyle w:val="Hyperlink"/>
            <w:lang w:bidi="ar-EG"/>
          </w:rPr>
          <w:t>(</w:t>
        </w:r>
        <w:r w:rsidR="00B24041" w:rsidRPr="00542D27">
          <w:rPr>
            <w:rStyle w:val="Hyperlink"/>
          </w:rPr>
          <w:t>IAGD-CRO</w:t>
        </w:r>
        <w:r w:rsidR="00A467BE" w:rsidRPr="00542D27">
          <w:rPr>
            <w:rStyle w:val="Hyperlink"/>
            <w:lang w:bidi="ar-EG"/>
          </w:rPr>
          <w:t>)</w:t>
        </w:r>
      </w:hyperlink>
      <w:r w:rsidR="00B24041" w:rsidRPr="003049A9">
        <w:rPr>
          <w:rFonts w:hint="cs"/>
          <w:rtl/>
          <w:lang w:bidi="ar-EG"/>
        </w:rPr>
        <w:t>).</w:t>
      </w:r>
      <w:r w:rsidR="00D23636" w:rsidRPr="003049A9">
        <w:rPr>
          <w:rFonts w:hint="cs"/>
          <w:rtl/>
          <w:lang w:bidi="ar-EG"/>
        </w:rPr>
        <w:t xml:space="preserve"> علاوة</w:t>
      </w:r>
      <w:r w:rsidR="00542D27">
        <w:rPr>
          <w:rFonts w:hint="cs"/>
          <w:rtl/>
          <w:lang w:bidi="ar-EG"/>
        </w:rPr>
        <w:t>ً</w:t>
      </w:r>
      <w:r w:rsidR="00D23636" w:rsidRPr="003049A9">
        <w:rPr>
          <w:rFonts w:hint="cs"/>
          <w:rtl/>
          <w:lang w:bidi="ar-EG"/>
        </w:rPr>
        <w:t xml:space="preserve"> على ذلك، عُيِّن نائبان لرئيس الاجتماع، </w:t>
      </w:r>
      <w:r w:rsidR="0010000D" w:rsidRPr="003049A9">
        <w:rPr>
          <w:rFonts w:hint="cs"/>
          <w:rtl/>
          <w:lang w:bidi="ar-EG"/>
        </w:rPr>
        <w:t xml:space="preserve">بادرا </w:t>
      </w:r>
      <w:r w:rsidR="00D23636" w:rsidRPr="003049A9">
        <w:rPr>
          <w:rFonts w:hint="cs"/>
          <w:rtl/>
          <w:lang w:bidi="ar-EG"/>
        </w:rPr>
        <w:t xml:space="preserve">مع الرئيس </w:t>
      </w:r>
      <w:r w:rsidR="0010000D" w:rsidRPr="003049A9">
        <w:rPr>
          <w:rFonts w:hint="cs"/>
          <w:rtl/>
          <w:lang w:bidi="ar-EG"/>
        </w:rPr>
        <w:t>إلى</w:t>
      </w:r>
      <w:r w:rsidR="00D23636" w:rsidRPr="003049A9">
        <w:rPr>
          <w:rFonts w:hint="cs"/>
          <w:rtl/>
          <w:lang w:bidi="ar-EG"/>
        </w:rPr>
        <w:t xml:space="preserve"> استطلاع شبكات علاقاتهم القائمة لترويج قطاع تنمية الاتصالات</w:t>
      </w:r>
      <w:r w:rsidR="001B1D9F" w:rsidRPr="003049A9">
        <w:rPr>
          <w:rFonts w:hint="cs"/>
          <w:rtl/>
          <w:lang w:bidi="ar-EG"/>
        </w:rPr>
        <w:t xml:space="preserve"> بالاتحاد </w:t>
      </w:r>
      <w:r w:rsidR="00D23636" w:rsidRPr="003049A9">
        <w:rPr>
          <w:rFonts w:hint="cs"/>
          <w:rtl/>
          <w:lang w:bidi="ar-EG"/>
        </w:rPr>
        <w:t xml:space="preserve">لأغراض تعيين المزيد من الجهات الفاعلة </w:t>
      </w:r>
      <w:r w:rsidR="001B1D9F" w:rsidRPr="003049A9">
        <w:rPr>
          <w:rFonts w:hint="cs"/>
          <w:rtl/>
          <w:lang w:bidi="ar-EG"/>
        </w:rPr>
        <w:t>ب</w:t>
      </w:r>
      <w:r w:rsidR="00D23636" w:rsidRPr="003049A9">
        <w:rPr>
          <w:rFonts w:hint="cs"/>
          <w:rtl/>
          <w:lang w:bidi="ar-EG"/>
        </w:rPr>
        <w:t>دوائر الصناعة والقطاع الخاص</w:t>
      </w:r>
      <w:r w:rsidR="001B1D9F" w:rsidRPr="003049A9">
        <w:rPr>
          <w:rFonts w:hint="cs"/>
          <w:rtl/>
          <w:lang w:bidi="ar-EG"/>
        </w:rPr>
        <w:t xml:space="preserve"> في قطاع تنمية الاتصالات</w:t>
      </w:r>
      <w:r w:rsidR="00D23636" w:rsidRPr="003049A9">
        <w:rPr>
          <w:rFonts w:hint="cs"/>
          <w:rtl/>
          <w:lang w:bidi="ar-EG"/>
        </w:rPr>
        <w:t xml:space="preserve">، </w:t>
      </w:r>
      <w:r w:rsidR="0010000D" w:rsidRPr="003049A9">
        <w:rPr>
          <w:rFonts w:hint="cs"/>
          <w:rtl/>
          <w:lang w:bidi="ar-EG"/>
        </w:rPr>
        <w:t>وإلى المساهمة</w:t>
      </w:r>
      <w:r w:rsidR="001B1D9F" w:rsidRPr="003049A9">
        <w:rPr>
          <w:rFonts w:hint="cs"/>
          <w:rtl/>
          <w:lang w:bidi="ar-EG"/>
        </w:rPr>
        <w:t xml:space="preserve"> في</w:t>
      </w:r>
      <w:r w:rsidR="00A467BE" w:rsidRPr="003049A9">
        <w:rPr>
          <w:rFonts w:hint="cs"/>
          <w:rtl/>
          <w:lang w:bidi="ar-EG"/>
        </w:rPr>
        <w:t xml:space="preserve"> أعمال كل من المن</w:t>
      </w:r>
      <w:r w:rsidR="001A581E" w:rsidRPr="003049A9">
        <w:rPr>
          <w:rFonts w:hint="cs"/>
          <w:rtl/>
          <w:lang w:bidi="ar-EG"/>
        </w:rPr>
        <w:t>ت</w:t>
      </w:r>
      <w:r w:rsidR="00A467BE" w:rsidRPr="003049A9">
        <w:rPr>
          <w:rFonts w:hint="cs"/>
          <w:rtl/>
          <w:lang w:bidi="ar-EG"/>
        </w:rPr>
        <w:t>ديات الإقليمية للتنمية وفي الأعمال التحضيرية الجارية للمؤتمر العالمي لتنمية الاتصالات لعام</w:t>
      </w:r>
      <w:r w:rsidR="004B019B">
        <w:rPr>
          <w:rFonts w:hint="cs"/>
          <w:rtl/>
          <w:lang w:bidi="ar-EG"/>
        </w:rPr>
        <w:t xml:space="preserve"> </w:t>
      </w:r>
      <w:r w:rsidR="00A467BE" w:rsidRPr="003049A9">
        <w:rPr>
          <w:lang w:bidi="ar-EG"/>
        </w:rPr>
        <w:t>2021</w:t>
      </w:r>
      <w:r w:rsidR="004B019B">
        <w:rPr>
          <w:rFonts w:hint="cs"/>
          <w:rtl/>
          <w:lang w:bidi="ar-EG"/>
        </w:rPr>
        <w:t xml:space="preserve"> </w:t>
      </w:r>
      <w:r w:rsidR="00A467BE" w:rsidRPr="003049A9">
        <w:rPr>
          <w:lang w:bidi="ar-EG"/>
        </w:rPr>
        <w:t>(WTDC</w:t>
      </w:r>
      <w:r w:rsidR="00542D27">
        <w:rPr>
          <w:lang w:bidi="ar-EG"/>
        </w:rPr>
        <w:noBreakHyphen/>
      </w:r>
      <w:r w:rsidR="00A467BE" w:rsidRPr="003049A9">
        <w:rPr>
          <w:lang w:bidi="ar-EG"/>
        </w:rPr>
        <w:t>21)</w:t>
      </w:r>
      <w:r w:rsidR="00A467BE" w:rsidRPr="003049A9">
        <w:rPr>
          <w:rFonts w:hint="cs"/>
          <w:rtl/>
          <w:lang w:bidi="ar-EG"/>
        </w:rPr>
        <w:t>. وسيُعقد الاجتماع المقبل للفريق الاستشاري للصناعة</w:t>
      </w:r>
      <w:r w:rsidR="0010000D" w:rsidRPr="003049A9">
        <w:rPr>
          <w:rFonts w:hint="cs"/>
          <w:rtl/>
          <w:lang w:bidi="ar-EG"/>
        </w:rPr>
        <w:t xml:space="preserve"> المعني بقضايا التنمية</w:t>
      </w:r>
      <w:r w:rsidR="00A467BE" w:rsidRPr="003049A9">
        <w:rPr>
          <w:rFonts w:hint="cs"/>
          <w:rtl/>
          <w:lang w:bidi="ar-EG"/>
        </w:rPr>
        <w:t xml:space="preserve"> وكبار </w:t>
      </w:r>
      <w:r w:rsidR="007F00CB" w:rsidRPr="00542D27">
        <w:rPr>
          <w:rFonts w:hint="cs"/>
          <w:rtl/>
        </w:rPr>
        <w:t>مسؤولي التنظيم</w:t>
      </w:r>
      <w:r w:rsidR="007F00CB" w:rsidRPr="003049A9">
        <w:rPr>
          <w:rFonts w:hint="cs"/>
          <w:b/>
          <w:bCs/>
          <w:rtl/>
        </w:rPr>
        <w:t xml:space="preserve"> </w:t>
      </w:r>
      <w:r w:rsidR="0010000D" w:rsidRPr="003049A9">
        <w:rPr>
          <w:rFonts w:hint="cs"/>
          <w:rtl/>
          <w:lang w:bidi="ar-EG"/>
        </w:rPr>
        <w:t xml:space="preserve">في القطاع الخاص </w:t>
      </w:r>
      <w:r w:rsidR="001A581E" w:rsidRPr="003049A9">
        <w:rPr>
          <w:rFonts w:hint="cs"/>
          <w:rtl/>
          <w:lang w:bidi="ar-EG"/>
        </w:rPr>
        <w:t xml:space="preserve">(افتراضياً) في </w:t>
      </w:r>
      <w:r w:rsidR="001A581E" w:rsidRPr="003049A9">
        <w:rPr>
          <w:lang w:bidi="ar-EG"/>
        </w:rPr>
        <w:t>21</w:t>
      </w:r>
      <w:r w:rsidR="001A581E" w:rsidRPr="003049A9">
        <w:rPr>
          <w:rFonts w:hint="cs"/>
          <w:rtl/>
          <w:lang w:bidi="ar-EG"/>
        </w:rPr>
        <w:t xml:space="preserve"> يونيو </w:t>
      </w:r>
      <w:r w:rsidR="001A581E" w:rsidRPr="003049A9">
        <w:rPr>
          <w:lang w:bidi="ar-EG"/>
        </w:rPr>
        <w:t>2021</w:t>
      </w:r>
      <w:r w:rsidR="001A581E" w:rsidRPr="003049A9">
        <w:rPr>
          <w:rFonts w:hint="cs"/>
          <w:rtl/>
          <w:lang w:bidi="ar-EG"/>
        </w:rPr>
        <w:t xml:space="preserve">، بالتعاقب مع انعقاد الندوة العالمية لهيئات تنظيم الاتصالات لعام </w:t>
      </w:r>
      <w:r w:rsidR="001A581E" w:rsidRPr="003049A9">
        <w:rPr>
          <w:lang w:bidi="ar-EG"/>
        </w:rPr>
        <w:t>2021</w:t>
      </w:r>
      <w:r w:rsidR="001A581E" w:rsidRPr="003049A9">
        <w:rPr>
          <w:rFonts w:hint="cs"/>
          <w:rtl/>
          <w:lang w:bidi="ar-EG"/>
        </w:rPr>
        <w:t xml:space="preserve"> </w:t>
      </w:r>
      <w:r w:rsidR="001A581E" w:rsidRPr="003049A9">
        <w:rPr>
          <w:lang w:bidi="ar-EG"/>
        </w:rPr>
        <w:t>(GSR-21)</w:t>
      </w:r>
      <w:r w:rsidR="001A581E" w:rsidRPr="003049A9">
        <w:rPr>
          <w:rFonts w:hint="cs"/>
          <w:rtl/>
          <w:lang w:bidi="ar-EG"/>
        </w:rPr>
        <w:t>.</w:t>
      </w:r>
    </w:p>
    <w:p w14:paraId="756D7A7A" w14:textId="48586EAF" w:rsidR="00FE19F6" w:rsidRPr="003049A9" w:rsidRDefault="00FE19F6" w:rsidP="00FE19F6">
      <w:pPr>
        <w:pStyle w:val="enumlev10"/>
        <w:rPr>
          <w:rtl/>
          <w:lang w:bidi="ar-EG"/>
        </w:rPr>
      </w:pPr>
      <w:r w:rsidRPr="003049A9">
        <w:rPr>
          <w:rtl/>
        </w:rPr>
        <w:t>-</w:t>
      </w:r>
      <w:r w:rsidRPr="003049A9">
        <w:rPr>
          <w:rtl/>
        </w:rPr>
        <w:tab/>
      </w:r>
      <w:r w:rsidR="00B809CB" w:rsidRPr="003049A9">
        <w:rPr>
          <w:rtl/>
          <w:lang w:bidi="ar-EG"/>
        </w:rPr>
        <w:t xml:space="preserve">أُطلقت </w:t>
      </w:r>
      <w:r w:rsidR="00B809CB" w:rsidRPr="003049A9">
        <w:rPr>
          <w:b/>
          <w:bCs/>
          <w:rtl/>
          <w:lang w:bidi="ar-EG"/>
        </w:rPr>
        <w:t>سلسلة تعرَّف إلى الأعضاء</w:t>
      </w:r>
      <w:r w:rsidR="00B809CB" w:rsidRPr="003049A9">
        <w:rPr>
          <w:rtl/>
          <w:lang w:bidi="ar-EG"/>
        </w:rPr>
        <w:t xml:space="preserve"> كمنصة حوارية لأعضاء قطاع تنمية الاتصالات بالاتحاد </w:t>
      </w:r>
      <w:r w:rsidR="00BA5689" w:rsidRPr="003049A9">
        <w:rPr>
          <w:lang w:bidi="ar-EG"/>
        </w:rPr>
        <w:t>(ITU-D)</w:t>
      </w:r>
      <w:r w:rsidR="00BA5689" w:rsidRPr="003049A9">
        <w:rPr>
          <w:rtl/>
          <w:lang w:bidi="ar-EG"/>
        </w:rPr>
        <w:t xml:space="preserve">، </w:t>
      </w:r>
      <w:r w:rsidR="00B572F3" w:rsidRPr="003049A9">
        <w:rPr>
          <w:rtl/>
          <w:lang w:bidi="ar-EG"/>
        </w:rPr>
        <w:t>مقسّمة بحسب فئات الأعضاء</w:t>
      </w:r>
      <w:r w:rsidR="00B572F3" w:rsidRPr="003049A9">
        <w:rPr>
          <w:rStyle w:val="FootnoteReference"/>
          <w:rtl/>
          <w:lang w:bidi="ar-EG"/>
        </w:rPr>
        <w:footnoteReference w:id="6"/>
      </w:r>
      <w:r w:rsidR="00B572F3" w:rsidRPr="003049A9">
        <w:rPr>
          <w:rtl/>
          <w:lang w:bidi="ar-EG"/>
        </w:rPr>
        <w:t xml:space="preserve">، للتفاعل وتبادل الآراء مع قيادة مكتب تنمية الاتصالات </w:t>
      </w:r>
      <w:r w:rsidR="00B572F3" w:rsidRPr="003049A9">
        <w:rPr>
          <w:lang w:bidi="ar-EG"/>
        </w:rPr>
        <w:t>(BDT)</w:t>
      </w:r>
      <w:r w:rsidR="00B572F3" w:rsidRPr="003049A9">
        <w:rPr>
          <w:rtl/>
          <w:lang w:bidi="ar-EG"/>
        </w:rPr>
        <w:t>.</w:t>
      </w:r>
      <w:r w:rsidR="00DA5DBE" w:rsidRPr="003049A9">
        <w:rPr>
          <w:rtl/>
          <w:lang w:bidi="ar-EG"/>
        </w:rPr>
        <w:t xml:space="preserve"> </w:t>
      </w:r>
      <w:r w:rsidR="00BA5689" w:rsidRPr="003049A9">
        <w:rPr>
          <w:rtl/>
          <w:lang w:bidi="ar-EG"/>
        </w:rPr>
        <w:t>وتشمل أنشطة المنصة قيام المكتب بتقديم معلومات محدّثة عن أنشطته الجارية وتلك المخطط لتنفيذها، وجمع آراء الأعضاء عن كيفية تعزيز العلاقات والمشاركة. وستُعقد الجلسة المخصصة لفئة</w:t>
      </w:r>
      <w:r w:rsidR="004B019B">
        <w:rPr>
          <w:rFonts w:hint="cs"/>
          <w:rtl/>
          <w:lang w:bidi="ar-EG"/>
        </w:rPr>
        <w:t xml:space="preserve"> </w:t>
      </w:r>
      <w:r w:rsidR="00BA5689" w:rsidRPr="003049A9">
        <w:rPr>
          <w:rtl/>
          <w:lang w:bidi="ar-EG"/>
        </w:rPr>
        <w:t xml:space="preserve">الهيئات الأكاديمية والمؤسسات البحثية في </w:t>
      </w:r>
      <w:r w:rsidR="00BA5689" w:rsidRPr="003049A9">
        <w:rPr>
          <w:lang w:bidi="ar-EG"/>
        </w:rPr>
        <w:t>15</w:t>
      </w:r>
      <w:r w:rsidR="00BA5689" w:rsidRPr="003049A9">
        <w:rPr>
          <w:rtl/>
          <w:lang w:bidi="ar-EG"/>
        </w:rPr>
        <w:t xml:space="preserve"> أبريل </w:t>
      </w:r>
      <w:r w:rsidR="00BA5689" w:rsidRPr="003049A9">
        <w:rPr>
          <w:lang w:bidi="ar-EG"/>
        </w:rPr>
        <w:t>2021</w:t>
      </w:r>
      <w:r w:rsidR="00BA5689" w:rsidRPr="003049A9">
        <w:rPr>
          <w:rtl/>
          <w:lang w:bidi="ar-EG"/>
        </w:rPr>
        <w:t>، وست</w:t>
      </w:r>
      <w:r w:rsidR="006374CB" w:rsidRPr="003049A9">
        <w:rPr>
          <w:rtl/>
          <w:lang w:bidi="ar-EG"/>
        </w:rPr>
        <w:t xml:space="preserve">عقبها </w:t>
      </w:r>
      <w:r w:rsidR="00BA5689" w:rsidRPr="003049A9">
        <w:rPr>
          <w:rtl/>
          <w:lang w:bidi="ar-EG"/>
        </w:rPr>
        <w:t>جلسات لفئات أخرى من أعضاء القطاع سيخط</w:t>
      </w:r>
      <w:r w:rsidR="00E1624E" w:rsidRPr="003049A9">
        <w:rPr>
          <w:rtl/>
          <w:lang w:bidi="ar-EG"/>
        </w:rPr>
        <w:t>َّ</w:t>
      </w:r>
      <w:r w:rsidR="00BA5689" w:rsidRPr="003049A9">
        <w:rPr>
          <w:rtl/>
          <w:lang w:bidi="ar-EG"/>
        </w:rPr>
        <w:t>ط لعقدها خلال العام.</w:t>
      </w:r>
    </w:p>
    <w:p w14:paraId="1EA52FBE" w14:textId="1931093A" w:rsidR="00FE19F6" w:rsidRPr="003049A9" w:rsidRDefault="00FE19F6" w:rsidP="00FE19F6">
      <w:pPr>
        <w:pStyle w:val="enumlev10"/>
        <w:rPr>
          <w:rtl/>
          <w:lang w:bidi="ar-EG"/>
        </w:rPr>
      </w:pPr>
      <w:r w:rsidRPr="003049A9">
        <w:rPr>
          <w:rFonts w:hint="cs"/>
          <w:rtl/>
        </w:rPr>
        <w:t>-</w:t>
      </w:r>
      <w:r w:rsidRPr="003049A9">
        <w:rPr>
          <w:rtl/>
        </w:rPr>
        <w:tab/>
      </w:r>
      <w:r w:rsidR="00B256A1" w:rsidRPr="003049A9">
        <w:rPr>
          <w:rFonts w:hint="cs"/>
          <w:rtl/>
          <w:lang w:bidi="ar-EG"/>
        </w:rPr>
        <w:t xml:space="preserve">وأُطلقت أيضاً </w:t>
      </w:r>
      <w:r w:rsidR="00B256A1" w:rsidRPr="003049A9">
        <w:rPr>
          <w:rFonts w:hint="cs"/>
          <w:b/>
          <w:bCs/>
          <w:rtl/>
          <w:lang w:bidi="ar-EG"/>
        </w:rPr>
        <w:t xml:space="preserve">سلسلة </w:t>
      </w:r>
      <w:r w:rsidR="00154783" w:rsidRPr="003049A9">
        <w:rPr>
          <w:rFonts w:hint="cs"/>
          <w:b/>
          <w:bCs/>
          <w:rtl/>
          <w:lang w:bidi="ar-EG"/>
        </w:rPr>
        <w:t>ال</w:t>
      </w:r>
      <w:r w:rsidR="00B256A1" w:rsidRPr="003049A9">
        <w:rPr>
          <w:rFonts w:hint="cs"/>
          <w:b/>
          <w:bCs/>
          <w:rtl/>
          <w:lang w:bidi="ar-EG"/>
        </w:rPr>
        <w:t>محادثات التكنولوجي</w:t>
      </w:r>
      <w:r w:rsidR="00154783" w:rsidRPr="003049A9">
        <w:rPr>
          <w:rFonts w:hint="cs"/>
          <w:b/>
          <w:bCs/>
          <w:rtl/>
          <w:lang w:bidi="ar-EG"/>
        </w:rPr>
        <w:t>ة</w:t>
      </w:r>
      <w:r w:rsidR="00B256A1" w:rsidRPr="003049A9">
        <w:rPr>
          <w:rFonts w:hint="cs"/>
          <w:rtl/>
          <w:lang w:bidi="ar-EG"/>
        </w:rPr>
        <w:t xml:space="preserve"> كمنصة </w:t>
      </w:r>
      <w:r w:rsidR="00227DBA" w:rsidRPr="003049A9">
        <w:rPr>
          <w:rFonts w:hint="cs"/>
          <w:rtl/>
          <w:lang w:bidi="ar-EG"/>
        </w:rPr>
        <w:t xml:space="preserve">عمل صُممت لأعضاء قطاع تنمية الاتصالات </w:t>
      </w:r>
      <w:r w:rsidR="00F71B10" w:rsidRPr="003049A9">
        <w:rPr>
          <w:rFonts w:hint="cs"/>
          <w:rtl/>
          <w:lang w:bidi="ar-EG"/>
        </w:rPr>
        <w:t xml:space="preserve">وبالاشتراك معهم، مقسّمة أيضاً بحسب فئات الأعضاء، </w:t>
      </w:r>
      <w:proofErr w:type="spellStart"/>
      <w:r w:rsidR="00154783" w:rsidRPr="003049A9">
        <w:rPr>
          <w:rFonts w:hint="cs"/>
          <w:rtl/>
          <w:lang w:bidi="ar-EG"/>
        </w:rPr>
        <w:t>ليتبادلوا</w:t>
      </w:r>
      <w:proofErr w:type="spellEnd"/>
      <w:r w:rsidR="00154783" w:rsidRPr="003049A9">
        <w:rPr>
          <w:rFonts w:hint="cs"/>
          <w:rtl/>
          <w:lang w:bidi="ar-EG"/>
        </w:rPr>
        <w:t xml:space="preserve"> الاطلاع على ما يعتمدونه من تكنولوجيات، ونُهج مبتكرة، في</w:t>
      </w:r>
      <w:r w:rsidR="00542D27">
        <w:rPr>
          <w:rFonts w:hint="eastAsia"/>
          <w:rtl/>
          <w:lang w:bidi="ar-EG"/>
        </w:rPr>
        <w:t> </w:t>
      </w:r>
      <w:r w:rsidR="00154783" w:rsidRPr="003049A9">
        <w:rPr>
          <w:rFonts w:hint="cs"/>
          <w:rtl/>
          <w:lang w:bidi="ar-EG"/>
        </w:rPr>
        <w:t xml:space="preserve">مجال تكنولوجيا المعلومات والاتصالات وتنميتها وضمان التوصيلية بها، ويعملوا مع أقرانهم من الفئة ذاتها في دوائر الصناعة ومع خبراء مكتب تنمية الاتصالات، ويستكشفوا مجالات جديدة للتعاون. وعُقد حدث المحادثات التكنولوجية الأول في </w:t>
      </w:r>
      <w:r w:rsidR="00154783" w:rsidRPr="003049A9">
        <w:rPr>
          <w:lang w:bidi="ar-EG"/>
        </w:rPr>
        <w:t>18</w:t>
      </w:r>
      <w:r w:rsidR="00154783" w:rsidRPr="003049A9">
        <w:rPr>
          <w:rFonts w:hint="cs"/>
          <w:rtl/>
          <w:lang w:bidi="ar-EG"/>
        </w:rPr>
        <w:t xml:space="preserve"> فبراير </w:t>
      </w:r>
      <w:r w:rsidR="00154783" w:rsidRPr="003049A9">
        <w:rPr>
          <w:lang w:bidi="ar-EG"/>
        </w:rPr>
        <w:t>2021</w:t>
      </w:r>
      <w:r w:rsidR="00154783" w:rsidRPr="003049A9">
        <w:rPr>
          <w:rFonts w:hint="cs"/>
          <w:rtl/>
          <w:lang w:bidi="ar-EG"/>
        </w:rPr>
        <w:t xml:space="preserve"> </w:t>
      </w:r>
      <w:r w:rsidR="006374CB" w:rsidRPr="003049A9">
        <w:rPr>
          <w:rFonts w:hint="cs"/>
          <w:rtl/>
          <w:lang w:bidi="ar-EG"/>
        </w:rPr>
        <w:t>واستهدف ا</w:t>
      </w:r>
      <w:r w:rsidR="00154783" w:rsidRPr="003049A9">
        <w:rPr>
          <w:rFonts w:hint="cs"/>
          <w:rtl/>
          <w:lang w:bidi="ar-EG"/>
        </w:rPr>
        <w:t>لهيئات التشغ</w:t>
      </w:r>
      <w:r w:rsidR="006374CB" w:rsidRPr="003049A9">
        <w:rPr>
          <w:rFonts w:hint="cs"/>
          <w:rtl/>
          <w:lang w:bidi="ar-EG"/>
        </w:rPr>
        <w:t>ي</w:t>
      </w:r>
      <w:r w:rsidR="00154783" w:rsidRPr="003049A9">
        <w:rPr>
          <w:rFonts w:hint="cs"/>
          <w:rtl/>
          <w:lang w:bidi="ar-EG"/>
        </w:rPr>
        <w:t xml:space="preserve">لية المعترف بها </w:t>
      </w:r>
      <w:r w:rsidR="00154783" w:rsidRPr="003049A9">
        <w:rPr>
          <w:lang w:bidi="ar-EG"/>
        </w:rPr>
        <w:t>(ROA)</w:t>
      </w:r>
      <w:r w:rsidR="00154783" w:rsidRPr="003049A9">
        <w:rPr>
          <w:rFonts w:hint="cs"/>
          <w:rtl/>
          <w:lang w:bidi="ar-EG"/>
        </w:rPr>
        <w:t>، و</w:t>
      </w:r>
      <w:r w:rsidR="006374CB" w:rsidRPr="003049A9">
        <w:rPr>
          <w:rFonts w:hint="cs"/>
          <w:rtl/>
          <w:lang w:bidi="ar-EG"/>
        </w:rPr>
        <w:t xml:space="preserve">قد </w:t>
      </w:r>
      <w:r w:rsidR="00154783" w:rsidRPr="003049A9">
        <w:rPr>
          <w:rFonts w:hint="cs"/>
          <w:rtl/>
          <w:lang w:bidi="ar-EG"/>
        </w:rPr>
        <w:t>قوبل ببالغ التقدير وأثار ا</w:t>
      </w:r>
      <w:r w:rsidR="006374CB" w:rsidRPr="003049A9">
        <w:rPr>
          <w:rFonts w:hint="cs"/>
          <w:rtl/>
          <w:lang w:bidi="ar-EG"/>
        </w:rPr>
        <w:t xml:space="preserve">هتمام أعضاء محتملين. </w:t>
      </w:r>
      <w:r w:rsidR="006374CB" w:rsidRPr="003049A9">
        <w:rPr>
          <w:rFonts w:hint="cs"/>
          <w:rtl/>
        </w:rPr>
        <w:t xml:space="preserve">وسيُعقد حدث المحادثات التكنولوجية الثاني في </w:t>
      </w:r>
      <w:r w:rsidR="006374CB" w:rsidRPr="003049A9">
        <w:t>27</w:t>
      </w:r>
      <w:r w:rsidR="006374CB" w:rsidRPr="003049A9">
        <w:rPr>
          <w:rFonts w:hint="cs"/>
          <w:rtl/>
          <w:lang w:bidi="ar-EG"/>
        </w:rPr>
        <w:t xml:space="preserve"> أبريل</w:t>
      </w:r>
      <w:r w:rsidR="004B019B">
        <w:rPr>
          <w:rFonts w:hint="cs"/>
          <w:rtl/>
          <w:lang w:bidi="ar-EG"/>
        </w:rPr>
        <w:t xml:space="preserve"> </w:t>
      </w:r>
      <w:r w:rsidR="006374CB" w:rsidRPr="003049A9">
        <w:rPr>
          <w:lang w:bidi="ar-EG"/>
        </w:rPr>
        <w:t>2021</w:t>
      </w:r>
      <w:r w:rsidR="004B019B">
        <w:rPr>
          <w:rFonts w:hint="cs"/>
          <w:rtl/>
          <w:lang w:bidi="ar-EG"/>
        </w:rPr>
        <w:t xml:space="preserve"> </w:t>
      </w:r>
      <w:r w:rsidR="006374CB" w:rsidRPr="003049A9">
        <w:rPr>
          <w:rFonts w:hint="cs"/>
          <w:rtl/>
          <w:lang w:bidi="ar-EG"/>
        </w:rPr>
        <w:t>لفئة المنظمات العلمية والصناعية</w:t>
      </w:r>
      <w:r w:rsidR="00542D27">
        <w:rPr>
          <w:rFonts w:hint="eastAsia"/>
          <w:rtl/>
          <w:lang w:bidi="ar-EG"/>
        </w:rPr>
        <w:t> </w:t>
      </w:r>
      <w:r w:rsidR="006374CB" w:rsidRPr="003049A9">
        <w:rPr>
          <w:lang w:bidi="ar-EG"/>
        </w:rPr>
        <w:t>(SIO)</w:t>
      </w:r>
      <w:r w:rsidR="006374CB" w:rsidRPr="003049A9">
        <w:rPr>
          <w:rFonts w:hint="cs"/>
          <w:rtl/>
          <w:lang w:bidi="ar-EG"/>
        </w:rPr>
        <w:t xml:space="preserve"> وستعقبه محادثات لفئات أخرى من الأعضاء خلال العام.</w:t>
      </w:r>
    </w:p>
    <w:p w14:paraId="648C8552" w14:textId="3335E7CD" w:rsidR="00FE19F6" w:rsidRPr="003049A9" w:rsidRDefault="00FE19F6" w:rsidP="00FE19F6">
      <w:pPr>
        <w:pStyle w:val="enumlev10"/>
        <w:rPr>
          <w:rtl/>
          <w:lang w:bidi="ar-EG"/>
        </w:rPr>
      </w:pPr>
      <w:r w:rsidRPr="003049A9">
        <w:rPr>
          <w:rFonts w:hint="cs"/>
          <w:rtl/>
        </w:rPr>
        <w:t>-</w:t>
      </w:r>
      <w:r w:rsidRPr="003049A9">
        <w:rPr>
          <w:rtl/>
        </w:rPr>
        <w:tab/>
      </w:r>
      <w:r w:rsidR="00BC0B38" w:rsidRPr="003049A9">
        <w:rPr>
          <w:rFonts w:hint="cs"/>
          <w:rtl/>
        </w:rPr>
        <w:t>يشكل</w:t>
      </w:r>
      <w:r w:rsidR="006374CB" w:rsidRPr="003049A9">
        <w:rPr>
          <w:rFonts w:hint="cs"/>
          <w:rtl/>
          <w:lang w:bidi="ar-EG"/>
        </w:rPr>
        <w:t xml:space="preserve"> </w:t>
      </w:r>
      <w:r w:rsidR="00BC0B38" w:rsidRPr="003049A9">
        <w:rPr>
          <w:rFonts w:hint="cs"/>
          <w:b/>
          <w:bCs/>
          <w:rtl/>
          <w:lang w:bidi="ar-EG"/>
        </w:rPr>
        <w:t>بناء قدرات الموظفين في قضايا العضوية</w:t>
      </w:r>
      <w:r w:rsidR="00BC0B38" w:rsidRPr="003049A9">
        <w:rPr>
          <w:rFonts w:hint="cs"/>
          <w:rtl/>
          <w:lang w:bidi="ar-EG"/>
        </w:rPr>
        <w:t xml:space="preserve"> عنصراً جوهرياً في نجاح النهج الاستراتيجي لعضوية قطاع تنمية الاتصالات بالاتحاد المطبَّق على نطاق مكتب تنمية الاتصالات. إذ يرمي إلى </w:t>
      </w:r>
      <w:r w:rsidR="00A9513F" w:rsidRPr="003049A9">
        <w:rPr>
          <w:rFonts w:hint="cs"/>
          <w:rtl/>
          <w:lang w:bidi="ar-EG"/>
        </w:rPr>
        <w:t>توعية</w:t>
      </w:r>
      <w:r w:rsidR="00BC0B38" w:rsidRPr="003049A9">
        <w:rPr>
          <w:rFonts w:hint="cs"/>
          <w:rtl/>
          <w:lang w:bidi="ar-EG"/>
        </w:rPr>
        <w:t xml:space="preserve"> </w:t>
      </w:r>
      <w:r w:rsidR="00A9513F" w:rsidRPr="003049A9">
        <w:rPr>
          <w:rFonts w:hint="cs"/>
          <w:rtl/>
          <w:lang w:bidi="ar-EG"/>
        </w:rPr>
        <w:t>ا</w:t>
      </w:r>
      <w:r w:rsidR="00BC0B38" w:rsidRPr="003049A9">
        <w:rPr>
          <w:rFonts w:hint="cs"/>
          <w:rtl/>
          <w:lang w:bidi="ar-EG"/>
        </w:rPr>
        <w:t>لموظفين، الميدانيين والعاملين في</w:t>
      </w:r>
      <w:r w:rsidR="00542D27">
        <w:rPr>
          <w:rFonts w:hint="eastAsia"/>
          <w:rtl/>
          <w:lang w:bidi="ar-EG"/>
        </w:rPr>
        <w:t> </w:t>
      </w:r>
      <w:r w:rsidR="00BC0B38" w:rsidRPr="003049A9">
        <w:rPr>
          <w:rFonts w:hint="cs"/>
          <w:rtl/>
          <w:lang w:bidi="ar-EG"/>
        </w:rPr>
        <w:t>المقر</w:t>
      </w:r>
      <w:r w:rsidR="00A9513F" w:rsidRPr="003049A9">
        <w:rPr>
          <w:rFonts w:hint="cs"/>
          <w:rtl/>
          <w:lang w:bidi="ar-EG"/>
        </w:rPr>
        <w:t xml:space="preserve"> </w:t>
      </w:r>
      <w:r w:rsidR="00BC0B38" w:rsidRPr="003049A9">
        <w:rPr>
          <w:rFonts w:hint="cs"/>
          <w:rtl/>
          <w:lang w:bidi="ar-EG"/>
        </w:rPr>
        <w:t>على السواء</w:t>
      </w:r>
      <w:r w:rsidR="00A9513F" w:rsidRPr="003049A9">
        <w:rPr>
          <w:rFonts w:hint="cs"/>
          <w:rtl/>
          <w:lang w:bidi="ar-EG"/>
        </w:rPr>
        <w:t>، وتعزيز قدرتهم على تحديد الأعضاء المحتملين واجتذابهم والإبقاء على الأعضاء القائمين. وقد</w:t>
      </w:r>
      <w:r w:rsidR="00613911" w:rsidRPr="003049A9">
        <w:rPr>
          <w:rFonts w:hint="cs"/>
          <w:rtl/>
          <w:lang w:bidi="ar-EG"/>
        </w:rPr>
        <w:t xml:space="preserve"> عُقدت </w:t>
      </w:r>
      <w:r w:rsidR="00A9513F" w:rsidRPr="003049A9">
        <w:rPr>
          <w:rFonts w:hint="cs"/>
          <w:rtl/>
          <w:lang w:bidi="ar-EG"/>
        </w:rPr>
        <w:t xml:space="preserve">جلسات إحاطة مخصصة ومكيّفة بحسب </w:t>
      </w:r>
      <w:r w:rsidR="00613911" w:rsidRPr="003049A9">
        <w:rPr>
          <w:rFonts w:hint="cs"/>
          <w:rtl/>
          <w:lang w:bidi="ar-EG"/>
        </w:rPr>
        <w:t>الاحتياجات</w:t>
      </w:r>
      <w:r w:rsidR="00A9513F" w:rsidRPr="003049A9">
        <w:rPr>
          <w:rFonts w:hint="cs"/>
          <w:rtl/>
          <w:lang w:bidi="ar-EG"/>
        </w:rPr>
        <w:t xml:space="preserve"> لكل من الموظفين في كل من المناطق، وجرت توعي</w:t>
      </w:r>
      <w:r w:rsidR="00613911" w:rsidRPr="003049A9">
        <w:rPr>
          <w:rFonts w:hint="cs"/>
          <w:rtl/>
          <w:lang w:bidi="ar-EG"/>
        </w:rPr>
        <w:t>تهم</w:t>
      </w:r>
      <w:r w:rsidR="00A9513F" w:rsidRPr="003049A9">
        <w:rPr>
          <w:rFonts w:hint="cs"/>
          <w:rtl/>
          <w:lang w:bidi="ar-EG"/>
        </w:rPr>
        <w:t xml:space="preserve"> بأعمال الاتصال والإبقاء العامة وبالمواد والأدوات الترويجية القائمة والموارد</w:t>
      </w:r>
      <w:r w:rsidR="00613911" w:rsidRPr="003049A9">
        <w:rPr>
          <w:rFonts w:hint="cs"/>
          <w:rtl/>
          <w:lang w:bidi="ar-EG"/>
        </w:rPr>
        <w:t xml:space="preserve"> الترويجية</w:t>
      </w:r>
      <w:r w:rsidR="00A9513F" w:rsidRPr="003049A9">
        <w:rPr>
          <w:rFonts w:hint="cs"/>
          <w:rtl/>
          <w:lang w:bidi="ar-EG"/>
        </w:rPr>
        <w:t xml:space="preserve"> المتاحة. </w:t>
      </w:r>
      <w:r w:rsidR="00613911" w:rsidRPr="003049A9">
        <w:rPr>
          <w:rFonts w:hint="cs"/>
          <w:rtl/>
          <w:lang w:bidi="ar-EG"/>
        </w:rPr>
        <w:t xml:space="preserve">وأفادت </w:t>
      </w:r>
      <w:r w:rsidR="00A9513F" w:rsidRPr="003049A9">
        <w:rPr>
          <w:rFonts w:hint="cs"/>
          <w:rtl/>
          <w:lang w:bidi="ar-EG"/>
        </w:rPr>
        <w:t xml:space="preserve">هذه الجلسات في سد الثغرة المعرفية فيما يتعلق بقواعد وإجراءات ونُهُج </w:t>
      </w:r>
      <w:r w:rsidR="00931311" w:rsidRPr="003049A9">
        <w:rPr>
          <w:rFonts w:hint="cs"/>
          <w:rtl/>
          <w:lang w:bidi="ar-EG"/>
        </w:rPr>
        <w:t>العضوية وتحديات وفرص الإبقاء عليها.</w:t>
      </w:r>
    </w:p>
    <w:p w14:paraId="1AC960F1" w14:textId="6F0CB17D" w:rsidR="00FE19F6" w:rsidRPr="003049A9" w:rsidRDefault="00FE19F6" w:rsidP="00FE19F6">
      <w:pPr>
        <w:pStyle w:val="enumlev10"/>
        <w:rPr>
          <w:rtl/>
        </w:rPr>
      </w:pPr>
      <w:r w:rsidRPr="003049A9">
        <w:rPr>
          <w:rFonts w:hint="cs"/>
          <w:rtl/>
        </w:rPr>
        <w:t>-</w:t>
      </w:r>
      <w:r w:rsidRPr="003049A9">
        <w:rPr>
          <w:rtl/>
        </w:rPr>
        <w:tab/>
      </w:r>
      <w:r w:rsidR="00E32BF2" w:rsidRPr="003049A9">
        <w:rPr>
          <w:rFonts w:hint="cs"/>
          <w:b/>
          <w:bCs/>
          <w:rtl/>
        </w:rPr>
        <w:t>إقناع ال</w:t>
      </w:r>
      <w:r w:rsidR="006A03CF" w:rsidRPr="003049A9">
        <w:rPr>
          <w:rFonts w:hint="cs"/>
          <w:b/>
          <w:bCs/>
          <w:rtl/>
        </w:rPr>
        <w:t>عضو</w:t>
      </w:r>
      <w:r w:rsidR="00E32BF2" w:rsidRPr="003049A9">
        <w:rPr>
          <w:rFonts w:hint="cs"/>
          <w:b/>
          <w:bCs/>
          <w:rtl/>
        </w:rPr>
        <w:t xml:space="preserve"> </w:t>
      </w:r>
      <w:r w:rsidR="00BD6E3B" w:rsidRPr="003049A9">
        <w:rPr>
          <w:rFonts w:hint="cs"/>
          <w:b/>
          <w:bCs/>
          <w:rtl/>
        </w:rPr>
        <w:t>المحتمل انسحابه</w:t>
      </w:r>
      <w:r w:rsidR="00024480" w:rsidRPr="003049A9">
        <w:rPr>
          <w:rFonts w:hint="cs"/>
          <w:b/>
          <w:bCs/>
          <w:rtl/>
        </w:rPr>
        <w:t xml:space="preserve"> بالبقاء</w:t>
      </w:r>
      <w:r w:rsidR="00BD6E3B" w:rsidRPr="003049A9">
        <w:rPr>
          <w:rFonts w:hint="cs"/>
          <w:rtl/>
        </w:rPr>
        <w:t xml:space="preserve"> في </w:t>
      </w:r>
      <w:r w:rsidR="006A03CF" w:rsidRPr="003049A9">
        <w:rPr>
          <w:rFonts w:hint="cs"/>
          <w:rtl/>
        </w:rPr>
        <w:t>حال</w:t>
      </w:r>
      <w:r w:rsidR="00BD6E3B" w:rsidRPr="003049A9">
        <w:rPr>
          <w:rFonts w:hint="cs"/>
          <w:rtl/>
        </w:rPr>
        <w:t xml:space="preserve"> </w:t>
      </w:r>
      <w:r w:rsidR="006A03CF" w:rsidRPr="003049A9">
        <w:rPr>
          <w:rFonts w:hint="cs"/>
          <w:rtl/>
        </w:rPr>
        <w:t xml:space="preserve">إشارة أي من الأعضاء القائمين إلى اعتزامه الانسحاب من العضوية، وذلك بعقد جلسات مع العضو </w:t>
      </w:r>
      <w:r w:rsidR="00024480" w:rsidRPr="003049A9">
        <w:rPr>
          <w:rFonts w:hint="cs"/>
          <w:rtl/>
        </w:rPr>
        <w:t xml:space="preserve">المعني </w:t>
      </w:r>
      <w:r w:rsidR="00024480" w:rsidRPr="003049A9">
        <w:rPr>
          <w:rFonts w:hint="cs"/>
          <w:rtl/>
          <w:lang w:bidi="ar-EG"/>
        </w:rPr>
        <w:t xml:space="preserve">وجهاً لوجه </w:t>
      </w:r>
      <w:r w:rsidR="006A03CF" w:rsidRPr="003049A9">
        <w:rPr>
          <w:rFonts w:hint="cs"/>
          <w:rtl/>
        </w:rPr>
        <w:t>تستهدف فهم أسباب اعتزامه الانسحاب وإقناعه بالحفاظ على عضويته. وقد نجحت هذه الجلسات في عدة حالات عَدَل فيها مثل هؤلاء الأعضاء عن قرارهم.</w:t>
      </w:r>
      <w:r w:rsidR="00BD6E3B" w:rsidRPr="003049A9">
        <w:rPr>
          <w:rFonts w:hint="cs"/>
          <w:rtl/>
        </w:rPr>
        <w:t xml:space="preserve"> </w:t>
      </w:r>
    </w:p>
    <w:p w14:paraId="2B0F5AFD" w14:textId="360A8568" w:rsidR="00FE19F6" w:rsidRPr="003049A9" w:rsidRDefault="00FE19F6" w:rsidP="00FE19F6">
      <w:pPr>
        <w:pStyle w:val="enumlev10"/>
        <w:rPr>
          <w:rtl/>
          <w:lang w:bidi="ar-EG"/>
        </w:rPr>
      </w:pPr>
      <w:r w:rsidRPr="003049A9">
        <w:rPr>
          <w:rFonts w:hint="cs"/>
          <w:rtl/>
        </w:rPr>
        <w:t>-</w:t>
      </w:r>
      <w:r w:rsidRPr="003049A9">
        <w:rPr>
          <w:rtl/>
        </w:rPr>
        <w:tab/>
      </w:r>
      <w:r w:rsidR="00CD222E" w:rsidRPr="003049A9">
        <w:rPr>
          <w:rFonts w:hint="cs"/>
          <w:b/>
          <w:bCs/>
          <w:rtl/>
        </w:rPr>
        <w:t>اعتماد استراتيجية جديدة للعضوية،</w:t>
      </w:r>
      <w:r w:rsidR="00CD222E" w:rsidRPr="003049A9">
        <w:rPr>
          <w:rFonts w:hint="cs"/>
          <w:rtl/>
        </w:rPr>
        <w:t xml:space="preserve"> </w:t>
      </w:r>
      <w:r w:rsidR="000B5E52" w:rsidRPr="003049A9">
        <w:rPr>
          <w:rFonts w:hint="cs"/>
          <w:rtl/>
        </w:rPr>
        <w:t>تتواءم مع استراتيجية الشراكة وتعبئة الموارد واستراتيجية إدارة المشاريع</w:t>
      </w:r>
      <w:r w:rsidR="003521F6" w:rsidRPr="003049A9">
        <w:rPr>
          <w:rFonts w:hint="cs"/>
          <w:rtl/>
        </w:rPr>
        <w:t xml:space="preserve"> لضمان </w:t>
      </w:r>
      <w:r w:rsidR="00E32BF2" w:rsidRPr="003049A9">
        <w:rPr>
          <w:rFonts w:hint="cs"/>
          <w:rtl/>
          <w:lang w:bidi="ar-EG"/>
        </w:rPr>
        <w:t xml:space="preserve">الإثراء المتبادل فيما بين هذه </w:t>
      </w:r>
      <w:r w:rsidR="001D2046" w:rsidRPr="003049A9">
        <w:rPr>
          <w:rFonts w:hint="cs"/>
          <w:rtl/>
          <w:lang w:bidi="ar-EG"/>
        </w:rPr>
        <w:t>الأقسام</w:t>
      </w:r>
      <w:r w:rsidR="00542D27">
        <w:rPr>
          <w:rFonts w:hint="cs"/>
          <w:rtl/>
          <w:lang w:bidi="ar-EG"/>
        </w:rPr>
        <w:t xml:space="preserve"> </w:t>
      </w:r>
      <w:r w:rsidR="00E32BF2" w:rsidRPr="003049A9">
        <w:rPr>
          <w:rFonts w:hint="cs"/>
          <w:rtl/>
          <w:lang w:bidi="ar-EG"/>
        </w:rPr>
        <w:t>الثلاث</w:t>
      </w:r>
      <w:r w:rsidR="001D2046" w:rsidRPr="003049A9">
        <w:rPr>
          <w:rFonts w:hint="cs"/>
          <w:rtl/>
          <w:lang w:bidi="ar-EG"/>
        </w:rPr>
        <w:t>ة</w:t>
      </w:r>
      <w:r w:rsidR="00E32BF2" w:rsidRPr="003049A9">
        <w:rPr>
          <w:rFonts w:hint="cs"/>
          <w:rtl/>
          <w:lang w:bidi="ar-EG"/>
        </w:rPr>
        <w:t xml:space="preserve">. </w:t>
      </w:r>
    </w:p>
    <w:p w14:paraId="1DD6DCB1" w14:textId="11923231" w:rsidR="00FE19F6" w:rsidRPr="003049A9" w:rsidRDefault="00FE19F6" w:rsidP="00FE19F6">
      <w:pPr>
        <w:pStyle w:val="Heading1"/>
        <w:rPr>
          <w:rtl/>
          <w:lang w:val="en-US" w:bidi="ar-EG"/>
        </w:rPr>
      </w:pPr>
      <w:r w:rsidRPr="003049A9">
        <w:rPr>
          <w:rFonts w:hint="cs"/>
          <w:rtl/>
        </w:rPr>
        <w:lastRenderedPageBreak/>
        <w:t>5</w:t>
      </w:r>
      <w:r w:rsidRPr="003049A9">
        <w:rPr>
          <w:rtl/>
        </w:rPr>
        <w:tab/>
      </w:r>
      <w:r w:rsidR="006B6CD4" w:rsidRPr="003049A9">
        <w:rPr>
          <w:rFonts w:hint="cs"/>
          <w:rtl/>
          <w:lang w:val="en-US" w:bidi="ar-EG"/>
        </w:rPr>
        <w:t>الاستنتاجات</w:t>
      </w:r>
    </w:p>
    <w:p w14:paraId="76C9EA1C" w14:textId="5D8E7D0C" w:rsidR="00FE19F6" w:rsidRPr="003049A9" w:rsidRDefault="006B6CD4" w:rsidP="00FE19F6">
      <w:pPr>
        <w:pStyle w:val="enumlev10"/>
        <w:rPr>
          <w:rtl/>
        </w:rPr>
      </w:pPr>
      <w:r w:rsidRPr="003049A9">
        <w:rPr>
          <w:rFonts w:hint="cs"/>
          <w:rtl/>
        </w:rPr>
        <w:t>يعقد مكتب تنمية الاتصالات العزم على الاضطلاع بما يلي:</w:t>
      </w:r>
    </w:p>
    <w:p w14:paraId="55C16DAC" w14:textId="22576FAC" w:rsidR="000250CA" w:rsidRPr="003049A9" w:rsidRDefault="00542D27" w:rsidP="000250CA">
      <w:pPr>
        <w:pStyle w:val="enumlev10"/>
      </w:pPr>
      <w:r>
        <w:rPr>
          <w:rFonts w:hint="eastAsia"/>
          <w:rtl/>
        </w:rPr>
        <w:t> </w:t>
      </w:r>
      <w:proofErr w:type="gramStart"/>
      <w:r w:rsidR="000250CA" w:rsidRPr="003049A9">
        <w:rPr>
          <w:rFonts w:hint="cs"/>
          <w:rtl/>
        </w:rPr>
        <w:t>أ )</w:t>
      </w:r>
      <w:proofErr w:type="gramEnd"/>
      <w:r w:rsidR="000250CA" w:rsidRPr="003049A9">
        <w:rPr>
          <w:rtl/>
        </w:rPr>
        <w:tab/>
      </w:r>
      <w:r w:rsidR="006B6CD4" w:rsidRPr="00542D27">
        <w:rPr>
          <w:rFonts w:hint="cs"/>
          <w:spacing w:val="-4"/>
          <w:rtl/>
        </w:rPr>
        <w:t>مواصلة زيادة عدد أعضاء قطاع تنمية الاتصالات بالاتحاد، والإبقاء في الوقت ذاته على الأعضاء الحاليين بتقديم قيمة</w:t>
      </w:r>
      <w:r w:rsidR="00C87C00" w:rsidRPr="00542D27">
        <w:rPr>
          <w:rFonts w:hint="cs"/>
          <w:spacing w:val="-4"/>
          <w:rtl/>
        </w:rPr>
        <w:t xml:space="preserve"> إليهم</w:t>
      </w:r>
      <w:r w:rsidR="006B6CD4" w:rsidRPr="00542D27">
        <w:rPr>
          <w:rFonts w:hint="cs"/>
          <w:spacing w:val="-4"/>
          <w:rtl/>
        </w:rPr>
        <w:t>؛</w:t>
      </w:r>
    </w:p>
    <w:p w14:paraId="770C2B5B" w14:textId="2150C427" w:rsidR="00FE19F6" w:rsidRPr="003049A9" w:rsidRDefault="00FE19F6" w:rsidP="00C87C00">
      <w:pPr>
        <w:pStyle w:val="enumlev10"/>
        <w:rPr>
          <w:rtl/>
        </w:rPr>
      </w:pPr>
      <w:r w:rsidRPr="003049A9">
        <w:rPr>
          <w:rFonts w:hint="cs"/>
          <w:rtl/>
        </w:rPr>
        <w:t>ب)</w:t>
      </w:r>
      <w:r w:rsidRPr="003049A9">
        <w:rPr>
          <w:rtl/>
        </w:rPr>
        <w:tab/>
      </w:r>
      <w:r w:rsidR="006B6CD4" w:rsidRPr="003049A9">
        <w:rPr>
          <w:rFonts w:hint="cs"/>
          <w:rtl/>
        </w:rPr>
        <w:t xml:space="preserve">زيادة </w:t>
      </w:r>
      <w:r w:rsidR="00C87C00" w:rsidRPr="003049A9">
        <w:rPr>
          <w:rFonts w:hint="cs"/>
          <w:rtl/>
        </w:rPr>
        <w:t>إشراك</w:t>
      </w:r>
      <w:r w:rsidR="006B6CD4" w:rsidRPr="003049A9">
        <w:rPr>
          <w:rFonts w:hint="cs"/>
          <w:rtl/>
        </w:rPr>
        <w:t xml:space="preserve"> </w:t>
      </w:r>
      <w:r w:rsidR="00C87C00" w:rsidRPr="003049A9">
        <w:rPr>
          <w:rFonts w:hint="cs"/>
          <w:rtl/>
        </w:rPr>
        <w:t>أعضاء قطاع تنمية الاتصالات</w:t>
      </w:r>
      <w:r w:rsidR="006B6CD4" w:rsidRPr="003049A9">
        <w:rPr>
          <w:rFonts w:hint="cs"/>
          <w:rtl/>
        </w:rPr>
        <w:t xml:space="preserve"> في </w:t>
      </w:r>
      <w:r w:rsidR="00C87C00" w:rsidRPr="003049A9">
        <w:rPr>
          <w:rFonts w:hint="cs"/>
          <w:rtl/>
        </w:rPr>
        <w:t>أعمال القطاع وتهيئة أرض خصبة لإبرام شراكات واتفاقات لتعبئة الموارد تموَّل بموجبها مشاريع ومبادرات قوية التأثير؛</w:t>
      </w:r>
    </w:p>
    <w:p w14:paraId="284A618F" w14:textId="43FD320F" w:rsidR="000250CA" w:rsidRPr="003049A9" w:rsidRDefault="000250CA" w:rsidP="000250CA">
      <w:pPr>
        <w:pStyle w:val="enumlev10"/>
        <w:rPr>
          <w:rtl/>
        </w:rPr>
      </w:pPr>
      <w:r w:rsidRPr="003049A9">
        <w:rPr>
          <w:rFonts w:hint="cs"/>
          <w:rtl/>
        </w:rPr>
        <w:t>ج)</w:t>
      </w:r>
      <w:r w:rsidRPr="003049A9">
        <w:rPr>
          <w:rtl/>
        </w:rPr>
        <w:tab/>
      </w:r>
      <w:r w:rsidR="00C87C00" w:rsidRPr="003049A9">
        <w:rPr>
          <w:rFonts w:hint="cs"/>
          <w:rtl/>
        </w:rPr>
        <w:t>زيادة مشاركة أعضاء قطاع تنمية الاتصالات في أنشطة القطاع وأحداثه</w:t>
      </w:r>
      <w:r w:rsidR="00A85028" w:rsidRPr="003049A9">
        <w:rPr>
          <w:rFonts w:hint="cs"/>
          <w:rtl/>
        </w:rPr>
        <w:t xml:space="preserve"> ل</w:t>
      </w:r>
      <w:r w:rsidR="00B87F99" w:rsidRPr="003049A9">
        <w:rPr>
          <w:rFonts w:hint="cs"/>
          <w:rtl/>
        </w:rPr>
        <w:t>زيادة</w:t>
      </w:r>
      <w:r w:rsidR="00A85028" w:rsidRPr="003049A9">
        <w:rPr>
          <w:rFonts w:hint="cs"/>
          <w:rtl/>
        </w:rPr>
        <w:t xml:space="preserve"> تأثيرها؛</w:t>
      </w:r>
    </w:p>
    <w:p w14:paraId="02625AC1" w14:textId="77777777" w:rsidR="00804369" w:rsidRPr="003049A9" w:rsidRDefault="000250CA" w:rsidP="00804369">
      <w:pPr>
        <w:pStyle w:val="enumlev10"/>
        <w:rPr>
          <w:rtl/>
        </w:rPr>
      </w:pPr>
      <w:proofErr w:type="gramStart"/>
      <w:r w:rsidRPr="003049A9">
        <w:rPr>
          <w:rFonts w:hint="cs"/>
          <w:rtl/>
        </w:rPr>
        <w:t>د )</w:t>
      </w:r>
      <w:proofErr w:type="gramEnd"/>
      <w:r w:rsidRPr="003049A9">
        <w:rPr>
          <w:rtl/>
        </w:rPr>
        <w:tab/>
      </w:r>
      <w:r w:rsidRPr="003049A9">
        <w:rPr>
          <w:rFonts w:hint="cs"/>
          <w:rtl/>
        </w:rPr>
        <w:t xml:space="preserve">تحسين الأدوات والخدمات </w:t>
      </w:r>
      <w:r w:rsidR="00A85028" w:rsidRPr="003049A9">
        <w:rPr>
          <w:rFonts w:hint="cs"/>
          <w:rtl/>
        </w:rPr>
        <w:t>باستمرار</w:t>
      </w:r>
      <w:r w:rsidRPr="003049A9">
        <w:rPr>
          <w:rFonts w:hint="cs"/>
          <w:rtl/>
        </w:rPr>
        <w:t xml:space="preserve"> لتيسير </w:t>
      </w:r>
      <w:r w:rsidR="00A85028" w:rsidRPr="003049A9">
        <w:rPr>
          <w:rFonts w:hint="cs"/>
          <w:rtl/>
        </w:rPr>
        <w:t>إشراك الأعضاء ومشاركتهم</w:t>
      </w:r>
      <w:r w:rsidRPr="003049A9">
        <w:rPr>
          <w:rFonts w:hint="cs"/>
          <w:rtl/>
        </w:rPr>
        <w:t>.</w:t>
      </w:r>
    </w:p>
    <w:p w14:paraId="373A47E4" w14:textId="5DED3999" w:rsidR="008835F9" w:rsidRPr="00C07070" w:rsidRDefault="00C07070" w:rsidP="00C07070">
      <w:pPr>
        <w:spacing w:before="600"/>
        <w:jc w:val="center"/>
        <w:rPr>
          <w:rFonts w:ascii="Traditional Arabic" w:hAnsi="Traditional Arabic" w:cs="Traditional Arabic"/>
          <w:sz w:val="30"/>
          <w:szCs w:val="30"/>
          <w:rtl/>
        </w:rPr>
      </w:pPr>
      <w:r w:rsidRPr="00C07070">
        <w:rPr>
          <w:rFonts w:ascii="Traditional Arabic" w:hAnsi="Traditional Arabic" w:cs="Traditional Arabic"/>
          <w:sz w:val="30"/>
          <w:szCs w:val="30"/>
          <w:rtl/>
          <w:lang w:bidi="ar-EG"/>
        </w:rPr>
        <w:t>___________</w:t>
      </w:r>
    </w:p>
    <w:sectPr w:rsidR="008835F9" w:rsidRPr="00C07070" w:rsidSect="008E62E0">
      <w:headerReference w:type="default" r:id="rId11"/>
      <w:footerReference w:type="default" r:id="rId12"/>
      <w:footerReference w:type="first" r:id="rId13"/>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97B3" w14:textId="77777777" w:rsidR="00427ED1" w:rsidRDefault="00427ED1">
      <w:r>
        <w:separator/>
      </w:r>
    </w:p>
  </w:endnote>
  <w:endnote w:type="continuationSeparator" w:id="0">
    <w:p w14:paraId="710430D6" w14:textId="77777777" w:rsidR="00427ED1" w:rsidRDefault="0042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4A2D" w14:textId="7951269F" w:rsidR="00DA5DBE" w:rsidRPr="00542D27" w:rsidRDefault="00DA5DBE" w:rsidP="008835F9">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rPr>
    </w:pPr>
    <w:r w:rsidRPr="008835F9">
      <w:rPr>
        <w:sz w:val="16"/>
        <w:szCs w:val="16"/>
        <w:lang w:val="fr-FR"/>
      </w:rPr>
      <w:fldChar w:fldCharType="begin"/>
    </w:r>
    <w:r w:rsidRPr="00542D27">
      <w:rPr>
        <w:sz w:val="16"/>
        <w:szCs w:val="16"/>
      </w:rPr>
      <w:instrText xml:space="preserve"> FILENAME \p \* MERGEFORMAT </w:instrText>
    </w:r>
    <w:r w:rsidRPr="008835F9">
      <w:rPr>
        <w:sz w:val="16"/>
        <w:szCs w:val="16"/>
        <w:lang w:val="fr-FR"/>
      </w:rPr>
      <w:fldChar w:fldCharType="separate"/>
    </w:r>
    <w:r w:rsidR="00542D27" w:rsidRPr="00542D27">
      <w:rPr>
        <w:noProof/>
        <w:sz w:val="16"/>
        <w:szCs w:val="16"/>
      </w:rPr>
      <w:t>P:\ARA\ITU-D\CONF-D\TDAG21\000\012A.docx</w:t>
    </w:r>
    <w:r w:rsidRPr="008835F9">
      <w:rPr>
        <w:sz w:val="16"/>
        <w:szCs w:val="16"/>
        <w:lang w:val="en-US"/>
      </w:rPr>
      <w:fldChar w:fldCharType="end"/>
    </w:r>
    <w:proofErr w:type="gramStart"/>
    <w:r w:rsidRPr="008835F9">
      <w:rPr>
        <w:sz w:val="16"/>
        <w:szCs w:val="16"/>
        <w:lang w:val="en-US"/>
      </w:rPr>
      <w:t xml:space="preserve">  </w:t>
    </w:r>
    <w:r w:rsidRPr="00542D27">
      <w:rPr>
        <w:sz w:val="16"/>
        <w:szCs w:val="16"/>
      </w:rPr>
      <w:t xml:space="preserve"> (</w:t>
    </w:r>
    <w:proofErr w:type="gramEnd"/>
    <w:r w:rsidRPr="00542D27">
      <w:rPr>
        <w:sz w:val="16"/>
        <w:szCs w:val="16"/>
      </w:rPr>
      <w:t>486968)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8"/>
    </w:tblGrid>
    <w:tr w:rsidR="00DA5DBE" w:rsidRPr="00D10C01" w14:paraId="580DEA67" w14:textId="77777777" w:rsidTr="000250CA">
      <w:tc>
        <w:tcPr>
          <w:tcW w:w="1299" w:type="dxa"/>
          <w:tcBorders>
            <w:top w:val="single" w:sz="4" w:space="0" w:color="auto"/>
            <w:left w:val="nil"/>
            <w:bottom w:val="nil"/>
            <w:right w:val="nil"/>
          </w:tcBorders>
          <w:shd w:val="clear" w:color="auto" w:fill="FFFFFF" w:themeFill="background1"/>
          <w:hideMark/>
        </w:tcPr>
        <w:p w14:paraId="6648A61C" w14:textId="77777777" w:rsidR="00DA5DBE" w:rsidRPr="008E62E0" w:rsidRDefault="00DA5DBE" w:rsidP="000250CA">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0C195CA3" w14:textId="77777777" w:rsidR="00DA5DBE" w:rsidRPr="008E62E0" w:rsidRDefault="00DA5DBE" w:rsidP="000250CA">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2A2F4CB5" w14:textId="4C9682B3" w:rsidR="00DA5DBE" w:rsidRDefault="00DA5DBE" w:rsidP="000250CA">
          <w:pPr>
            <w:pStyle w:val="FirstFooter"/>
            <w:spacing w:before="120"/>
            <w:rPr>
              <w:rtl/>
            </w:rPr>
          </w:pPr>
          <w:r w:rsidRPr="006C66C5">
            <w:rPr>
              <w:rFonts w:hint="cs"/>
              <w:position w:val="2"/>
              <w:rtl/>
            </w:rPr>
            <w:t xml:space="preserve">الدكتور </w:t>
          </w:r>
          <w:proofErr w:type="spellStart"/>
          <w:r w:rsidRPr="006C66C5">
            <w:rPr>
              <w:rFonts w:hint="cs"/>
              <w:position w:val="2"/>
              <w:rtl/>
            </w:rPr>
            <w:t>كوسماس</w:t>
          </w:r>
          <w:proofErr w:type="spellEnd"/>
          <w:r w:rsidRPr="006C66C5">
            <w:rPr>
              <w:rFonts w:hint="cs"/>
              <w:position w:val="2"/>
              <w:rtl/>
            </w:rPr>
            <w:t xml:space="preserve"> </w:t>
          </w:r>
          <w:proofErr w:type="spellStart"/>
          <w:r w:rsidRPr="006C66C5">
            <w:rPr>
              <w:rFonts w:hint="cs"/>
              <w:position w:val="2"/>
              <w:rtl/>
            </w:rPr>
            <w:t>زافازافا</w:t>
          </w:r>
          <w:proofErr w:type="spellEnd"/>
          <w:r w:rsidRPr="006C66C5">
            <w:rPr>
              <w:rFonts w:hint="cs"/>
              <w:position w:val="2"/>
              <w:rtl/>
            </w:rPr>
            <w:t>، رئيس دائرة الشراكات من أجل التنمية الرقمية</w:t>
          </w:r>
          <w:r w:rsidR="00F310BD">
            <w:rPr>
              <w:rFonts w:hint="cs"/>
              <w:position w:val="2"/>
              <w:rtl/>
            </w:rPr>
            <w:t xml:space="preserve"> ب</w:t>
          </w:r>
          <w:r w:rsidRPr="006C66C5">
            <w:rPr>
              <w:rFonts w:hint="cs"/>
              <w:position w:val="2"/>
              <w:rtl/>
            </w:rPr>
            <w:t>مكتب تنمية الاتصالات</w:t>
          </w:r>
        </w:p>
      </w:tc>
    </w:tr>
    <w:tr w:rsidR="00DA5DBE" w:rsidRPr="00D10C01" w14:paraId="6ED487F1" w14:textId="77777777" w:rsidTr="000250CA">
      <w:tc>
        <w:tcPr>
          <w:tcW w:w="1299" w:type="dxa"/>
        </w:tcPr>
        <w:p w14:paraId="28E64CC2" w14:textId="77777777" w:rsidR="00DA5DBE" w:rsidRPr="008E62E0" w:rsidRDefault="00DA5DBE" w:rsidP="000250CA">
          <w:pPr>
            <w:pStyle w:val="FirstFooter"/>
          </w:pPr>
        </w:p>
      </w:tc>
      <w:tc>
        <w:tcPr>
          <w:tcW w:w="2104" w:type="dxa"/>
          <w:hideMark/>
        </w:tcPr>
        <w:p w14:paraId="261B7210" w14:textId="77777777" w:rsidR="00DA5DBE" w:rsidRPr="008E62E0" w:rsidRDefault="00DA5DBE" w:rsidP="000250CA">
          <w:pPr>
            <w:pStyle w:val="FirstFooter"/>
          </w:pPr>
          <w:r w:rsidRPr="008E62E0">
            <w:rPr>
              <w:rtl/>
              <w:lang w:bidi="ar-EG"/>
            </w:rPr>
            <w:t>رقم الهاتف:</w:t>
          </w:r>
        </w:p>
      </w:tc>
      <w:tc>
        <w:tcPr>
          <w:tcW w:w="6238" w:type="dxa"/>
        </w:tcPr>
        <w:p w14:paraId="23C9F1D1" w14:textId="242088F2" w:rsidR="00DA5DBE" w:rsidRDefault="00DA5DBE" w:rsidP="000250CA">
          <w:pPr>
            <w:pStyle w:val="FirstFooter"/>
            <w:rPr>
              <w:rtl/>
            </w:rPr>
          </w:pPr>
          <w:r w:rsidRPr="00227C87">
            <w:rPr>
              <w:position w:val="2"/>
              <w:lang w:bidi="ar-EG"/>
            </w:rPr>
            <w:t>+41 22 730 5447</w:t>
          </w:r>
        </w:p>
      </w:tc>
    </w:tr>
    <w:tr w:rsidR="00DA5DBE" w:rsidRPr="00D10C01" w14:paraId="448DA42C" w14:textId="77777777" w:rsidTr="000250CA">
      <w:tc>
        <w:tcPr>
          <w:tcW w:w="1299" w:type="dxa"/>
        </w:tcPr>
        <w:p w14:paraId="6A7020F5" w14:textId="77777777" w:rsidR="00DA5DBE" w:rsidRPr="008E62E0" w:rsidRDefault="00DA5DBE" w:rsidP="000250CA">
          <w:pPr>
            <w:pStyle w:val="FirstFooter"/>
          </w:pPr>
        </w:p>
      </w:tc>
      <w:tc>
        <w:tcPr>
          <w:tcW w:w="2104" w:type="dxa"/>
          <w:hideMark/>
        </w:tcPr>
        <w:p w14:paraId="6AAD534F" w14:textId="77777777" w:rsidR="00DA5DBE" w:rsidRPr="008E62E0" w:rsidRDefault="00DA5DBE" w:rsidP="000250CA">
          <w:pPr>
            <w:pStyle w:val="FirstFooter"/>
          </w:pPr>
          <w:r w:rsidRPr="008E62E0">
            <w:rPr>
              <w:rtl/>
              <w:lang w:bidi="ar-EG"/>
            </w:rPr>
            <w:t>البريد الإلكتروني:</w:t>
          </w:r>
        </w:p>
      </w:tc>
      <w:tc>
        <w:tcPr>
          <w:tcW w:w="6238" w:type="dxa"/>
        </w:tcPr>
        <w:p w14:paraId="0749D1EE" w14:textId="69D7DE78" w:rsidR="00DA5DBE" w:rsidRPr="008E62E0" w:rsidRDefault="000C2F59" w:rsidP="000250CA">
          <w:pPr>
            <w:pStyle w:val="FirstFooter"/>
            <w:rPr>
              <w:rtl/>
              <w:lang w:bidi="ar-EG"/>
            </w:rPr>
          </w:pPr>
          <w:hyperlink r:id="rId1" w:history="1">
            <w:r w:rsidR="00542D27" w:rsidRPr="00B36565">
              <w:rPr>
                <w:rStyle w:val="Hyperlink"/>
                <w:lang w:val="en-US"/>
              </w:rPr>
              <w:t>Cosmas.zavazava@itu.int</w:t>
            </w:r>
          </w:hyperlink>
        </w:p>
      </w:tc>
    </w:tr>
  </w:tbl>
  <w:p w14:paraId="08E00D18" w14:textId="77777777" w:rsidR="00DA5DBE" w:rsidRPr="00D43388" w:rsidRDefault="000C2F59" w:rsidP="00864BDD">
    <w:pPr>
      <w:bidi w:val="0"/>
      <w:jc w:val="center"/>
      <w:rPr>
        <w:sz w:val="20"/>
        <w:szCs w:val="16"/>
        <w:lang w:val="en-US"/>
      </w:rPr>
    </w:pPr>
    <w:hyperlink r:id="rId2" w:history="1">
      <w:r w:rsidR="00DA5DBE">
        <w:rPr>
          <w:rStyle w:val="Hyperlink"/>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E4CE" w14:textId="77777777" w:rsidR="00427ED1" w:rsidRDefault="00427ED1">
      <w:r>
        <w:separator/>
      </w:r>
    </w:p>
  </w:footnote>
  <w:footnote w:type="continuationSeparator" w:id="0">
    <w:p w14:paraId="0461F8E6" w14:textId="77777777" w:rsidR="00427ED1" w:rsidRDefault="00427ED1">
      <w:r>
        <w:continuationSeparator/>
      </w:r>
    </w:p>
  </w:footnote>
  <w:footnote w:id="1">
    <w:p w14:paraId="56D4ADD1" w14:textId="1598A50C" w:rsidR="00DA5DBE" w:rsidRPr="00542D27" w:rsidRDefault="00DA5DBE" w:rsidP="00542D27">
      <w:pPr>
        <w:pStyle w:val="FootnoteText"/>
        <w:spacing w:after="120"/>
        <w:rPr>
          <w:rtl/>
          <w:lang w:bidi="ar-EG"/>
        </w:rPr>
      </w:pPr>
      <w:r w:rsidRPr="00542D27">
        <w:rPr>
          <w:rStyle w:val="FootnoteReference"/>
        </w:rPr>
        <w:footnoteRef/>
      </w:r>
      <w:r w:rsidRPr="00542D27">
        <w:tab/>
      </w:r>
      <w:r w:rsidRPr="00542D27">
        <w:rPr>
          <w:rFonts w:hint="cs"/>
          <w:spacing w:val="-4"/>
          <w:rtl/>
        </w:rPr>
        <w:t xml:space="preserve">يرجى الرجوع إلى القرار </w:t>
      </w:r>
      <w:r w:rsidRPr="00542D27">
        <w:rPr>
          <w:spacing w:val="-4"/>
          <w:lang w:bidi="ar-EG"/>
        </w:rPr>
        <w:t>169</w:t>
      </w:r>
      <w:r w:rsidRPr="00542D27">
        <w:rPr>
          <w:rFonts w:hint="cs"/>
          <w:spacing w:val="-4"/>
          <w:rtl/>
        </w:rPr>
        <w:t xml:space="preserve"> (غوادالاخارا، </w:t>
      </w:r>
      <w:r w:rsidRPr="00542D27">
        <w:rPr>
          <w:spacing w:val="-4"/>
          <w:lang w:bidi="ar-EG"/>
        </w:rPr>
        <w:t>2010</w:t>
      </w:r>
      <w:r w:rsidRPr="00542D27">
        <w:rPr>
          <w:rFonts w:hint="cs"/>
          <w:spacing w:val="-4"/>
          <w:rtl/>
        </w:rPr>
        <w:t>) لمؤتمر المندوبين المفوضين، المنشِئ لفئة ا</w:t>
      </w:r>
      <w:r w:rsidRPr="00542D27">
        <w:rPr>
          <w:spacing w:val="-4"/>
          <w:rtl/>
        </w:rPr>
        <w:t xml:space="preserve">لهيئات الأكاديمية </w:t>
      </w:r>
      <w:r w:rsidRPr="00542D27">
        <w:rPr>
          <w:rFonts w:hint="cs"/>
          <w:spacing w:val="-4"/>
          <w:rtl/>
        </w:rPr>
        <w:t>كفئة جديدة ت</w:t>
      </w:r>
      <w:r w:rsidRPr="00542D27">
        <w:rPr>
          <w:spacing w:val="-4"/>
          <w:rtl/>
        </w:rPr>
        <w:t>شارك في أعمال الاتحاد</w:t>
      </w:r>
      <w:r w:rsidRPr="00542D27">
        <w:rPr>
          <w:spacing w:val="-4"/>
          <w:lang w:bidi="ar-EG"/>
        </w:rPr>
        <w:t>.</w:t>
      </w:r>
    </w:p>
  </w:footnote>
  <w:footnote w:id="2">
    <w:p w14:paraId="1CDD99E4" w14:textId="77777777" w:rsidR="00DA5DBE" w:rsidRPr="00542D27" w:rsidRDefault="00DA5DBE" w:rsidP="000250CA">
      <w:pPr>
        <w:pStyle w:val="FootnoteText"/>
        <w:rPr>
          <w:rtl/>
          <w:lang w:bidi="ar-EG"/>
        </w:rPr>
      </w:pPr>
      <w:r w:rsidRPr="00542D27">
        <w:rPr>
          <w:rStyle w:val="FootnoteReference"/>
        </w:rPr>
        <w:footnoteRef/>
      </w:r>
      <w:r w:rsidRPr="00542D27">
        <w:rPr>
          <w:rtl/>
        </w:rPr>
        <w:t xml:space="preserve"> </w:t>
      </w:r>
      <w:r w:rsidRPr="00542D27">
        <w:tab/>
      </w:r>
      <w:r w:rsidRPr="00542D27">
        <w:rPr>
          <w:rtl/>
        </w:rPr>
        <w:t xml:space="preserve">القرار 71 (المراجَع في بوينس آيرس، 2017) - </w:t>
      </w:r>
      <w:r w:rsidRPr="00542D27">
        <w:rPr>
          <w:rFonts w:hint="cs"/>
          <w:rtl/>
        </w:rPr>
        <w:t>"</w:t>
      </w:r>
      <w:r w:rsidRPr="00542D27">
        <w:rPr>
          <w:rtl/>
        </w:rPr>
        <w:t>تعزيز التعاون بين الدول الأعضاء</w:t>
      </w:r>
      <w:r w:rsidRPr="00542D27">
        <w:rPr>
          <w:rFonts w:hint="cs"/>
          <w:rtl/>
        </w:rPr>
        <w:t xml:space="preserve"> </w:t>
      </w:r>
      <w:r w:rsidRPr="00542D27">
        <w:rPr>
          <w:rtl/>
        </w:rPr>
        <w:t>وأعضاء قطاع تنمية الاتصالات والمنتسبين إليه والهيئات الأكاديمية المنضمة إليه</w:t>
      </w:r>
      <w:r w:rsidRPr="00542D27">
        <w:rPr>
          <w:rFonts w:hint="cs"/>
          <w:rtl/>
        </w:rPr>
        <w:t xml:space="preserve"> </w:t>
      </w:r>
      <w:r w:rsidRPr="00542D27">
        <w:rPr>
          <w:rtl/>
        </w:rPr>
        <w:t>وتطوُّر دور القطاع الخاص في قطاع تنمية الاتصالات بالاتحاد</w:t>
      </w:r>
      <w:r w:rsidRPr="00542D27">
        <w:rPr>
          <w:rFonts w:hint="cs"/>
          <w:rtl/>
        </w:rPr>
        <w:t>"</w:t>
      </w:r>
      <w:r w:rsidRPr="00542D27">
        <w:rPr>
          <w:rFonts w:hint="cs"/>
          <w:rtl/>
          <w:lang w:bidi="ar-EG"/>
        </w:rPr>
        <w:t>.</w:t>
      </w:r>
    </w:p>
  </w:footnote>
  <w:footnote w:id="3">
    <w:p w14:paraId="7C657BC4" w14:textId="1C007735" w:rsidR="00DA5DBE" w:rsidRPr="00542D27" w:rsidRDefault="00DA5DBE" w:rsidP="00697B81">
      <w:pPr>
        <w:pStyle w:val="FootnoteText"/>
        <w:rPr>
          <w:lang w:bidi="ar-EG"/>
        </w:rPr>
      </w:pPr>
      <w:r w:rsidRPr="00542D27">
        <w:rPr>
          <w:rStyle w:val="FootnoteReference"/>
        </w:rPr>
        <w:footnoteRef/>
      </w:r>
      <w:r w:rsidRPr="00542D27">
        <w:rPr>
          <w:rtl/>
        </w:rPr>
        <w:t xml:space="preserve"> </w:t>
      </w:r>
      <w:r w:rsidRPr="00542D27">
        <w:rPr>
          <w:rtl/>
        </w:rPr>
        <w:tab/>
      </w:r>
      <w:r w:rsidRPr="00542D27">
        <w:rPr>
          <w:rFonts w:hint="cs"/>
          <w:rtl/>
        </w:rPr>
        <w:t xml:space="preserve">يرجى الرجوع إلى القرار </w:t>
      </w:r>
      <w:r w:rsidRPr="00542D27">
        <w:t>169</w:t>
      </w:r>
      <w:r w:rsidRPr="00542D27">
        <w:rPr>
          <w:rFonts w:hint="cs"/>
          <w:rtl/>
        </w:rPr>
        <w:t xml:space="preserve"> (غوادالاخارا، </w:t>
      </w:r>
      <w:r w:rsidRPr="00542D27">
        <w:t>2010</w:t>
      </w:r>
      <w:r w:rsidRPr="00542D27">
        <w:rPr>
          <w:rFonts w:hint="cs"/>
          <w:rtl/>
        </w:rPr>
        <w:t>) لمؤتمر المندوبين المفوضين</w:t>
      </w:r>
      <w:r w:rsidRPr="00542D27">
        <w:rPr>
          <w:rFonts w:hint="cs"/>
          <w:color w:val="000000"/>
          <w:rtl/>
        </w:rPr>
        <w:t xml:space="preserve">، </w:t>
      </w:r>
      <w:r w:rsidRPr="00542D27">
        <w:rPr>
          <w:rFonts w:hint="cs"/>
          <w:spacing w:val="-4"/>
          <w:rtl/>
        </w:rPr>
        <w:t>المنشِئ لفئة ا</w:t>
      </w:r>
      <w:r w:rsidRPr="00542D27">
        <w:rPr>
          <w:spacing w:val="-4"/>
          <w:rtl/>
        </w:rPr>
        <w:t xml:space="preserve">لهيئات الأكاديمية </w:t>
      </w:r>
      <w:r w:rsidRPr="00542D27">
        <w:rPr>
          <w:rFonts w:hint="cs"/>
          <w:spacing w:val="-4"/>
          <w:rtl/>
        </w:rPr>
        <w:t>كفئة جديدة ت</w:t>
      </w:r>
      <w:r w:rsidRPr="00542D27">
        <w:rPr>
          <w:spacing w:val="-4"/>
          <w:rtl/>
        </w:rPr>
        <w:t>شارك في أعمال الاتحاد</w:t>
      </w:r>
      <w:r w:rsidRPr="00542D27">
        <w:rPr>
          <w:rFonts w:hint="cs"/>
          <w:rtl/>
        </w:rPr>
        <w:t>.</w:t>
      </w:r>
    </w:p>
  </w:footnote>
  <w:footnote w:id="4">
    <w:p w14:paraId="5C4A1A64" w14:textId="72526D02" w:rsidR="00DA5DBE" w:rsidRPr="00542D27" w:rsidRDefault="00DA5DBE" w:rsidP="000250CA">
      <w:pPr>
        <w:pStyle w:val="FootnoteText"/>
      </w:pPr>
      <w:r w:rsidRPr="00542D27">
        <w:rPr>
          <w:rStyle w:val="FootnoteReference"/>
        </w:rPr>
        <w:footnoteRef/>
      </w:r>
      <w:r w:rsidRPr="00542D27">
        <w:rPr>
          <w:rtl/>
        </w:rPr>
        <w:t xml:space="preserve"> </w:t>
      </w:r>
      <w:r w:rsidRPr="00542D27">
        <w:rPr>
          <w:rtl/>
        </w:rPr>
        <w:tab/>
      </w:r>
      <w:r w:rsidRPr="00542D27">
        <w:rPr>
          <w:rFonts w:hint="cs"/>
          <w:rtl/>
        </w:rPr>
        <w:t>تشارك الهيئات الأكاديمية الأعضاء في أعمال قطاعات الاتحاد الثلاثة، بما في ذلك الأفرقة الاستشارية التابعة لها. وتشار</w:t>
      </w:r>
      <w:r w:rsidRPr="00542D27">
        <w:rPr>
          <w:rFonts w:hint="cs"/>
          <w:rtl/>
          <w:lang w:bidi="ar-EG"/>
        </w:rPr>
        <w:t>ك هذه الهيئات أيضاً فيما يعقده الاتحاد من مؤتمرات وورش عمل وأنشطة أخرى على الصعيدين العالمي والإقليمي، باستثناء مؤتمرات المندوبين المفوضين والمؤتمرات العالمية للاتصالات الراديوية والمؤتمرات العالمية للاتصالات الدولية ومجلس الاتحاد، وبما يتوافق مع النظام الداخلي للقطاع المعني</w:t>
      </w:r>
      <w:r w:rsidRPr="00542D27">
        <w:rPr>
          <w:rFonts w:hint="cs"/>
          <w:rtl/>
        </w:rPr>
        <w:t>.</w:t>
      </w:r>
    </w:p>
  </w:footnote>
  <w:footnote w:id="5">
    <w:p w14:paraId="21E368D7" w14:textId="1D88E28A" w:rsidR="00DA5DBE" w:rsidRPr="00542D27" w:rsidRDefault="00DA5DBE" w:rsidP="00542D27">
      <w:pPr>
        <w:pStyle w:val="FootnoteText"/>
        <w:rPr>
          <w:rtl/>
          <w:lang w:bidi="ar-EG"/>
        </w:rPr>
      </w:pPr>
      <w:r w:rsidRPr="00542D27">
        <w:rPr>
          <w:rStyle w:val="FootnoteReference"/>
        </w:rPr>
        <w:footnoteRef/>
      </w:r>
      <w:r w:rsidRPr="00542D27">
        <w:rPr>
          <w:rtl/>
          <w:lang w:bidi="ar-EG"/>
        </w:rPr>
        <w:tab/>
      </w:r>
      <w:r w:rsidRPr="00542D27">
        <w:t>King Abdullah University of Science and Technology</w:t>
      </w:r>
      <w:r w:rsidRPr="00542D27">
        <w:rPr>
          <w:rFonts w:hint="cs"/>
          <w:rtl/>
        </w:rPr>
        <w:t xml:space="preserve"> (المملكة العربية السعودية)</w:t>
      </w:r>
      <w:r w:rsidRPr="00542D27">
        <w:rPr>
          <w:rtl/>
        </w:rPr>
        <w:t xml:space="preserve"> و</w:t>
      </w:r>
      <w:r w:rsidRPr="00542D27">
        <w:t>Universidad Nacional de San Luis</w:t>
      </w:r>
      <w:r w:rsidRPr="00542D27">
        <w:rPr>
          <w:rFonts w:hint="cs"/>
          <w:rtl/>
        </w:rPr>
        <w:t xml:space="preserve"> (الأرجنتين)</w:t>
      </w:r>
      <w:r w:rsidRPr="00542D27">
        <w:rPr>
          <w:rtl/>
        </w:rPr>
        <w:t xml:space="preserve"> و</w:t>
      </w:r>
      <w:r w:rsidRPr="00542D27">
        <w:t>Indian</w:t>
      </w:r>
      <w:r w:rsidR="00542D27">
        <w:t> </w:t>
      </w:r>
      <w:r w:rsidRPr="00542D27">
        <w:t>Institute of Technology Hyderabad</w:t>
      </w:r>
      <w:r w:rsidRPr="00542D27">
        <w:rPr>
          <w:rFonts w:hint="cs"/>
          <w:rtl/>
        </w:rPr>
        <w:t xml:space="preserve"> (الهند)</w:t>
      </w:r>
      <w:r w:rsidRPr="00542D27">
        <w:rPr>
          <w:rtl/>
        </w:rPr>
        <w:t xml:space="preserve"> و</w:t>
      </w:r>
      <w:r w:rsidRPr="00542D27">
        <w:t>Universidad Nacional de Río Cuarto</w:t>
      </w:r>
      <w:r w:rsidRPr="00542D27">
        <w:rPr>
          <w:rFonts w:hint="cs"/>
          <w:rtl/>
        </w:rPr>
        <w:t xml:space="preserve"> (الأرجنتين)</w:t>
      </w:r>
      <w:r w:rsidRPr="00542D27">
        <w:rPr>
          <w:rtl/>
        </w:rPr>
        <w:t xml:space="preserve"> و</w:t>
      </w:r>
      <w:r w:rsidRPr="00542D27">
        <w:t>Universidad Nacional de Tucumán</w:t>
      </w:r>
      <w:r w:rsidRPr="00542D27">
        <w:rPr>
          <w:rFonts w:hint="cs"/>
          <w:rtl/>
        </w:rPr>
        <w:t xml:space="preserve"> (الأرجنتين) </w:t>
      </w:r>
      <w:r w:rsidRPr="00542D27">
        <w:rPr>
          <w:rtl/>
        </w:rPr>
        <w:t>و</w:t>
      </w:r>
      <w:r w:rsidRPr="00542D27">
        <w:t>Universidad Nacional de Cordoba</w:t>
      </w:r>
      <w:r w:rsidRPr="00542D27">
        <w:rPr>
          <w:rFonts w:hint="cs"/>
          <w:rtl/>
        </w:rPr>
        <w:t xml:space="preserve"> (الأرجنتين) </w:t>
      </w:r>
      <w:r w:rsidRPr="00542D27">
        <w:rPr>
          <w:rtl/>
        </w:rPr>
        <w:t xml:space="preserve"> و</w:t>
      </w:r>
      <w:r w:rsidRPr="00542D27">
        <w:t xml:space="preserve">Ecole Polytechnique </w:t>
      </w:r>
      <w:proofErr w:type="spellStart"/>
      <w:r w:rsidRPr="00542D27">
        <w:t>Fédérale</w:t>
      </w:r>
      <w:proofErr w:type="spellEnd"/>
      <w:r w:rsidRPr="00542D27">
        <w:t xml:space="preserve"> de Lausanne</w:t>
      </w:r>
      <w:r w:rsidRPr="00542D27">
        <w:rPr>
          <w:rFonts w:hint="cs"/>
          <w:rtl/>
        </w:rPr>
        <w:t xml:space="preserve"> (سويسرا)</w:t>
      </w:r>
      <w:r w:rsidRPr="00542D27">
        <w:rPr>
          <w:rtl/>
        </w:rPr>
        <w:t xml:space="preserve"> و</w:t>
      </w:r>
      <w:r w:rsidRPr="00542D27">
        <w:t>Indian Institute of Technology Madras</w:t>
      </w:r>
      <w:r w:rsidRPr="00542D27">
        <w:rPr>
          <w:rFonts w:hint="cs"/>
          <w:rtl/>
        </w:rPr>
        <w:t xml:space="preserve"> (الهند)</w:t>
      </w:r>
      <w:r w:rsidRPr="00542D27">
        <w:rPr>
          <w:rtl/>
        </w:rPr>
        <w:t xml:space="preserve"> و</w:t>
      </w:r>
      <w:proofErr w:type="spellStart"/>
      <w:r w:rsidRPr="00542D27">
        <w:t>Szechenyi</w:t>
      </w:r>
      <w:proofErr w:type="spellEnd"/>
      <w:r w:rsidRPr="00542D27">
        <w:t xml:space="preserve"> Istvan University</w:t>
      </w:r>
      <w:r w:rsidRPr="00542D27">
        <w:rPr>
          <w:rFonts w:hint="cs"/>
          <w:rtl/>
        </w:rPr>
        <w:t xml:space="preserve"> (هنغاريا)</w:t>
      </w:r>
      <w:r w:rsidRPr="00542D27">
        <w:rPr>
          <w:rtl/>
        </w:rPr>
        <w:t xml:space="preserve"> و</w:t>
      </w:r>
      <w:r w:rsidRPr="00542D27">
        <w:t>The George Washington University</w:t>
      </w:r>
      <w:r w:rsidRPr="00542D27">
        <w:rPr>
          <w:rFonts w:hint="cs"/>
          <w:rtl/>
        </w:rPr>
        <w:t xml:space="preserve"> (الولايات المتحدة الأمريكية)</w:t>
      </w:r>
      <w:r w:rsidRPr="00542D27">
        <w:rPr>
          <w:rtl/>
        </w:rPr>
        <w:t xml:space="preserve"> و</w:t>
      </w:r>
      <w:r w:rsidRPr="00542D27">
        <w:t>Monash Data Futures Institute</w:t>
      </w:r>
      <w:r w:rsidRPr="00542D27">
        <w:rPr>
          <w:rFonts w:hint="cs"/>
          <w:rtl/>
        </w:rPr>
        <w:t xml:space="preserve"> (أستراليا)</w:t>
      </w:r>
      <w:r w:rsidRPr="00542D27">
        <w:rPr>
          <w:rtl/>
        </w:rPr>
        <w:t xml:space="preserve"> و</w:t>
      </w:r>
      <w:r w:rsidRPr="00542D27">
        <w:t>Council for Scientific and Industrial Research</w:t>
      </w:r>
      <w:r w:rsidRPr="00542D27">
        <w:rPr>
          <w:rFonts w:hint="cs"/>
          <w:rtl/>
        </w:rPr>
        <w:t xml:space="preserve"> (جنوب إفريقيا)</w:t>
      </w:r>
      <w:r w:rsidRPr="00542D27">
        <w:rPr>
          <w:rtl/>
        </w:rPr>
        <w:t xml:space="preserve"> و</w:t>
      </w:r>
      <w:r w:rsidRPr="00542D27">
        <w:t>Harbin Institute of Technology</w:t>
      </w:r>
      <w:r w:rsidRPr="00542D27">
        <w:rPr>
          <w:rFonts w:hint="cs"/>
          <w:rtl/>
        </w:rPr>
        <w:t xml:space="preserve"> (الصين)</w:t>
      </w:r>
      <w:r w:rsidRPr="00542D27">
        <w:rPr>
          <w:rtl/>
        </w:rPr>
        <w:t xml:space="preserve"> و</w:t>
      </w:r>
      <w:r w:rsidRPr="00542D27">
        <w:t>Wuhan University</w:t>
      </w:r>
      <w:r w:rsidRPr="00542D27">
        <w:rPr>
          <w:rFonts w:hint="cs"/>
          <w:rtl/>
        </w:rPr>
        <w:t xml:space="preserve"> (الصين)</w:t>
      </w:r>
      <w:r w:rsidRPr="00542D27">
        <w:rPr>
          <w:rtl/>
        </w:rPr>
        <w:t xml:space="preserve"> و</w:t>
      </w:r>
      <w:r w:rsidRPr="00542D27">
        <w:t>Huazhong University of Science &amp; Technology</w:t>
      </w:r>
      <w:r w:rsidRPr="00542D27">
        <w:rPr>
          <w:rFonts w:hint="cs"/>
          <w:rtl/>
        </w:rPr>
        <w:t xml:space="preserve"> (الصين)</w:t>
      </w:r>
      <w:r w:rsidRPr="00542D27">
        <w:rPr>
          <w:rtl/>
        </w:rPr>
        <w:t xml:space="preserve"> و</w:t>
      </w:r>
      <w:proofErr w:type="spellStart"/>
      <w:r w:rsidRPr="00542D27">
        <w:t>Northeastern</w:t>
      </w:r>
      <w:proofErr w:type="spellEnd"/>
      <w:r w:rsidRPr="00542D27">
        <w:t xml:space="preserve"> University</w:t>
      </w:r>
      <w:r w:rsidRPr="00542D27">
        <w:rPr>
          <w:rFonts w:hint="cs"/>
          <w:rtl/>
        </w:rPr>
        <w:t xml:space="preserve"> (الولايات المتحدة الأمريكية)</w:t>
      </w:r>
      <w:r w:rsidRPr="00542D27">
        <w:rPr>
          <w:rtl/>
        </w:rPr>
        <w:t xml:space="preserve"> و</w:t>
      </w:r>
      <w:r w:rsidRPr="00542D27">
        <w:t>Stanford University</w:t>
      </w:r>
      <w:r w:rsidRPr="00542D27">
        <w:rPr>
          <w:rFonts w:hint="cs"/>
          <w:rtl/>
        </w:rPr>
        <w:t xml:space="preserve"> (الولايات المتحدة الأمريكية)</w:t>
      </w:r>
      <w:r w:rsidRPr="00542D27">
        <w:rPr>
          <w:rtl/>
        </w:rPr>
        <w:t xml:space="preserve"> و</w:t>
      </w:r>
      <w:r w:rsidRPr="00542D27">
        <w:t>Shenyang Institute of Automation</w:t>
      </w:r>
      <w:r w:rsidRPr="00542D27">
        <w:rPr>
          <w:rFonts w:hint="cs"/>
          <w:rtl/>
        </w:rPr>
        <w:t xml:space="preserve"> (الصين)</w:t>
      </w:r>
      <w:r w:rsidRPr="00542D27">
        <w:rPr>
          <w:rtl/>
        </w:rPr>
        <w:t xml:space="preserve"> و</w:t>
      </w:r>
      <w:proofErr w:type="spellStart"/>
      <w:r w:rsidRPr="00542D27">
        <w:t>Northwestern</w:t>
      </w:r>
      <w:proofErr w:type="spellEnd"/>
      <w:r w:rsidRPr="00542D27">
        <w:t xml:space="preserve"> Polytechnical University</w:t>
      </w:r>
      <w:r w:rsidRPr="00542D27">
        <w:rPr>
          <w:rFonts w:hint="cs"/>
          <w:rtl/>
        </w:rPr>
        <w:t xml:space="preserve"> (الصين)</w:t>
      </w:r>
      <w:r w:rsidRPr="00542D27">
        <w:rPr>
          <w:rtl/>
        </w:rPr>
        <w:t xml:space="preserve"> و</w:t>
      </w:r>
      <w:r w:rsidRPr="00542D27">
        <w:t>Nanjing Research Institute of Next-generation Artificial Intelligence</w:t>
      </w:r>
      <w:r w:rsidRPr="00542D27">
        <w:rPr>
          <w:rtl/>
        </w:rPr>
        <w:t xml:space="preserve"> (الصين) و</w:t>
      </w:r>
      <w:r w:rsidRPr="00542D27">
        <w:t>Big Data Academy of the Institute of Computing Technology</w:t>
      </w:r>
      <w:r w:rsidRPr="00542D27">
        <w:rPr>
          <w:rtl/>
        </w:rPr>
        <w:t xml:space="preserve"> (الصين) و</w:t>
      </w:r>
      <w:r w:rsidRPr="00542D27">
        <w:t>SEISA University</w:t>
      </w:r>
      <w:r w:rsidR="00542D27">
        <w:rPr>
          <w:rFonts w:hint="cs"/>
          <w:rtl/>
        </w:rPr>
        <w:t xml:space="preserve"> (اليابان)</w:t>
      </w:r>
      <w:r w:rsidRPr="00542D27">
        <w:rPr>
          <w:rtl/>
        </w:rPr>
        <w:t xml:space="preserve"> و</w:t>
      </w:r>
      <w:r w:rsidRPr="00542D27">
        <w:t>State Grid Hubei Electric Power Research Institute</w:t>
      </w:r>
      <w:r w:rsidRPr="00542D27">
        <w:rPr>
          <w:rtl/>
        </w:rPr>
        <w:t xml:space="preserve"> (الصين) و</w:t>
      </w:r>
      <w:r w:rsidRPr="00542D27">
        <w:t>Tongji</w:t>
      </w:r>
      <w:r w:rsidR="00542D27">
        <w:t> </w:t>
      </w:r>
      <w:r w:rsidRPr="00542D27">
        <w:t>University</w:t>
      </w:r>
      <w:r w:rsidRPr="00542D27">
        <w:rPr>
          <w:rtl/>
        </w:rPr>
        <w:t xml:space="preserve"> (الصين) و</w:t>
      </w:r>
      <w:r w:rsidRPr="00542D27">
        <w:t xml:space="preserve">Private Institution Kostanay Engineering and Economics University named after M. </w:t>
      </w:r>
      <w:proofErr w:type="spellStart"/>
      <w:r w:rsidRPr="00542D27">
        <w:t>Dulatov</w:t>
      </w:r>
      <w:proofErr w:type="spellEnd"/>
      <w:r w:rsidRPr="00542D27">
        <w:rPr>
          <w:rFonts w:hint="cs"/>
          <w:rtl/>
        </w:rPr>
        <w:t xml:space="preserve"> (كازاخستان)</w:t>
      </w:r>
      <w:r w:rsidRPr="00542D27">
        <w:rPr>
          <w:rtl/>
        </w:rPr>
        <w:t xml:space="preserve"> و</w:t>
      </w:r>
      <w:r w:rsidRPr="00542D27">
        <w:t>Zhejiang</w:t>
      </w:r>
      <w:r w:rsidR="00542D27">
        <w:t> </w:t>
      </w:r>
      <w:r w:rsidRPr="00542D27">
        <w:t>Lab</w:t>
      </w:r>
      <w:r w:rsidRPr="00542D27">
        <w:rPr>
          <w:rtl/>
        </w:rPr>
        <w:t xml:space="preserve"> (الصين)</w:t>
      </w:r>
      <w:r w:rsidRPr="00542D27">
        <w:rPr>
          <w:rFonts w:hint="cs"/>
          <w:rtl/>
        </w:rPr>
        <w:t>.</w:t>
      </w:r>
    </w:p>
  </w:footnote>
  <w:footnote w:id="6">
    <w:p w14:paraId="65CE5CB0" w14:textId="07FED69D" w:rsidR="00DA5DBE" w:rsidRPr="00542D27" w:rsidRDefault="00DA5DBE">
      <w:pPr>
        <w:pStyle w:val="FootnoteText"/>
        <w:rPr>
          <w:rtl/>
          <w:lang w:val="en-US" w:bidi="ar-EG"/>
        </w:rPr>
      </w:pPr>
      <w:r w:rsidRPr="00542D27">
        <w:rPr>
          <w:rStyle w:val="FootnoteReference"/>
        </w:rPr>
        <w:footnoteRef/>
      </w:r>
      <w:r w:rsidRPr="00542D27">
        <w:rPr>
          <w:rtl/>
        </w:rPr>
        <w:t xml:space="preserve"> </w:t>
      </w:r>
      <w:r w:rsidRPr="00542D27">
        <w:rPr>
          <w:rFonts w:hint="cs"/>
          <w:rtl/>
          <w:lang w:bidi="ar-EG"/>
        </w:rPr>
        <w:t xml:space="preserve">تُقسَّم فئات </w:t>
      </w:r>
      <w:r w:rsidRPr="00542D27">
        <w:rPr>
          <w:rFonts w:hint="cs"/>
          <w:rtl/>
          <w:lang w:val="en-US" w:bidi="ar-EG"/>
        </w:rPr>
        <w:t xml:space="preserve">أعضاء قطاع تنمية الاتصالات بالاتحاد على النحو التالي: الهيئات التشغيلية المعترف بها </w:t>
      </w:r>
      <w:r w:rsidRPr="00542D27">
        <w:rPr>
          <w:lang w:val="en-US" w:bidi="ar-EG"/>
        </w:rPr>
        <w:t>(ROA)</w:t>
      </w:r>
      <w:r w:rsidRPr="00542D27">
        <w:rPr>
          <w:rFonts w:hint="cs"/>
          <w:rtl/>
          <w:lang w:val="en-US" w:bidi="ar-EG"/>
        </w:rPr>
        <w:t xml:space="preserve">، والمنظمات العلمية والصناعية </w:t>
      </w:r>
      <w:r w:rsidRPr="00542D27">
        <w:rPr>
          <w:lang w:val="en-US" w:bidi="ar-EG"/>
        </w:rPr>
        <w:t>(SIO)</w:t>
      </w:r>
      <w:r w:rsidRPr="00542D27">
        <w:rPr>
          <w:rFonts w:hint="cs"/>
          <w:rtl/>
          <w:lang w:val="en-US" w:bidi="ar-EG"/>
        </w:rPr>
        <w:t xml:space="preserve">، والمنظمات الإقليمية للاتصالات </w:t>
      </w:r>
      <w:r w:rsidRPr="00542D27">
        <w:rPr>
          <w:lang w:val="en-US" w:bidi="ar-EG"/>
        </w:rPr>
        <w:t>(REGORG)</w:t>
      </w:r>
      <w:r w:rsidRPr="00542D27">
        <w:rPr>
          <w:rFonts w:hint="cs"/>
          <w:rtl/>
          <w:lang w:val="en-US" w:bidi="ar-EG"/>
        </w:rPr>
        <w:t xml:space="preserve"> والمنظمات الإقليمية والمنظمات الدولية الأخرى </w:t>
      </w:r>
      <w:r w:rsidRPr="00542D27">
        <w:rPr>
          <w:lang w:val="en-US" w:bidi="ar-EG"/>
        </w:rPr>
        <w:t>(REGINTORG)</w:t>
      </w:r>
      <w:r w:rsidRPr="00542D27">
        <w:rPr>
          <w:rFonts w:hint="cs"/>
          <w:rtl/>
          <w:lang w:val="en-US" w:bidi="ar-EG"/>
        </w:rPr>
        <w:t xml:space="preserve">، والنظم الساتلية المشغَّلة التابعة لمنظمات حكومية دولية </w:t>
      </w:r>
      <w:r w:rsidRPr="00542D27">
        <w:rPr>
          <w:lang w:val="en-US" w:bidi="ar-EG"/>
        </w:rPr>
        <w:t>(SATORG)</w:t>
      </w:r>
      <w:r w:rsidRPr="00542D27">
        <w:rPr>
          <w:rFonts w:hint="cs"/>
          <w:rtl/>
          <w:lang w:val="en-US" w:bidi="ar-EG"/>
        </w:rPr>
        <w:t xml:space="preserve">، </w:t>
      </w:r>
      <w:r w:rsidRPr="00542D27">
        <w:rPr>
          <w:rFonts w:hint="eastAsia"/>
          <w:rtl/>
          <w:lang w:val="en-US" w:bidi="ar-EG"/>
        </w:rPr>
        <w:t>والهيئات</w:t>
      </w:r>
      <w:r w:rsidRPr="00542D27">
        <w:rPr>
          <w:rtl/>
          <w:lang w:val="en-US" w:bidi="ar-EG"/>
        </w:rPr>
        <w:t xml:space="preserve"> </w:t>
      </w:r>
      <w:r w:rsidRPr="00542D27">
        <w:rPr>
          <w:rFonts w:hint="eastAsia"/>
          <w:rtl/>
          <w:lang w:val="en-US" w:bidi="ar-EG"/>
        </w:rPr>
        <w:t>الأكاديمية</w:t>
      </w:r>
      <w:r w:rsidRPr="00542D27">
        <w:rPr>
          <w:rtl/>
          <w:lang w:val="en-US" w:bidi="ar-EG"/>
        </w:rPr>
        <w:t xml:space="preserve"> </w:t>
      </w:r>
      <w:r w:rsidRPr="00542D27">
        <w:rPr>
          <w:rFonts w:hint="eastAsia"/>
          <w:rtl/>
          <w:lang w:val="en-US" w:bidi="ar-EG"/>
        </w:rPr>
        <w:t>والمؤسسات</w:t>
      </w:r>
      <w:r w:rsidRPr="00542D27">
        <w:rPr>
          <w:rtl/>
          <w:lang w:val="en-US" w:bidi="ar-EG"/>
        </w:rPr>
        <w:t xml:space="preserve"> </w:t>
      </w:r>
      <w:r w:rsidRPr="00542D27">
        <w:rPr>
          <w:rFonts w:hint="eastAsia"/>
          <w:rtl/>
          <w:lang w:val="en-US" w:bidi="ar-EG"/>
        </w:rPr>
        <w:t>البحثية</w:t>
      </w:r>
      <w:r w:rsidRPr="00542D27">
        <w:rPr>
          <w:rtl/>
          <w:lang w:val="en-US" w:bidi="ar-EG"/>
        </w:rPr>
        <w:t>.</w:t>
      </w:r>
      <w:r w:rsidRPr="00542D27">
        <w:rPr>
          <w:rFonts w:hint="cs"/>
          <w:rtl/>
          <w:lang w:val="en-US" w:bidi="ar-EG"/>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4019" w14:textId="2304D259" w:rsidR="00DA5DBE" w:rsidRPr="008835F9" w:rsidRDefault="00DA5DBE"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Pr>
        <w:sz w:val="20"/>
        <w:szCs w:val="20"/>
        <w:lang w:val="es-ES_tradnl"/>
      </w:rPr>
      <w:t>TDAG</w:t>
    </w:r>
    <w:r w:rsidR="00542D27">
      <w:rPr>
        <w:sz w:val="20"/>
        <w:szCs w:val="20"/>
        <w:lang w:val="en-US"/>
      </w:rPr>
      <w:t>-</w:t>
    </w:r>
    <w:r>
      <w:rPr>
        <w:sz w:val="20"/>
        <w:szCs w:val="20"/>
        <w:lang w:val="es-ES_tradnl"/>
      </w:rPr>
      <w:t>21</w:t>
    </w:r>
    <w:r w:rsidRPr="008835F9">
      <w:rPr>
        <w:sz w:val="20"/>
        <w:szCs w:val="20"/>
        <w:lang w:val="es-ES_tradnl"/>
      </w:rPr>
      <w:t>/</w:t>
    </w:r>
    <w:bookmarkStart w:id="0" w:name="DocNo2"/>
    <w:bookmarkEnd w:id="0"/>
    <w:r>
      <w:rPr>
        <w:sz w:val="20"/>
        <w:szCs w:val="20"/>
        <w:lang w:val="es-ES_tradnl"/>
      </w:rPr>
      <w:t>12</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8.65pt;height:8.6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481214"/>
    <w:multiLevelType w:val="hybridMultilevel"/>
    <w:tmpl w:val="84961382"/>
    <w:lvl w:ilvl="0" w:tplc="E7F06A68">
      <w:numFmt w:val="bullet"/>
      <w:lvlText w:val="-"/>
      <w:lvlJc w:val="left"/>
      <w:pPr>
        <w:ind w:left="720" w:hanging="360"/>
      </w:pPr>
      <w:rPr>
        <w:rFonts w:ascii="Dubai" w:eastAsia="Times New Roman"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8"/>
  </w:num>
  <w:num w:numId="14">
    <w:abstractNumId w:val="12"/>
  </w:num>
  <w:num w:numId="15">
    <w:abstractNumId w:val="17"/>
  </w:num>
  <w:num w:numId="16">
    <w:abstractNumId w:val="31"/>
  </w:num>
  <w:num w:numId="17">
    <w:abstractNumId w:val="26"/>
  </w:num>
  <w:num w:numId="18">
    <w:abstractNumId w:val="13"/>
  </w:num>
  <w:num w:numId="19">
    <w:abstractNumId w:val="18"/>
  </w:num>
  <w:num w:numId="20">
    <w:abstractNumId w:val="23"/>
  </w:num>
  <w:num w:numId="21">
    <w:abstractNumId w:val="27"/>
  </w:num>
  <w:num w:numId="22">
    <w:abstractNumId w:val="16"/>
  </w:num>
  <w:num w:numId="23">
    <w:abstractNumId w:val="19"/>
  </w:num>
  <w:num w:numId="24">
    <w:abstractNumId w:val="25"/>
  </w:num>
  <w:num w:numId="25">
    <w:abstractNumId w:val="25"/>
  </w:num>
  <w:num w:numId="26">
    <w:abstractNumId w:val="20"/>
  </w:num>
  <w:num w:numId="27">
    <w:abstractNumId w:val="15"/>
  </w:num>
  <w:num w:numId="28">
    <w:abstractNumId w:val="29"/>
  </w:num>
  <w:num w:numId="29">
    <w:abstractNumId w:val="11"/>
  </w:num>
  <w:num w:numId="30">
    <w:abstractNumId w:val="22"/>
  </w:num>
  <w:num w:numId="31">
    <w:abstractNumId w:val="30"/>
  </w:num>
  <w:num w:numId="32">
    <w:abstractNumId w:val="2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0CA"/>
    <w:rsid w:val="00003125"/>
    <w:rsid w:val="00005245"/>
    <w:rsid w:val="00006684"/>
    <w:rsid w:val="00017BEC"/>
    <w:rsid w:val="00017E7D"/>
    <w:rsid w:val="00017E82"/>
    <w:rsid w:val="00020849"/>
    <w:rsid w:val="00021A72"/>
    <w:rsid w:val="000221F5"/>
    <w:rsid w:val="00022BFD"/>
    <w:rsid w:val="00024480"/>
    <w:rsid w:val="000250CA"/>
    <w:rsid w:val="000310F1"/>
    <w:rsid w:val="00032DD2"/>
    <w:rsid w:val="0003452E"/>
    <w:rsid w:val="00034BB9"/>
    <w:rsid w:val="000370A8"/>
    <w:rsid w:val="000470AE"/>
    <w:rsid w:val="0006050B"/>
    <w:rsid w:val="00080665"/>
    <w:rsid w:val="00085784"/>
    <w:rsid w:val="0009676A"/>
    <w:rsid w:val="000A0187"/>
    <w:rsid w:val="000A1E26"/>
    <w:rsid w:val="000A3328"/>
    <w:rsid w:val="000A6B54"/>
    <w:rsid w:val="000A7C89"/>
    <w:rsid w:val="000B5E52"/>
    <w:rsid w:val="000C2F59"/>
    <w:rsid w:val="000D0403"/>
    <w:rsid w:val="000D15A5"/>
    <w:rsid w:val="000D61A2"/>
    <w:rsid w:val="000D7961"/>
    <w:rsid w:val="000E1D4D"/>
    <w:rsid w:val="000E1F3F"/>
    <w:rsid w:val="000E397B"/>
    <w:rsid w:val="000F1580"/>
    <w:rsid w:val="0010000D"/>
    <w:rsid w:val="00115F0A"/>
    <w:rsid w:val="001229F6"/>
    <w:rsid w:val="00142E5C"/>
    <w:rsid w:val="00151478"/>
    <w:rsid w:val="0015200D"/>
    <w:rsid w:val="00154783"/>
    <w:rsid w:val="0015553B"/>
    <w:rsid w:val="00161A5A"/>
    <w:rsid w:val="00170AB9"/>
    <w:rsid w:val="00180258"/>
    <w:rsid w:val="00181928"/>
    <w:rsid w:val="001850AC"/>
    <w:rsid w:val="001856D7"/>
    <w:rsid w:val="00187E51"/>
    <w:rsid w:val="00192DBD"/>
    <w:rsid w:val="00193667"/>
    <w:rsid w:val="0019399A"/>
    <w:rsid w:val="001A4717"/>
    <w:rsid w:val="001A52E9"/>
    <w:rsid w:val="001A581E"/>
    <w:rsid w:val="001B1D9F"/>
    <w:rsid w:val="001B22C3"/>
    <w:rsid w:val="001B4B9B"/>
    <w:rsid w:val="001D2046"/>
    <w:rsid w:val="001D2DF3"/>
    <w:rsid w:val="001D3694"/>
    <w:rsid w:val="001E298F"/>
    <w:rsid w:val="001E33AB"/>
    <w:rsid w:val="001E3BCF"/>
    <w:rsid w:val="001E4FE0"/>
    <w:rsid w:val="002066B3"/>
    <w:rsid w:val="0021427F"/>
    <w:rsid w:val="002261A9"/>
    <w:rsid w:val="00227DBA"/>
    <w:rsid w:val="00235915"/>
    <w:rsid w:val="00250F30"/>
    <w:rsid w:val="00251D17"/>
    <w:rsid w:val="00252877"/>
    <w:rsid w:val="00254C2D"/>
    <w:rsid w:val="00262B06"/>
    <w:rsid w:val="00270C45"/>
    <w:rsid w:val="002748B0"/>
    <w:rsid w:val="00275198"/>
    <w:rsid w:val="0028054C"/>
    <w:rsid w:val="002869AF"/>
    <w:rsid w:val="00286A28"/>
    <w:rsid w:val="002900F9"/>
    <w:rsid w:val="002937C8"/>
    <w:rsid w:val="00295878"/>
    <w:rsid w:val="002A3A4E"/>
    <w:rsid w:val="002B02FE"/>
    <w:rsid w:val="002B1A8F"/>
    <w:rsid w:val="002B2265"/>
    <w:rsid w:val="002C67D8"/>
    <w:rsid w:val="002D0049"/>
    <w:rsid w:val="002E38BB"/>
    <w:rsid w:val="003049A9"/>
    <w:rsid w:val="003058DA"/>
    <w:rsid w:val="0030762F"/>
    <w:rsid w:val="00311BD3"/>
    <w:rsid w:val="00312685"/>
    <w:rsid w:val="0032378D"/>
    <w:rsid w:val="00334C18"/>
    <w:rsid w:val="003513DB"/>
    <w:rsid w:val="003521F6"/>
    <w:rsid w:val="00361490"/>
    <w:rsid w:val="0036243F"/>
    <w:rsid w:val="00385ABF"/>
    <w:rsid w:val="00392AF3"/>
    <w:rsid w:val="003935C5"/>
    <w:rsid w:val="00393694"/>
    <w:rsid w:val="003A6A11"/>
    <w:rsid w:val="003B75F4"/>
    <w:rsid w:val="003C29E2"/>
    <w:rsid w:val="003C78E4"/>
    <w:rsid w:val="003E20FF"/>
    <w:rsid w:val="00406F1F"/>
    <w:rsid w:val="004077C9"/>
    <w:rsid w:val="00414E6F"/>
    <w:rsid w:val="00415F06"/>
    <w:rsid w:val="00416D38"/>
    <w:rsid w:val="00421F93"/>
    <w:rsid w:val="00427ED1"/>
    <w:rsid w:val="00430CF5"/>
    <w:rsid w:val="004331DF"/>
    <w:rsid w:val="0043566B"/>
    <w:rsid w:val="004430CE"/>
    <w:rsid w:val="00457453"/>
    <w:rsid w:val="0046327F"/>
    <w:rsid w:val="00472A03"/>
    <w:rsid w:val="00474843"/>
    <w:rsid w:val="00475A24"/>
    <w:rsid w:val="00483063"/>
    <w:rsid w:val="00483313"/>
    <w:rsid w:val="00487A55"/>
    <w:rsid w:val="00496015"/>
    <w:rsid w:val="004A0340"/>
    <w:rsid w:val="004A090A"/>
    <w:rsid w:val="004A28F0"/>
    <w:rsid w:val="004A34DD"/>
    <w:rsid w:val="004A564F"/>
    <w:rsid w:val="004B019B"/>
    <w:rsid w:val="004C4C2E"/>
    <w:rsid w:val="004C4E14"/>
    <w:rsid w:val="004D04A5"/>
    <w:rsid w:val="004D0AC9"/>
    <w:rsid w:val="004D2D58"/>
    <w:rsid w:val="004D3DC4"/>
    <w:rsid w:val="004D495C"/>
    <w:rsid w:val="004E3824"/>
    <w:rsid w:val="004F09F8"/>
    <w:rsid w:val="00502BFC"/>
    <w:rsid w:val="00504609"/>
    <w:rsid w:val="00511EDF"/>
    <w:rsid w:val="00523237"/>
    <w:rsid w:val="00523E05"/>
    <w:rsid w:val="005302F6"/>
    <w:rsid w:val="00542D27"/>
    <w:rsid w:val="00542D84"/>
    <w:rsid w:val="00546F06"/>
    <w:rsid w:val="005543B5"/>
    <w:rsid w:val="00584B80"/>
    <w:rsid w:val="0058604B"/>
    <w:rsid w:val="005B37AF"/>
    <w:rsid w:val="005B45E9"/>
    <w:rsid w:val="005B5914"/>
    <w:rsid w:val="005C09DB"/>
    <w:rsid w:val="005C0E75"/>
    <w:rsid w:val="005C33BC"/>
    <w:rsid w:val="005D12FD"/>
    <w:rsid w:val="005E07F1"/>
    <w:rsid w:val="005F7785"/>
    <w:rsid w:val="00611D58"/>
    <w:rsid w:val="00613911"/>
    <w:rsid w:val="00617703"/>
    <w:rsid w:val="00622A8F"/>
    <w:rsid w:val="006345CB"/>
    <w:rsid w:val="006354E9"/>
    <w:rsid w:val="006374CB"/>
    <w:rsid w:val="0064011F"/>
    <w:rsid w:val="00641CA0"/>
    <w:rsid w:val="006444D5"/>
    <w:rsid w:val="0065094C"/>
    <w:rsid w:val="006527BD"/>
    <w:rsid w:val="00663234"/>
    <w:rsid w:val="00667E12"/>
    <w:rsid w:val="00676C62"/>
    <w:rsid w:val="00677A58"/>
    <w:rsid w:val="0068053D"/>
    <w:rsid w:val="0068331F"/>
    <w:rsid w:val="00685848"/>
    <w:rsid w:val="00697B81"/>
    <w:rsid w:val="006A03CF"/>
    <w:rsid w:val="006A6F8F"/>
    <w:rsid w:val="006B6CD4"/>
    <w:rsid w:val="006C0E12"/>
    <w:rsid w:val="006C7A7B"/>
    <w:rsid w:val="006D0B95"/>
    <w:rsid w:val="006D1217"/>
    <w:rsid w:val="006F1CE9"/>
    <w:rsid w:val="0070090A"/>
    <w:rsid w:val="0070796E"/>
    <w:rsid w:val="007274B6"/>
    <w:rsid w:val="00735AC3"/>
    <w:rsid w:val="00735B54"/>
    <w:rsid w:val="00752E20"/>
    <w:rsid w:val="00755605"/>
    <w:rsid w:val="00762A1E"/>
    <w:rsid w:val="00762C7E"/>
    <w:rsid w:val="00765901"/>
    <w:rsid w:val="007679D2"/>
    <w:rsid w:val="00770299"/>
    <w:rsid w:val="00781933"/>
    <w:rsid w:val="00785979"/>
    <w:rsid w:val="00791D56"/>
    <w:rsid w:val="00794FF3"/>
    <w:rsid w:val="00795647"/>
    <w:rsid w:val="00797056"/>
    <w:rsid w:val="00797470"/>
    <w:rsid w:val="007A543C"/>
    <w:rsid w:val="007B145B"/>
    <w:rsid w:val="007B270C"/>
    <w:rsid w:val="007B5E61"/>
    <w:rsid w:val="007B7C19"/>
    <w:rsid w:val="007C1824"/>
    <w:rsid w:val="007C4F02"/>
    <w:rsid w:val="007C6BFF"/>
    <w:rsid w:val="007F00CB"/>
    <w:rsid w:val="007F12F8"/>
    <w:rsid w:val="00800D40"/>
    <w:rsid w:val="00804369"/>
    <w:rsid w:val="00810A21"/>
    <w:rsid w:val="00811068"/>
    <w:rsid w:val="00813980"/>
    <w:rsid w:val="0081530A"/>
    <w:rsid w:val="00817846"/>
    <w:rsid w:val="00831C97"/>
    <w:rsid w:val="00833A72"/>
    <w:rsid w:val="00833F2B"/>
    <w:rsid w:val="008340D6"/>
    <w:rsid w:val="0083540C"/>
    <w:rsid w:val="00835BBF"/>
    <w:rsid w:val="0084734D"/>
    <w:rsid w:val="00852CC6"/>
    <w:rsid w:val="00864BDD"/>
    <w:rsid w:val="00866437"/>
    <w:rsid w:val="00870D98"/>
    <w:rsid w:val="00872603"/>
    <w:rsid w:val="008740CF"/>
    <w:rsid w:val="00882AA1"/>
    <w:rsid w:val="008835F9"/>
    <w:rsid w:val="00883EFF"/>
    <w:rsid w:val="00885734"/>
    <w:rsid w:val="00891809"/>
    <w:rsid w:val="008A357D"/>
    <w:rsid w:val="008E62E0"/>
    <w:rsid w:val="008F2196"/>
    <w:rsid w:val="009043C2"/>
    <w:rsid w:val="009074FD"/>
    <w:rsid w:val="00912887"/>
    <w:rsid w:val="00915921"/>
    <w:rsid w:val="0092342C"/>
    <w:rsid w:val="00923456"/>
    <w:rsid w:val="009261F7"/>
    <w:rsid w:val="0093043A"/>
    <w:rsid w:val="00930F7E"/>
    <w:rsid w:val="00931311"/>
    <w:rsid w:val="00941145"/>
    <w:rsid w:val="0094145C"/>
    <w:rsid w:val="00942ED4"/>
    <w:rsid w:val="00946835"/>
    <w:rsid w:val="00947092"/>
    <w:rsid w:val="00951378"/>
    <w:rsid w:val="00952E60"/>
    <w:rsid w:val="00953C7D"/>
    <w:rsid w:val="0096235E"/>
    <w:rsid w:val="0097038C"/>
    <w:rsid w:val="009A110B"/>
    <w:rsid w:val="009A35D7"/>
    <w:rsid w:val="009A6FD6"/>
    <w:rsid w:val="009A7184"/>
    <w:rsid w:val="009B17EA"/>
    <w:rsid w:val="009B6F98"/>
    <w:rsid w:val="009D68C4"/>
    <w:rsid w:val="009D7B40"/>
    <w:rsid w:val="009E3FEB"/>
    <w:rsid w:val="009E50D3"/>
    <w:rsid w:val="009F680F"/>
    <w:rsid w:val="00A13179"/>
    <w:rsid w:val="00A140EB"/>
    <w:rsid w:val="00A16064"/>
    <w:rsid w:val="00A467BE"/>
    <w:rsid w:val="00A54CA6"/>
    <w:rsid w:val="00A65745"/>
    <w:rsid w:val="00A7281C"/>
    <w:rsid w:val="00A824E0"/>
    <w:rsid w:val="00A840C6"/>
    <w:rsid w:val="00A85028"/>
    <w:rsid w:val="00A9513F"/>
    <w:rsid w:val="00AB4706"/>
    <w:rsid w:val="00AC3A1D"/>
    <w:rsid w:val="00AC7AC6"/>
    <w:rsid w:val="00AD2FB3"/>
    <w:rsid w:val="00AD799C"/>
    <w:rsid w:val="00AD7B02"/>
    <w:rsid w:val="00AE1C97"/>
    <w:rsid w:val="00AE2BCA"/>
    <w:rsid w:val="00AF0A2E"/>
    <w:rsid w:val="00AF4619"/>
    <w:rsid w:val="00B01C39"/>
    <w:rsid w:val="00B031E0"/>
    <w:rsid w:val="00B055E8"/>
    <w:rsid w:val="00B13550"/>
    <w:rsid w:val="00B154AD"/>
    <w:rsid w:val="00B2033A"/>
    <w:rsid w:val="00B20B08"/>
    <w:rsid w:val="00B24041"/>
    <w:rsid w:val="00B24401"/>
    <w:rsid w:val="00B256A1"/>
    <w:rsid w:val="00B34B6C"/>
    <w:rsid w:val="00B402E3"/>
    <w:rsid w:val="00B4143C"/>
    <w:rsid w:val="00B41935"/>
    <w:rsid w:val="00B44EBB"/>
    <w:rsid w:val="00B46EC5"/>
    <w:rsid w:val="00B50E11"/>
    <w:rsid w:val="00B528E2"/>
    <w:rsid w:val="00B532C0"/>
    <w:rsid w:val="00B53C8D"/>
    <w:rsid w:val="00B572F3"/>
    <w:rsid w:val="00B60B80"/>
    <w:rsid w:val="00B674DC"/>
    <w:rsid w:val="00B809CB"/>
    <w:rsid w:val="00B830A9"/>
    <w:rsid w:val="00B8577A"/>
    <w:rsid w:val="00B8609C"/>
    <w:rsid w:val="00B87F99"/>
    <w:rsid w:val="00BA2A7B"/>
    <w:rsid w:val="00BA3AE7"/>
    <w:rsid w:val="00BA5689"/>
    <w:rsid w:val="00BB67AF"/>
    <w:rsid w:val="00BC0B38"/>
    <w:rsid w:val="00BC1350"/>
    <w:rsid w:val="00BC6A2F"/>
    <w:rsid w:val="00BD6E3B"/>
    <w:rsid w:val="00BE77DE"/>
    <w:rsid w:val="00BF1682"/>
    <w:rsid w:val="00BF6985"/>
    <w:rsid w:val="00C07070"/>
    <w:rsid w:val="00C26729"/>
    <w:rsid w:val="00C37B27"/>
    <w:rsid w:val="00C52CC3"/>
    <w:rsid w:val="00C53CE6"/>
    <w:rsid w:val="00C551FC"/>
    <w:rsid w:val="00C62651"/>
    <w:rsid w:val="00C648E4"/>
    <w:rsid w:val="00C7143F"/>
    <w:rsid w:val="00C75DBB"/>
    <w:rsid w:val="00C837F9"/>
    <w:rsid w:val="00C84158"/>
    <w:rsid w:val="00C84E60"/>
    <w:rsid w:val="00C87C00"/>
    <w:rsid w:val="00CA457A"/>
    <w:rsid w:val="00CB5110"/>
    <w:rsid w:val="00CD222E"/>
    <w:rsid w:val="00CF63E1"/>
    <w:rsid w:val="00D00614"/>
    <w:rsid w:val="00D17DC5"/>
    <w:rsid w:val="00D23636"/>
    <w:rsid w:val="00D27001"/>
    <w:rsid w:val="00D34B34"/>
    <w:rsid w:val="00D35307"/>
    <w:rsid w:val="00D43388"/>
    <w:rsid w:val="00D4563B"/>
    <w:rsid w:val="00D56C37"/>
    <w:rsid w:val="00D71944"/>
    <w:rsid w:val="00D80072"/>
    <w:rsid w:val="00D839D8"/>
    <w:rsid w:val="00D86010"/>
    <w:rsid w:val="00D8771B"/>
    <w:rsid w:val="00D91F1B"/>
    <w:rsid w:val="00D92439"/>
    <w:rsid w:val="00DA1664"/>
    <w:rsid w:val="00DA2F6F"/>
    <w:rsid w:val="00DA3130"/>
    <w:rsid w:val="00DA5DBE"/>
    <w:rsid w:val="00DB5B1B"/>
    <w:rsid w:val="00DB6C98"/>
    <w:rsid w:val="00DD05EF"/>
    <w:rsid w:val="00DD5A07"/>
    <w:rsid w:val="00DE3F2D"/>
    <w:rsid w:val="00DE460C"/>
    <w:rsid w:val="00DF418D"/>
    <w:rsid w:val="00E007B6"/>
    <w:rsid w:val="00E06926"/>
    <w:rsid w:val="00E1624E"/>
    <w:rsid w:val="00E207C7"/>
    <w:rsid w:val="00E2379D"/>
    <w:rsid w:val="00E244D1"/>
    <w:rsid w:val="00E32BF2"/>
    <w:rsid w:val="00E406B3"/>
    <w:rsid w:val="00E45EB4"/>
    <w:rsid w:val="00E5154E"/>
    <w:rsid w:val="00E548E9"/>
    <w:rsid w:val="00E7476B"/>
    <w:rsid w:val="00E74841"/>
    <w:rsid w:val="00E77EF2"/>
    <w:rsid w:val="00E84413"/>
    <w:rsid w:val="00E95A78"/>
    <w:rsid w:val="00E97390"/>
    <w:rsid w:val="00E97800"/>
    <w:rsid w:val="00EA3797"/>
    <w:rsid w:val="00EA467D"/>
    <w:rsid w:val="00EA6520"/>
    <w:rsid w:val="00EA72D0"/>
    <w:rsid w:val="00EB7507"/>
    <w:rsid w:val="00EC30D6"/>
    <w:rsid w:val="00EF62C8"/>
    <w:rsid w:val="00F024BF"/>
    <w:rsid w:val="00F149A3"/>
    <w:rsid w:val="00F2422E"/>
    <w:rsid w:val="00F310BD"/>
    <w:rsid w:val="00F35A0C"/>
    <w:rsid w:val="00F40E2E"/>
    <w:rsid w:val="00F5219E"/>
    <w:rsid w:val="00F620CA"/>
    <w:rsid w:val="00F71B10"/>
    <w:rsid w:val="00F74154"/>
    <w:rsid w:val="00F842D3"/>
    <w:rsid w:val="00F87092"/>
    <w:rsid w:val="00FB1951"/>
    <w:rsid w:val="00FC045D"/>
    <w:rsid w:val="00FC31A9"/>
    <w:rsid w:val="00FD281F"/>
    <w:rsid w:val="00FE19F6"/>
    <w:rsid w:val="00FE3EEC"/>
    <w:rsid w:val="00FE6423"/>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28FD3"/>
  <w15:chartTrackingRefBased/>
  <w15:docId w15:val="{FA68990A-EF75-426C-AD34-2317F85B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link w:val="Heading1Char"/>
    <w:uiPriority w:val="9"/>
    <w:qFormat/>
    <w:rsid w:val="000E1D4D"/>
    <w:pPr>
      <w:keepNext/>
      <w:keepLines/>
      <w:spacing w:before="300"/>
      <w:ind w:left="792" w:hanging="792"/>
      <w:outlineLvl w:val="0"/>
    </w:pPr>
    <w:rPr>
      <w:b/>
      <w:bCs/>
      <w:sz w:val="26"/>
      <w:szCs w:val="26"/>
    </w:rPr>
  </w:style>
  <w:style w:type="paragraph" w:styleId="Heading2">
    <w:name w:val="heading 2"/>
    <w:basedOn w:val="Heading1"/>
    <w:next w:val="Normal"/>
    <w:link w:val="Heading2Char"/>
    <w:uiPriority w:val="9"/>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0E1D4D"/>
    <w:pPr>
      <w:spacing w:before="80"/>
      <w:ind w:left="792" w:hanging="792"/>
    </w:pPr>
  </w:style>
  <w:style w:type="paragraph" w:customStyle="1" w:styleId="enumlev2">
    <w:name w:val="enumlev2"/>
    <w:basedOn w:val="enumlev1"/>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uiPriority w:val="99"/>
    <w:qFormat/>
    <w:rsid w:val="00FC31A9"/>
    <w:rPr>
      <w:rFonts w:ascii="Dubai" w:hAnsi="Dubai" w:cs="Dubai"/>
      <w:b w:val="0"/>
      <w:bCs w:val="0"/>
      <w:i w:val="0"/>
      <w:iCs w:val="0"/>
      <w:position w:val="6"/>
      <w:sz w:val="18"/>
      <w:szCs w:val="18"/>
    </w:rPr>
  </w:style>
  <w:style w:type="paragraph" w:styleId="FootnoteText">
    <w:name w:val="footnote text"/>
    <w:basedOn w:val="Normal"/>
    <w:link w:val="FootnoteTextChar"/>
    <w:uiPriority w:val="99"/>
    <w:qFormat/>
    <w:rsid w:val="00FC31A9"/>
    <w:pPr>
      <w:keepLines/>
      <w:tabs>
        <w:tab w:val="left" w:pos="255"/>
      </w:tabs>
      <w:spacing w:line="168" w:lineRule="auto"/>
    </w:pPr>
    <w:rPr>
      <w:sz w:val="18"/>
      <w:szCs w:val="18"/>
    </w:rPr>
  </w:style>
  <w:style w:type="character" w:customStyle="1" w:styleId="FootnoteTextChar">
    <w:name w:val="Footnote Text Char"/>
    <w:link w:val="FootnoteText"/>
    <w:uiPriority w:val="99"/>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D43388"/>
    <w:pPr>
      <w:keepNext/>
      <w:keepLines/>
      <w:spacing w:before="480" w:after="12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D43388"/>
    <w:pPr>
      <w:tabs>
        <w:tab w:val="clear" w:pos="794"/>
        <w:tab w:val="clear" w:pos="1191"/>
        <w:tab w:val="clear" w:pos="1588"/>
        <w:tab w:val="clear" w:pos="1985"/>
        <w:tab w:val="left" w:pos="567"/>
        <w:tab w:val="left" w:pos="1134"/>
        <w:tab w:val="left" w:pos="1701"/>
        <w:tab w:val="left" w:pos="2268"/>
        <w:tab w:val="left" w:pos="2835"/>
      </w:tabs>
      <w:spacing w:before="240" w:after="12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Heading1Char">
    <w:name w:val="Heading 1 Char"/>
    <w:basedOn w:val="DefaultParagraphFont"/>
    <w:link w:val="Heading1"/>
    <w:uiPriority w:val="9"/>
    <w:rsid w:val="000250CA"/>
    <w:rPr>
      <w:rFonts w:ascii="Dubai" w:eastAsia="Times New Roman" w:hAnsi="Dubai" w:cs="Dubai"/>
      <w:b/>
      <w:bCs/>
      <w:sz w:val="26"/>
      <w:szCs w:val="26"/>
      <w:lang w:eastAsia="en-US"/>
    </w:rPr>
  </w:style>
  <w:style w:type="character" w:customStyle="1" w:styleId="Heading2Char">
    <w:name w:val="Heading 2 Char"/>
    <w:basedOn w:val="DefaultParagraphFont"/>
    <w:link w:val="Heading2"/>
    <w:uiPriority w:val="9"/>
    <w:rsid w:val="000250CA"/>
    <w:rPr>
      <w:rFonts w:ascii="Dubai" w:eastAsia="Times New Roman" w:hAnsi="Dubai" w:cs="Dubai"/>
      <w:b/>
      <w:bCs/>
      <w:sz w:val="24"/>
      <w:szCs w:val="24"/>
      <w:lang w:eastAsia="en-US"/>
    </w:rPr>
  </w:style>
  <w:style w:type="paragraph" w:customStyle="1" w:styleId="enumlev10">
    <w:name w:val="enumlev 1"/>
    <w:basedOn w:val="Normal"/>
    <w:qFormat/>
    <w:rsid w:val="000250CA"/>
    <w:pPr>
      <w:tabs>
        <w:tab w:val="clear" w:pos="1191"/>
        <w:tab w:val="clear" w:pos="1588"/>
        <w:tab w:val="clear" w:pos="1985"/>
      </w:tabs>
      <w:overflowPunct/>
      <w:autoSpaceDE/>
      <w:autoSpaceDN/>
      <w:adjustRightInd/>
      <w:spacing w:before="80"/>
      <w:ind w:left="794" w:hanging="794"/>
      <w:textAlignment w:val="auto"/>
      <w:outlineLvl w:val="0"/>
    </w:pPr>
    <w:rPr>
      <w:rFonts w:eastAsiaTheme="minorEastAsia"/>
      <w:lang w:val="en-US" w:eastAsia="zh-CN" w:bidi="ar-SY"/>
    </w:rPr>
  </w:style>
  <w:style w:type="paragraph" w:customStyle="1" w:styleId="Tabletitle0">
    <w:name w:val="Table title"/>
    <w:basedOn w:val="Normal"/>
    <w:qFormat/>
    <w:rsid w:val="000250CA"/>
    <w:pPr>
      <w:keepNext/>
      <w:tabs>
        <w:tab w:val="clear" w:pos="1191"/>
        <w:tab w:val="clear" w:pos="1588"/>
        <w:tab w:val="clear" w:pos="1985"/>
      </w:tabs>
      <w:overflowPunct/>
      <w:autoSpaceDE/>
      <w:autoSpaceDN/>
      <w:adjustRightInd/>
      <w:spacing w:after="240"/>
      <w:jc w:val="center"/>
      <w:textAlignment w:val="auto"/>
    </w:pPr>
    <w:rPr>
      <w:rFonts w:eastAsiaTheme="minorEastAsia"/>
      <w:b/>
      <w:bCs/>
      <w:lang w:val="en-US"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D/Conferences/CRO/PublishingImages/CRO11/IAGDI-CRO%20Outcome%20Statement.pdf"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1604</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Elbahnassawy, Ganat</dc:creator>
  <cp:keywords/>
  <cp:lastModifiedBy>MS</cp:lastModifiedBy>
  <cp:revision>9</cp:revision>
  <cp:lastPrinted>2016-05-13T07:33:00Z</cp:lastPrinted>
  <dcterms:created xsi:type="dcterms:W3CDTF">2021-05-19T10:47:00Z</dcterms:created>
  <dcterms:modified xsi:type="dcterms:W3CDTF">2021-05-19T13:20:00Z</dcterms:modified>
</cp:coreProperties>
</file>