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33E0E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33E0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FA6BDB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2363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2363C5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C15500">
              <w:rPr>
                <w:b/>
                <w:bCs/>
                <w:sz w:val="24"/>
                <w:szCs w:val="24"/>
              </w:rPr>
              <w:t>4</w:t>
            </w:r>
            <w:r w:rsidR="00DC354B" w:rsidRPr="00DC354B">
              <w:rPr>
                <w:b/>
                <w:bCs/>
                <w:sz w:val="24"/>
                <w:szCs w:val="24"/>
              </w:rPr>
              <w:t>−</w:t>
            </w:r>
            <w:r w:rsidRPr="002363C5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2363C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33E0E" w:rsidRDefault="00FA6BDB" w:rsidP="00FA6BDB">
            <w:pPr>
              <w:widowControl w:val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EF5FECE" w14:textId="0FA14AB6" w:rsidR="00E435F4" w:rsidRDefault="00E435F4" w:rsidP="00B24169">
            <w:pPr>
              <w:widowControl w:val="0"/>
              <w:spacing w:before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Пересмотр</w:t>
            </w:r>
            <w:r w:rsidR="00596C8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1 </w:t>
            </w:r>
          </w:p>
          <w:p w14:paraId="59ED43A6" w14:textId="3E3D281C" w:rsidR="00CD34AE" w:rsidRPr="004D0E96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D0E96">
              <w:rPr>
                <w:rFonts w:cstheme="minorHAnsi"/>
                <w:b/>
                <w:bCs/>
              </w:rPr>
              <w:t>Документ</w:t>
            </w:r>
            <w:r w:rsidR="00E435F4">
              <w:rPr>
                <w:rFonts w:cstheme="minorHAnsi"/>
                <w:b/>
                <w:bCs/>
              </w:rPr>
              <w:t>а</w:t>
            </w:r>
            <w:r w:rsidRPr="004D0E96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Pr="004D0E96">
              <w:rPr>
                <w:rFonts w:cstheme="minorHAnsi"/>
                <w:b/>
                <w:bCs/>
              </w:rPr>
              <w:t>TDAG</w:t>
            </w:r>
            <w:r w:rsidR="0040328D" w:rsidRPr="004D0E96">
              <w:rPr>
                <w:rFonts w:cstheme="minorHAnsi"/>
                <w:b/>
                <w:bCs/>
              </w:rPr>
              <w:t>-</w:t>
            </w:r>
            <w:r w:rsidR="002502FE" w:rsidRPr="004D0E96">
              <w:rPr>
                <w:rFonts w:cstheme="minorHAnsi"/>
                <w:b/>
                <w:bCs/>
              </w:rPr>
              <w:t>2</w:t>
            </w:r>
            <w:r w:rsidR="00FA6BDB" w:rsidRPr="004D0E96">
              <w:rPr>
                <w:rFonts w:cstheme="minorHAnsi"/>
                <w:b/>
                <w:bCs/>
                <w:lang w:val="en-US"/>
              </w:rPr>
              <w:t>1</w:t>
            </w:r>
            <w:r w:rsidR="00631202" w:rsidRPr="004D0E9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2327C1">
              <w:rPr>
                <w:rFonts w:cstheme="minorHAnsi"/>
                <w:b/>
                <w:bCs/>
                <w:lang w:val="en-US"/>
              </w:rPr>
              <w:t>11</w:t>
            </w:r>
            <w:r w:rsidRPr="004D0E9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33E0E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4D0E9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39774CCA" w:rsidR="00CD34AE" w:rsidRPr="004D0E96" w:rsidRDefault="00E435F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25</w:t>
            </w:r>
            <w:r w:rsidR="002327C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мая</w:t>
            </w:r>
            <w:r w:rsidR="002327C1">
              <w:rPr>
                <w:b/>
                <w:bCs/>
              </w:rPr>
              <w:t xml:space="preserve"> </w:t>
            </w:r>
            <w:r w:rsidR="00A73D91" w:rsidRPr="004D0E96">
              <w:rPr>
                <w:b/>
                <w:bCs/>
              </w:rPr>
              <w:t>20</w:t>
            </w:r>
            <w:r w:rsidR="002502FE" w:rsidRPr="004D0E96">
              <w:rPr>
                <w:b/>
                <w:bCs/>
              </w:rPr>
              <w:t>2</w:t>
            </w:r>
            <w:r w:rsidR="00FA6BDB" w:rsidRPr="004D0E96">
              <w:rPr>
                <w:b/>
                <w:bCs/>
                <w:lang w:val="en-US"/>
              </w:rPr>
              <w:t>1</w:t>
            </w:r>
            <w:r w:rsidR="00A73D91" w:rsidRPr="004D0E96">
              <w:rPr>
                <w:b/>
                <w:bCs/>
              </w:rPr>
              <w:t xml:space="preserve"> года</w:t>
            </w:r>
          </w:p>
        </w:tc>
      </w:tr>
      <w:tr w:rsidR="00CD34AE" w:rsidRPr="00933E0E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4D0E9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D0E9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4D0E96">
              <w:rPr>
                <w:rFonts w:cstheme="minorHAnsi"/>
                <w:b/>
                <w:bCs/>
              </w:rPr>
              <w:t xml:space="preserve"> </w:t>
            </w:r>
            <w:r w:rsidR="002363C5" w:rsidRPr="004D0E9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33E0E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C07CC08" w:rsidR="00CD34AE" w:rsidRPr="004D0E96" w:rsidRDefault="002327C1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327C1">
              <w:t>Директор Бюро развития электросвязи</w:t>
            </w:r>
          </w:p>
        </w:tc>
      </w:tr>
      <w:tr w:rsidR="00CD34AE" w:rsidRPr="00933E0E" w14:paraId="1BE32384" w14:textId="77777777" w:rsidTr="00270876">
        <w:tc>
          <w:tcPr>
            <w:tcW w:w="9923" w:type="dxa"/>
            <w:gridSpan w:val="4"/>
          </w:tcPr>
          <w:p w14:paraId="21783703" w14:textId="61E73A34" w:rsidR="00CD34AE" w:rsidRPr="004D0E96" w:rsidRDefault="002327C1" w:rsidP="00FA6BDB">
            <w:pPr>
              <w:pStyle w:val="Title1"/>
            </w:pPr>
            <w:bookmarkStart w:id="5" w:name="Title"/>
            <w:bookmarkEnd w:id="5"/>
            <w:r w:rsidRPr="002327C1">
              <w:t>ПРОЕКТЫ МСЭ-D</w:t>
            </w:r>
          </w:p>
        </w:tc>
      </w:tr>
      <w:tr w:rsidR="00CD34AE" w:rsidRPr="00933E0E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4D0E96" w:rsidRDefault="00CD34AE" w:rsidP="00CD34AE"/>
        </w:tc>
      </w:tr>
      <w:tr w:rsidR="00CD34AE" w:rsidRPr="00933E0E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CD34AE" w:rsidRPr="004D0E96" w:rsidRDefault="00CD34AE" w:rsidP="00B86DFA">
            <w:pPr>
              <w:spacing w:after="120"/>
              <w:rPr>
                <w:b/>
                <w:bCs/>
              </w:rPr>
            </w:pPr>
            <w:r w:rsidRPr="004D0E96">
              <w:rPr>
                <w:b/>
                <w:bCs/>
              </w:rPr>
              <w:t>Резюме</w:t>
            </w:r>
          </w:p>
          <w:p w14:paraId="4B89CD15" w14:textId="6957EF8F" w:rsidR="002327C1" w:rsidRPr="002327C1" w:rsidRDefault="002327C1" w:rsidP="002327C1">
            <w:pPr>
              <w:spacing w:after="120"/>
            </w:pPr>
            <w:r w:rsidRPr="002327C1">
              <w:t>Международный союз электросвязи выполняет двойственную обязанность как специализированного учреждения Организации Объединенных Наций и как учреждения-исполнителя. Сектор развития электросвязи (МСЭ</w:t>
            </w:r>
            <w:r w:rsidRPr="002327C1">
              <w:noBreakHyphen/>
              <w:t xml:space="preserve">D), участвуя в выполнении этой двойственной обязанности Союза, осуществляет ключевую функцию </w:t>
            </w:r>
            <w:r w:rsidR="00F82E20">
              <w:t>вы</w:t>
            </w:r>
            <w:r w:rsidRPr="002327C1">
              <w:t xml:space="preserve">полнения проектов в рамках системы развития Организации Объединенных Наций или других </w:t>
            </w:r>
            <w:r w:rsidRPr="00A378B1">
              <w:t>соглашений по финансированию</w:t>
            </w:r>
            <w:r w:rsidRPr="002327C1">
              <w:t xml:space="preserve">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063CCC9F" w14:textId="4372D8AB" w:rsidR="00CD34AE" w:rsidRPr="004D0E96" w:rsidRDefault="002327C1" w:rsidP="002327C1">
            <w:pPr>
              <w:spacing w:after="120"/>
            </w:pPr>
            <w:r w:rsidRPr="002327C1">
              <w:t xml:space="preserve">В настоящем документе представлен обзор работы, проделанной Бюро развития электросвязи по линии разработки и </w:t>
            </w:r>
            <w:r w:rsidR="004B64A9" w:rsidRPr="00A378B1">
              <w:t>вы</w:t>
            </w:r>
            <w:r w:rsidRPr="00A378B1">
              <w:t>полнения</w:t>
            </w:r>
            <w:r w:rsidRPr="002327C1">
              <w:t xml:space="preserve"> проектов в шести регионах МСЭ-D – Африка, Северная и Южная Америка, </w:t>
            </w:r>
            <w:r w:rsidRPr="00585490">
              <w:t>А</w:t>
            </w:r>
            <w:r w:rsidRPr="002327C1">
              <w:t>рабск</w:t>
            </w:r>
            <w:r w:rsidR="00585490">
              <w:t>ий регион</w:t>
            </w:r>
            <w:r w:rsidRPr="002327C1">
              <w:t xml:space="preserve">, Азиатско-Тихоокеанский регион, Содружество Независимых Государств (СНГ) и Европа, а также </w:t>
            </w:r>
            <w:r w:rsidR="00666784">
              <w:t>меж</w:t>
            </w:r>
            <w:r w:rsidR="00900177">
              <w:t>региональных проектов</w:t>
            </w:r>
            <w:r w:rsidRPr="002327C1">
              <w:t xml:space="preserve">. </w:t>
            </w:r>
          </w:p>
          <w:p w14:paraId="65829992" w14:textId="77777777" w:rsidR="00CD34AE" w:rsidRPr="004D0E96" w:rsidRDefault="00CD34AE" w:rsidP="00B86DFA">
            <w:pPr>
              <w:spacing w:after="120"/>
              <w:rPr>
                <w:b/>
                <w:bCs/>
              </w:rPr>
            </w:pPr>
            <w:r w:rsidRPr="004D0E96">
              <w:rPr>
                <w:b/>
                <w:bCs/>
              </w:rPr>
              <w:t>Необходимые действия</w:t>
            </w:r>
          </w:p>
          <w:p w14:paraId="3150BC64" w14:textId="77777777" w:rsidR="002327C1" w:rsidRPr="002327C1" w:rsidRDefault="002327C1" w:rsidP="002327C1">
            <w:pPr>
              <w:spacing w:after="120"/>
            </w:pPr>
            <w:r w:rsidRPr="002327C1">
              <w:t>КГРЭ предлагается принять настоящий документ к сведению и в случае необходимости предоставить руководящие указания.</w:t>
            </w:r>
          </w:p>
          <w:p w14:paraId="65F264DF" w14:textId="77777777" w:rsidR="00CD34AE" w:rsidRPr="004D0E96" w:rsidRDefault="00CD34AE" w:rsidP="00B86DFA">
            <w:pPr>
              <w:spacing w:after="120"/>
              <w:rPr>
                <w:b/>
                <w:bCs/>
              </w:rPr>
            </w:pPr>
            <w:r w:rsidRPr="004D0E96">
              <w:rPr>
                <w:b/>
                <w:bCs/>
              </w:rPr>
              <w:t>Справочные материалы</w:t>
            </w:r>
          </w:p>
          <w:p w14:paraId="1F14A9A3" w14:textId="05FEDF38" w:rsidR="00CD34AE" w:rsidRPr="004D0E96" w:rsidRDefault="002327C1" w:rsidP="00FA6BDB">
            <w:pPr>
              <w:spacing w:after="120"/>
            </w:pPr>
            <w:bookmarkStart w:id="6" w:name="lt_pId026"/>
            <w:r w:rsidRPr="002327C1">
              <w:t>Резолюции 17 и 52 (Пересм. Буэнос-Айрес, 2017 г.) Всемирной конференции по развитию электросвязи (ВКРЭ) и Резолюция 157 (Пересм. Дубай, 2018 г.) Полномочной конференции</w:t>
            </w:r>
            <w:bookmarkEnd w:id="6"/>
            <w:r w:rsidRPr="002327C1">
              <w:t>.</w:t>
            </w:r>
          </w:p>
        </w:tc>
      </w:tr>
    </w:tbl>
    <w:p w14:paraId="4D24236F" w14:textId="77777777" w:rsidR="002931FA" w:rsidRPr="00933E0E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933E0E">
        <w:br w:type="page"/>
      </w:r>
    </w:p>
    <w:p w14:paraId="6FFED93A" w14:textId="77777777" w:rsidR="002327C1" w:rsidRPr="002327C1" w:rsidRDefault="002327C1" w:rsidP="005E5203">
      <w:pPr>
        <w:pStyle w:val="Heading1"/>
      </w:pPr>
      <w:r w:rsidRPr="002327C1">
        <w:lastRenderedPageBreak/>
        <w:t>1</w:t>
      </w:r>
      <w:r w:rsidRPr="002327C1">
        <w:tab/>
        <w:t>Введение</w:t>
      </w:r>
    </w:p>
    <w:p w14:paraId="1EE07AA9" w14:textId="572471C8" w:rsidR="002327C1" w:rsidRPr="00900177" w:rsidRDefault="002327C1" w:rsidP="002327C1">
      <w:r w:rsidRPr="002327C1">
        <w:t>В соответствии с Резолюциями 17 и 52 (Пересм. Буэнос-Айрес, 2017 г.) Всемирной конференции по развитию электросвязи (ВКРЭ) и Резолюцией 157 (Пересм. Дубай</w:t>
      </w:r>
      <w:r w:rsidRPr="00900177">
        <w:t>, 2018</w:t>
      </w:r>
      <w:r w:rsidRPr="00A10AF8">
        <w:rPr>
          <w:lang w:val="en-US"/>
        </w:rPr>
        <w:t> </w:t>
      </w:r>
      <w:r w:rsidRPr="002327C1">
        <w:t>г</w:t>
      </w:r>
      <w:r w:rsidRPr="00900177">
        <w:t xml:space="preserve">.) </w:t>
      </w:r>
      <w:r w:rsidRPr="002327C1">
        <w:t>Полномочной</w:t>
      </w:r>
      <w:r w:rsidRPr="00900177">
        <w:t xml:space="preserve"> </w:t>
      </w:r>
      <w:r w:rsidRPr="00B74ADF">
        <w:t>конференции</w:t>
      </w:r>
      <w:r w:rsidR="00910A6F" w:rsidRPr="00B74ADF">
        <w:t>,</w:t>
      </w:r>
      <w:r w:rsidRPr="00B74ADF">
        <w:t xml:space="preserve"> </w:t>
      </w:r>
      <w:r w:rsidR="00A10AF8" w:rsidRPr="00B74ADF">
        <w:t>Бюро</w:t>
      </w:r>
      <w:r w:rsidR="00A10AF8" w:rsidRPr="00900177">
        <w:t xml:space="preserve"> развития электросвязи (БРЭ) МСЭ </w:t>
      </w:r>
      <w:r w:rsidR="00910A6F" w:rsidRPr="00910A6F">
        <w:t>обязан</w:t>
      </w:r>
      <w:r w:rsidR="00051838">
        <w:t>о</w:t>
      </w:r>
      <w:r w:rsidR="00910A6F" w:rsidRPr="00910A6F">
        <w:t xml:space="preserve"> </w:t>
      </w:r>
      <w:r w:rsidR="00A10AF8" w:rsidRPr="00900177">
        <w:t>выполн</w:t>
      </w:r>
      <w:r w:rsidR="00910A6F">
        <w:t>ять</w:t>
      </w:r>
      <w:r w:rsidR="00A10AF8" w:rsidRPr="00900177">
        <w:t xml:space="preserve"> мандат МСЭ </w:t>
      </w:r>
      <w:r w:rsidR="00B74ADF" w:rsidRPr="00B74ADF">
        <w:t xml:space="preserve">по </w:t>
      </w:r>
      <w:r w:rsidR="00B74ADF" w:rsidRPr="00A378B1">
        <w:t>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электросвязи/информационно-коммуникационных</w:t>
      </w:r>
      <w:r w:rsidR="00B74ADF" w:rsidRPr="00B74ADF">
        <w:t xml:space="preserve"> технологий и ускорения такого развития путем внесения предложений, организации и координации деятельности по техническому сотрудничеству и предоставлению помощи</w:t>
      </w:r>
      <w:r w:rsidRPr="00900177">
        <w:t xml:space="preserve">. </w:t>
      </w:r>
    </w:p>
    <w:p w14:paraId="24CE7126" w14:textId="07484EDD" w:rsidR="002327C1" w:rsidRPr="002327C1" w:rsidRDefault="002327C1" w:rsidP="002327C1">
      <w:r w:rsidRPr="006D7DD0">
        <w:t>Проекты БРЭ определяются спросом, ориентированы на людей и направлены на развитие</w:t>
      </w:r>
      <w:r w:rsidR="00A10AF8" w:rsidRPr="006D7DD0">
        <w:t xml:space="preserve"> цифровых решений в поддержку выполнения Повестки дня в области устойчивого развития на период до 2030</w:t>
      </w:r>
      <w:r w:rsidR="00051838" w:rsidRPr="006D7DD0">
        <w:t> </w:t>
      </w:r>
      <w:r w:rsidR="00A10AF8" w:rsidRPr="006D7DD0">
        <w:t>года</w:t>
      </w:r>
      <w:r w:rsidRPr="006D7DD0">
        <w:t xml:space="preserve">. В период с 2007 года БРЭ выполнило в общей сложности </w:t>
      </w:r>
      <w:r w:rsidR="00051838" w:rsidRPr="006D7DD0">
        <w:t>315</w:t>
      </w:r>
      <w:r w:rsidRPr="006D7DD0">
        <w:t xml:space="preserve"> малых, средних и крупных проектов на национальном, региональном, межрегиональном и глобальном уровнях, бенефициарами которых стали около 150 развивающихся и наименее развитых стран</w:t>
      </w:r>
      <w:r w:rsidRPr="006D7DD0">
        <w:rPr>
          <w:rStyle w:val="FootnoteReference"/>
          <w:lang w:val="en-US"/>
        </w:rPr>
        <w:footnoteReference w:id="1"/>
      </w:r>
      <w:r w:rsidRPr="006D7DD0">
        <w:t>.</w:t>
      </w:r>
    </w:p>
    <w:p w14:paraId="1ED78AC9" w14:textId="0E4DB29E" w:rsidR="002327C1" w:rsidRPr="00900177" w:rsidRDefault="002327C1" w:rsidP="005E5203">
      <w:pPr>
        <w:pStyle w:val="Heading1"/>
        <w:rPr>
          <w:bCs/>
        </w:rPr>
      </w:pPr>
      <w:r w:rsidRPr="00900177">
        <w:t>2</w:t>
      </w:r>
      <w:r w:rsidRPr="00900177">
        <w:tab/>
      </w:r>
      <w:r w:rsidRPr="002327C1">
        <w:t>Портфель</w:t>
      </w:r>
      <w:r w:rsidRPr="00900177">
        <w:t xml:space="preserve"> </w:t>
      </w:r>
      <w:r w:rsidRPr="002327C1">
        <w:t>проектов</w:t>
      </w:r>
      <w:r w:rsidRPr="00900177">
        <w:t xml:space="preserve">: </w:t>
      </w:r>
      <w:r>
        <w:t>в</w:t>
      </w:r>
      <w:r w:rsidRPr="002327C1">
        <w:t>ыполняемые</w:t>
      </w:r>
      <w:r w:rsidRPr="00900177">
        <w:t xml:space="preserve"> </w:t>
      </w:r>
      <w:r w:rsidRPr="002327C1">
        <w:t>проекты</w:t>
      </w:r>
    </w:p>
    <w:p w14:paraId="7E702B24" w14:textId="78A8CDAB" w:rsidR="0040328D" w:rsidRPr="00135A2C" w:rsidRDefault="002327C1" w:rsidP="001530FB">
      <w:pPr>
        <w:rPr>
          <w:highlight w:val="lightGray"/>
        </w:rPr>
      </w:pPr>
      <w:r w:rsidRPr="00135A2C">
        <w:t>2.1</w:t>
      </w:r>
      <w:r w:rsidRPr="00135A2C">
        <w:tab/>
      </w:r>
      <w:bookmarkStart w:id="8" w:name="lt_pId035"/>
      <w:r w:rsidR="00E53204" w:rsidRPr="008C0156">
        <w:rPr>
          <w:u w:val="single"/>
        </w:rPr>
        <w:t>Общая информация</w:t>
      </w:r>
      <w:r w:rsidR="00A10AF8" w:rsidRPr="008C0156">
        <w:rPr>
          <w:u w:val="single"/>
        </w:rPr>
        <w:t xml:space="preserve"> и распределение по регионам</w:t>
      </w:r>
      <w:bookmarkEnd w:id="8"/>
    </w:p>
    <w:p w14:paraId="4E3F3C4C" w14:textId="72A42B7B" w:rsidR="002327C1" w:rsidRPr="00F500D5" w:rsidRDefault="00135A2C" w:rsidP="002327C1">
      <w:pPr>
        <w:spacing w:after="120"/>
        <w:rPr>
          <w:highlight w:val="lightGray"/>
        </w:rPr>
      </w:pPr>
      <w:bookmarkStart w:id="9" w:name="lt_pId036"/>
      <w:r w:rsidRPr="00135A2C">
        <w:t>По состоянию на 31 декабря 2020 года портфель проектов МСЭ составля</w:t>
      </w:r>
      <w:r w:rsidR="00051838">
        <w:t>ют</w:t>
      </w:r>
      <w:r w:rsidRPr="00135A2C">
        <w:t xml:space="preserve"> 75 текущих проектов</w:t>
      </w:r>
      <w:r w:rsidR="00051838">
        <w:t>, стоимость которых оценивается в</w:t>
      </w:r>
      <w:r w:rsidRPr="00135A2C">
        <w:t xml:space="preserve"> 86,1 млн</w:t>
      </w:r>
      <w:r w:rsidR="00051838">
        <w:t>.</w:t>
      </w:r>
      <w:r w:rsidRPr="00135A2C">
        <w:t xml:space="preserve"> швейцарских франков, </w:t>
      </w:r>
      <w:r w:rsidRPr="00A378B1">
        <w:t xml:space="preserve">при этом оставшаяся часть средств была выделена, а </w:t>
      </w:r>
      <w:r w:rsidR="005C6CBC" w:rsidRPr="00A378B1">
        <w:t xml:space="preserve">неизрасходованный </w:t>
      </w:r>
      <w:r w:rsidRPr="00A378B1">
        <w:t xml:space="preserve">остаток </w:t>
      </w:r>
      <w:r w:rsidR="000C0C40" w:rsidRPr="00A378B1">
        <w:t>составил</w:t>
      </w:r>
      <w:r w:rsidRPr="00A378B1">
        <w:t xml:space="preserve"> 24,0 млн</w:t>
      </w:r>
      <w:r w:rsidR="000C0C40" w:rsidRPr="00A378B1">
        <w:t>.</w:t>
      </w:r>
      <w:r w:rsidRPr="00A378B1">
        <w:t xml:space="preserve"> швейцарских франков</w:t>
      </w:r>
      <w:r w:rsidRPr="00135A2C">
        <w:t xml:space="preserve">. На </w:t>
      </w:r>
      <w:r w:rsidR="00BA1E87">
        <w:t>Р</w:t>
      </w:r>
      <w:r w:rsidRPr="00135A2C">
        <w:t>исунке</w:t>
      </w:r>
      <w:r w:rsidR="006D7DD0">
        <w:rPr>
          <w:lang w:val="en-US"/>
        </w:rPr>
        <w:t> </w:t>
      </w:r>
      <w:r w:rsidRPr="00135A2C">
        <w:t>1 представлен</w:t>
      </w:r>
      <w:r w:rsidR="00F500D5">
        <w:t>а</w:t>
      </w:r>
      <w:r w:rsidRPr="00135A2C">
        <w:t xml:space="preserve"> </w:t>
      </w:r>
      <w:r w:rsidR="00F500D5">
        <w:t xml:space="preserve">информация о </w:t>
      </w:r>
      <w:r w:rsidRPr="00135A2C">
        <w:t>распределени</w:t>
      </w:r>
      <w:r w:rsidR="00F500D5">
        <w:t>и всех</w:t>
      </w:r>
      <w:r w:rsidRPr="00135A2C">
        <w:t xml:space="preserve"> проектов по регионам и </w:t>
      </w:r>
      <w:r w:rsidR="006D7DD0">
        <w:t>о</w:t>
      </w:r>
      <w:r w:rsidRPr="00135A2C">
        <w:t xml:space="preserve"> средств</w:t>
      </w:r>
      <w:r w:rsidR="006D7DD0">
        <w:t>ах</w:t>
      </w:r>
      <w:r w:rsidRPr="00135A2C">
        <w:t xml:space="preserve">, </w:t>
      </w:r>
      <w:r w:rsidR="00A378B1" w:rsidRPr="00A378B1">
        <w:t>вы</w:t>
      </w:r>
      <w:r w:rsidRPr="00A378B1">
        <w:t>деленных</w:t>
      </w:r>
      <w:r w:rsidRPr="00135A2C">
        <w:t xml:space="preserve"> на эти проекты.</w:t>
      </w:r>
      <w:bookmarkEnd w:id="9"/>
    </w:p>
    <w:p w14:paraId="6AF9185B" w14:textId="0E492116" w:rsidR="002327C1" w:rsidRPr="003B7358" w:rsidRDefault="00135A2C" w:rsidP="00147EF2">
      <w:pPr>
        <w:pStyle w:val="Tabletitle"/>
      </w:pPr>
      <w:bookmarkStart w:id="10" w:name="lt_pId038"/>
      <w:r w:rsidRPr="00135A2C">
        <w:t>Рисунок</w:t>
      </w:r>
      <w:r w:rsidRPr="003B7358">
        <w:t xml:space="preserve"> 1</w:t>
      </w:r>
      <w:r w:rsidR="0035181F" w:rsidRPr="003B7358">
        <w:t>:</w:t>
      </w:r>
      <w:r w:rsidRPr="003B7358">
        <w:t xml:space="preserve"> </w:t>
      </w:r>
      <w:r w:rsidRPr="00135A2C">
        <w:t>Обзор</w:t>
      </w:r>
      <w:r w:rsidRPr="003B7358">
        <w:t xml:space="preserve"> </w:t>
      </w:r>
      <w:r w:rsidR="005822A0" w:rsidRPr="005822A0">
        <w:t>выполняемы</w:t>
      </w:r>
      <w:r w:rsidR="005822A0">
        <w:t>х</w:t>
      </w:r>
      <w:r w:rsidR="005822A0" w:rsidRPr="003B7358">
        <w:t xml:space="preserve"> </w:t>
      </w:r>
      <w:r w:rsidRPr="00135A2C">
        <w:t>проектов</w:t>
      </w:r>
      <w:r w:rsidRPr="003B7358">
        <w:t xml:space="preserve"> </w:t>
      </w:r>
      <w:r w:rsidRPr="00135A2C">
        <w:t>МСЭ</w:t>
      </w:r>
      <w:r w:rsidR="000E258D" w:rsidRPr="003B7358">
        <w:t xml:space="preserve"> </w:t>
      </w:r>
      <w:r w:rsidR="000E258D">
        <w:t>в</w:t>
      </w:r>
      <w:r w:rsidR="000E258D" w:rsidRPr="003B7358">
        <w:t xml:space="preserve"> </w:t>
      </w:r>
      <w:r w:rsidR="000E258D">
        <w:t>разбивке</w:t>
      </w:r>
      <w:r w:rsidRPr="003B7358">
        <w:t xml:space="preserve"> </w:t>
      </w:r>
      <w:r w:rsidRPr="00135A2C">
        <w:t>по</w:t>
      </w:r>
      <w:r w:rsidRPr="003B7358">
        <w:t xml:space="preserve"> </w:t>
      </w:r>
      <w:r w:rsidRPr="00135A2C">
        <w:t>регионам</w:t>
      </w:r>
      <w:r w:rsidR="00147EF2" w:rsidRPr="003B7358">
        <w:t xml:space="preserve"> </w:t>
      </w:r>
      <w:r w:rsidR="00147EF2" w:rsidRPr="003B7358">
        <w:br/>
      </w:r>
      <w:r w:rsidRPr="003B7358">
        <w:t>(в тыс. швейцарских франков)</w:t>
      </w:r>
      <w:bookmarkEnd w:id="10"/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38"/>
        <w:gridCol w:w="1007"/>
        <w:gridCol w:w="1049"/>
        <w:gridCol w:w="1052"/>
        <w:gridCol w:w="1148"/>
        <w:gridCol w:w="980"/>
        <w:gridCol w:w="992"/>
      </w:tblGrid>
      <w:tr w:rsidR="00711658" w:rsidRPr="008B7E5F" w14:paraId="09D1E9B8" w14:textId="77777777" w:rsidTr="00A378B1">
        <w:trPr>
          <w:trHeight w:val="117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12858B6" w14:textId="07D99127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Регион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3E02F7C" w14:textId="0A049039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Кол-во проек</w:t>
            </w:r>
            <w:r w:rsidR="008C0156">
              <w:rPr>
                <w:rFonts w:eastAsiaTheme="minorEastAsia"/>
                <w:color w:val="FFFFFF" w:themeColor="background1"/>
                <w:sz w:val="18"/>
                <w:szCs w:val="18"/>
                <w:lang w:val="en-US"/>
              </w:rPr>
              <w:t>-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тов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A8A7B25" w14:textId="64E65BE5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Внешние средства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6DA2FEC6" w14:textId="52DB7A21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Средства ФРИКТ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114E4F2" w14:textId="00C85671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Средства ОП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99FEADC" w14:textId="001461AB" w:rsidR="000D1831" w:rsidRPr="00B74ADF" w:rsidRDefault="00711658" w:rsidP="00A378B1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Общая сумма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701D6AF" w14:textId="01554C2D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  <w:lang w:val="en-GB"/>
              </w:rPr>
            </w:pPr>
            <w:bookmarkStart w:id="11" w:name="lt_pId046"/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Остаток средств на</w:t>
            </w:r>
            <w:r w:rsidRPr="00D67AA2">
              <w:rPr>
                <w:rFonts w:eastAsiaTheme="minorEastAsia"/>
                <w:color w:val="FFFFFF" w:themeColor="background1"/>
                <w:sz w:val="18"/>
                <w:szCs w:val="18"/>
                <w:lang w:val="en-GB"/>
              </w:rPr>
              <w:t xml:space="preserve"> 31/12/20</w:t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2C95CC78" w14:textId="22B4529F" w:rsidR="00711658" w:rsidRPr="00D67AA2" w:rsidRDefault="00AB6A27" w:rsidP="00A378B1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bookmarkStart w:id="12" w:name="lt_pId047"/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</w:t>
            </w:r>
            <w:r w:rsidR="00F90462">
              <w:rPr>
                <w:rFonts w:eastAsiaTheme="minorEastAsia"/>
                <w:color w:val="FFFFFF" w:themeColor="background1"/>
                <w:sz w:val="18"/>
                <w:szCs w:val="18"/>
              </w:rPr>
              <w:t>альдо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 xml:space="preserve">, </w:t>
            </w:r>
            <w:r w:rsidRPr="00AB6A27">
              <w:rPr>
                <w:rFonts w:eastAsiaTheme="minorEastAsia"/>
                <w:color w:val="FFFFFF" w:themeColor="background1"/>
                <w:sz w:val="18"/>
                <w:szCs w:val="18"/>
              </w:rPr>
              <w:t>%</w:t>
            </w:r>
            <w:bookmarkEnd w:id="12"/>
          </w:p>
        </w:tc>
      </w:tr>
      <w:tr w:rsidR="002327C1" w:rsidRPr="008B7E5F" w14:paraId="232BF714" w14:textId="77777777" w:rsidTr="00A378B1">
        <w:trPr>
          <w:trHeight w:val="54"/>
          <w:jc w:val="center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F76B1A" w14:textId="2C9171E5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АФР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3E9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6D555B7" w14:textId="291B6A16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7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554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1461FAD" w14:textId="288CD94C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538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A3A13A7" w14:textId="10D7A668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407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110C56A" w14:textId="1BF70EDD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8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634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21B84" w14:textId="118BDB9B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925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969701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69%</w:t>
            </w:r>
          </w:p>
        </w:tc>
      </w:tr>
      <w:tr w:rsidR="002327C1" w:rsidRPr="008B7E5F" w14:paraId="6CE8FE52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auto"/>
            <w:hideMark/>
          </w:tcPr>
          <w:p w14:paraId="68B27B73" w14:textId="28AA8379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АМР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236EC08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3009AF0C" w14:textId="5D3EA9F3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023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E8D256A" w14:textId="458C1A09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111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07E14D58" w14:textId="72C191BD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240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6960E9EE" w14:textId="183E264F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375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5FB3BCF" w14:textId="7DE20939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190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3240B3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13%</w:t>
            </w:r>
          </w:p>
        </w:tc>
      </w:tr>
      <w:tr w:rsidR="002327C1" w:rsidRPr="008B7E5F" w14:paraId="58A494C4" w14:textId="77777777" w:rsidTr="00A378B1">
        <w:trPr>
          <w:trHeight w:val="300"/>
          <w:jc w:val="center"/>
        </w:trPr>
        <w:tc>
          <w:tcPr>
            <w:tcW w:w="1156" w:type="dxa"/>
            <w:hideMark/>
          </w:tcPr>
          <w:p w14:paraId="41719430" w14:textId="696AD2B0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АРБ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D4ECDC7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vAlign w:val="bottom"/>
          </w:tcPr>
          <w:p w14:paraId="13392B0E" w14:textId="1E265CDB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183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  <w:vAlign w:val="bottom"/>
          </w:tcPr>
          <w:p w14:paraId="133570CF" w14:textId="7BC72BC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668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052" w:type="dxa"/>
            <w:vAlign w:val="bottom"/>
          </w:tcPr>
          <w:p w14:paraId="04357BEF" w14:textId="4873A05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209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12E04549" w14:textId="60D1544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060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4</w:t>
            </w:r>
          </w:p>
        </w:tc>
        <w:tc>
          <w:tcPr>
            <w:tcW w:w="980" w:type="dxa"/>
            <w:vAlign w:val="bottom"/>
          </w:tcPr>
          <w:p w14:paraId="40CEC39B" w14:textId="2B7BE640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755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14:paraId="5732F317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29%</w:t>
            </w:r>
          </w:p>
        </w:tc>
      </w:tr>
      <w:tr w:rsidR="002327C1" w:rsidRPr="008B7E5F" w14:paraId="6B234409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auto"/>
            <w:vAlign w:val="center"/>
            <w:hideMark/>
          </w:tcPr>
          <w:p w14:paraId="3CEC141F" w14:textId="75A1B9DC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АТР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7CCB8D6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13DBBFD6" w14:textId="480F4D2B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833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05B4344" w14:textId="7777777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8306F53" w14:textId="7A9BEBBE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222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752BCB72" w14:textId="3BF66D96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257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C28BDD7" w14:textId="3183B5A1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105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07AA76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96%</w:t>
            </w:r>
          </w:p>
        </w:tc>
      </w:tr>
      <w:tr w:rsidR="002327C1" w:rsidRPr="008B7E5F" w14:paraId="50E1DDAA" w14:textId="77777777" w:rsidTr="00A378B1">
        <w:trPr>
          <w:trHeight w:val="54"/>
          <w:jc w:val="center"/>
        </w:trPr>
        <w:tc>
          <w:tcPr>
            <w:tcW w:w="1156" w:type="dxa"/>
            <w:hideMark/>
          </w:tcPr>
          <w:p w14:paraId="42F5FEF0" w14:textId="2AEDACE2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СНГ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24205CA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007" w:type="dxa"/>
            <w:vAlign w:val="bottom"/>
          </w:tcPr>
          <w:p w14:paraId="69E516F5" w14:textId="5AF0D468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409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3</w:t>
            </w:r>
          </w:p>
        </w:tc>
        <w:tc>
          <w:tcPr>
            <w:tcW w:w="1049" w:type="dxa"/>
            <w:vAlign w:val="bottom"/>
          </w:tcPr>
          <w:p w14:paraId="14AEA985" w14:textId="7777777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bottom"/>
          </w:tcPr>
          <w:p w14:paraId="0BAA181B" w14:textId="562F6471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340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176B6D8C" w14:textId="0ADD2D3F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749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vAlign w:val="bottom"/>
          </w:tcPr>
          <w:p w14:paraId="0F564E02" w14:textId="2B67B4F2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187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14:paraId="7CFB5467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25%</w:t>
            </w:r>
          </w:p>
        </w:tc>
      </w:tr>
      <w:tr w:rsidR="002327C1" w:rsidRPr="008B7E5F" w14:paraId="1156759E" w14:textId="77777777" w:rsidTr="00A378B1">
        <w:trPr>
          <w:trHeight w:val="54"/>
          <w:jc w:val="center"/>
        </w:trPr>
        <w:tc>
          <w:tcPr>
            <w:tcW w:w="1156" w:type="dxa"/>
            <w:vAlign w:val="bottom"/>
            <w:hideMark/>
          </w:tcPr>
          <w:p w14:paraId="0401B27B" w14:textId="3D04140E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ЕВР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028C57D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007" w:type="dxa"/>
            <w:vAlign w:val="bottom"/>
          </w:tcPr>
          <w:p w14:paraId="472D3E14" w14:textId="7E543344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803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7</w:t>
            </w:r>
          </w:p>
        </w:tc>
        <w:tc>
          <w:tcPr>
            <w:tcW w:w="1049" w:type="dxa"/>
            <w:vAlign w:val="bottom"/>
          </w:tcPr>
          <w:p w14:paraId="2DB34DCC" w14:textId="7777777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bottom"/>
          </w:tcPr>
          <w:p w14:paraId="52BC5E5B" w14:textId="24FC458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304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1F7C9B55" w14:textId="1EC13D15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108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bottom"/>
          </w:tcPr>
          <w:p w14:paraId="0A5FD04B" w14:textId="737ED103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756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18C67A81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67%</w:t>
            </w:r>
          </w:p>
        </w:tc>
      </w:tr>
      <w:tr w:rsidR="002327C1" w:rsidRPr="008B7E5F" w14:paraId="696FD634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auto"/>
            <w:hideMark/>
          </w:tcPr>
          <w:p w14:paraId="3CEADE34" w14:textId="7831E340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Несколько</w:t>
            </w:r>
            <w:r>
              <w:rPr>
                <w:sz w:val="18"/>
                <w:szCs w:val="18"/>
              </w:rPr>
              <w:t xml:space="preserve"> регионов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95B4663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5DA8011B" w14:textId="52E07F1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13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720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13F4B0B" w14:textId="0C1D1546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208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442E9D7E" w14:textId="2ACB7723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376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4B5CC2F7" w14:textId="1F6B3938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21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879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0B04F8D" w14:textId="4656A05C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106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E8BB8C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19%</w:t>
            </w:r>
          </w:p>
        </w:tc>
      </w:tr>
      <w:tr w:rsidR="002327C1" w:rsidRPr="008B7E5F" w14:paraId="7C2CCE64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DBE5F1" w:themeFill="accent1" w:themeFillTint="33"/>
            <w:noWrap/>
            <w:vAlign w:val="center"/>
          </w:tcPr>
          <w:p w14:paraId="02797BC3" w14:textId="0FB0535B" w:rsidR="002327C1" w:rsidRPr="00D67AA2" w:rsidRDefault="00A10AF8" w:rsidP="00D67AA2">
            <w:pPr>
              <w:pStyle w:val="Tabl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38" w:type="dxa"/>
            <w:shd w:val="clear" w:color="auto" w:fill="DBE5F1" w:themeFill="accent1" w:themeFillTint="33"/>
            <w:noWrap/>
            <w:vAlign w:val="bottom"/>
          </w:tcPr>
          <w:p w14:paraId="098D866A" w14:textId="77777777" w:rsidR="002327C1" w:rsidRPr="00D67AA2" w:rsidRDefault="002327C1" w:rsidP="00D67AA2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07" w:type="dxa"/>
            <w:shd w:val="clear" w:color="auto" w:fill="DBE5F1" w:themeFill="accent1" w:themeFillTint="33"/>
            <w:noWrap/>
            <w:vAlign w:val="bottom"/>
          </w:tcPr>
          <w:p w14:paraId="156A482F" w14:textId="205477BE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74</w:t>
            </w:r>
            <w:r w:rsidR="00962A8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527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DBE5F1" w:themeFill="accent1" w:themeFillTint="33"/>
            <w:noWrap/>
            <w:vAlign w:val="bottom"/>
          </w:tcPr>
          <w:p w14:paraId="295FFBF9" w14:textId="51ED3CC8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4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526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2" w:type="dxa"/>
            <w:shd w:val="clear" w:color="auto" w:fill="DBE5F1" w:themeFill="accent1" w:themeFillTint="33"/>
            <w:noWrap/>
            <w:vAlign w:val="bottom"/>
          </w:tcPr>
          <w:p w14:paraId="62523FEE" w14:textId="64E7DBDC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4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100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DBE5F1" w:themeFill="accent1" w:themeFillTint="33"/>
            <w:noWrap/>
            <w:vAlign w:val="bottom"/>
          </w:tcPr>
          <w:p w14:paraId="086B8610" w14:textId="7369AD92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86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064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bottom"/>
          </w:tcPr>
          <w:p w14:paraId="2002C185" w14:textId="2017F90C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24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028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bottom"/>
          </w:tcPr>
          <w:p w14:paraId="24C6DD84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28%</w:t>
            </w:r>
          </w:p>
        </w:tc>
      </w:tr>
    </w:tbl>
    <w:p w14:paraId="303411C5" w14:textId="4E15AD29" w:rsidR="0040328D" w:rsidRPr="00462E27" w:rsidRDefault="002327C1" w:rsidP="0040328D">
      <w:pPr>
        <w:rPr>
          <w:highlight w:val="lightGray"/>
        </w:rPr>
      </w:pPr>
      <w:r w:rsidRPr="00462E27">
        <w:t>2.2</w:t>
      </w:r>
      <w:r w:rsidRPr="00462E27">
        <w:tab/>
      </w:r>
      <w:bookmarkStart w:id="13" w:name="lt_pId112"/>
      <w:r w:rsidR="005C6CBC" w:rsidRPr="008242AB">
        <w:rPr>
          <w:u w:val="single"/>
        </w:rPr>
        <w:t>Соглашения по н</w:t>
      </w:r>
      <w:r w:rsidR="00462E27" w:rsidRPr="008242AB">
        <w:rPr>
          <w:u w:val="single"/>
        </w:rPr>
        <w:t>овы</w:t>
      </w:r>
      <w:r w:rsidR="005C6CBC" w:rsidRPr="008242AB">
        <w:rPr>
          <w:u w:val="single"/>
        </w:rPr>
        <w:t>м</w:t>
      </w:r>
      <w:r w:rsidR="00462E27" w:rsidRPr="008242AB">
        <w:rPr>
          <w:u w:val="single"/>
        </w:rPr>
        <w:t xml:space="preserve"> проект</w:t>
      </w:r>
      <w:r w:rsidR="005C6CBC" w:rsidRPr="008242AB">
        <w:rPr>
          <w:u w:val="single"/>
        </w:rPr>
        <w:t>ам</w:t>
      </w:r>
      <w:r w:rsidR="00462E27" w:rsidRPr="008242AB">
        <w:rPr>
          <w:u w:val="single"/>
        </w:rPr>
        <w:t>, подписанные в 2020 году: рост за счет новых партнер</w:t>
      </w:r>
      <w:r w:rsidR="00F90462" w:rsidRPr="008242AB">
        <w:rPr>
          <w:u w:val="single"/>
        </w:rPr>
        <w:t>ств</w:t>
      </w:r>
      <w:bookmarkEnd w:id="13"/>
    </w:p>
    <w:p w14:paraId="7A3AAE46" w14:textId="69C3C41B" w:rsidR="002327C1" w:rsidRPr="003B7358" w:rsidRDefault="00462E27" w:rsidP="0040328D">
      <w:pPr>
        <w:rPr>
          <w:highlight w:val="lightGray"/>
        </w:rPr>
      </w:pPr>
      <w:bookmarkStart w:id="14" w:name="lt_pId114"/>
      <w:r w:rsidRPr="00462E27">
        <w:t xml:space="preserve">В 2020 году было разработано и </w:t>
      </w:r>
      <w:r w:rsidRPr="00A378B1">
        <w:t>подписано</w:t>
      </w:r>
      <w:r w:rsidRPr="00462E27">
        <w:t xml:space="preserve"> в общей сложности 24 </w:t>
      </w:r>
      <w:r w:rsidR="00A378B1">
        <w:t xml:space="preserve">соглашения по </w:t>
      </w:r>
      <w:r w:rsidRPr="00462E27">
        <w:t>новы</w:t>
      </w:r>
      <w:r w:rsidR="00A378B1">
        <w:t>м</w:t>
      </w:r>
      <w:r w:rsidRPr="00462E27">
        <w:t xml:space="preserve"> проект</w:t>
      </w:r>
      <w:r w:rsidR="004F5B62">
        <w:t>а</w:t>
      </w:r>
      <w:r w:rsidR="00A378B1">
        <w:t>м</w:t>
      </w:r>
      <w:r w:rsidR="00C521E8">
        <w:t>, стоимость которых составляет</w:t>
      </w:r>
      <w:r w:rsidRPr="00462E27">
        <w:t xml:space="preserve"> 14,9 млн</w:t>
      </w:r>
      <w:r w:rsidR="00C521E8">
        <w:t>.</w:t>
      </w:r>
      <w:r w:rsidRPr="00462E27">
        <w:t xml:space="preserve"> швейцарских франков</w:t>
      </w:r>
      <w:r w:rsidR="00FE0B5E">
        <w:t xml:space="preserve">; это максимальное </w:t>
      </w:r>
      <w:r w:rsidR="00757AF9">
        <w:t>число</w:t>
      </w:r>
      <w:r w:rsidRPr="00462E27">
        <w:t xml:space="preserve"> </w:t>
      </w:r>
      <w:r w:rsidR="00533A65" w:rsidRPr="00462E27">
        <w:t xml:space="preserve">подписанных </w:t>
      </w:r>
      <w:r w:rsidR="00533A65">
        <w:t xml:space="preserve">за год </w:t>
      </w:r>
      <w:r w:rsidRPr="00462E27">
        <w:t>проектов</w:t>
      </w:r>
      <w:r w:rsidR="00533A65">
        <w:t xml:space="preserve"> начиная</w:t>
      </w:r>
      <w:r w:rsidRPr="00462E27">
        <w:t xml:space="preserve"> с 2010</w:t>
      </w:r>
      <w:r w:rsidR="004203AC">
        <w:t> </w:t>
      </w:r>
      <w:r w:rsidRPr="00462E27">
        <w:t xml:space="preserve">года (см. </w:t>
      </w:r>
      <w:r w:rsidR="00BA1E87">
        <w:t>Р</w:t>
      </w:r>
      <w:r w:rsidR="00F90462">
        <w:t>исунок</w:t>
      </w:r>
      <w:r w:rsidRPr="00462E27">
        <w:t xml:space="preserve"> 2). </w:t>
      </w:r>
      <w:r w:rsidR="005B42AE">
        <w:t>Соглашения по этим</w:t>
      </w:r>
      <w:r w:rsidRPr="00462E27">
        <w:t xml:space="preserve"> проект</w:t>
      </w:r>
      <w:r w:rsidR="005B42AE">
        <w:t>ам</w:t>
      </w:r>
      <w:r w:rsidRPr="00462E27">
        <w:t xml:space="preserve"> были подписаны в партнерстве с другими организациями</w:t>
      </w:r>
      <w:r w:rsidR="00533A65">
        <w:t xml:space="preserve"> –</w:t>
      </w:r>
      <w:r w:rsidRPr="00462E27">
        <w:t xml:space="preserve"> национальны</w:t>
      </w:r>
      <w:r w:rsidR="00533A65">
        <w:t>ми</w:t>
      </w:r>
      <w:r w:rsidRPr="00462E27">
        <w:t xml:space="preserve"> правительственны</w:t>
      </w:r>
      <w:r w:rsidR="00533A65">
        <w:t>ми</w:t>
      </w:r>
      <w:r w:rsidRPr="00462E27">
        <w:t xml:space="preserve"> </w:t>
      </w:r>
      <w:r w:rsidR="00494F87">
        <w:t>учреждения</w:t>
      </w:r>
      <w:r w:rsidR="00533A65">
        <w:t>ми</w:t>
      </w:r>
      <w:r w:rsidRPr="00462E27">
        <w:t xml:space="preserve">, </w:t>
      </w:r>
      <w:r w:rsidR="002C016E" w:rsidRPr="002C016E">
        <w:t>организаци</w:t>
      </w:r>
      <w:r w:rsidR="00533A65">
        <w:t>ями</w:t>
      </w:r>
      <w:r w:rsidR="002C016E" w:rsidRPr="002C016E">
        <w:t xml:space="preserve"> </w:t>
      </w:r>
      <w:r w:rsidRPr="00462E27">
        <w:t>двустороннего сотрудничества, некоммерчески</w:t>
      </w:r>
      <w:r w:rsidR="00533A65">
        <w:t>ми</w:t>
      </w:r>
      <w:r w:rsidRPr="00462E27">
        <w:t xml:space="preserve"> </w:t>
      </w:r>
      <w:r w:rsidR="00796F25">
        <w:t>структур</w:t>
      </w:r>
      <w:r w:rsidR="00533A65">
        <w:t>ами</w:t>
      </w:r>
      <w:r w:rsidRPr="00462E27">
        <w:t xml:space="preserve">, </w:t>
      </w:r>
      <w:r w:rsidR="00B10070">
        <w:t>компани</w:t>
      </w:r>
      <w:r w:rsidR="00533A65">
        <w:t>ями</w:t>
      </w:r>
      <w:r w:rsidR="00B10070">
        <w:t xml:space="preserve"> </w:t>
      </w:r>
      <w:r w:rsidRPr="00462E27">
        <w:t>частн</w:t>
      </w:r>
      <w:r w:rsidR="00B10070">
        <w:t>ого</w:t>
      </w:r>
      <w:r w:rsidRPr="00462E27">
        <w:t xml:space="preserve"> сектор</w:t>
      </w:r>
      <w:r w:rsidR="00B10070">
        <w:t>а</w:t>
      </w:r>
      <w:r w:rsidRPr="00462E27">
        <w:t xml:space="preserve"> и </w:t>
      </w:r>
      <w:r w:rsidR="002C016E" w:rsidRPr="002C016E">
        <w:t>учреждения</w:t>
      </w:r>
      <w:r w:rsidR="00533A65">
        <w:t>ми</w:t>
      </w:r>
      <w:r w:rsidR="002C016E" w:rsidRPr="002C016E">
        <w:t xml:space="preserve"> </w:t>
      </w:r>
      <w:r w:rsidRPr="00462E27">
        <w:t xml:space="preserve">системы ООН. Этот результат </w:t>
      </w:r>
      <w:r w:rsidR="00742734">
        <w:t xml:space="preserve">был достигнут </w:t>
      </w:r>
      <w:r w:rsidR="00742734">
        <w:lastRenderedPageBreak/>
        <w:t>благодаря</w:t>
      </w:r>
      <w:r w:rsidRPr="00462E27">
        <w:t xml:space="preserve"> стратегической синергии между </w:t>
      </w:r>
      <w:r w:rsidR="00DB4E81" w:rsidRPr="00533A65">
        <w:t>С</w:t>
      </w:r>
      <w:r w:rsidRPr="00533A65">
        <w:t xml:space="preserve">лужбой </w:t>
      </w:r>
      <w:r w:rsidR="00A81251" w:rsidRPr="00533A65">
        <w:t>по работе</w:t>
      </w:r>
      <w:r w:rsidR="00DB4E81" w:rsidRPr="00533A65">
        <w:t xml:space="preserve"> с </w:t>
      </w:r>
      <w:r w:rsidRPr="00533A65">
        <w:t>член</w:t>
      </w:r>
      <w:r w:rsidR="00DB4E81" w:rsidRPr="00533A65">
        <w:t>ами</w:t>
      </w:r>
      <w:r w:rsidRPr="00462E27">
        <w:t xml:space="preserve"> </w:t>
      </w:r>
      <w:r w:rsidR="00DB4E81" w:rsidRPr="00DB4E81">
        <w:t>Отдел</w:t>
      </w:r>
      <w:r w:rsidR="00DB4E81">
        <w:t>а</w:t>
      </w:r>
      <w:r w:rsidR="00DB4E81" w:rsidRPr="00DB4E81">
        <w:t xml:space="preserve"> партнерских отношений и мобилизации ресурсов </w:t>
      </w:r>
      <w:r w:rsidRPr="00462E27">
        <w:t xml:space="preserve">и </w:t>
      </w:r>
      <w:r w:rsidR="00A81251" w:rsidRPr="00A81251">
        <w:t>Отдел</w:t>
      </w:r>
      <w:r w:rsidR="00A81251">
        <w:t>ом</w:t>
      </w:r>
      <w:r w:rsidR="00A81251" w:rsidRPr="00A81251">
        <w:t xml:space="preserve"> поддержки проектов Департамент</w:t>
      </w:r>
      <w:r w:rsidR="00A81251">
        <w:t>а</w:t>
      </w:r>
      <w:r w:rsidR="00A81251" w:rsidRPr="00A81251">
        <w:t xml:space="preserve"> партнерств в целях цифрового развития </w:t>
      </w:r>
      <w:r w:rsidRPr="00462E27">
        <w:t>БР</w:t>
      </w:r>
      <w:r w:rsidRPr="00790C80">
        <w:t>Э</w:t>
      </w:r>
      <w:r w:rsidRPr="00790C80">
        <w:rPr>
          <w:rStyle w:val="FootnoteReference"/>
        </w:rPr>
        <w:footnoteReference w:id="2"/>
      </w:r>
      <w:r w:rsidRPr="00790C80">
        <w:t>.</w:t>
      </w:r>
      <w:bookmarkEnd w:id="14"/>
    </w:p>
    <w:bookmarkStart w:id="16" w:name="lt_pId117"/>
    <w:p w14:paraId="71D3B945" w14:textId="0BBCA3B6" w:rsidR="002218B7" w:rsidRPr="00A10AF8" w:rsidRDefault="00D0696A" w:rsidP="005E5203">
      <w:pPr>
        <w:pStyle w:val="Tabletitle"/>
        <w:spacing w:before="120"/>
        <w:rPr>
          <w:highlight w:val="lightGray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0C431" wp14:editId="6DDA05BE">
                <wp:simplePos x="0" y="0"/>
                <wp:positionH relativeFrom="column">
                  <wp:posOffset>234067</wp:posOffset>
                </wp:positionH>
                <wp:positionV relativeFrom="paragraph">
                  <wp:posOffset>255629</wp:posOffset>
                </wp:positionV>
                <wp:extent cx="452561" cy="2361537"/>
                <wp:effectExtent l="0" t="0" r="508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61" cy="2361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F70A5" w14:textId="0993EEB5" w:rsidR="004B6ED3" w:rsidRDefault="004B6ED3" w:rsidP="004B6ED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  <w:p w14:paraId="0B395D64" w14:textId="30A1DBB0" w:rsidR="004B6ED3" w:rsidRDefault="004B6ED3" w:rsidP="004B6ED3">
                            <w:pPr>
                              <w:spacing w:before="14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14,00</w:t>
                            </w:r>
                          </w:p>
                          <w:p w14:paraId="4C75CC39" w14:textId="5792DAC8" w:rsidR="004B6ED3" w:rsidRDefault="004B6ED3" w:rsidP="00D0696A">
                            <w:pPr>
                              <w:spacing w:before="1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12,00</w:t>
                            </w:r>
                          </w:p>
                          <w:p w14:paraId="37E02132" w14:textId="526123CE" w:rsidR="004B6ED3" w:rsidRDefault="004B6ED3" w:rsidP="00D0696A">
                            <w:pPr>
                              <w:spacing w:before="1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10,00</w:t>
                            </w:r>
                          </w:p>
                          <w:p w14:paraId="73A7895F" w14:textId="2C8DC32B" w:rsidR="004B6ED3" w:rsidRDefault="004B6ED3" w:rsidP="00D0696A">
                            <w:pPr>
                              <w:spacing w:before="1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8,00</w:t>
                            </w:r>
                          </w:p>
                          <w:p w14:paraId="55851CB1" w14:textId="5D543BC9" w:rsidR="004B6ED3" w:rsidRDefault="004B6ED3" w:rsidP="00D0696A">
                            <w:pPr>
                              <w:spacing w:before="1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6,00</w:t>
                            </w:r>
                          </w:p>
                          <w:p w14:paraId="0386829D" w14:textId="74DFBBFF" w:rsidR="004B6ED3" w:rsidRDefault="004B6ED3" w:rsidP="00D0696A">
                            <w:pPr>
                              <w:spacing w:before="20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4,00</w:t>
                            </w:r>
                          </w:p>
                          <w:p w14:paraId="463C2B9C" w14:textId="24BBE0CB" w:rsidR="004B6ED3" w:rsidRDefault="004B6ED3" w:rsidP="00D0696A">
                            <w:pPr>
                              <w:spacing w:before="20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2,00</w:t>
                            </w:r>
                          </w:p>
                          <w:p w14:paraId="56AB7FF8" w14:textId="0C593E17" w:rsidR="004B6ED3" w:rsidRPr="004B6ED3" w:rsidRDefault="004B6ED3" w:rsidP="00D0696A">
                            <w:pPr>
                              <w:spacing w:before="20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B6ED3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C4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45pt;margin-top:20.15pt;width:35.65pt;height:1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" fillcolor="white [3201]" stroked="f" strokeweight=".5pt">
                <v:textbox>
                  <w:txbxContent>
                    <w:p w14:paraId="713F70A5" w14:textId="0993EEB5" w:rsidR="004B6ED3" w:rsidRDefault="004B6ED3" w:rsidP="004B6ED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16,00</w:t>
                      </w:r>
                    </w:p>
                    <w:p w14:paraId="0B395D64" w14:textId="30A1DBB0" w:rsidR="004B6ED3" w:rsidRDefault="004B6ED3" w:rsidP="004B6ED3">
                      <w:pPr>
                        <w:spacing w:before="14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14,00</w:t>
                      </w:r>
                    </w:p>
                    <w:p w14:paraId="4C75CC39" w14:textId="5792DAC8" w:rsidR="004B6ED3" w:rsidRDefault="004B6ED3" w:rsidP="00D0696A">
                      <w:pPr>
                        <w:spacing w:before="16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12,00</w:t>
                      </w:r>
                    </w:p>
                    <w:p w14:paraId="37E02132" w14:textId="526123CE" w:rsidR="004B6ED3" w:rsidRDefault="004B6ED3" w:rsidP="00D0696A">
                      <w:pPr>
                        <w:spacing w:before="16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10,00</w:t>
                      </w:r>
                    </w:p>
                    <w:p w14:paraId="73A7895F" w14:textId="2C8DC32B" w:rsidR="004B6ED3" w:rsidRDefault="004B6ED3" w:rsidP="00D0696A">
                      <w:pPr>
                        <w:spacing w:before="18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8,00</w:t>
                      </w:r>
                    </w:p>
                    <w:p w14:paraId="55851CB1" w14:textId="5D543BC9" w:rsidR="004B6ED3" w:rsidRDefault="004B6ED3" w:rsidP="00D0696A">
                      <w:pPr>
                        <w:spacing w:before="18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6,00</w:t>
                      </w:r>
                    </w:p>
                    <w:p w14:paraId="0386829D" w14:textId="74DFBBFF" w:rsidR="004B6ED3" w:rsidRDefault="004B6ED3" w:rsidP="00D0696A">
                      <w:pPr>
                        <w:spacing w:before="20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4,00</w:t>
                      </w:r>
                    </w:p>
                    <w:p w14:paraId="463C2B9C" w14:textId="24BBE0CB" w:rsidR="004B6ED3" w:rsidRDefault="004B6ED3" w:rsidP="00D0696A">
                      <w:pPr>
                        <w:spacing w:before="20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2,00</w:t>
                      </w:r>
                    </w:p>
                    <w:p w14:paraId="56AB7FF8" w14:textId="0C593E17" w:rsidR="004B6ED3" w:rsidRPr="004B6ED3" w:rsidRDefault="004B6ED3" w:rsidP="00D0696A">
                      <w:pPr>
                        <w:spacing w:before="200"/>
                        <w:jc w:val="right"/>
                        <w:rPr>
                          <w:sz w:val="18"/>
                          <w:szCs w:val="18"/>
                        </w:rPr>
                      </w:pPr>
                      <w:r w:rsidRPr="004B6ED3">
                        <w:rPr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462E27" w:rsidRPr="00462E27">
        <w:t>Рисунок 2</w:t>
      </w:r>
      <w:r w:rsidR="0035181F">
        <w:t>:</w:t>
      </w:r>
      <w:r w:rsidR="00C46F63">
        <w:t xml:space="preserve"> </w:t>
      </w:r>
      <w:r w:rsidR="00A378B1">
        <w:t>Соглашения по н</w:t>
      </w:r>
      <w:r w:rsidR="00462E27" w:rsidRPr="00462E27">
        <w:t>овы</w:t>
      </w:r>
      <w:r w:rsidR="00A378B1">
        <w:t>м</w:t>
      </w:r>
      <w:r w:rsidR="00462E27" w:rsidRPr="00462E27">
        <w:t xml:space="preserve"> проект</w:t>
      </w:r>
      <w:r w:rsidR="00A378B1">
        <w:t>ам</w:t>
      </w:r>
      <w:r w:rsidR="00C46F63">
        <w:t>, подписанные в период</w:t>
      </w:r>
      <w:r w:rsidR="00462E27" w:rsidRPr="00462E27">
        <w:t xml:space="preserve"> 2010</w:t>
      </w:r>
      <w:r w:rsidR="00A81251">
        <w:t>–</w:t>
      </w:r>
      <w:r w:rsidR="00462E27" w:rsidRPr="00462E27">
        <w:t>2020 г</w:t>
      </w:r>
      <w:r w:rsidR="00A81251">
        <w:t>од</w:t>
      </w:r>
      <w:r w:rsidR="0088203C">
        <w:t>ов</w:t>
      </w:r>
      <w:bookmarkEnd w:id="16"/>
    </w:p>
    <w:p w14:paraId="6277751D" w14:textId="379289C9" w:rsidR="002218B7" w:rsidRPr="00A10AF8" w:rsidRDefault="00B95EC4" w:rsidP="002218B7">
      <w:pPr>
        <w:spacing w:after="120"/>
        <w:jc w:val="center"/>
        <w:rPr>
          <w:highlight w:val="lightGray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3C8BB" wp14:editId="0803DFCE">
                <wp:simplePos x="0" y="0"/>
                <wp:positionH relativeFrom="column">
                  <wp:posOffset>2833840</wp:posOffset>
                </wp:positionH>
                <wp:positionV relativeFrom="paragraph">
                  <wp:posOffset>2437627</wp:posOffset>
                </wp:positionV>
                <wp:extent cx="1160780" cy="285778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28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3CCCA" w14:textId="6F5EFA9C" w:rsidR="008C0156" w:rsidRDefault="008C0156" w:rsidP="00B95EC4">
                            <w:pPr>
                              <w:spacing w:before="0"/>
                            </w:pPr>
                            <w:r>
                              <w:t>Всего (шв. фр.)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C8BB" id="Text Box 4" o:spid="_x0000_s1027" type="#_x0000_t202" style="position:absolute;left:0;text-align:left;margin-left:223.15pt;margin-top:191.95pt;width:91.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" fillcolor="white [3201]" stroked="f" strokeweight=".5pt">
                <v:textbox>
                  <w:txbxContent>
                    <w:p w14:paraId="5B63CCCA" w14:textId="6F5EFA9C" w:rsidR="008C0156" w:rsidRDefault="008C0156" w:rsidP="00B95EC4">
                      <w:pPr>
                        <w:spacing w:before="0"/>
                      </w:pPr>
                      <w:r>
                        <w:t>Всего (шв. фр.)</w:t>
                      </w:r>
                    </w:p>
                  </w:txbxContent>
                </v:textbox>
              </v:shape>
            </w:pict>
          </mc:Fallback>
        </mc:AlternateContent>
      </w:r>
      <w:r w:rsidR="002218B7" w:rsidRPr="00A10AF8">
        <w:rPr>
          <w:noProof/>
          <w:highlight w:val="lightGray"/>
          <w:lang w:val="en-US"/>
        </w:rPr>
        <w:drawing>
          <wp:inline distT="0" distB="0" distL="0" distR="0" wp14:anchorId="4DC38F93" wp14:editId="0CCEB966">
            <wp:extent cx="6110992" cy="2747645"/>
            <wp:effectExtent l="0" t="0" r="444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A63566E-3D2F-4F23-8937-8CA0AF27F5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AA0040" w14:textId="151A512E" w:rsidR="00462E27" w:rsidRPr="00462E27" w:rsidRDefault="00462E27" w:rsidP="00E012E7">
      <w:pPr>
        <w:rPr>
          <w:highlight w:val="lightGray"/>
        </w:rPr>
      </w:pPr>
      <w:bookmarkStart w:id="17" w:name="lt_pId118"/>
      <w:r w:rsidRPr="008A6D81">
        <w:t>Р</w:t>
      </w:r>
      <w:r w:rsidRPr="00462E27">
        <w:t>азнообраз</w:t>
      </w:r>
      <w:r w:rsidR="006D47E8">
        <w:t>ие</w:t>
      </w:r>
      <w:r w:rsidRPr="00462E27">
        <w:t xml:space="preserve"> партнеров, участвующих в </w:t>
      </w:r>
      <w:r w:rsidR="00F0236C">
        <w:t>разработке</w:t>
      </w:r>
      <w:r w:rsidRPr="00462E27">
        <w:t xml:space="preserve"> и </w:t>
      </w:r>
      <w:r w:rsidR="008A6D81">
        <w:t>выполнении</w:t>
      </w:r>
      <w:r w:rsidRPr="00462E27">
        <w:t xml:space="preserve"> проектов МСЭ в области электросвязи</w:t>
      </w:r>
      <w:r w:rsidR="0035181F">
        <w:t>/</w:t>
      </w:r>
      <w:r w:rsidRPr="00462E27">
        <w:t xml:space="preserve">ИКТ, </w:t>
      </w:r>
      <w:r w:rsidR="002F6E78" w:rsidRPr="002F6E78">
        <w:t xml:space="preserve">явно свидетельствует </w:t>
      </w:r>
      <w:r w:rsidR="002F6E78">
        <w:t xml:space="preserve">о </w:t>
      </w:r>
      <w:r w:rsidR="00A80ACE" w:rsidRPr="00A80ACE">
        <w:t>признани</w:t>
      </w:r>
      <w:r w:rsidR="002F6E78">
        <w:t xml:space="preserve">и ведущей роли и нейтрального </w:t>
      </w:r>
      <w:r w:rsidR="00533A65">
        <w:t>статуса</w:t>
      </w:r>
      <w:r w:rsidR="00A80ACE" w:rsidRPr="00A80ACE">
        <w:t xml:space="preserve"> БРЭ</w:t>
      </w:r>
      <w:r w:rsidRPr="00462E27">
        <w:t xml:space="preserve">. </w:t>
      </w:r>
      <w:r w:rsidR="00533A65">
        <w:t>Для БРЭ э</w:t>
      </w:r>
      <w:r w:rsidRPr="00462E27">
        <w:t xml:space="preserve">то </w:t>
      </w:r>
      <w:r w:rsidR="00533A65">
        <w:t xml:space="preserve">шаг в позитивном направлении </w:t>
      </w:r>
      <w:r w:rsidR="006C5626">
        <w:t>преобраз</w:t>
      </w:r>
      <w:r w:rsidR="00533A65">
        <w:t>ования</w:t>
      </w:r>
      <w:r w:rsidR="006C5626">
        <w:t xml:space="preserve"> в структуру,</w:t>
      </w:r>
      <w:r w:rsidR="008439B4">
        <w:t xml:space="preserve"> </w:t>
      </w:r>
      <w:r w:rsidR="006C5626">
        <w:t>соответствующую своему назначению</w:t>
      </w:r>
      <w:r w:rsidRPr="00462E27">
        <w:t xml:space="preserve">, </w:t>
      </w:r>
      <w:r w:rsidR="001645A7">
        <w:t>что</w:t>
      </w:r>
      <w:r w:rsidRPr="00462E27">
        <w:t xml:space="preserve"> имеет </w:t>
      </w:r>
      <w:r w:rsidR="00393BC8">
        <w:t>первостепенное</w:t>
      </w:r>
      <w:r w:rsidRPr="00462E27">
        <w:t xml:space="preserve"> значение для решения растущих проблем подключения и </w:t>
      </w:r>
      <w:r w:rsidR="000E3BE6">
        <w:t>внедрения</w:t>
      </w:r>
      <w:r w:rsidRPr="00462E27">
        <w:t xml:space="preserve"> цифровых решений по всему миру </w:t>
      </w:r>
      <w:r w:rsidR="00201ABD">
        <w:t>–</w:t>
      </w:r>
      <w:r w:rsidRPr="00462E27">
        <w:t xml:space="preserve"> проблем,</w:t>
      </w:r>
      <w:r w:rsidR="00BE3445">
        <w:t xml:space="preserve"> решение</w:t>
      </w:r>
      <w:r w:rsidRPr="00462E27">
        <w:t xml:space="preserve"> которы</w:t>
      </w:r>
      <w:r w:rsidR="00BE3445">
        <w:t>х</w:t>
      </w:r>
      <w:r w:rsidRPr="00462E27">
        <w:t xml:space="preserve"> выход</w:t>
      </w:r>
      <w:r w:rsidR="00BE3445">
        <w:t>и</w:t>
      </w:r>
      <w:r w:rsidRPr="00462E27">
        <w:t xml:space="preserve">т за </w:t>
      </w:r>
      <w:r w:rsidR="00CF5119" w:rsidRPr="00CF5119">
        <w:t xml:space="preserve">пределы </w:t>
      </w:r>
      <w:r w:rsidRPr="00462E27">
        <w:t>возможностей одной организации.</w:t>
      </w:r>
    </w:p>
    <w:p w14:paraId="71882923" w14:textId="74089F1B" w:rsidR="00F6324F" w:rsidRPr="008459E3" w:rsidRDefault="00462E27" w:rsidP="00E012E7">
      <w:pPr>
        <w:rPr>
          <w:highlight w:val="lightGray"/>
        </w:rPr>
      </w:pPr>
      <w:bookmarkStart w:id="18" w:name="lt_pId120"/>
      <w:bookmarkEnd w:id="17"/>
      <w:r w:rsidRPr="008459E3">
        <w:t>Н</w:t>
      </w:r>
      <w:r w:rsidR="008459E3">
        <w:t xml:space="preserve">иже приводится </w:t>
      </w:r>
      <w:r w:rsidR="00695C8E">
        <w:t xml:space="preserve">несколько </w:t>
      </w:r>
      <w:r w:rsidR="00540584">
        <w:t xml:space="preserve">примеров таких </w:t>
      </w:r>
      <w:r w:rsidR="00B3451C">
        <w:t>проектов</w:t>
      </w:r>
      <w:r w:rsidRPr="008459E3">
        <w:t>:</w:t>
      </w:r>
      <w:bookmarkEnd w:id="18"/>
    </w:p>
    <w:p w14:paraId="0F9F1BD4" w14:textId="09CCC2A7" w:rsidR="00F6324F" w:rsidRPr="00AB23E1" w:rsidRDefault="00F6324F" w:rsidP="00F6324F">
      <w:pPr>
        <w:pStyle w:val="enumlev1"/>
      </w:pPr>
      <w:bookmarkStart w:id="19" w:name="lt_pId121"/>
      <w:r w:rsidRPr="00262648">
        <w:t>–</w:t>
      </w:r>
      <w:r w:rsidRPr="00262648">
        <w:tab/>
      </w:r>
      <w:r w:rsidR="00462E27" w:rsidRPr="00AB23E1">
        <w:t xml:space="preserve">инициатива </w:t>
      </w:r>
      <w:r w:rsidR="00462E27" w:rsidRPr="00AB23E1">
        <w:rPr>
          <w:lang w:val="en-GB"/>
        </w:rPr>
        <w:t>Giga</w:t>
      </w:r>
      <w:r w:rsidR="00462E27" w:rsidRPr="00AB23E1">
        <w:rPr>
          <w:rStyle w:val="FootnoteReference"/>
        </w:rPr>
        <w:footnoteReference w:id="3"/>
      </w:r>
      <w:r w:rsidR="00E17C9D" w:rsidRPr="00AB23E1">
        <w:t xml:space="preserve">: </w:t>
      </w:r>
      <w:r w:rsidR="00462E27" w:rsidRPr="00AB23E1">
        <w:t>совместная программа МСЭ</w:t>
      </w:r>
      <w:r w:rsidR="00C47377" w:rsidRPr="00AB23E1">
        <w:t>–</w:t>
      </w:r>
      <w:r w:rsidR="00462E27" w:rsidRPr="00AB23E1">
        <w:t>ЮНИСЕФ</w:t>
      </w:r>
      <w:r w:rsidR="00A223CB" w:rsidRPr="00AB23E1">
        <w:t xml:space="preserve"> по </w:t>
      </w:r>
      <w:r w:rsidR="00462E27" w:rsidRPr="00AB23E1">
        <w:t>подключени</w:t>
      </w:r>
      <w:r w:rsidR="00A223CB" w:rsidRPr="00AB23E1">
        <w:t>ю</w:t>
      </w:r>
      <w:r w:rsidR="00462E27" w:rsidRPr="00AB23E1">
        <w:t xml:space="preserve"> </w:t>
      </w:r>
      <w:r w:rsidR="00A223CB" w:rsidRPr="00AB23E1">
        <w:t xml:space="preserve">всех </w:t>
      </w:r>
      <w:r w:rsidR="00462E27" w:rsidRPr="00AB23E1">
        <w:t xml:space="preserve">школ к </w:t>
      </w:r>
      <w:r w:rsidR="00A223CB" w:rsidRPr="00AB23E1">
        <w:t>и</w:t>
      </w:r>
      <w:r w:rsidR="00462E27" w:rsidRPr="00AB23E1">
        <w:t>нтернету</w:t>
      </w:r>
      <w:r w:rsidRPr="00AB23E1">
        <w:t>;</w:t>
      </w:r>
      <w:bookmarkEnd w:id="19"/>
    </w:p>
    <w:p w14:paraId="65FB4E15" w14:textId="2B58CD03" w:rsidR="00F6324F" w:rsidRPr="00BE51AD" w:rsidRDefault="00F6324F" w:rsidP="00F6324F">
      <w:pPr>
        <w:pStyle w:val="enumlev1"/>
        <w:rPr>
          <w:highlight w:val="lightGray"/>
        </w:rPr>
      </w:pPr>
      <w:bookmarkStart w:id="22" w:name="lt_pId122"/>
      <w:r w:rsidRPr="00BE51AD">
        <w:t>–</w:t>
      </w:r>
      <w:r w:rsidRPr="00BE51AD">
        <w:tab/>
      </w:r>
      <w:r w:rsidR="00BE51AD" w:rsidRPr="00BE51AD">
        <w:t>и</w:t>
      </w:r>
      <w:r w:rsidR="00462E27" w:rsidRPr="00BE51AD">
        <w:t xml:space="preserve">нициатива </w:t>
      </w:r>
      <w:r w:rsidR="00BE51AD" w:rsidRPr="00BE51AD">
        <w:t>"Центры цифровой трансформации"</w:t>
      </w:r>
      <w:r w:rsidR="00C502D1">
        <w:t xml:space="preserve"> (</w:t>
      </w:r>
      <w:r w:rsidR="00C502D1">
        <w:rPr>
          <w:lang w:val="en-US"/>
        </w:rPr>
        <w:t>DTC</w:t>
      </w:r>
      <w:r w:rsidR="00C502D1">
        <w:t>)</w:t>
      </w:r>
      <w:r w:rsidR="00462E27" w:rsidRPr="00BE51AD">
        <w:rPr>
          <w:rStyle w:val="FootnoteReference"/>
        </w:rPr>
        <w:footnoteReference w:id="4"/>
      </w:r>
      <w:r w:rsidR="00E17C9D">
        <w:t xml:space="preserve">: </w:t>
      </w:r>
      <w:r w:rsidR="00462E27" w:rsidRPr="00BE51AD">
        <w:t xml:space="preserve">программа, совместно финансируемая МСЭ и </w:t>
      </w:r>
      <w:r w:rsidR="00462E27" w:rsidRPr="00BE51AD">
        <w:rPr>
          <w:lang w:val="en-GB"/>
        </w:rPr>
        <w:t>NORAD</w:t>
      </w:r>
      <w:r w:rsidR="00462E27" w:rsidRPr="00BE51AD">
        <w:t xml:space="preserve">, </w:t>
      </w:r>
      <w:r w:rsidR="00BE51AD" w:rsidRPr="00BE51AD">
        <w:t>направлен</w:t>
      </w:r>
      <w:r w:rsidR="00BE51AD">
        <w:t>ная</w:t>
      </w:r>
      <w:r w:rsidR="00BE51AD" w:rsidRPr="00BE51AD">
        <w:t xml:space="preserve"> на создание глобальной сети центров, основной задачей которых будет развитие цифровых навыков граждан на базовом и среднем уровнях</w:t>
      </w:r>
      <w:r w:rsidR="00462E27" w:rsidRPr="00BE51AD">
        <w:t>;</w:t>
      </w:r>
      <w:bookmarkEnd w:id="22"/>
    </w:p>
    <w:p w14:paraId="64B2C1CE" w14:textId="77E4FF12" w:rsidR="00F6324F" w:rsidRPr="004B6B23" w:rsidRDefault="00F6324F" w:rsidP="00F6324F">
      <w:pPr>
        <w:pStyle w:val="enumlev1"/>
        <w:rPr>
          <w:highlight w:val="lightGray"/>
        </w:rPr>
      </w:pPr>
      <w:bookmarkStart w:id="25" w:name="lt_pId123"/>
      <w:r w:rsidRPr="000150D6">
        <w:t>–</w:t>
      </w:r>
      <w:r w:rsidRPr="000150D6">
        <w:tab/>
      </w:r>
      <w:r w:rsidR="000150D6">
        <w:t>и</w:t>
      </w:r>
      <w:r w:rsidR="00462E27" w:rsidRPr="000150D6">
        <w:t xml:space="preserve">нициатива </w:t>
      </w:r>
      <w:r w:rsidR="00462E27" w:rsidRPr="000150D6">
        <w:rPr>
          <w:lang w:val="en-GB"/>
        </w:rPr>
        <w:t>Connect</w:t>
      </w:r>
      <w:r w:rsidR="00462E27" w:rsidRPr="000150D6">
        <w:t>2</w:t>
      </w:r>
      <w:r w:rsidR="00462E27" w:rsidRPr="000150D6">
        <w:rPr>
          <w:lang w:val="en-GB"/>
        </w:rPr>
        <w:t>Recover</w:t>
      </w:r>
      <w:r w:rsidR="00462E27" w:rsidRPr="000150D6">
        <w:rPr>
          <w:rStyle w:val="FootnoteReference"/>
        </w:rPr>
        <w:footnoteReference w:id="5"/>
      </w:r>
      <w:r w:rsidR="00E17C9D">
        <w:t xml:space="preserve">: </w:t>
      </w:r>
      <w:r w:rsidR="00462E27" w:rsidRPr="000150D6">
        <w:t>глобальная</w:t>
      </w:r>
      <w:r w:rsidR="00462E27" w:rsidRPr="00462E27">
        <w:t xml:space="preserve"> инициатива, совместно финансируемая </w:t>
      </w:r>
      <w:r w:rsidR="004B6B23" w:rsidRPr="004B6B23">
        <w:t>Министерств</w:t>
      </w:r>
      <w:r w:rsidR="004B6B23">
        <w:t>ом</w:t>
      </w:r>
      <w:r w:rsidR="004B6B23" w:rsidRPr="004B6B23">
        <w:t xml:space="preserve"> внутренних дел и связи</w:t>
      </w:r>
      <w:r w:rsidR="00E435F4">
        <w:t xml:space="preserve"> (</w:t>
      </w:r>
      <w:r w:rsidR="00E435F4">
        <w:rPr>
          <w:lang w:val="en-US"/>
        </w:rPr>
        <w:t>MIC</w:t>
      </w:r>
      <w:r w:rsidR="00E435F4">
        <w:t>)</w:t>
      </w:r>
      <w:r w:rsidR="004B6B23" w:rsidRPr="004B6B23">
        <w:t xml:space="preserve"> Японии и Центр</w:t>
      </w:r>
      <w:r w:rsidR="004B6B23">
        <w:t>ом</w:t>
      </w:r>
      <w:r w:rsidR="004B6B23" w:rsidRPr="004B6B23">
        <w:t xml:space="preserve"> гуманитарной помощи и гуманитарных операций им. короля Салмана (Королевство Саудовская Аравия)</w:t>
      </w:r>
      <w:r w:rsidR="00462E27" w:rsidRPr="004B6B23">
        <w:t xml:space="preserve">, </w:t>
      </w:r>
      <w:r w:rsidR="00462E27" w:rsidRPr="00462E27">
        <w:t>направленная</w:t>
      </w:r>
      <w:r w:rsidR="00462E27" w:rsidRPr="004B6B23">
        <w:t xml:space="preserve"> </w:t>
      </w:r>
      <w:r w:rsidR="00462E27" w:rsidRPr="00462E27">
        <w:t>на</w:t>
      </w:r>
      <w:r w:rsidR="00462E27" w:rsidRPr="004B6B23">
        <w:t xml:space="preserve"> </w:t>
      </w:r>
      <w:r w:rsidR="00462E27" w:rsidRPr="00462E27">
        <w:t>укрепление</w:t>
      </w:r>
      <w:r w:rsidR="00462E27" w:rsidRPr="004B6B23">
        <w:t xml:space="preserve"> </w:t>
      </w:r>
      <w:r w:rsidR="00462E27" w:rsidRPr="00462E27">
        <w:t>цифровой</w:t>
      </w:r>
      <w:r w:rsidR="00462E27" w:rsidRPr="004B6B23">
        <w:t xml:space="preserve"> </w:t>
      </w:r>
      <w:r w:rsidR="00462E27" w:rsidRPr="00462E27">
        <w:t>инфраструктуры</w:t>
      </w:r>
      <w:r w:rsidR="00462E27" w:rsidRPr="004B6B23">
        <w:t xml:space="preserve"> </w:t>
      </w:r>
      <w:r w:rsidR="00462E27" w:rsidRPr="00462E27">
        <w:t>и</w:t>
      </w:r>
      <w:r w:rsidR="00462E27" w:rsidRPr="004B6B23">
        <w:t xml:space="preserve"> </w:t>
      </w:r>
      <w:r w:rsidR="00462E27" w:rsidRPr="00462E27">
        <w:t>экосистем</w:t>
      </w:r>
      <w:r w:rsidR="00462E27" w:rsidRPr="004B6B23">
        <w:t xml:space="preserve"> </w:t>
      </w:r>
      <w:r w:rsidR="00462E27" w:rsidRPr="00462E27">
        <w:t>стран</w:t>
      </w:r>
      <w:r w:rsidR="00462E27" w:rsidRPr="004B6B23">
        <w:t>-</w:t>
      </w:r>
      <w:r w:rsidR="00462E27" w:rsidRPr="00462E27">
        <w:t>бенефициаров</w:t>
      </w:r>
      <w:r w:rsidR="00DB44CB">
        <w:t xml:space="preserve"> в целях</w:t>
      </w:r>
      <w:r w:rsidR="000150D6" w:rsidRPr="004B6B23">
        <w:t xml:space="preserve"> </w:t>
      </w:r>
      <w:r w:rsidR="000150D6" w:rsidRPr="000150D6">
        <w:t>обеспечения</w:t>
      </w:r>
      <w:r w:rsidR="000150D6" w:rsidRPr="004B6B23">
        <w:t xml:space="preserve"> </w:t>
      </w:r>
      <w:r w:rsidR="000150D6" w:rsidRPr="000150D6">
        <w:t>готовности</w:t>
      </w:r>
      <w:r w:rsidR="000150D6" w:rsidRPr="004B6B23">
        <w:t xml:space="preserve"> </w:t>
      </w:r>
      <w:r w:rsidR="000150D6" w:rsidRPr="000150D6">
        <w:t>к</w:t>
      </w:r>
      <w:r w:rsidR="000150D6" w:rsidRPr="004B6B23">
        <w:t xml:space="preserve"> "</w:t>
      </w:r>
      <w:r w:rsidR="000150D6" w:rsidRPr="000150D6">
        <w:t>новой</w:t>
      </w:r>
      <w:r w:rsidR="000150D6" w:rsidRPr="004B6B23">
        <w:t xml:space="preserve"> </w:t>
      </w:r>
      <w:r w:rsidR="000150D6" w:rsidRPr="000150D6">
        <w:t>норме</w:t>
      </w:r>
      <w:r w:rsidR="000150D6" w:rsidRPr="004B6B23">
        <w:t xml:space="preserve">" </w:t>
      </w:r>
      <w:r w:rsidR="000150D6" w:rsidRPr="000150D6">
        <w:t>и</w:t>
      </w:r>
      <w:r w:rsidR="000150D6" w:rsidRPr="004B6B23">
        <w:t xml:space="preserve"> </w:t>
      </w:r>
      <w:r w:rsidR="000150D6" w:rsidRPr="000150D6">
        <w:t>возможным</w:t>
      </w:r>
      <w:r w:rsidR="000150D6" w:rsidRPr="004B6B23">
        <w:t xml:space="preserve"> </w:t>
      </w:r>
      <w:r w:rsidR="000150D6" w:rsidRPr="000150D6">
        <w:t>будущим</w:t>
      </w:r>
      <w:r w:rsidR="000150D6" w:rsidRPr="004B6B23">
        <w:t xml:space="preserve"> </w:t>
      </w:r>
      <w:r w:rsidR="00F31436" w:rsidRPr="00F31436">
        <w:t>пандемиям</w:t>
      </w:r>
      <w:r w:rsidR="00462E27" w:rsidRPr="004B6B23">
        <w:t>.</w:t>
      </w:r>
      <w:bookmarkEnd w:id="25"/>
    </w:p>
    <w:p w14:paraId="1D064413" w14:textId="675E47C3" w:rsidR="00F6324F" w:rsidRPr="003B7358" w:rsidRDefault="00462E27" w:rsidP="00F6324F">
      <w:pPr>
        <w:spacing w:after="120"/>
      </w:pPr>
      <w:bookmarkStart w:id="28" w:name="lt_pId124"/>
      <w:r w:rsidRPr="00462E27">
        <w:lastRenderedPageBreak/>
        <w:t>Эти и другие проекты МСЭ показывают, что</w:t>
      </w:r>
      <w:r w:rsidR="00873E3F">
        <w:t xml:space="preserve"> </w:t>
      </w:r>
      <w:r w:rsidR="00B3451C">
        <w:t>через</w:t>
      </w:r>
      <w:r w:rsidR="00873E3F">
        <w:t xml:space="preserve"> партнерства </w:t>
      </w:r>
      <w:r w:rsidRPr="00462E27">
        <w:t xml:space="preserve">МСЭ может оказывать более </w:t>
      </w:r>
      <w:r w:rsidR="007A2F77" w:rsidRPr="007A2F77">
        <w:t>значи</w:t>
      </w:r>
      <w:r w:rsidR="00AD42DF">
        <w:t>м</w:t>
      </w:r>
      <w:r w:rsidR="007A2F77" w:rsidRPr="007A2F77">
        <w:t xml:space="preserve">ое </w:t>
      </w:r>
      <w:r w:rsidR="00841EEA" w:rsidRPr="00841EEA">
        <w:t>воздействи</w:t>
      </w:r>
      <w:r w:rsidR="00841EEA">
        <w:t>е</w:t>
      </w:r>
      <w:r w:rsidR="00841EEA" w:rsidRPr="00841EEA">
        <w:t xml:space="preserve"> </w:t>
      </w:r>
      <w:r w:rsidRPr="00462E27">
        <w:t xml:space="preserve">и </w:t>
      </w:r>
      <w:r w:rsidR="00E15358">
        <w:t>более эффективно поддерживать</w:t>
      </w:r>
      <w:r w:rsidRPr="00462E27">
        <w:t xml:space="preserve"> </w:t>
      </w:r>
      <w:r w:rsidR="00E15358">
        <w:t>ч</w:t>
      </w:r>
      <w:r w:rsidRPr="00462E27">
        <w:t>лен</w:t>
      </w:r>
      <w:r w:rsidR="00E15358">
        <w:t>ов</w:t>
      </w:r>
      <w:r w:rsidRPr="00462E27">
        <w:t xml:space="preserve"> МСЭ </w:t>
      </w:r>
      <w:r w:rsidR="007A39C6">
        <w:t>на пути</w:t>
      </w:r>
      <w:r w:rsidRPr="00462E27">
        <w:t xml:space="preserve"> цифрового развития.</w:t>
      </w:r>
      <w:bookmarkEnd w:id="28"/>
    </w:p>
    <w:p w14:paraId="4D03B5FF" w14:textId="61C413FD" w:rsidR="002327C1" w:rsidRPr="00462E27" w:rsidRDefault="00F6324F" w:rsidP="0040328D">
      <w:pPr>
        <w:rPr>
          <w:highlight w:val="lightGray"/>
        </w:rPr>
      </w:pPr>
      <w:r w:rsidRPr="00841EEA">
        <w:t>2.3</w:t>
      </w:r>
      <w:r w:rsidRPr="00841EEA">
        <w:tab/>
      </w:r>
      <w:bookmarkStart w:id="29" w:name="lt_pId125"/>
      <w:r w:rsidR="00A378B1" w:rsidRPr="00EB3CD2">
        <w:rPr>
          <w:u w:val="single"/>
        </w:rPr>
        <w:t>Соглашени</w:t>
      </w:r>
      <w:r w:rsidR="008B499D">
        <w:rPr>
          <w:u w:val="single"/>
        </w:rPr>
        <w:t>я</w:t>
      </w:r>
      <w:r w:rsidR="00A378B1" w:rsidRPr="00EB3CD2">
        <w:rPr>
          <w:u w:val="single"/>
        </w:rPr>
        <w:t xml:space="preserve"> по п</w:t>
      </w:r>
      <w:r w:rsidR="00462E27" w:rsidRPr="00EB3CD2">
        <w:rPr>
          <w:u w:val="single"/>
        </w:rPr>
        <w:t>роект</w:t>
      </w:r>
      <w:r w:rsidR="00A378B1" w:rsidRPr="00EB3CD2">
        <w:rPr>
          <w:u w:val="single"/>
        </w:rPr>
        <w:t>ам</w:t>
      </w:r>
      <w:r w:rsidR="00462E27" w:rsidRPr="00EB3CD2">
        <w:rPr>
          <w:u w:val="single"/>
        </w:rPr>
        <w:t>, подписанные в первом квартале 2021 года</w:t>
      </w:r>
      <w:r w:rsidR="00462E27">
        <w:t xml:space="preserve"> </w:t>
      </w:r>
      <w:bookmarkEnd w:id="29"/>
    </w:p>
    <w:p w14:paraId="4FE98EC0" w14:textId="5C989090" w:rsidR="002327C1" w:rsidRPr="00AB23E1" w:rsidRDefault="00462E27" w:rsidP="00A42A11">
      <w:bookmarkStart w:id="30" w:name="lt_pId126"/>
      <w:r w:rsidRPr="00462E27">
        <w:t xml:space="preserve">Интенсивная работа по привлечению новых партнеров продолжалась в первом квартале 2021 года, в течение которого </w:t>
      </w:r>
      <w:r w:rsidR="00404B52">
        <w:t>БРЭ</w:t>
      </w:r>
      <w:r w:rsidRPr="00462E27">
        <w:t xml:space="preserve"> </w:t>
      </w:r>
      <w:r w:rsidRPr="00A378B1">
        <w:t xml:space="preserve">подписало </w:t>
      </w:r>
      <w:r w:rsidR="00A378B1" w:rsidRPr="00A378B1">
        <w:t>соглашени</w:t>
      </w:r>
      <w:r w:rsidR="008B499D">
        <w:t>я</w:t>
      </w:r>
      <w:r w:rsidR="00A378B1" w:rsidRPr="00A378B1">
        <w:t xml:space="preserve"> по</w:t>
      </w:r>
      <w:r w:rsidRPr="00A378B1">
        <w:t xml:space="preserve"> </w:t>
      </w:r>
      <w:r w:rsidR="008B499D" w:rsidRPr="00A378B1">
        <w:t xml:space="preserve">11 </w:t>
      </w:r>
      <w:r w:rsidRPr="00A378B1">
        <w:t>проект</w:t>
      </w:r>
      <w:r w:rsidR="00A378B1" w:rsidRPr="00A378B1">
        <w:t>ам</w:t>
      </w:r>
      <w:r w:rsidRPr="00A378B1">
        <w:t xml:space="preserve"> на сумму около 5,5 </w:t>
      </w:r>
      <w:r w:rsidR="00404B52" w:rsidRPr="00A378B1">
        <w:t>млн.</w:t>
      </w:r>
      <w:r w:rsidRPr="00A378B1">
        <w:t xml:space="preserve"> швейцарских франков</w:t>
      </w:r>
      <w:r w:rsidR="00B44C34" w:rsidRPr="00A378B1">
        <w:t>; ожидается, что</w:t>
      </w:r>
      <w:r w:rsidRPr="00A378B1">
        <w:t xml:space="preserve"> </w:t>
      </w:r>
      <w:r w:rsidR="00B44C34" w:rsidRPr="00A378B1">
        <w:t>во втором квартале 2021 года будут подписаны</w:t>
      </w:r>
      <w:r w:rsidR="00B44C34" w:rsidRPr="00462E27">
        <w:t xml:space="preserve"> </w:t>
      </w:r>
      <w:r w:rsidR="00D63781">
        <w:t xml:space="preserve">соглашения </w:t>
      </w:r>
      <w:r w:rsidRPr="00462E27">
        <w:t xml:space="preserve">еще </w:t>
      </w:r>
      <w:r w:rsidR="00A378B1">
        <w:t xml:space="preserve">по </w:t>
      </w:r>
      <w:r w:rsidR="00D63781">
        <w:t xml:space="preserve">восьми </w:t>
      </w:r>
      <w:r w:rsidRPr="00462E27">
        <w:t>проект</w:t>
      </w:r>
      <w:r w:rsidR="00A378B1">
        <w:t>ам</w:t>
      </w:r>
      <w:r w:rsidR="004734A5" w:rsidRPr="004734A5">
        <w:t xml:space="preserve"> </w:t>
      </w:r>
      <w:r w:rsidR="004734A5" w:rsidRPr="00462E27">
        <w:t>на сумму 4,3</w:t>
      </w:r>
      <w:r w:rsidR="00B44C34">
        <w:t> </w:t>
      </w:r>
      <w:r w:rsidR="004734A5">
        <w:t>млн.</w:t>
      </w:r>
      <w:r w:rsidR="004734A5" w:rsidRPr="00462E27">
        <w:t xml:space="preserve"> швейцарских франков</w:t>
      </w:r>
      <w:r w:rsidRPr="00462E27">
        <w:t xml:space="preserve">. </w:t>
      </w:r>
      <w:r w:rsidRPr="00900177">
        <w:t xml:space="preserve">Эти проекты носят </w:t>
      </w:r>
      <w:r w:rsidR="0036228E">
        <w:t>меж</w:t>
      </w:r>
      <w:r w:rsidRPr="00900177">
        <w:t xml:space="preserve">региональный, региональный и национальный характер. </w:t>
      </w:r>
      <w:r w:rsidRPr="008A1511">
        <w:t>Список</w:t>
      </w:r>
      <w:r w:rsidRPr="00900177">
        <w:t xml:space="preserve"> </w:t>
      </w:r>
      <w:r w:rsidR="003B7358">
        <w:t xml:space="preserve">этих соглашений </w:t>
      </w:r>
      <w:r w:rsidR="002F6BA5">
        <w:t>доступен</w:t>
      </w:r>
      <w:r w:rsidR="00145A7B">
        <w:t xml:space="preserve"> </w:t>
      </w:r>
      <w:r w:rsidRPr="008A1511">
        <w:t>в</w:t>
      </w:r>
      <w:r w:rsidRPr="00900177">
        <w:t xml:space="preserve"> </w:t>
      </w:r>
      <w:hyperlink r:id="rId11" w:history="1">
        <w:r w:rsidR="00E435F4" w:rsidRPr="00C14BCA">
          <w:rPr>
            <w:rStyle w:val="Hyperlink"/>
          </w:rPr>
          <w:t>Документе INF/2</w:t>
        </w:r>
      </w:hyperlink>
      <w:r w:rsidR="008A1511" w:rsidRPr="00900177">
        <w:t>.</w:t>
      </w:r>
      <w:bookmarkEnd w:id="30"/>
    </w:p>
    <w:p w14:paraId="69B9BF3E" w14:textId="397C4479" w:rsidR="00F6324F" w:rsidRPr="00AB23E1" w:rsidRDefault="00F6324F" w:rsidP="005E5203">
      <w:pPr>
        <w:pStyle w:val="Heading1"/>
      </w:pPr>
      <w:r w:rsidRPr="00AB23E1">
        <w:t>3</w:t>
      </w:r>
      <w:r w:rsidRPr="00AB23E1">
        <w:tab/>
      </w:r>
      <w:r w:rsidRPr="00F6324F">
        <w:t>Источники</w:t>
      </w:r>
      <w:r w:rsidRPr="00AB23E1">
        <w:t xml:space="preserve"> </w:t>
      </w:r>
      <w:r w:rsidRPr="00F6324F">
        <w:t>финансирования</w:t>
      </w:r>
      <w:r w:rsidR="00405AC0" w:rsidRPr="00AB23E1">
        <w:t xml:space="preserve"> </w:t>
      </w:r>
      <w:r w:rsidR="00405AC0">
        <w:t>выполняемых</w:t>
      </w:r>
      <w:r w:rsidRPr="00AB23E1">
        <w:t xml:space="preserve"> </w:t>
      </w:r>
      <w:r w:rsidRPr="00F6324F">
        <w:t>проектов</w:t>
      </w:r>
      <w:r w:rsidR="00405AC0" w:rsidRPr="00AB23E1">
        <w:t xml:space="preserve"> </w:t>
      </w:r>
      <w:r w:rsidR="00405AC0">
        <w:t>МСЭ</w:t>
      </w:r>
    </w:p>
    <w:p w14:paraId="4472B6E9" w14:textId="0E6E32E8" w:rsidR="005E5203" w:rsidRPr="005E5203" w:rsidRDefault="005E5203" w:rsidP="005E5203">
      <w:r w:rsidRPr="005E5203">
        <w:t>Проекты МСЭ финансируются в основном за счет внебюджетных ресурсов. Существует четыре типа источников финансирования проектов: целевые фонды (FIT), Фонд развития информационно-коммуникационных технологий (ФРИКТ</w:t>
      </w:r>
      <w:r w:rsidRPr="00734508">
        <w:t>)</w:t>
      </w:r>
      <w:r w:rsidR="00734508" w:rsidRPr="00734508">
        <w:rPr>
          <w:vertAlign w:val="superscript"/>
          <w:lang w:val="fr-FR"/>
        </w:rPr>
        <w:footnoteReference w:id="6"/>
      </w:r>
      <w:r w:rsidRPr="00734508">
        <w:t xml:space="preserve">, </w:t>
      </w:r>
      <w:r w:rsidRPr="005E5203">
        <w:t>добровольные взносы и регулярный бюджет МСЭ</w:t>
      </w:r>
      <w:r w:rsidR="00B1534E">
        <w:t xml:space="preserve"> (ОП)</w:t>
      </w:r>
      <w:r w:rsidR="00734508" w:rsidRPr="00734508">
        <w:rPr>
          <w:vertAlign w:val="superscript"/>
          <w:lang w:val="fr-FR"/>
        </w:rPr>
        <w:footnoteReference w:id="7"/>
      </w:r>
      <w:r w:rsidRPr="005E5203">
        <w:t xml:space="preserve">. </w:t>
      </w:r>
    </w:p>
    <w:p w14:paraId="768D3D1D" w14:textId="51DC76F6" w:rsidR="00F6324F" w:rsidRPr="00AB23E1" w:rsidRDefault="005E5203" w:rsidP="005E5203">
      <w:r w:rsidRPr="00E3373D">
        <w:t xml:space="preserve">На основании текущего бюджета </w:t>
      </w:r>
      <w:r w:rsidR="00A378B1" w:rsidRPr="00A378B1">
        <w:t>вы</w:t>
      </w:r>
      <w:r w:rsidRPr="00A378B1">
        <w:t>полнения</w:t>
      </w:r>
      <w:r w:rsidRPr="00E3373D">
        <w:t xml:space="preserve"> проектов по состоянию на 3</w:t>
      </w:r>
      <w:r w:rsidR="007574C7" w:rsidRPr="00E3373D">
        <w:t>1 марта</w:t>
      </w:r>
      <w:r w:rsidRPr="00E3373D">
        <w:t xml:space="preserve"> 20</w:t>
      </w:r>
      <w:r w:rsidR="007574C7" w:rsidRPr="00E3373D">
        <w:t>2</w:t>
      </w:r>
      <w:r w:rsidR="007C26F5" w:rsidRPr="00E3373D">
        <w:t>1</w:t>
      </w:r>
      <w:r w:rsidRPr="00E3373D">
        <w:t xml:space="preserve"> года: </w:t>
      </w:r>
      <w:r w:rsidR="007C26F5" w:rsidRPr="00E3373D">
        <w:t>около 90</w:t>
      </w:r>
      <w:r w:rsidRPr="00E3373D">
        <w:t xml:space="preserve">% </w:t>
      </w:r>
      <w:r w:rsidR="007C26F5" w:rsidRPr="00E3373D">
        <w:t xml:space="preserve">финансирования выполняемых проектов </w:t>
      </w:r>
      <w:r w:rsidRPr="00E3373D">
        <w:t>приходится на целевы</w:t>
      </w:r>
      <w:r w:rsidR="007C26F5" w:rsidRPr="00E3373D">
        <w:t>е</w:t>
      </w:r>
      <w:r w:rsidRPr="00E3373D">
        <w:t xml:space="preserve"> фонды, </w:t>
      </w:r>
      <w:r w:rsidR="007C26F5" w:rsidRPr="00E3373D">
        <w:t>5%</w:t>
      </w:r>
      <w:r w:rsidRPr="00E3373D">
        <w:t xml:space="preserve"> – на ФРИКТ и </w:t>
      </w:r>
      <w:r w:rsidR="007C26F5" w:rsidRPr="00E3373D">
        <w:t>5</w:t>
      </w:r>
      <w:r w:rsidRPr="00E3373D">
        <w:t>% – на Оперативный план БРЭ</w:t>
      </w:r>
      <w:r w:rsidR="007C26F5" w:rsidRPr="00E3373D">
        <w:t xml:space="preserve"> (см. </w:t>
      </w:r>
      <w:r w:rsidR="00BA1E87">
        <w:t>Р</w:t>
      </w:r>
      <w:r w:rsidR="007C26F5" w:rsidRPr="00E3373D">
        <w:t>исунок 3)</w:t>
      </w:r>
      <w:r w:rsidRPr="00E3373D">
        <w:t>.</w:t>
      </w:r>
    </w:p>
    <w:p w14:paraId="7123FBEF" w14:textId="31E8FC30" w:rsidR="00F6324F" w:rsidRPr="00AB23E1" w:rsidRDefault="005D6693" w:rsidP="005E5203">
      <w:pPr>
        <w:pStyle w:val="Tabletitle"/>
        <w:spacing w:before="120"/>
        <w:rPr>
          <w:bCs/>
          <w:highlight w:val="lightGray"/>
        </w:rPr>
      </w:pPr>
      <w:bookmarkStart w:id="34" w:name="lt_pId135"/>
      <w:r w:rsidRPr="00AB23E1">
        <w:rPr>
          <w:bCs/>
        </w:rPr>
        <w:t>Рисунок 3</w:t>
      </w:r>
      <w:r w:rsidR="003F774C" w:rsidRPr="00AB23E1">
        <w:rPr>
          <w:bCs/>
        </w:rPr>
        <w:t>:</w:t>
      </w:r>
      <w:r w:rsidRPr="00AB23E1">
        <w:rPr>
          <w:bCs/>
        </w:rPr>
        <w:t xml:space="preserve"> Источники финансирования проектов МСЭ (</w:t>
      </w:r>
      <w:r w:rsidR="00036179">
        <w:rPr>
          <w:bCs/>
        </w:rPr>
        <w:t>выполняемые</w:t>
      </w:r>
      <w:r w:rsidRPr="00AB23E1">
        <w:rPr>
          <w:bCs/>
        </w:rPr>
        <w:t xml:space="preserve"> проекты)</w:t>
      </w:r>
      <w:bookmarkEnd w:id="34"/>
    </w:p>
    <w:p w14:paraId="73AE5180" w14:textId="369FA93E" w:rsidR="00F6324F" w:rsidRPr="00A10AF8" w:rsidRDefault="00E012E7" w:rsidP="00F6324F">
      <w:pPr>
        <w:pStyle w:val="Tabletext"/>
        <w:jc w:val="center"/>
        <w:rPr>
          <w:highlight w:val="lightGray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C7D27" wp14:editId="6406539D">
                <wp:simplePos x="0" y="0"/>
                <wp:positionH relativeFrom="margin">
                  <wp:posOffset>5429526</wp:posOffset>
                </wp:positionH>
                <wp:positionV relativeFrom="paragraph">
                  <wp:posOffset>523875</wp:posOffset>
                </wp:positionV>
                <wp:extent cx="659958" cy="914400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3A3B7" w14:textId="55D03D6D" w:rsidR="00E012E7" w:rsidRDefault="00E012E7" w:rsidP="00E012E7">
                            <w:pPr>
                              <w:spacing w:before="0"/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Целевые фонды</w:t>
                            </w:r>
                          </w:p>
                          <w:p w14:paraId="5C5A6C9A" w14:textId="383FA0AC" w:rsidR="00E012E7" w:rsidRPr="00E012E7" w:rsidRDefault="00E012E7" w:rsidP="00E012E7">
                            <w:pPr>
                              <w:spacing w:before="80"/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ФРИКТ</w:t>
                            </w:r>
                          </w:p>
                          <w:p w14:paraId="7C03BAC6" w14:textId="36563922" w:rsidR="00E012E7" w:rsidRPr="00E012E7" w:rsidRDefault="00E012E7" w:rsidP="00E012E7">
                            <w:pPr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C7D27" id="Text Box 6" o:spid="_x0000_s1028" type="#_x0000_t202" style="position:absolute;left:0;text-align:left;margin-left:427.5pt;margin-top:41.25pt;width:51.95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" fillcolor="white [3201]" stroked="f" strokeweight=".5pt">
                <v:textbox>
                  <w:txbxContent>
                    <w:p w14:paraId="46C3A3B7" w14:textId="55D03D6D" w:rsidR="00E012E7" w:rsidRDefault="00E012E7" w:rsidP="00E012E7">
                      <w:pPr>
                        <w:spacing w:before="0"/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Целевые фонды</w:t>
                      </w:r>
                    </w:p>
                    <w:p w14:paraId="5C5A6C9A" w14:textId="383FA0AC" w:rsidR="00E012E7" w:rsidRPr="00E012E7" w:rsidRDefault="00E012E7" w:rsidP="00E012E7">
                      <w:pPr>
                        <w:spacing w:before="80"/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ФРИКТ</w:t>
                      </w:r>
                    </w:p>
                    <w:p w14:paraId="7C03BAC6" w14:textId="36563922" w:rsidR="00E012E7" w:rsidRPr="00E012E7" w:rsidRDefault="00E012E7" w:rsidP="00E012E7">
                      <w:pPr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ОП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24F" w:rsidRPr="00A10AF8">
        <w:rPr>
          <w:noProof/>
          <w:highlight w:val="lightGray"/>
          <w:lang w:val="en-US"/>
        </w:rPr>
        <w:drawing>
          <wp:inline distT="0" distB="0" distL="0" distR="0" wp14:anchorId="2063545A" wp14:editId="1DA7C794">
            <wp:extent cx="5527344" cy="1965126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1D08DFE-267E-4287-AE47-F3DFD7B9D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286C41" w14:textId="05885A54" w:rsidR="00F6324F" w:rsidRPr="009A130A" w:rsidRDefault="00F6324F" w:rsidP="0040328D">
      <w:r w:rsidRPr="009A130A">
        <w:t>3.1</w:t>
      </w:r>
      <w:r w:rsidRPr="009A130A">
        <w:tab/>
      </w:r>
      <w:bookmarkStart w:id="35" w:name="lt_pId136"/>
      <w:r w:rsidR="009A130A">
        <w:rPr>
          <w:u w:val="single"/>
        </w:rPr>
        <w:t>С</w:t>
      </w:r>
      <w:r w:rsidR="00873AAB" w:rsidRPr="009A130A">
        <w:rPr>
          <w:u w:val="single"/>
        </w:rPr>
        <w:t xml:space="preserve">редства, </w:t>
      </w:r>
      <w:r w:rsidR="00A378B1" w:rsidRPr="009A130A">
        <w:rPr>
          <w:u w:val="single"/>
        </w:rPr>
        <w:t>вы</w:t>
      </w:r>
      <w:r w:rsidR="00873AAB" w:rsidRPr="009A130A">
        <w:rPr>
          <w:u w:val="single"/>
        </w:rPr>
        <w:t xml:space="preserve">деленные </w:t>
      </w:r>
      <w:r w:rsidR="005D6693" w:rsidRPr="009A130A">
        <w:rPr>
          <w:u w:val="single"/>
        </w:rPr>
        <w:t>Совет</w:t>
      </w:r>
      <w:r w:rsidR="00873AAB" w:rsidRPr="009A130A">
        <w:rPr>
          <w:u w:val="single"/>
        </w:rPr>
        <w:t>ом</w:t>
      </w:r>
      <w:r w:rsidR="005D6693" w:rsidRPr="009A130A">
        <w:rPr>
          <w:u w:val="single"/>
        </w:rPr>
        <w:t xml:space="preserve"> на реализацию региональных инициатив</w:t>
      </w:r>
      <w:r w:rsidR="00FC2AAD" w:rsidRPr="009A130A">
        <w:rPr>
          <w:u w:val="single"/>
        </w:rPr>
        <w:t xml:space="preserve"> </w:t>
      </w:r>
      <w:r w:rsidR="005D6693" w:rsidRPr="009A130A">
        <w:rPr>
          <w:u w:val="single"/>
        </w:rPr>
        <w:t>ВКРЭ-17</w:t>
      </w:r>
      <w:bookmarkEnd w:id="35"/>
    </w:p>
    <w:p w14:paraId="424A9E21" w14:textId="7B1280F0" w:rsidR="005E5203" w:rsidRPr="00AB23E1" w:rsidRDefault="005E5203" w:rsidP="005E5203">
      <w:r w:rsidRPr="00B14847">
        <w:t>Для финансирования проектов по реализации региональных инициатив</w:t>
      </w:r>
      <w:r w:rsidR="00FC2AAD">
        <w:t xml:space="preserve"> </w:t>
      </w:r>
      <w:r w:rsidRPr="00B14847">
        <w:t>ВКРЭ</w:t>
      </w:r>
      <w:r w:rsidRPr="00B14847">
        <w:noBreakHyphen/>
        <w:t xml:space="preserve">17 Совет МСЭ 2018 года принял решение </w:t>
      </w:r>
      <w:r w:rsidRPr="00A378B1">
        <w:t>выделить</w:t>
      </w:r>
      <w:r w:rsidRPr="00B14847">
        <w:t xml:space="preserve"> 2 млн. швейцарских франков на период 2018−2019 годов из Оперативного плана на 2017 год и включить 3 млн. швейцарских франков на 2020−2021 годы в Финансовый план на 2020−2023 годы. </w:t>
      </w:r>
      <w:r w:rsidR="00504B7B">
        <w:t>В целом э</w:t>
      </w:r>
      <w:r w:rsidRPr="00B14847">
        <w:t xml:space="preserve">ти средства </w:t>
      </w:r>
      <w:r w:rsidR="005A5B85" w:rsidRPr="00EF4AEB">
        <w:t>предоставл</w:t>
      </w:r>
      <w:r w:rsidR="00D671EC" w:rsidRPr="00EF4AEB">
        <w:t>яются</w:t>
      </w:r>
      <w:r w:rsidRPr="00B14847">
        <w:t xml:space="preserve"> в качестве начального финансирования</w:t>
      </w:r>
      <w:r w:rsidR="00487324" w:rsidRPr="00487324">
        <w:t xml:space="preserve">, как правило, в размере до </w:t>
      </w:r>
      <w:r w:rsidR="005D0FAC">
        <w:t>50</w:t>
      </w:r>
      <w:r w:rsidR="00487324" w:rsidRPr="00487324">
        <w:t>% общей стоимости проекта в области развития</w:t>
      </w:r>
      <w:r w:rsidR="00487324">
        <w:t>,</w:t>
      </w:r>
      <w:r w:rsidRPr="00B14847">
        <w:t xml:space="preserve"> для привлечения средств потенциальных партнеров с целью поддержки реализации региональных инициатив.</w:t>
      </w:r>
      <w:bookmarkStart w:id="36" w:name="lt_pId137"/>
      <w:r w:rsidR="006F79A7" w:rsidRPr="006F79A7">
        <w:rPr>
          <w:rFonts w:asciiTheme="minorHAnsi" w:hAnsiTheme="minorHAnsi"/>
          <w:sz w:val="24"/>
          <w:szCs w:val="20"/>
          <w:highlight w:val="yellow"/>
        </w:rPr>
        <w:t xml:space="preserve"> </w:t>
      </w:r>
      <w:bookmarkEnd w:id="36"/>
    </w:p>
    <w:p w14:paraId="0E46626B" w14:textId="1150C768" w:rsidR="005D6693" w:rsidRPr="005D6693" w:rsidRDefault="005D6693" w:rsidP="005E5203">
      <w:pPr>
        <w:spacing w:after="120"/>
        <w:rPr>
          <w:highlight w:val="lightGray"/>
        </w:rPr>
      </w:pPr>
      <w:bookmarkStart w:id="37" w:name="lt_pId139"/>
      <w:r w:rsidRPr="005D6693">
        <w:t xml:space="preserve">На дату подготовки настоящего отчета </w:t>
      </w:r>
      <w:r w:rsidR="00813CA1" w:rsidRPr="00A5187C">
        <w:t xml:space="preserve">уже </w:t>
      </w:r>
      <w:r w:rsidRPr="005D6693">
        <w:t>был</w:t>
      </w:r>
      <w:r w:rsidR="00813CA1">
        <w:t>и</w:t>
      </w:r>
      <w:r w:rsidRPr="005D6693">
        <w:t xml:space="preserve"> </w:t>
      </w:r>
      <w:r w:rsidRPr="00A5187C">
        <w:t>подписан</w:t>
      </w:r>
      <w:r w:rsidR="00813CA1">
        <w:t>ы</w:t>
      </w:r>
      <w:r w:rsidRPr="00A5187C">
        <w:t xml:space="preserve"> </w:t>
      </w:r>
      <w:r w:rsidR="00790C80" w:rsidRPr="00A5187C">
        <w:t>соглашени</w:t>
      </w:r>
      <w:r w:rsidR="00813CA1">
        <w:t>я</w:t>
      </w:r>
      <w:r w:rsidR="00790C80" w:rsidRPr="00A5187C">
        <w:t xml:space="preserve"> </w:t>
      </w:r>
      <w:r w:rsidR="00A378B1" w:rsidRPr="00A5187C">
        <w:t>п</w:t>
      </w:r>
      <w:r w:rsidR="00790C80" w:rsidRPr="00A5187C">
        <w:t xml:space="preserve">о </w:t>
      </w:r>
      <w:r w:rsidR="00813CA1" w:rsidRPr="00813CA1">
        <w:t xml:space="preserve">26 </w:t>
      </w:r>
      <w:r w:rsidR="00790C80" w:rsidRPr="00A5187C">
        <w:t>проекта</w:t>
      </w:r>
      <w:r w:rsidR="00A378B1" w:rsidRPr="00A5187C">
        <w:t>м</w:t>
      </w:r>
      <w:r w:rsidRPr="005D6693">
        <w:t>, финансируемы</w:t>
      </w:r>
      <w:r w:rsidR="00A378B1">
        <w:t>м</w:t>
      </w:r>
      <w:r w:rsidRPr="005D6693">
        <w:t xml:space="preserve"> из средств Совета, </w:t>
      </w:r>
      <w:r w:rsidR="009A130A">
        <w:t>которые были выделены</w:t>
      </w:r>
      <w:r w:rsidRPr="005D6693">
        <w:t xml:space="preserve"> </w:t>
      </w:r>
      <w:r w:rsidR="00E051C4">
        <w:t>на</w:t>
      </w:r>
      <w:r w:rsidRPr="005D6693">
        <w:t xml:space="preserve"> реализаци</w:t>
      </w:r>
      <w:r w:rsidR="00E051C4">
        <w:t>ю</w:t>
      </w:r>
      <w:r w:rsidRPr="005D6693">
        <w:t xml:space="preserve"> региональных инициатив ВКРЭ-17. </w:t>
      </w:r>
      <w:r w:rsidR="006B68D1">
        <w:t>П</w:t>
      </w:r>
      <w:r w:rsidR="006B68D1" w:rsidRPr="006B68D1">
        <w:t xml:space="preserve">ортфель </w:t>
      </w:r>
      <w:r w:rsidR="006B68D1">
        <w:t xml:space="preserve">этих </w:t>
      </w:r>
      <w:r w:rsidR="006B68D1" w:rsidRPr="006B68D1">
        <w:t xml:space="preserve">проектов составляет </w:t>
      </w:r>
      <w:r w:rsidRPr="005D6693">
        <w:t xml:space="preserve">10,9 </w:t>
      </w:r>
      <w:r w:rsidR="00432CEF">
        <w:t>млн.</w:t>
      </w:r>
      <w:r w:rsidRPr="005D6693">
        <w:t xml:space="preserve"> швейцарских франков (включая </w:t>
      </w:r>
      <w:r w:rsidR="0033210A" w:rsidRPr="0033210A">
        <w:t>взнос</w:t>
      </w:r>
      <w:r w:rsidR="00795CBE">
        <w:t>ы</w:t>
      </w:r>
      <w:r w:rsidR="0033210A" w:rsidRPr="0033210A">
        <w:t xml:space="preserve"> в натуральном выражении</w:t>
      </w:r>
      <w:r w:rsidRPr="005D6693">
        <w:t xml:space="preserve">), при этом </w:t>
      </w:r>
      <w:r w:rsidR="0033210A">
        <w:t>взнос</w:t>
      </w:r>
      <w:r w:rsidRPr="005D6693">
        <w:t xml:space="preserve"> МСЭ составляет 3,4 </w:t>
      </w:r>
      <w:r w:rsidR="00432CEF" w:rsidRPr="00432CEF">
        <w:t>млн.</w:t>
      </w:r>
      <w:r w:rsidR="00432CEF">
        <w:t xml:space="preserve"> </w:t>
      </w:r>
      <w:r w:rsidRPr="005D6693">
        <w:t xml:space="preserve">швейцарских франков. Ожидается, что </w:t>
      </w:r>
      <w:r w:rsidR="00966C63" w:rsidRPr="00813CA1">
        <w:t>соглашени</w:t>
      </w:r>
      <w:r w:rsidR="00966C63">
        <w:t>я по</w:t>
      </w:r>
      <w:r w:rsidR="00966C63" w:rsidRPr="00813CA1">
        <w:t xml:space="preserve"> </w:t>
      </w:r>
      <w:r w:rsidRPr="00813CA1">
        <w:t>последн</w:t>
      </w:r>
      <w:r w:rsidR="008A0183" w:rsidRPr="00813CA1">
        <w:t>и</w:t>
      </w:r>
      <w:r w:rsidR="00966C63">
        <w:t>м</w:t>
      </w:r>
      <w:r w:rsidR="008A0183" w:rsidRPr="00813CA1">
        <w:t xml:space="preserve"> </w:t>
      </w:r>
      <w:r w:rsidR="00005140" w:rsidRPr="00813CA1">
        <w:t>вос</w:t>
      </w:r>
      <w:r w:rsidR="00966C63">
        <w:t>ьми</w:t>
      </w:r>
      <w:r w:rsidR="00A5187C" w:rsidRPr="00813CA1">
        <w:t xml:space="preserve"> </w:t>
      </w:r>
      <w:r w:rsidRPr="00813CA1">
        <w:t>проект</w:t>
      </w:r>
      <w:r w:rsidR="00A5187C" w:rsidRPr="00813CA1">
        <w:t>ам</w:t>
      </w:r>
      <w:r w:rsidRPr="00813CA1">
        <w:t xml:space="preserve">, которые будут профинансированы </w:t>
      </w:r>
      <w:r w:rsidR="00406873">
        <w:t xml:space="preserve">из </w:t>
      </w:r>
      <w:r w:rsidRPr="00813CA1">
        <w:t xml:space="preserve">оставшихся средств, </w:t>
      </w:r>
      <w:r w:rsidR="00A5187C" w:rsidRPr="00813CA1">
        <w:t>вы</w:t>
      </w:r>
      <w:r w:rsidRPr="00813CA1">
        <w:t>деленных Советом, буд</w:t>
      </w:r>
      <w:r w:rsidR="00DD05EC" w:rsidRPr="00813CA1">
        <w:t>у</w:t>
      </w:r>
      <w:r w:rsidRPr="00813CA1">
        <w:t>т подписан</w:t>
      </w:r>
      <w:r w:rsidR="00DD05EC" w:rsidRPr="00813CA1">
        <w:t>ы</w:t>
      </w:r>
      <w:r w:rsidRPr="005D6693">
        <w:t xml:space="preserve"> во втором квартале 2021 года.</w:t>
      </w:r>
    </w:p>
    <w:p w14:paraId="4CA52300" w14:textId="3A79644D" w:rsidR="005E5203" w:rsidRPr="004F4760" w:rsidRDefault="005E5203" w:rsidP="004B6ED3">
      <w:pPr>
        <w:pStyle w:val="Heading1"/>
        <w:rPr>
          <w:highlight w:val="lightGray"/>
        </w:rPr>
      </w:pPr>
      <w:bookmarkStart w:id="38" w:name="lt_pId142"/>
      <w:bookmarkEnd w:id="37"/>
      <w:r w:rsidRPr="004F4760">
        <w:lastRenderedPageBreak/>
        <w:t>4</w:t>
      </w:r>
      <w:r w:rsidRPr="004F4760">
        <w:tab/>
      </w:r>
      <w:r w:rsidR="005D6693" w:rsidRPr="00EF4AEB">
        <w:t>Предпринимаемые</w:t>
      </w:r>
      <w:r w:rsidR="005D6693" w:rsidRPr="004F4760">
        <w:t xml:space="preserve"> </w:t>
      </w:r>
      <w:r w:rsidR="009F2F9D" w:rsidRPr="004B6ED3">
        <w:t>усилия</w:t>
      </w:r>
      <w:r w:rsidR="005D6693" w:rsidRPr="004F4760">
        <w:t xml:space="preserve"> </w:t>
      </w:r>
      <w:r w:rsidR="005D6693" w:rsidRPr="005D6693">
        <w:t>по</w:t>
      </w:r>
      <w:r w:rsidR="005D6693" w:rsidRPr="004F4760">
        <w:t xml:space="preserve"> </w:t>
      </w:r>
      <w:r w:rsidR="005D6693" w:rsidRPr="005D6693">
        <w:t>внедрению</w:t>
      </w:r>
      <w:r w:rsidR="005D6693" w:rsidRPr="004F4760">
        <w:t xml:space="preserve"> </w:t>
      </w:r>
      <w:r w:rsidR="005D6693" w:rsidRPr="005D6693">
        <w:t>надежных</w:t>
      </w:r>
      <w:r w:rsidR="005D6693" w:rsidRPr="004F4760">
        <w:t xml:space="preserve"> </w:t>
      </w:r>
      <w:r w:rsidR="005D6693" w:rsidRPr="005D6693">
        <w:t>методов</w:t>
      </w:r>
      <w:r w:rsidR="005D6693" w:rsidRPr="004F4760">
        <w:t xml:space="preserve"> </w:t>
      </w:r>
      <w:r w:rsidR="005D6693" w:rsidRPr="005D6693">
        <w:t>управления</w:t>
      </w:r>
      <w:r w:rsidR="005D6693" w:rsidRPr="004F4760">
        <w:t xml:space="preserve"> </w:t>
      </w:r>
      <w:r w:rsidR="005D6693" w:rsidRPr="005D6693">
        <w:t>проектами</w:t>
      </w:r>
      <w:r w:rsidR="005D6693" w:rsidRPr="004F4760">
        <w:t xml:space="preserve"> </w:t>
      </w:r>
      <w:r w:rsidR="005D6693" w:rsidRPr="005D6693">
        <w:t>в</w:t>
      </w:r>
      <w:r w:rsidR="004B6ED3">
        <w:rPr>
          <w:lang w:val="en-US"/>
        </w:rPr>
        <w:t> </w:t>
      </w:r>
      <w:r w:rsidR="005D6693" w:rsidRPr="005D6693">
        <w:t>МСЭ</w:t>
      </w:r>
      <w:bookmarkEnd w:id="38"/>
    </w:p>
    <w:p w14:paraId="763C9063" w14:textId="752548D2" w:rsidR="005E5203" w:rsidRPr="00900177" w:rsidRDefault="005D6693" w:rsidP="005E5203">
      <w:pPr>
        <w:rPr>
          <w:highlight w:val="lightGray"/>
        </w:rPr>
      </w:pPr>
      <w:bookmarkStart w:id="39" w:name="lt_pId143"/>
      <w:r w:rsidRPr="005D6693">
        <w:t xml:space="preserve">В течение последних 12 месяцев БРЭ продолжало </w:t>
      </w:r>
      <w:r w:rsidR="003E35B5" w:rsidRPr="003E35B5">
        <w:t xml:space="preserve">совершенствовать </w:t>
      </w:r>
      <w:r w:rsidRPr="005D6693">
        <w:t xml:space="preserve">практику управления проектами </w:t>
      </w:r>
      <w:r w:rsidR="00E46EBE">
        <w:t>во всем</w:t>
      </w:r>
      <w:r w:rsidRPr="005D6693">
        <w:t xml:space="preserve"> МСЭ путем организации широкого круга мероприятий, направленных на </w:t>
      </w:r>
      <w:r w:rsidR="004E5634" w:rsidRPr="004E5634">
        <w:t>совершенствование</w:t>
      </w:r>
      <w:r w:rsidRPr="005D6693">
        <w:t xml:space="preserve"> управления проектами МСЭ, </w:t>
      </w:r>
      <w:r w:rsidR="00FA11CD">
        <w:t>создание</w:t>
      </w:r>
      <w:r w:rsidRPr="005D6693">
        <w:t xml:space="preserve"> потенциала </w:t>
      </w:r>
      <w:r w:rsidR="004E5634">
        <w:t>руководителей</w:t>
      </w:r>
      <w:r w:rsidRPr="005D6693">
        <w:t xml:space="preserve"> проектов МСЭ, стандартизацию практик управления проектами в МСЭ</w:t>
      </w:r>
      <w:r w:rsidR="00FA11CD">
        <w:t>, а также</w:t>
      </w:r>
      <w:r w:rsidRPr="005D6693">
        <w:t xml:space="preserve"> </w:t>
      </w:r>
      <w:r w:rsidR="00FF2AC0">
        <w:t>совершенствование</w:t>
      </w:r>
      <w:r w:rsidRPr="005D6693">
        <w:t xml:space="preserve"> мониторинг</w:t>
      </w:r>
      <w:r w:rsidR="00FF2AC0">
        <w:t>а</w:t>
      </w:r>
      <w:r w:rsidRPr="005D6693">
        <w:t xml:space="preserve"> и оценк</w:t>
      </w:r>
      <w:r w:rsidR="00FF2AC0">
        <w:t>и</w:t>
      </w:r>
      <w:r w:rsidRPr="005D6693">
        <w:t xml:space="preserve"> проектов. </w:t>
      </w:r>
      <w:r w:rsidR="006A5F63">
        <w:t>К</w:t>
      </w:r>
      <w:r w:rsidR="006A5F63" w:rsidRPr="00AB23E1">
        <w:t xml:space="preserve"> </w:t>
      </w:r>
      <w:r w:rsidR="0042198C">
        <w:t>числу</w:t>
      </w:r>
      <w:r w:rsidR="0042198C" w:rsidRPr="00AB23E1">
        <w:t xml:space="preserve"> </w:t>
      </w:r>
      <w:r w:rsidR="006A5F63">
        <w:t>э</w:t>
      </w:r>
      <w:r w:rsidRPr="00AB23E1">
        <w:t>ти</w:t>
      </w:r>
      <w:r w:rsidR="0042198C">
        <w:t>х</w:t>
      </w:r>
      <w:r w:rsidRPr="00AB23E1">
        <w:t xml:space="preserve"> мероприяти</w:t>
      </w:r>
      <w:r w:rsidR="0042198C">
        <w:t>й</w:t>
      </w:r>
      <w:r w:rsidR="006A5F63" w:rsidRPr="00AB23E1">
        <w:t xml:space="preserve"> </w:t>
      </w:r>
      <w:r w:rsidR="006A5F63">
        <w:t>относятся</w:t>
      </w:r>
      <w:r w:rsidRPr="00AB23E1">
        <w:t xml:space="preserve">: </w:t>
      </w:r>
      <w:bookmarkEnd w:id="39"/>
    </w:p>
    <w:p w14:paraId="0C7C1A8F" w14:textId="52B26C7D" w:rsidR="005E5203" w:rsidRPr="004B6ED3" w:rsidRDefault="005E5203" w:rsidP="005E5203">
      <w:pPr>
        <w:pStyle w:val="enumlev1"/>
      </w:pPr>
      <w:bookmarkStart w:id="40" w:name="lt_pId145"/>
      <w:r w:rsidRPr="00C433BF">
        <w:t>–</w:t>
      </w:r>
      <w:r w:rsidRPr="00C433BF">
        <w:tab/>
      </w:r>
      <w:r w:rsidR="005D6693" w:rsidRPr="00C433BF">
        <w:rPr>
          <w:b/>
          <w:bCs/>
          <w:i/>
          <w:iCs/>
        </w:rPr>
        <w:t xml:space="preserve">Создание </w:t>
      </w:r>
      <w:r w:rsidR="002B2F4B" w:rsidRPr="00C433BF">
        <w:rPr>
          <w:b/>
          <w:bCs/>
          <w:i/>
          <w:iCs/>
        </w:rPr>
        <w:t>Комитета</w:t>
      </w:r>
      <w:r w:rsidR="005D6693" w:rsidRPr="00C433BF">
        <w:rPr>
          <w:b/>
          <w:bCs/>
          <w:i/>
          <w:iCs/>
        </w:rPr>
        <w:t xml:space="preserve"> по проектам БРЭ</w:t>
      </w:r>
      <w:r w:rsidR="005D6693" w:rsidRPr="00C433BF">
        <w:t xml:space="preserve">: </w:t>
      </w:r>
      <w:r w:rsidR="00D75AA8" w:rsidRPr="00C433BF">
        <w:t xml:space="preserve">Учрежденный </w:t>
      </w:r>
      <w:r w:rsidR="00884ACC" w:rsidRPr="00C433BF">
        <w:t>Д</w:t>
      </w:r>
      <w:r w:rsidR="005D6693" w:rsidRPr="00C433BF">
        <w:t xml:space="preserve">иректором </w:t>
      </w:r>
      <w:r w:rsidR="00B31AD3" w:rsidRPr="00C433BF">
        <w:t>БРЭ</w:t>
      </w:r>
      <w:r w:rsidR="005D6693" w:rsidRPr="00C433BF">
        <w:t xml:space="preserve"> в ноябре 2020 года </w:t>
      </w:r>
      <w:r w:rsidR="00B31AD3" w:rsidRPr="00C433BF">
        <w:t xml:space="preserve">Комитет по проектам БРЭ </w:t>
      </w:r>
      <w:r w:rsidR="001C2237" w:rsidRPr="00C433BF">
        <w:t xml:space="preserve">уполномочен </w:t>
      </w:r>
      <w:r w:rsidR="00E71782" w:rsidRPr="00C433BF">
        <w:t xml:space="preserve">рассматривать </w:t>
      </w:r>
      <w:r w:rsidR="009A3FB8" w:rsidRPr="00C433BF">
        <w:t xml:space="preserve">и </w:t>
      </w:r>
      <w:r w:rsidR="00E71782" w:rsidRPr="00C433BF">
        <w:t xml:space="preserve">оценивать </w:t>
      </w:r>
      <w:r w:rsidR="005D6693" w:rsidRPr="00C433BF">
        <w:t>жизнеспособност</w:t>
      </w:r>
      <w:r w:rsidR="00E71782" w:rsidRPr="00C433BF">
        <w:t>ь</w:t>
      </w:r>
      <w:r w:rsidR="005D6693" w:rsidRPr="00C433BF">
        <w:t xml:space="preserve"> и </w:t>
      </w:r>
      <w:r w:rsidR="004E34A2" w:rsidRPr="00C433BF">
        <w:t>целесообразност</w:t>
      </w:r>
      <w:r w:rsidR="00E71782" w:rsidRPr="00C433BF">
        <w:t>ь</w:t>
      </w:r>
      <w:r w:rsidR="004E34A2" w:rsidRPr="00C433BF">
        <w:t xml:space="preserve"> </w:t>
      </w:r>
      <w:r w:rsidR="005D6693" w:rsidRPr="00C433BF">
        <w:t xml:space="preserve">предложений </w:t>
      </w:r>
      <w:r w:rsidR="00B863BC" w:rsidRPr="00C433BF">
        <w:t xml:space="preserve">по проектам </w:t>
      </w:r>
      <w:r w:rsidR="005D6693" w:rsidRPr="00C433BF">
        <w:t xml:space="preserve">до их </w:t>
      </w:r>
      <w:r w:rsidR="00E71782" w:rsidRPr="00C433BF">
        <w:t xml:space="preserve">преобразования </w:t>
      </w:r>
      <w:r w:rsidR="005D6693" w:rsidRPr="00C433BF">
        <w:t>в проекты</w:t>
      </w:r>
      <w:r w:rsidR="00E71782" w:rsidRPr="00C433BF">
        <w:t>;</w:t>
      </w:r>
      <w:r w:rsidR="005D6693" w:rsidRPr="00C433BF">
        <w:t xml:space="preserve"> рассм</w:t>
      </w:r>
      <w:r w:rsidR="00E71782" w:rsidRPr="00C433BF">
        <w:t>атривать</w:t>
      </w:r>
      <w:r w:rsidR="005D6693" w:rsidRPr="00C433BF">
        <w:t xml:space="preserve"> и утвержд</w:t>
      </w:r>
      <w:r w:rsidR="000E3611" w:rsidRPr="00C433BF">
        <w:t>ать</w:t>
      </w:r>
      <w:r w:rsidR="005D6693" w:rsidRPr="00C433BF">
        <w:t xml:space="preserve"> проект</w:t>
      </w:r>
      <w:r w:rsidR="00F21EEE" w:rsidRPr="00C433BF">
        <w:t>ы</w:t>
      </w:r>
      <w:r w:rsidR="005D6693" w:rsidRPr="00C433BF">
        <w:t xml:space="preserve"> до их согласования с партнерами</w:t>
      </w:r>
      <w:r w:rsidR="00D934F3" w:rsidRPr="00C433BF">
        <w:t>;</w:t>
      </w:r>
      <w:r w:rsidR="005D6693" w:rsidRPr="00C433BF">
        <w:t xml:space="preserve"> </w:t>
      </w:r>
      <w:r w:rsidR="00173798" w:rsidRPr="00C433BF">
        <w:t>в рамках</w:t>
      </w:r>
      <w:r w:rsidR="005D6693" w:rsidRPr="00C433BF">
        <w:t xml:space="preserve"> формально</w:t>
      </w:r>
      <w:r w:rsidR="00D934F3" w:rsidRPr="00C433BF">
        <w:t>й</w:t>
      </w:r>
      <w:r w:rsidR="005D6693" w:rsidRPr="00813CA1">
        <w:t xml:space="preserve"> </w:t>
      </w:r>
      <w:r w:rsidR="00D934F3" w:rsidRPr="00813CA1">
        <w:t xml:space="preserve">процедуры </w:t>
      </w:r>
      <w:r w:rsidR="005D6693" w:rsidRPr="00813CA1">
        <w:t>оценки проект</w:t>
      </w:r>
      <w:r w:rsidR="004E5634" w:rsidRPr="00813CA1">
        <w:t>ов</w:t>
      </w:r>
      <w:r w:rsidR="005D6693" w:rsidRPr="00813CA1">
        <w:t xml:space="preserve"> участвовать в очных ежеквартальных </w:t>
      </w:r>
      <w:r w:rsidR="00E0251C" w:rsidRPr="00813CA1">
        <w:t>собраниях</w:t>
      </w:r>
      <w:r w:rsidR="005D6693" w:rsidRPr="00813CA1">
        <w:t xml:space="preserve"> по оценке проект</w:t>
      </w:r>
      <w:r w:rsidR="004E5634" w:rsidRPr="00813CA1">
        <w:t>ов</w:t>
      </w:r>
      <w:r w:rsidR="005D6693" w:rsidRPr="00813CA1">
        <w:t xml:space="preserve"> с соответствующими группами </w:t>
      </w:r>
      <w:r w:rsidR="00E63EF2" w:rsidRPr="00813CA1">
        <w:t>по управлению проектами;</w:t>
      </w:r>
      <w:r w:rsidR="005D6693" w:rsidRPr="00813CA1">
        <w:t xml:space="preserve"> и обеспечивать надзор за </w:t>
      </w:r>
      <w:r w:rsidR="00C03578" w:rsidRPr="00813CA1">
        <w:t>выполнением</w:t>
      </w:r>
      <w:r w:rsidR="005D6693" w:rsidRPr="00813CA1">
        <w:t xml:space="preserve"> и закрытием проект</w:t>
      </w:r>
      <w:r w:rsidR="00C465A9" w:rsidRPr="00813CA1">
        <w:t>ов</w:t>
      </w:r>
      <w:r w:rsidR="005D6693" w:rsidRPr="00813CA1">
        <w:t xml:space="preserve"> в случае проблем. Круг ведения и состав </w:t>
      </w:r>
      <w:r w:rsidR="00B86C5B" w:rsidRPr="00813CA1">
        <w:t>Комитета</w:t>
      </w:r>
      <w:r w:rsidR="005D6693" w:rsidRPr="00813CA1">
        <w:t xml:space="preserve"> по проектам </w:t>
      </w:r>
      <w:r w:rsidR="00B86C5B" w:rsidRPr="00813CA1">
        <w:t>изложены</w:t>
      </w:r>
      <w:r w:rsidR="005D6693" w:rsidRPr="00813CA1">
        <w:t xml:space="preserve"> в </w:t>
      </w:r>
      <w:r w:rsidR="005D6693" w:rsidRPr="00813CA1">
        <w:rPr>
          <w:b/>
          <w:bCs/>
        </w:rPr>
        <w:t>Приложении 1</w:t>
      </w:r>
      <w:r w:rsidR="005D6693" w:rsidRPr="00813CA1">
        <w:t xml:space="preserve">. </w:t>
      </w:r>
      <w:r w:rsidR="00B505E7" w:rsidRPr="00813CA1">
        <w:t xml:space="preserve">Согласно Руководству МСЭ по управлению проектами, </w:t>
      </w:r>
      <w:r w:rsidR="00AC452C" w:rsidRPr="00813CA1">
        <w:t>Комитет</w:t>
      </w:r>
      <w:r w:rsidR="005D6693" w:rsidRPr="00813CA1">
        <w:t xml:space="preserve"> по проектам </w:t>
      </w:r>
      <w:r w:rsidR="00AC452C" w:rsidRPr="00813CA1">
        <w:t>является</w:t>
      </w:r>
      <w:r w:rsidR="005D6693" w:rsidRPr="00012747">
        <w:t xml:space="preserve"> </w:t>
      </w:r>
      <w:r w:rsidR="005D6693" w:rsidRPr="005D6693">
        <w:t>надзорны</w:t>
      </w:r>
      <w:r w:rsidR="00AC452C">
        <w:t>м</w:t>
      </w:r>
      <w:r w:rsidR="005D6693" w:rsidRPr="00012747">
        <w:t xml:space="preserve"> </w:t>
      </w:r>
      <w:r w:rsidR="005D6693" w:rsidRPr="005D6693">
        <w:t>механизм</w:t>
      </w:r>
      <w:r w:rsidR="00AC452C">
        <w:t>ом</w:t>
      </w:r>
      <w:r w:rsidR="005D6693" w:rsidRPr="00012747">
        <w:t xml:space="preserve">, </w:t>
      </w:r>
      <w:r w:rsidR="005D6693" w:rsidRPr="00813CA1">
        <w:t>не</w:t>
      </w:r>
      <w:r w:rsidR="00C36C30" w:rsidRPr="00813CA1">
        <w:t xml:space="preserve"> </w:t>
      </w:r>
      <w:r w:rsidR="005D6693" w:rsidRPr="00813CA1">
        <w:t>завис</w:t>
      </w:r>
      <w:r w:rsidR="00C36C30" w:rsidRPr="00813CA1">
        <w:t>ящим</w:t>
      </w:r>
      <w:r w:rsidR="005D6693" w:rsidRPr="00813CA1">
        <w:t xml:space="preserve"> от </w:t>
      </w:r>
      <w:r w:rsidR="00265C60" w:rsidRPr="00813CA1">
        <w:t>официальной</w:t>
      </w:r>
      <w:r w:rsidR="005D6693" w:rsidRPr="00813CA1">
        <w:t xml:space="preserve"> практики</w:t>
      </w:r>
      <w:r w:rsidR="00813CA1" w:rsidRPr="00813CA1">
        <w:t xml:space="preserve"> </w:t>
      </w:r>
      <w:r w:rsidR="005D6693" w:rsidRPr="005D6693">
        <w:t>управления</w:t>
      </w:r>
      <w:r w:rsidR="005D6693" w:rsidRPr="00012747">
        <w:t xml:space="preserve"> </w:t>
      </w:r>
      <w:r w:rsidR="005D6693" w:rsidRPr="005D6693">
        <w:t>проектами</w:t>
      </w:r>
      <w:r w:rsidR="005D6693" w:rsidRPr="00012747">
        <w:t xml:space="preserve">, </w:t>
      </w:r>
      <w:r w:rsidR="00F57CE7">
        <w:t>в</w:t>
      </w:r>
      <w:r w:rsidR="00F57CE7" w:rsidRPr="00012747">
        <w:t xml:space="preserve"> </w:t>
      </w:r>
      <w:r w:rsidR="00F57CE7">
        <w:t>том</w:t>
      </w:r>
      <w:r w:rsidR="00F57CE7" w:rsidRPr="00012747">
        <w:t xml:space="preserve"> </w:t>
      </w:r>
      <w:r w:rsidR="00F57CE7">
        <w:t>числе</w:t>
      </w:r>
      <w:r w:rsidR="00F57CE7" w:rsidRPr="00012747">
        <w:t xml:space="preserve"> </w:t>
      </w:r>
      <w:r w:rsidR="006F2CAA">
        <w:t xml:space="preserve">практики </w:t>
      </w:r>
      <w:r w:rsidR="005D6693" w:rsidRPr="005D6693">
        <w:t>управления</w:t>
      </w:r>
      <w:r w:rsidR="005D6693" w:rsidRPr="00012747">
        <w:t xml:space="preserve">, </w:t>
      </w:r>
      <w:r w:rsidR="005D6693" w:rsidRPr="005D6693">
        <w:t>отчетности</w:t>
      </w:r>
      <w:r w:rsidR="005D6693" w:rsidRPr="00012747">
        <w:t xml:space="preserve">, </w:t>
      </w:r>
      <w:r w:rsidR="005D6693" w:rsidRPr="005D6693">
        <w:t>мониторинга</w:t>
      </w:r>
      <w:r w:rsidR="005D6693" w:rsidRPr="00012747">
        <w:t xml:space="preserve"> </w:t>
      </w:r>
      <w:r w:rsidR="005D6693" w:rsidRPr="005D6693">
        <w:t>и</w:t>
      </w:r>
      <w:r w:rsidR="005D6693" w:rsidRPr="00012747">
        <w:t xml:space="preserve"> </w:t>
      </w:r>
      <w:r w:rsidR="005D6693" w:rsidRPr="005D6693">
        <w:t>оценки</w:t>
      </w:r>
      <w:r w:rsidR="005D6693" w:rsidRPr="00012747">
        <w:t>.</w:t>
      </w:r>
      <w:bookmarkEnd w:id="40"/>
    </w:p>
    <w:p w14:paraId="10138557" w14:textId="58949B33" w:rsidR="005E5203" w:rsidRPr="00900177" w:rsidRDefault="005E5203" w:rsidP="005E5203">
      <w:pPr>
        <w:pStyle w:val="enumlev1"/>
        <w:rPr>
          <w:highlight w:val="lightGray"/>
        </w:rPr>
      </w:pPr>
      <w:bookmarkStart w:id="41" w:name="lt_pId149"/>
      <w:r w:rsidRPr="007802BC">
        <w:t>–</w:t>
      </w:r>
      <w:r w:rsidRPr="007802BC">
        <w:tab/>
      </w:r>
      <w:r w:rsidR="005D6693" w:rsidRPr="007802BC">
        <w:rPr>
          <w:b/>
          <w:bCs/>
          <w:i/>
          <w:iCs/>
        </w:rPr>
        <w:t>Принятие</w:t>
      </w:r>
      <w:r w:rsidR="005D6693" w:rsidRPr="005D6693">
        <w:rPr>
          <w:b/>
          <w:bCs/>
          <w:i/>
          <w:iCs/>
        </w:rPr>
        <w:t xml:space="preserve"> и внедрение нового </w:t>
      </w:r>
      <w:r w:rsidR="00011795" w:rsidRPr="00011795">
        <w:rPr>
          <w:b/>
          <w:bCs/>
          <w:i/>
          <w:iCs/>
        </w:rPr>
        <w:t>Руководств</w:t>
      </w:r>
      <w:r w:rsidR="00011795">
        <w:rPr>
          <w:b/>
          <w:bCs/>
          <w:i/>
          <w:iCs/>
        </w:rPr>
        <w:t>а</w:t>
      </w:r>
      <w:r w:rsidR="00011795" w:rsidRPr="00011795">
        <w:rPr>
          <w:b/>
          <w:bCs/>
          <w:i/>
          <w:iCs/>
        </w:rPr>
        <w:t xml:space="preserve"> МСЭ по управлению проектами</w:t>
      </w:r>
      <w:r w:rsidR="005D6693" w:rsidRPr="005D6693">
        <w:t xml:space="preserve">: </w:t>
      </w:r>
      <w:r w:rsidR="007802BC">
        <w:t>П</w:t>
      </w:r>
      <w:r w:rsidR="005D6693" w:rsidRPr="005D6693">
        <w:t xml:space="preserve">оявившееся в июле 2020 года новое Руководство </w:t>
      </w:r>
      <w:r w:rsidR="003D2108" w:rsidRPr="003D2108">
        <w:t xml:space="preserve">МСЭ по управлению проектами </w:t>
      </w:r>
      <w:r w:rsidR="005D6693" w:rsidRPr="005D6693">
        <w:t xml:space="preserve">было </w:t>
      </w:r>
      <w:r w:rsidR="00F578BE">
        <w:t>разработано</w:t>
      </w:r>
      <w:r w:rsidR="005D6693" w:rsidRPr="005D6693">
        <w:t xml:space="preserve"> на основе </w:t>
      </w:r>
      <w:r w:rsidR="00C70022" w:rsidRPr="00C70022">
        <w:t xml:space="preserve">международного </w:t>
      </w:r>
      <w:r w:rsidR="005D6693" w:rsidRPr="005D6693">
        <w:t>передово</w:t>
      </w:r>
      <w:r w:rsidR="00C70022">
        <w:t>го</w:t>
      </w:r>
      <w:r w:rsidR="005D6693" w:rsidRPr="005D6693">
        <w:t xml:space="preserve"> </w:t>
      </w:r>
      <w:r w:rsidR="00C70022">
        <w:t>опыта</w:t>
      </w:r>
      <w:r w:rsidR="005D6693" w:rsidRPr="005D6693">
        <w:t xml:space="preserve"> управления проектами, а также </w:t>
      </w:r>
      <w:r w:rsidR="00842AD5">
        <w:t>опыта</w:t>
      </w:r>
      <w:r w:rsidR="005D6693" w:rsidRPr="005D6693">
        <w:t xml:space="preserve"> руководител</w:t>
      </w:r>
      <w:r w:rsidR="00842AD5">
        <w:t>ей</w:t>
      </w:r>
      <w:r w:rsidR="005D6693" w:rsidRPr="005D6693">
        <w:t xml:space="preserve"> проектов МСЭ</w:t>
      </w:r>
      <w:r w:rsidR="007E3261">
        <w:t xml:space="preserve"> в области</w:t>
      </w:r>
      <w:r w:rsidR="005D6693" w:rsidRPr="005D6693">
        <w:t xml:space="preserve"> </w:t>
      </w:r>
      <w:r w:rsidR="00222DFB">
        <w:t>выполнения</w:t>
      </w:r>
      <w:r w:rsidR="005D6693" w:rsidRPr="005D6693">
        <w:t xml:space="preserve"> проектов </w:t>
      </w:r>
      <w:r w:rsidR="00497897">
        <w:t>в целях</w:t>
      </w:r>
      <w:r w:rsidR="005D6693" w:rsidRPr="005D6693">
        <w:t xml:space="preserve"> цифрово</w:t>
      </w:r>
      <w:r w:rsidR="00497897">
        <w:t>го</w:t>
      </w:r>
      <w:r w:rsidR="005D6693" w:rsidRPr="005D6693">
        <w:t xml:space="preserve"> развити</w:t>
      </w:r>
      <w:r w:rsidR="00497897">
        <w:t>я</w:t>
      </w:r>
      <w:r w:rsidR="005D6693" w:rsidRPr="005D6693">
        <w:t xml:space="preserve">. Принципы, установленные в Руководстве, имеют обязательный характер для всех руководителей проектов МСЭ. </w:t>
      </w:r>
      <w:r w:rsidR="005D6693" w:rsidRPr="008C0156">
        <w:t xml:space="preserve">Руководство используется в качестве справочного </w:t>
      </w:r>
      <w:r w:rsidR="009F542D">
        <w:t>документа</w:t>
      </w:r>
      <w:r w:rsidR="005D6693" w:rsidRPr="008C0156">
        <w:t>.</w:t>
      </w:r>
      <w:bookmarkEnd w:id="41"/>
    </w:p>
    <w:p w14:paraId="57EF2695" w14:textId="4934E61C" w:rsidR="005E5203" w:rsidRPr="00AB23E1" w:rsidRDefault="005E5203" w:rsidP="005E5203">
      <w:pPr>
        <w:pStyle w:val="enumlev1"/>
        <w:rPr>
          <w:b/>
          <w:bCs/>
          <w:highlight w:val="lightGray"/>
        </w:rPr>
      </w:pPr>
      <w:bookmarkStart w:id="42" w:name="lt_pId153"/>
      <w:r w:rsidRPr="00C91A03">
        <w:t>–</w:t>
      </w:r>
      <w:r w:rsidRPr="00C91A03">
        <w:tab/>
      </w:r>
      <w:r w:rsidR="00C91A03">
        <w:rPr>
          <w:b/>
          <w:bCs/>
          <w:i/>
          <w:iCs/>
        </w:rPr>
        <w:t>Совершенствование</w:t>
      </w:r>
      <w:r w:rsidR="005D6693" w:rsidRPr="005D6693">
        <w:rPr>
          <w:b/>
          <w:bCs/>
          <w:i/>
          <w:iCs/>
        </w:rPr>
        <w:t xml:space="preserve"> управления проектами</w:t>
      </w:r>
      <w:r w:rsidR="005D6693" w:rsidRPr="005D6693">
        <w:t xml:space="preserve">: </w:t>
      </w:r>
      <w:r w:rsidR="00C22EBC">
        <w:t>Также проводилось совершенствование у</w:t>
      </w:r>
      <w:r w:rsidR="005D6693" w:rsidRPr="005D6693">
        <w:t>правлени</w:t>
      </w:r>
      <w:r w:rsidR="00C22EBC">
        <w:t>я</w:t>
      </w:r>
      <w:r w:rsidR="005D6693" w:rsidRPr="005D6693">
        <w:t xml:space="preserve"> проектами на уровне проектов</w:t>
      </w:r>
      <w:r w:rsidR="0023542C">
        <w:t xml:space="preserve">; с этой целью были </w:t>
      </w:r>
      <w:r w:rsidR="00C433BF">
        <w:t>составлены</w:t>
      </w:r>
      <w:r w:rsidR="0023542C">
        <w:t xml:space="preserve"> </w:t>
      </w:r>
      <w:r w:rsidR="005D6693" w:rsidRPr="005D6693">
        <w:t>диаграмм</w:t>
      </w:r>
      <w:r w:rsidR="0023542C">
        <w:t>ы</w:t>
      </w:r>
      <w:r w:rsidR="005D6693" w:rsidRPr="005D6693">
        <w:t xml:space="preserve"> </w:t>
      </w:r>
      <w:r w:rsidR="005D6693" w:rsidRPr="005D6693">
        <w:rPr>
          <w:lang w:val="en-GB"/>
        </w:rPr>
        <w:t>RACI</w:t>
      </w:r>
      <w:r w:rsidR="005D6693" w:rsidRPr="005D6693">
        <w:t xml:space="preserve">, </w:t>
      </w:r>
      <w:r w:rsidR="0023542C">
        <w:t xml:space="preserve">а также были привлечены </w:t>
      </w:r>
      <w:r w:rsidR="005D6693" w:rsidRPr="005D6693">
        <w:t>спонсор</w:t>
      </w:r>
      <w:r w:rsidR="0023542C">
        <w:t>ы</w:t>
      </w:r>
      <w:r w:rsidR="005D6693" w:rsidRPr="005D6693">
        <w:t xml:space="preserve"> проектов </w:t>
      </w:r>
      <w:r w:rsidR="00661A55">
        <w:t>и</w:t>
      </w:r>
      <w:r w:rsidR="00B90372">
        <w:t xml:space="preserve"> </w:t>
      </w:r>
      <w:r w:rsidR="00B90372" w:rsidRPr="00B90372">
        <w:t xml:space="preserve">в соответствующих случаях </w:t>
      </w:r>
      <w:r w:rsidR="005D6693" w:rsidRPr="005D6693">
        <w:t>руководящи</w:t>
      </w:r>
      <w:r w:rsidR="00661A55">
        <w:t>е</w:t>
      </w:r>
      <w:r w:rsidR="005D6693" w:rsidRPr="005D6693">
        <w:t xml:space="preserve"> комитет</w:t>
      </w:r>
      <w:r w:rsidR="00661A55">
        <w:t>ы</w:t>
      </w:r>
      <w:r w:rsidR="005D6693" w:rsidRPr="005D6693">
        <w:t xml:space="preserve"> для всех проектов МСЭ. </w:t>
      </w:r>
      <w:r w:rsidR="00B90372" w:rsidRPr="00B90372">
        <w:t xml:space="preserve">Совершенствование управления проектами </w:t>
      </w:r>
      <w:r w:rsidR="005D6693" w:rsidRPr="005D6693">
        <w:t>является ключевым элементом нового Руководства МСЭ по управлению проектами.</w:t>
      </w:r>
      <w:bookmarkEnd w:id="42"/>
    </w:p>
    <w:p w14:paraId="0CA80304" w14:textId="1982C098" w:rsidR="005E5203" w:rsidRPr="00AB23E1" w:rsidRDefault="005E5203" w:rsidP="005E5203">
      <w:pPr>
        <w:pStyle w:val="enumlev1"/>
        <w:rPr>
          <w:highlight w:val="lightGray"/>
        </w:rPr>
      </w:pPr>
      <w:bookmarkStart w:id="43" w:name="lt_pId156"/>
      <w:r w:rsidRPr="00B472AA">
        <w:t>–</w:t>
      </w:r>
      <w:r w:rsidRPr="00B472AA">
        <w:tab/>
      </w:r>
      <w:r w:rsidR="005D6693" w:rsidRPr="00B472AA">
        <w:rPr>
          <w:b/>
          <w:bCs/>
          <w:i/>
          <w:iCs/>
        </w:rPr>
        <w:t>Программа</w:t>
      </w:r>
      <w:r w:rsidR="005D6693" w:rsidRPr="007427BF">
        <w:rPr>
          <w:b/>
          <w:bCs/>
          <w:i/>
          <w:iCs/>
        </w:rPr>
        <w:t xml:space="preserve"> сертификации</w:t>
      </w:r>
      <w:r w:rsidR="0069199C">
        <w:rPr>
          <w:b/>
          <w:bCs/>
          <w:i/>
          <w:iCs/>
        </w:rPr>
        <w:t xml:space="preserve"> по</w:t>
      </w:r>
      <w:r w:rsidR="005D6693" w:rsidRPr="007427BF">
        <w:rPr>
          <w:b/>
          <w:bCs/>
          <w:i/>
          <w:iCs/>
        </w:rPr>
        <w:t xml:space="preserve"> управлени</w:t>
      </w:r>
      <w:r w:rsidR="0069199C">
        <w:rPr>
          <w:b/>
          <w:bCs/>
          <w:i/>
          <w:iCs/>
        </w:rPr>
        <w:t>ю</w:t>
      </w:r>
      <w:r w:rsidR="005D6693" w:rsidRPr="007427BF">
        <w:rPr>
          <w:b/>
          <w:bCs/>
          <w:i/>
          <w:iCs/>
        </w:rPr>
        <w:t xml:space="preserve"> проектами</w:t>
      </w:r>
      <w:r w:rsidR="005D6693" w:rsidRPr="005D6693">
        <w:t xml:space="preserve">: </w:t>
      </w:r>
      <w:r w:rsidR="007427BF">
        <w:t>В</w:t>
      </w:r>
      <w:r w:rsidR="005D6693" w:rsidRPr="005D6693">
        <w:t xml:space="preserve"> 2020 году МСЭ продолжил </w:t>
      </w:r>
      <w:r w:rsidR="00FD2752" w:rsidRPr="005D6693">
        <w:t xml:space="preserve">начатую в 2019 году </w:t>
      </w:r>
      <w:r w:rsidR="005D6693" w:rsidRPr="005D6693">
        <w:t xml:space="preserve">программу сертификации </w:t>
      </w:r>
      <w:r w:rsidR="001B1763">
        <w:t>по</w:t>
      </w:r>
      <w:r w:rsidR="005D6693" w:rsidRPr="005D6693">
        <w:t xml:space="preserve"> управлени</w:t>
      </w:r>
      <w:r w:rsidR="001B1763">
        <w:t>ю</w:t>
      </w:r>
      <w:r w:rsidR="005D6693" w:rsidRPr="005D6693">
        <w:t xml:space="preserve"> проектами. </w:t>
      </w:r>
      <w:r w:rsidR="00632106">
        <w:t>По итогам проведения</w:t>
      </w:r>
      <w:r w:rsidR="005D6693" w:rsidRPr="005D6693">
        <w:t xml:space="preserve"> второй программы в общей сложности 75 сотрудников </w:t>
      </w:r>
      <w:r w:rsidR="000D6D44">
        <w:t>БРЭ</w:t>
      </w:r>
      <w:r w:rsidR="005D6693" w:rsidRPr="005D6693">
        <w:t xml:space="preserve"> </w:t>
      </w:r>
      <w:r w:rsidR="004E1F1A">
        <w:t xml:space="preserve">получили </w:t>
      </w:r>
      <w:r w:rsidR="004E1F1A" w:rsidRPr="004E1F1A">
        <w:t xml:space="preserve">сертификат специалиста по управлению проектами в области развития </w:t>
      </w:r>
      <w:r w:rsidR="00D5607A">
        <w:t>(</w:t>
      </w:r>
      <w:r w:rsidR="005D6693" w:rsidRPr="005D6693">
        <w:rPr>
          <w:lang w:val="en-GB"/>
        </w:rPr>
        <w:t>PMD</w:t>
      </w:r>
      <w:r w:rsidR="005D6693" w:rsidRPr="005D6693">
        <w:t xml:space="preserve"> </w:t>
      </w:r>
      <w:r w:rsidR="005D6693" w:rsidRPr="005D6693">
        <w:rPr>
          <w:lang w:val="en-GB"/>
        </w:rPr>
        <w:t>Pro</w:t>
      </w:r>
      <w:r w:rsidR="00D5607A">
        <w:t>)</w:t>
      </w:r>
      <w:r w:rsidR="005D6693" w:rsidRPr="005D6693">
        <w:t>. Программа будет продолжена в 2021 году</w:t>
      </w:r>
      <w:r w:rsidR="00904BDF">
        <w:t>:</w:t>
      </w:r>
      <w:r w:rsidR="005D6693" w:rsidRPr="005D6693">
        <w:t xml:space="preserve"> </w:t>
      </w:r>
      <w:r w:rsidR="00904BDF">
        <w:t>планируется созда</w:t>
      </w:r>
      <w:r w:rsidR="00FD2752">
        <w:t>ть</w:t>
      </w:r>
      <w:r w:rsidR="005D6693" w:rsidRPr="005D6693">
        <w:t xml:space="preserve"> ново</w:t>
      </w:r>
      <w:r w:rsidR="00FD2752">
        <w:t>е</w:t>
      </w:r>
      <w:r w:rsidR="005D6693" w:rsidRPr="005D6693">
        <w:t xml:space="preserve"> Сообществ</w:t>
      </w:r>
      <w:r w:rsidR="00FD2752">
        <w:t>о</w:t>
      </w:r>
      <w:r w:rsidR="005D6693" w:rsidRPr="005D6693">
        <w:t xml:space="preserve"> </w:t>
      </w:r>
      <w:r w:rsidR="00945454">
        <w:t xml:space="preserve">специалистов-практиков </w:t>
      </w:r>
      <w:r w:rsidR="00945454" w:rsidRPr="00945454">
        <w:t xml:space="preserve">МСЭ </w:t>
      </w:r>
      <w:r w:rsidR="00945454">
        <w:t>по управлению</w:t>
      </w:r>
      <w:r w:rsidR="005D6693" w:rsidRPr="005D6693">
        <w:t xml:space="preserve"> проект</w:t>
      </w:r>
      <w:r w:rsidR="00945454">
        <w:t>ами</w:t>
      </w:r>
      <w:r w:rsidR="005D6693" w:rsidRPr="005D6693">
        <w:t xml:space="preserve"> и организ</w:t>
      </w:r>
      <w:r w:rsidR="00FD2752">
        <w:t>овать</w:t>
      </w:r>
      <w:r w:rsidR="005D6693" w:rsidRPr="005D6693">
        <w:t xml:space="preserve"> программ</w:t>
      </w:r>
      <w:r w:rsidR="00FD2752">
        <w:t>у</w:t>
      </w:r>
      <w:r w:rsidR="005D6693" w:rsidRPr="005D6693">
        <w:t xml:space="preserve"> </w:t>
      </w:r>
      <w:r w:rsidR="00EB3FCE" w:rsidRPr="00EB3FCE">
        <w:t xml:space="preserve">подготовки </w:t>
      </w:r>
      <w:r w:rsidR="00B472AA" w:rsidRPr="00B472AA">
        <w:t>инструкторов</w:t>
      </w:r>
      <w:r w:rsidR="005D6693" w:rsidRPr="005D6693">
        <w:t>.</w:t>
      </w:r>
      <w:bookmarkEnd w:id="43"/>
    </w:p>
    <w:p w14:paraId="24885E9C" w14:textId="0B6FC641" w:rsidR="005E5203" w:rsidRPr="00AB23E1" w:rsidRDefault="005E5203" w:rsidP="005E5203">
      <w:pPr>
        <w:pStyle w:val="enumlev1"/>
      </w:pPr>
      <w:bookmarkStart w:id="44" w:name="lt_pId160"/>
      <w:r w:rsidRPr="00D70216">
        <w:t>–</w:t>
      </w:r>
      <w:r w:rsidRPr="00D70216">
        <w:tab/>
      </w:r>
      <w:r w:rsidR="00FF2AC0" w:rsidRPr="00FF2AC0">
        <w:rPr>
          <w:b/>
          <w:bCs/>
          <w:i/>
          <w:iCs/>
        </w:rPr>
        <w:t xml:space="preserve">Совершенствование </w:t>
      </w:r>
      <w:r w:rsidR="005D6693" w:rsidRPr="005D6693">
        <w:rPr>
          <w:b/>
          <w:bCs/>
          <w:i/>
          <w:iCs/>
        </w:rPr>
        <w:t>мониторинга проектов</w:t>
      </w:r>
      <w:r w:rsidR="005D6693" w:rsidRPr="005D6693">
        <w:t xml:space="preserve">: </w:t>
      </w:r>
      <w:r w:rsidR="00274AC4">
        <w:t>В</w:t>
      </w:r>
      <w:r w:rsidR="005D6693" w:rsidRPr="005D6693">
        <w:t xml:space="preserve">се проекты МСЭ </w:t>
      </w:r>
      <w:r w:rsidR="00A45E9A" w:rsidRPr="00A45E9A">
        <w:t>подлежат ежеквартальному мониторингу, проводимому Отделом поддержки проектов</w:t>
      </w:r>
      <w:r w:rsidR="005D6693" w:rsidRPr="005D6693">
        <w:t>. Результат</w:t>
      </w:r>
      <w:r w:rsidR="00B61F79">
        <w:t>ы</w:t>
      </w:r>
      <w:r w:rsidR="005D6693" w:rsidRPr="005D6693">
        <w:t xml:space="preserve"> этой работы доступ</w:t>
      </w:r>
      <w:r w:rsidR="00B61F79">
        <w:t>ны</w:t>
      </w:r>
      <w:r w:rsidR="005D6693" w:rsidRPr="005D6693">
        <w:t xml:space="preserve"> для всего руководства и руководителей проектов </w:t>
      </w:r>
      <w:r w:rsidR="00B61F79" w:rsidRPr="005D6693">
        <w:t xml:space="preserve">МСЭ </w:t>
      </w:r>
      <w:r w:rsidR="00E03174">
        <w:t>в</w:t>
      </w:r>
      <w:r w:rsidR="005D6693" w:rsidRPr="005D6693">
        <w:t xml:space="preserve"> </w:t>
      </w:r>
      <w:r w:rsidR="00E03174">
        <w:t>еже</w:t>
      </w:r>
      <w:r w:rsidR="005D6693" w:rsidRPr="005D6693">
        <w:t>квартальн</w:t>
      </w:r>
      <w:r w:rsidR="00F328FB">
        <w:t>ом</w:t>
      </w:r>
      <w:r w:rsidR="005D6693" w:rsidRPr="005D6693">
        <w:t xml:space="preserve"> отчет</w:t>
      </w:r>
      <w:r w:rsidR="00F328FB">
        <w:t>е</w:t>
      </w:r>
      <w:r w:rsidR="005D6693" w:rsidRPr="005D6693">
        <w:t xml:space="preserve"> об </w:t>
      </w:r>
      <w:r w:rsidR="005D6693" w:rsidRPr="00382710">
        <w:t>оценке</w:t>
      </w:r>
      <w:r w:rsidR="00267FCE" w:rsidRPr="00382710">
        <w:t xml:space="preserve"> –</w:t>
      </w:r>
      <w:r w:rsidR="005D6693" w:rsidRPr="00382710">
        <w:t xml:space="preserve"> интерактивн</w:t>
      </w:r>
      <w:r w:rsidR="00267FCE" w:rsidRPr="00382710">
        <w:t>ом</w:t>
      </w:r>
      <w:r w:rsidR="005D6693" w:rsidRPr="005D6693">
        <w:t xml:space="preserve"> отчет</w:t>
      </w:r>
      <w:r w:rsidR="00267FCE">
        <w:t>е</w:t>
      </w:r>
      <w:r w:rsidR="005D6693" w:rsidRPr="005D6693">
        <w:t xml:space="preserve">, который был полностью переработан, чтобы обеспечить </w:t>
      </w:r>
      <w:r w:rsidR="009129A8">
        <w:t>заблаговременную</w:t>
      </w:r>
      <w:r w:rsidR="005D6693" w:rsidRPr="005D6693">
        <w:t xml:space="preserve"> оценку </w:t>
      </w:r>
      <w:r w:rsidR="009129A8">
        <w:t>статуса выполнения</w:t>
      </w:r>
      <w:r w:rsidR="005D6693" w:rsidRPr="005D6693">
        <w:t xml:space="preserve"> каждого проекта. </w:t>
      </w:r>
      <w:r w:rsidR="00141F35">
        <w:t>Этот о</w:t>
      </w:r>
      <w:r w:rsidR="005D6693" w:rsidRPr="005D6693">
        <w:t xml:space="preserve">тчет позволяет </w:t>
      </w:r>
      <w:r w:rsidR="00AC6967">
        <w:t>определить</w:t>
      </w:r>
      <w:r w:rsidR="005D6693" w:rsidRPr="005D6693">
        <w:t xml:space="preserve"> проекты, </w:t>
      </w:r>
      <w:r w:rsidR="0061628C">
        <w:t xml:space="preserve">в рамках </w:t>
      </w:r>
      <w:r w:rsidR="005D6693" w:rsidRPr="005D6693">
        <w:t>которы</w:t>
      </w:r>
      <w:r w:rsidR="0061628C">
        <w:t>х</w:t>
      </w:r>
      <w:r w:rsidR="005D6693" w:rsidRPr="005D6693">
        <w:t xml:space="preserve"> первоначальн</w:t>
      </w:r>
      <w:r w:rsidR="0061628C">
        <w:t>ый</w:t>
      </w:r>
      <w:r w:rsidR="005D6693" w:rsidRPr="005D6693">
        <w:t xml:space="preserve"> рабоч</w:t>
      </w:r>
      <w:r w:rsidR="0061628C">
        <w:t>ий</w:t>
      </w:r>
      <w:r w:rsidR="005D6693" w:rsidRPr="005D6693">
        <w:t xml:space="preserve"> план</w:t>
      </w:r>
      <w:r w:rsidR="0061628C">
        <w:t xml:space="preserve"> </w:t>
      </w:r>
      <w:r w:rsidR="007B11A4">
        <w:t>нарушен</w:t>
      </w:r>
      <w:r w:rsidR="005D6693" w:rsidRPr="005D6693">
        <w:t xml:space="preserve"> и</w:t>
      </w:r>
      <w:r w:rsidR="00AA1621">
        <w:t xml:space="preserve"> для</w:t>
      </w:r>
      <w:r w:rsidR="005D6693" w:rsidRPr="005D6693">
        <w:t xml:space="preserve"> которы</w:t>
      </w:r>
      <w:r w:rsidR="00AA1621">
        <w:t xml:space="preserve">х </w:t>
      </w:r>
      <w:r w:rsidR="00AA1621" w:rsidRPr="00995E65">
        <w:t>может потребоваться</w:t>
      </w:r>
      <w:r w:rsidR="005D6693" w:rsidRPr="00995E65">
        <w:t xml:space="preserve"> специальн</w:t>
      </w:r>
      <w:r w:rsidR="00AA1621" w:rsidRPr="00995E65">
        <w:t>ая помощь, чтобы вернуть их в нужное русло</w:t>
      </w:r>
      <w:r w:rsidR="005D6693" w:rsidRPr="00995E65">
        <w:t>.</w:t>
      </w:r>
      <w:bookmarkEnd w:id="44"/>
    </w:p>
    <w:p w14:paraId="1EA25C51" w14:textId="5EE8590D" w:rsidR="005E5203" w:rsidRPr="005E5203" w:rsidRDefault="005E5203" w:rsidP="005E5203">
      <w:pPr>
        <w:pStyle w:val="enumlev1"/>
      </w:pPr>
      <w:bookmarkStart w:id="45" w:name="lt_pId164"/>
      <w:r w:rsidRPr="00995E65">
        <w:t>–</w:t>
      </w:r>
      <w:r w:rsidRPr="00995E65">
        <w:tab/>
      </w:r>
      <w:bookmarkEnd w:id="45"/>
      <w:r w:rsidRPr="00995E65">
        <w:rPr>
          <w:b/>
          <w:bCs/>
          <w:i/>
          <w:iCs/>
        </w:rPr>
        <w:t xml:space="preserve">Оценки проектов после их </w:t>
      </w:r>
      <w:r w:rsidR="00C13EAE" w:rsidRPr="00995E65">
        <w:rPr>
          <w:b/>
          <w:bCs/>
          <w:i/>
          <w:iCs/>
        </w:rPr>
        <w:t>вы</w:t>
      </w:r>
      <w:r w:rsidRPr="00995E65">
        <w:rPr>
          <w:b/>
          <w:bCs/>
          <w:i/>
          <w:iCs/>
        </w:rPr>
        <w:t>полнения</w:t>
      </w:r>
      <w:r w:rsidRPr="00995E65">
        <w:t xml:space="preserve">: БРЭ провело оценку ряда проектов МСЭ после их </w:t>
      </w:r>
      <w:r w:rsidR="00995E65" w:rsidRPr="00995E65">
        <w:t>вы</w:t>
      </w:r>
      <w:r w:rsidRPr="00995E65">
        <w:t xml:space="preserve">полнения. Целью этих оценок является анализ ключевых показателей деятельности, установленных для оценки достигнутых результатов, эффективности и действенности </w:t>
      </w:r>
      <w:r w:rsidR="00995E65" w:rsidRPr="00995E65">
        <w:t>вы</w:t>
      </w:r>
      <w:r w:rsidRPr="00995E65">
        <w:t xml:space="preserve">полнения проектов, а также воздействия достигнутых результатов, на основании ориентированных на результаты принципов управления. Заключение по каждому </w:t>
      </w:r>
      <w:r w:rsidRPr="00995E65">
        <w:lastRenderedPageBreak/>
        <w:t xml:space="preserve">рассмотрению базируется на объективном анализе полученных результатов, а также на подборке извлеченных уроков, которые могут помочь в совершенствовании разработки и </w:t>
      </w:r>
      <w:r w:rsidR="00995E65">
        <w:t>вы</w:t>
      </w:r>
      <w:r w:rsidRPr="00995E65">
        <w:t>полнения будущих проектов МСЭ. Результаты отражаются в отчетах об оценке, и некоторые из них публикуются на</w:t>
      </w:r>
      <w:r w:rsidRPr="00995E65">
        <w:rPr>
          <w:b/>
          <w:bCs/>
          <w:i/>
          <w:iCs/>
        </w:rPr>
        <w:t xml:space="preserve"> </w:t>
      </w:r>
      <w:hyperlink r:id="rId13" w:history="1">
        <w:r w:rsidRPr="00995E65">
          <w:rPr>
            <w:rStyle w:val="Hyperlink"/>
          </w:rPr>
          <w:t>веб-сайте проектов БРЭ</w:t>
        </w:r>
      </w:hyperlink>
      <w:r w:rsidRPr="00995E65">
        <w:rPr>
          <w:b/>
          <w:bCs/>
          <w:i/>
          <w:iCs/>
        </w:rPr>
        <w:t>.</w:t>
      </w:r>
    </w:p>
    <w:p w14:paraId="55BC5A81" w14:textId="45F9F1D3" w:rsidR="005E5203" w:rsidRPr="005E5203" w:rsidRDefault="005E5203" w:rsidP="005E5203">
      <w:pPr>
        <w:pStyle w:val="Heading1"/>
        <w:rPr>
          <w:sz w:val="24"/>
          <w:szCs w:val="24"/>
        </w:rPr>
      </w:pPr>
      <w:bookmarkStart w:id="46" w:name="lt_pId169"/>
      <w:r w:rsidRPr="005E5203">
        <w:t>5</w:t>
      </w:r>
      <w:r w:rsidRPr="005E5203">
        <w:tab/>
      </w:r>
      <w:bookmarkEnd w:id="46"/>
      <w:r w:rsidRPr="005E5203">
        <w:t>Заключение</w:t>
      </w:r>
    </w:p>
    <w:p w14:paraId="35E8E0DA" w14:textId="5E09C3A6" w:rsidR="005E5203" w:rsidRPr="0041542C" w:rsidRDefault="005E5203" w:rsidP="005E5203">
      <w:pPr>
        <w:pStyle w:val="enumlev1"/>
      </w:pPr>
      <w:bookmarkStart w:id="47" w:name="lt_pId170"/>
      <w:r w:rsidRPr="005E5203">
        <w:t>1</w:t>
      </w:r>
      <w:r w:rsidRPr="005E5203">
        <w:tab/>
      </w:r>
      <w:bookmarkStart w:id="48" w:name="lt_pId171"/>
      <w:bookmarkEnd w:id="47"/>
      <w:r w:rsidRPr="005E5203">
        <w:t xml:space="preserve">БРЭ имеет многолетний </w:t>
      </w:r>
      <w:r w:rsidRPr="004D057A">
        <w:t xml:space="preserve">опыт </w:t>
      </w:r>
      <w:r w:rsidR="00F82E20" w:rsidRPr="004D057A">
        <w:t>вы</w:t>
      </w:r>
      <w:r w:rsidRPr="004D057A">
        <w:t xml:space="preserve">полнения проектов в интересах развивающихся </w:t>
      </w:r>
      <w:r w:rsidR="008376C6" w:rsidRPr="004D057A">
        <w:t xml:space="preserve">и в некоторых </w:t>
      </w:r>
      <w:r w:rsidR="008376C6" w:rsidRPr="0041542C">
        <w:t xml:space="preserve">случаях развитых </w:t>
      </w:r>
      <w:r w:rsidRPr="0041542C">
        <w:t>стран. Однако по мере развития сектора ИКТ происходит развитие БРЭ, которое стремится адаптировать свои процессы, использовать новые возможности и эффективно решать проблемы, связанные с разработкой, исполнением, мониторингом и оценкой проектов.</w:t>
      </w:r>
      <w:bookmarkEnd w:id="48"/>
      <w:r w:rsidRPr="0041542C">
        <w:t xml:space="preserve"> </w:t>
      </w:r>
    </w:p>
    <w:p w14:paraId="4206EACE" w14:textId="5392A0A7" w:rsidR="005E5203" w:rsidRPr="0041542C" w:rsidRDefault="005E5203" w:rsidP="005E5203">
      <w:pPr>
        <w:pStyle w:val="enumlev1"/>
      </w:pPr>
      <w:bookmarkStart w:id="49" w:name="lt_pId172"/>
      <w:r w:rsidRPr="0041542C">
        <w:t>2</w:t>
      </w:r>
      <w:r w:rsidRPr="0041542C">
        <w:tab/>
      </w:r>
      <w:r w:rsidR="00962A82" w:rsidRPr="0041542C">
        <w:t>Доказано, что исполнение проектов является эффективным способом реагирования на конкретные потребности Государств – Членов МСЭ и служит отличным механизмом достижения воздействия</w:t>
      </w:r>
      <w:bookmarkEnd w:id="49"/>
      <w:r w:rsidR="00962A82" w:rsidRPr="0041542C">
        <w:t>.</w:t>
      </w:r>
    </w:p>
    <w:p w14:paraId="1E6AB1FC" w14:textId="047B7749" w:rsidR="005E5203" w:rsidRPr="0041542C" w:rsidRDefault="005E5203" w:rsidP="005E5203">
      <w:pPr>
        <w:pStyle w:val="enumlev1"/>
      </w:pPr>
      <w:bookmarkStart w:id="50" w:name="lt_pId173"/>
      <w:r w:rsidRPr="0041542C">
        <w:t>3</w:t>
      </w:r>
      <w:r w:rsidRPr="0041542C">
        <w:tab/>
      </w:r>
      <w:bookmarkEnd w:id="50"/>
      <w:r w:rsidR="00962A82" w:rsidRPr="0041542C">
        <w:t>Проекты БРЭ являются также эффективным инструментом реализации региональных инициатив, определенных Государствами-Членами в качестве приоритетных областей</w:t>
      </w:r>
      <w:r w:rsidR="008F015F" w:rsidRPr="0041542C">
        <w:t xml:space="preserve"> для </w:t>
      </w:r>
      <w:r w:rsidR="00EB08E9" w:rsidRPr="0041542C">
        <w:t>конкретных</w:t>
      </w:r>
      <w:r w:rsidR="008F015F" w:rsidRPr="0041542C">
        <w:t xml:space="preserve"> регионов</w:t>
      </w:r>
      <w:r w:rsidR="00962A82" w:rsidRPr="0041542C">
        <w:t>.</w:t>
      </w:r>
    </w:p>
    <w:p w14:paraId="7E3ADF85" w14:textId="6F5D4671" w:rsidR="005E5203" w:rsidRPr="0041542C" w:rsidRDefault="005E5203" w:rsidP="005E5203">
      <w:pPr>
        <w:pStyle w:val="enumlev1"/>
      </w:pPr>
      <w:bookmarkStart w:id="51" w:name="lt_pId174"/>
      <w:r w:rsidRPr="0041542C">
        <w:t>4</w:t>
      </w:r>
      <w:r w:rsidRPr="0041542C">
        <w:tab/>
      </w:r>
      <w:bookmarkEnd w:id="51"/>
      <w:r w:rsidR="00962A82" w:rsidRPr="0041542C">
        <w:t xml:space="preserve">БРЭ постоянно внедряет инновации, чтобы реагировать на возможности и проблемы, связанные с проектами, совершенствуя свою функцию </w:t>
      </w:r>
      <w:r w:rsidR="0041542C" w:rsidRPr="0041542C">
        <w:t>вы</w:t>
      </w:r>
      <w:r w:rsidR="00962A82" w:rsidRPr="0041542C">
        <w:t xml:space="preserve">полнения проектов, процессы и отчетность в целях соблюдения принципов подотчетности, эффективности и действенности при </w:t>
      </w:r>
      <w:r w:rsidR="0041542C" w:rsidRPr="0041542C">
        <w:t>вы</w:t>
      </w:r>
      <w:r w:rsidR="00962A82" w:rsidRPr="0041542C">
        <w:t>полнении проектов.</w:t>
      </w:r>
    </w:p>
    <w:p w14:paraId="339DDC64" w14:textId="13780602" w:rsidR="005E5203" w:rsidRPr="00AB23E1" w:rsidRDefault="005E5203" w:rsidP="005E5203">
      <w:pPr>
        <w:pStyle w:val="enumlev1"/>
      </w:pPr>
      <w:bookmarkStart w:id="52" w:name="lt_pId175"/>
      <w:r w:rsidRPr="0041542C">
        <w:t>5</w:t>
      </w:r>
      <w:r w:rsidRPr="0041542C">
        <w:tab/>
      </w:r>
      <w:r w:rsidR="005D6693" w:rsidRPr="0041542C">
        <w:t>Три недавно принятые стратегии</w:t>
      </w:r>
      <w:r w:rsidR="00B51A92">
        <w:t xml:space="preserve">, касающиеся </w:t>
      </w:r>
      <w:r w:rsidR="00BC7A10" w:rsidRPr="0041542C">
        <w:t>отношений с Ч</w:t>
      </w:r>
      <w:r w:rsidR="005D6693" w:rsidRPr="0041542C">
        <w:t>лен</w:t>
      </w:r>
      <w:r w:rsidR="00BC7A10" w:rsidRPr="0041542C">
        <w:t>ами</w:t>
      </w:r>
      <w:r w:rsidR="005D6693" w:rsidRPr="0041542C">
        <w:t xml:space="preserve"> МСЭ-</w:t>
      </w:r>
      <w:r w:rsidR="005D6693" w:rsidRPr="0041542C">
        <w:rPr>
          <w:lang w:val="en-GB"/>
        </w:rPr>
        <w:t>D</w:t>
      </w:r>
      <w:r w:rsidR="005D6693" w:rsidRPr="0041542C">
        <w:t xml:space="preserve">, </w:t>
      </w:r>
      <w:r w:rsidR="00C52910" w:rsidRPr="0041542C">
        <w:t>формирования</w:t>
      </w:r>
      <w:r w:rsidR="00033716" w:rsidRPr="0041542C">
        <w:t xml:space="preserve"> </w:t>
      </w:r>
      <w:r w:rsidR="005D6693" w:rsidRPr="0041542C">
        <w:t>партнерст</w:t>
      </w:r>
      <w:r w:rsidR="00033716" w:rsidRPr="0041542C">
        <w:t>в</w:t>
      </w:r>
      <w:r w:rsidR="005D6693" w:rsidRPr="0041542C">
        <w:t xml:space="preserve"> и мобилизации ресурсов</w:t>
      </w:r>
      <w:r w:rsidR="005D6693" w:rsidRPr="005D6693">
        <w:t>, а также управления проектами</w:t>
      </w:r>
      <w:r w:rsidR="00B51A92">
        <w:t>,</w:t>
      </w:r>
      <w:r w:rsidR="005D6693" w:rsidRPr="005D6693">
        <w:t xml:space="preserve"> помогли </w:t>
      </w:r>
      <w:r w:rsidR="00206706">
        <w:t>устранить существующие недоработки</w:t>
      </w:r>
      <w:r w:rsidR="005D6693" w:rsidRPr="005D6693">
        <w:t xml:space="preserve"> и обеспечить синергию, </w:t>
      </w:r>
      <w:r w:rsidR="00BB67B0">
        <w:t xml:space="preserve">благодаря </w:t>
      </w:r>
      <w:r w:rsidR="005D6693" w:rsidRPr="005D6693">
        <w:t>котор</w:t>
      </w:r>
      <w:r w:rsidR="00BB67B0">
        <w:t>ой</w:t>
      </w:r>
      <w:r w:rsidR="005D6693" w:rsidRPr="005D6693">
        <w:t xml:space="preserve"> </w:t>
      </w:r>
      <w:r w:rsidR="00BB67B0">
        <w:t>возможн</w:t>
      </w:r>
      <w:r w:rsidR="00FE644D">
        <w:t>а</w:t>
      </w:r>
      <w:r w:rsidR="00BB67B0">
        <w:t xml:space="preserve"> </w:t>
      </w:r>
      <w:r w:rsidR="00FE644D">
        <w:t xml:space="preserve">координация мер </w:t>
      </w:r>
      <w:r w:rsidR="00BB67B0">
        <w:t xml:space="preserve">при </w:t>
      </w:r>
      <w:r w:rsidR="005D6693" w:rsidRPr="005D6693">
        <w:t>оказани</w:t>
      </w:r>
      <w:r w:rsidR="00BB67B0">
        <w:t>и</w:t>
      </w:r>
      <w:r w:rsidR="005D6693" w:rsidRPr="005D6693">
        <w:t xml:space="preserve"> воздействия на местах на благо </w:t>
      </w:r>
      <w:r w:rsidR="006D2CF7">
        <w:t>ч</w:t>
      </w:r>
      <w:r w:rsidR="005D6693" w:rsidRPr="005D6693">
        <w:t>лен</w:t>
      </w:r>
      <w:r w:rsidR="006D2CF7">
        <w:t>ов</w:t>
      </w:r>
      <w:r w:rsidR="000E4EB1">
        <w:t xml:space="preserve"> МСЭ</w:t>
      </w:r>
      <w:r w:rsidR="005D6693" w:rsidRPr="005D6693">
        <w:t>. Этому также способствует сотрудничество с внутренними</w:t>
      </w:r>
      <w:r w:rsidR="00E72082" w:rsidRPr="00E72082">
        <w:t xml:space="preserve"> заинтересованными сторонами МСЭ</w:t>
      </w:r>
      <w:r w:rsidR="005D6693" w:rsidRPr="005D6693">
        <w:t xml:space="preserve"> и внешними </w:t>
      </w:r>
      <w:r w:rsidR="005D6693" w:rsidRPr="009C3522">
        <w:t xml:space="preserve">заинтересованными сторонами. </w:t>
      </w:r>
      <w:bookmarkEnd w:id="52"/>
    </w:p>
    <w:p w14:paraId="4A1CB188" w14:textId="3567475D" w:rsidR="005E5203" w:rsidRPr="00962A82" w:rsidRDefault="005E5203" w:rsidP="005E5203">
      <w:pPr>
        <w:pStyle w:val="enumlev1"/>
      </w:pPr>
      <w:bookmarkStart w:id="53" w:name="lt_pId177"/>
      <w:r w:rsidRPr="009C3522">
        <w:t>6</w:t>
      </w:r>
      <w:r w:rsidRPr="009C3522">
        <w:tab/>
      </w:r>
      <w:bookmarkEnd w:id="53"/>
      <w:r w:rsidR="00962A82" w:rsidRPr="009C3522">
        <w:t xml:space="preserve">Более подробную информацию о проектах, выполняемых МСЭ, см. по адресу: </w:t>
      </w:r>
      <w:hyperlink r:id="rId14" w:history="1">
        <w:r w:rsidR="00962A82" w:rsidRPr="009C3522">
          <w:rPr>
            <w:rStyle w:val="Hyperlink"/>
          </w:rPr>
          <w:t>http://www.itu.int/en/ITU-D/Projects/</w:t>
        </w:r>
      </w:hyperlink>
      <w:r w:rsidR="00962A82" w:rsidRPr="009C3522">
        <w:t>.</w:t>
      </w:r>
    </w:p>
    <w:p w14:paraId="589A78A0" w14:textId="77777777" w:rsidR="0040328D" w:rsidRPr="00933E0E" w:rsidRDefault="0040328D" w:rsidP="00962A8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33E0E">
        <w:t>_______________</w:t>
      </w:r>
    </w:p>
    <w:sectPr w:rsidR="0040328D" w:rsidRPr="00933E0E" w:rsidSect="002502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9C60" w14:textId="77777777" w:rsidR="00F24D7B" w:rsidRDefault="00F24D7B" w:rsidP="00E54FD2">
      <w:pPr>
        <w:spacing w:before="0"/>
      </w:pPr>
      <w:r>
        <w:separator/>
      </w:r>
    </w:p>
  </w:endnote>
  <w:endnote w:type="continuationSeparator" w:id="0">
    <w:p w14:paraId="569C9494" w14:textId="77777777" w:rsidR="00F24D7B" w:rsidRDefault="00F24D7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1060" w14:textId="77777777" w:rsidR="00653D43" w:rsidRDefault="00653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B5D1" w14:textId="4AE81AC5" w:rsidR="0020696E" w:rsidRPr="00AB23E1" w:rsidRDefault="004556AF">
    <w:pPr>
      <w:pStyle w:val="Footer"/>
      <w:rPr>
        <w:lang w:val="en-US"/>
      </w:rPr>
    </w:pPr>
    <w:r>
      <w:fldChar w:fldCharType="begin"/>
    </w:r>
    <w:r w:rsidRPr="00AB23E1">
      <w:rPr>
        <w:lang w:val="en-US"/>
      </w:rPr>
      <w:instrText xml:space="preserve"> FILENAME \p  \* MERGEFORMAT </w:instrText>
    </w:r>
    <w:r>
      <w:fldChar w:fldCharType="separate"/>
    </w:r>
    <w:r w:rsidR="00BA1E87">
      <w:rPr>
        <w:lang w:val="en-US"/>
      </w:rPr>
      <w:t>P:\RUS\ITU-D\CONF-D\TDAG21\000\011REV1R.DOCX</w:t>
    </w:r>
    <w:r>
      <w:fldChar w:fldCharType="end"/>
    </w:r>
    <w:r w:rsidR="0020696E" w:rsidRPr="00AB23E1">
      <w:rPr>
        <w:lang w:val="en-US"/>
      </w:rPr>
      <w:t xml:space="preserve"> (</w:t>
    </w:r>
    <w:r w:rsidR="0020696E">
      <w:rPr>
        <w:lang w:val="en-US"/>
      </w:rPr>
      <w:t>489</w:t>
    </w:r>
    <w:r w:rsidR="00653D43">
      <w:rPr>
        <w:lang w:val="en-US"/>
      </w:rPr>
      <w:t>49</w:t>
    </w:r>
    <w:r w:rsidR="00BA1E87">
      <w:rPr>
        <w:lang w:val="en-US"/>
      </w:rPr>
      <w:t>5</w:t>
    </w:r>
    <w:r w:rsidR="0020696E" w:rsidRPr="00AB23E1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7D23607E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93EE6A6" w14:textId="34B85333" w:rsidR="00BD2C91" w:rsidRPr="002327C1" w:rsidRDefault="002327C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327C1">
            <w:rPr>
              <w:sz w:val="18"/>
              <w:szCs w:val="18"/>
            </w:rPr>
            <w:t>д-р Космас Завазава (</w:t>
          </w:r>
          <w:r w:rsidRPr="002327C1">
            <w:rPr>
              <w:sz w:val="18"/>
              <w:szCs w:val="18"/>
              <w:lang w:val="en-GB"/>
            </w:rPr>
            <w:t>D</w:t>
          </w:r>
          <w:r w:rsidRPr="002327C1">
            <w:rPr>
              <w:sz w:val="18"/>
              <w:szCs w:val="18"/>
              <w:lang w:val="en-US"/>
            </w:rPr>
            <w:t>r</w:t>
          </w:r>
          <w:r w:rsidRPr="002327C1">
            <w:rPr>
              <w:sz w:val="18"/>
              <w:szCs w:val="18"/>
            </w:rPr>
            <w:t xml:space="preserve"> </w:t>
          </w:r>
          <w:r w:rsidRPr="002327C1">
            <w:rPr>
              <w:sz w:val="18"/>
              <w:szCs w:val="18"/>
              <w:lang w:val="en-US"/>
            </w:rPr>
            <w:t>Cosmas</w:t>
          </w:r>
          <w:r w:rsidRPr="002327C1">
            <w:rPr>
              <w:sz w:val="18"/>
              <w:szCs w:val="18"/>
            </w:rPr>
            <w:t xml:space="preserve"> </w:t>
          </w:r>
          <w:r w:rsidRPr="002327C1">
            <w:rPr>
              <w:sz w:val="18"/>
              <w:szCs w:val="18"/>
              <w:lang w:val="en-US"/>
            </w:rPr>
            <w:t>Zavazava</w:t>
          </w:r>
          <w:r w:rsidRPr="002327C1">
            <w:rPr>
              <w:sz w:val="18"/>
              <w:szCs w:val="18"/>
            </w:rPr>
            <w:t>), руководител</w:t>
          </w:r>
          <w:r w:rsidR="00B74ADF">
            <w:rPr>
              <w:sz w:val="18"/>
              <w:szCs w:val="18"/>
            </w:rPr>
            <w:t>ь</w:t>
          </w:r>
          <w:r w:rsidRPr="002327C1">
            <w:rPr>
              <w:sz w:val="18"/>
              <w:szCs w:val="18"/>
            </w:rPr>
            <w:t xml:space="preserve"> Департамента партнерств в целях цифрового развития, Бюро развития электросвязи</w:t>
          </w:r>
        </w:p>
      </w:tc>
    </w:tr>
    <w:tr w:rsidR="00BD2C91" w:rsidRPr="004D495C" w14:paraId="63C0ECB8" w14:textId="77777777" w:rsidTr="004E3CF5">
      <w:tc>
        <w:tcPr>
          <w:tcW w:w="1418" w:type="dxa"/>
          <w:shd w:val="clear" w:color="auto" w:fill="auto"/>
        </w:tcPr>
        <w:p w14:paraId="5139BB15" w14:textId="77777777" w:rsidR="00BD2C91" w:rsidRPr="002327C1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A9E3E18" w14:textId="68602557" w:rsidR="00BD2C91" w:rsidRPr="00B41105" w:rsidRDefault="002327C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327C1">
            <w:rPr>
              <w:sz w:val="18"/>
              <w:szCs w:val="18"/>
            </w:rPr>
            <w:t>+41 22 730 5447</w:t>
          </w:r>
        </w:p>
      </w:tc>
    </w:tr>
    <w:tr w:rsidR="00BD2C91" w:rsidRPr="004D495C" w14:paraId="5EFEB803" w14:textId="77777777" w:rsidTr="004E3CF5">
      <w:tc>
        <w:tcPr>
          <w:tcW w:w="1418" w:type="dxa"/>
          <w:shd w:val="clear" w:color="auto" w:fill="auto"/>
        </w:tcPr>
        <w:p w14:paraId="7B462C0D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14ED6D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3E54E6F" w14:textId="7EDA9616" w:rsidR="00BD2C91" w:rsidRPr="00B41105" w:rsidRDefault="00653D43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2327C1" w:rsidRPr="002327C1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653D43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7A85" w14:textId="77777777" w:rsidR="00F24D7B" w:rsidRDefault="00F24D7B" w:rsidP="00E54FD2">
      <w:pPr>
        <w:spacing w:before="0"/>
      </w:pPr>
      <w:r>
        <w:separator/>
      </w:r>
    </w:p>
  </w:footnote>
  <w:footnote w:type="continuationSeparator" w:id="0">
    <w:p w14:paraId="4F819947" w14:textId="77777777" w:rsidR="00F24D7B" w:rsidRDefault="00F24D7B" w:rsidP="00E54FD2">
      <w:pPr>
        <w:spacing w:before="0"/>
      </w:pPr>
      <w:r>
        <w:continuationSeparator/>
      </w:r>
    </w:p>
  </w:footnote>
  <w:footnote w:id="1">
    <w:p w14:paraId="05DFE393" w14:textId="56041D54" w:rsidR="002327C1" w:rsidRPr="00051838" w:rsidRDefault="002327C1" w:rsidP="002218B7">
      <w:pPr>
        <w:pStyle w:val="FootnoteText"/>
      </w:pPr>
      <w:r w:rsidRPr="002218B7">
        <w:rPr>
          <w:rStyle w:val="FootnoteReference"/>
        </w:rPr>
        <w:footnoteRef/>
      </w:r>
      <w:bookmarkStart w:id="7" w:name="lt_pId181"/>
      <w:r w:rsidRPr="00051838">
        <w:tab/>
      </w:r>
      <w:r w:rsidR="00462E27" w:rsidRPr="00051838">
        <w:t>Обзор портфеля проектов МСЭ доступен по адресу</w:t>
      </w:r>
      <w:r w:rsidR="00051838" w:rsidRPr="00051838">
        <w:t>:</w:t>
      </w:r>
      <w:r w:rsidR="00051838">
        <w:t xml:space="preserve"> </w:t>
      </w:r>
      <w:hyperlink r:id="rId1" w:history="1">
        <w:r w:rsidR="00051838" w:rsidRPr="004C6491">
          <w:rPr>
            <w:rStyle w:val="Hyperlink"/>
            <w:lang w:val="en-GB"/>
          </w:rPr>
          <w:t>www</w:t>
        </w:r>
        <w:r w:rsidR="00051838" w:rsidRPr="004C6491">
          <w:rPr>
            <w:rStyle w:val="Hyperlink"/>
          </w:rPr>
          <w:t>.</w:t>
        </w:r>
        <w:r w:rsidR="00051838" w:rsidRPr="004C6491">
          <w:rPr>
            <w:rStyle w:val="Hyperlink"/>
            <w:lang w:val="en-GB"/>
          </w:rPr>
          <w:t>itu</w:t>
        </w:r>
        <w:r w:rsidR="00051838" w:rsidRPr="004C6491">
          <w:rPr>
            <w:rStyle w:val="Hyperlink"/>
          </w:rPr>
          <w:t>.</w:t>
        </w:r>
        <w:r w:rsidR="00051838" w:rsidRPr="004C6491">
          <w:rPr>
            <w:rStyle w:val="Hyperlink"/>
            <w:lang w:val="en-GB"/>
          </w:rPr>
          <w:t>int</w:t>
        </w:r>
        <w:r w:rsidR="00051838" w:rsidRPr="004C6491">
          <w:rPr>
            <w:rStyle w:val="Hyperlink"/>
          </w:rPr>
          <w:t>/</w:t>
        </w:r>
        <w:r w:rsidR="00051838" w:rsidRPr="004C6491">
          <w:rPr>
            <w:rStyle w:val="Hyperlink"/>
            <w:lang w:val="en-GB"/>
          </w:rPr>
          <w:t>en</w:t>
        </w:r>
        <w:r w:rsidR="00051838" w:rsidRPr="004C6491">
          <w:rPr>
            <w:rStyle w:val="Hyperlink"/>
          </w:rPr>
          <w:t>/</w:t>
        </w:r>
        <w:r w:rsidR="00051838" w:rsidRPr="004C6491">
          <w:rPr>
            <w:rStyle w:val="Hyperlink"/>
            <w:lang w:val="en-GB"/>
          </w:rPr>
          <w:t>ITU</w:t>
        </w:r>
        <w:r w:rsidR="00051838" w:rsidRPr="004C6491">
          <w:rPr>
            <w:rStyle w:val="Hyperlink"/>
          </w:rPr>
          <w:t>-</w:t>
        </w:r>
        <w:r w:rsidR="00051838" w:rsidRPr="004C6491">
          <w:rPr>
            <w:rStyle w:val="Hyperlink"/>
            <w:lang w:val="en-GB"/>
          </w:rPr>
          <w:t>D</w:t>
        </w:r>
        <w:r w:rsidR="00051838" w:rsidRPr="004C6491">
          <w:rPr>
            <w:rStyle w:val="Hyperlink"/>
          </w:rPr>
          <w:t>/</w:t>
        </w:r>
        <w:r w:rsidR="00051838" w:rsidRPr="004C6491">
          <w:rPr>
            <w:rStyle w:val="Hyperlink"/>
            <w:lang w:val="en-GB"/>
          </w:rPr>
          <w:t>Projects</w:t>
        </w:r>
        <w:r w:rsidR="00051838" w:rsidRPr="004C6491">
          <w:rPr>
            <w:rStyle w:val="Hyperlink"/>
          </w:rPr>
          <w:t>/</w:t>
        </w:r>
      </w:hyperlink>
      <w:bookmarkEnd w:id="7"/>
      <w:r w:rsidR="002218B7" w:rsidRPr="00051838">
        <w:rPr>
          <w:rStyle w:val="Hyperlink"/>
          <w:i/>
          <w:iCs/>
        </w:rPr>
        <w:t>.</w:t>
      </w:r>
    </w:p>
  </w:footnote>
  <w:footnote w:id="2">
    <w:p w14:paraId="0C7F8E15" w14:textId="0931E427" w:rsidR="00462E27" w:rsidRPr="003B7358" w:rsidRDefault="00462E27" w:rsidP="00462E27">
      <w:pPr>
        <w:pStyle w:val="FootnoteText"/>
      </w:pPr>
      <w:r w:rsidRPr="002218B7">
        <w:rPr>
          <w:rStyle w:val="FootnoteReference"/>
        </w:rPr>
        <w:footnoteRef/>
      </w:r>
      <w:bookmarkStart w:id="15" w:name="lt_pId182"/>
      <w:r w:rsidRPr="00462E27">
        <w:tab/>
        <w:t>Дополнительная информация о партнерс</w:t>
      </w:r>
      <w:r w:rsidR="005B509C">
        <w:t xml:space="preserve">твах </w:t>
      </w:r>
      <w:r w:rsidRPr="00462E27">
        <w:t>МСЭ-</w:t>
      </w:r>
      <w:r w:rsidRPr="00462E27">
        <w:rPr>
          <w:lang w:val="en-GB"/>
        </w:rPr>
        <w:t>D</w:t>
      </w:r>
      <w:r w:rsidRPr="00462E27">
        <w:t xml:space="preserve"> и мобилизации ресурсов доступна в документах </w:t>
      </w:r>
      <w:r w:rsidRPr="00462E27">
        <w:rPr>
          <w:lang w:val="en-GB"/>
        </w:rPr>
        <w:t>TDAG</w:t>
      </w:r>
      <w:r w:rsidR="00E012E7">
        <w:noBreakHyphen/>
      </w:r>
      <w:r w:rsidRPr="00462E27">
        <w:t xml:space="preserve">21/7 и </w:t>
      </w:r>
      <w:r w:rsidRPr="00462E27">
        <w:rPr>
          <w:lang w:val="en-GB"/>
        </w:rPr>
        <w:t>INF</w:t>
      </w:r>
      <w:r w:rsidR="00F90462">
        <w:t>/</w:t>
      </w:r>
      <w:r w:rsidRPr="00462E27">
        <w:t xml:space="preserve">2, а также в Документе 12 </w:t>
      </w:r>
      <w:r w:rsidR="00036372">
        <w:t>КГРЭ</w:t>
      </w:r>
      <w:r w:rsidRPr="00462E27">
        <w:t xml:space="preserve">-21 о </w:t>
      </w:r>
      <w:r w:rsidR="00036372" w:rsidRPr="00036372">
        <w:t>Член</w:t>
      </w:r>
      <w:r w:rsidR="00036372">
        <w:t>ах</w:t>
      </w:r>
      <w:r w:rsidR="00036372" w:rsidRPr="00036372">
        <w:t xml:space="preserve"> Сектора, Ассоциированны</w:t>
      </w:r>
      <w:r w:rsidR="00036372">
        <w:t>х</w:t>
      </w:r>
      <w:r w:rsidR="00036372" w:rsidRPr="00036372">
        <w:t xml:space="preserve"> член</w:t>
      </w:r>
      <w:r w:rsidR="00036372">
        <w:t>ах</w:t>
      </w:r>
      <w:r w:rsidR="00036372" w:rsidRPr="00036372">
        <w:t xml:space="preserve"> и Академически</w:t>
      </w:r>
      <w:r w:rsidR="00036372">
        <w:t>х</w:t>
      </w:r>
      <w:r w:rsidR="00036372" w:rsidRPr="00036372">
        <w:t xml:space="preserve"> организаци</w:t>
      </w:r>
      <w:r w:rsidR="00036372">
        <w:t>ях</w:t>
      </w:r>
      <w:r w:rsidR="00036372" w:rsidRPr="00036372">
        <w:t xml:space="preserve"> </w:t>
      </w:r>
      <w:r w:rsidR="00036372">
        <w:t>–</w:t>
      </w:r>
      <w:r w:rsidR="00036372" w:rsidRPr="00036372">
        <w:t xml:space="preserve"> </w:t>
      </w:r>
      <w:r w:rsidR="00036372">
        <w:t>Членах</w:t>
      </w:r>
      <w:r w:rsidRPr="00462E27">
        <w:t xml:space="preserve"> МСЭ-</w:t>
      </w:r>
      <w:r w:rsidRPr="00462E27">
        <w:rPr>
          <w:lang w:val="en-GB"/>
        </w:rPr>
        <w:t>D</w:t>
      </w:r>
      <w:r w:rsidRPr="00462E27">
        <w:t>.</w:t>
      </w:r>
      <w:bookmarkEnd w:id="15"/>
    </w:p>
  </w:footnote>
  <w:footnote w:id="3">
    <w:p w14:paraId="0C4AA586" w14:textId="35AB74B5" w:rsidR="00462E27" w:rsidRPr="00A87FB8" w:rsidRDefault="00462E27" w:rsidP="00462E27">
      <w:pPr>
        <w:pStyle w:val="FootnoteText"/>
        <w:rPr>
          <w:rFonts w:cstheme="minorHAnsi"/>
        </w:rPr>
      </w:pPr>
      <w:r w:rsidRPr="00F6324F">
        <w:rPr>
          <w:rStyle w:val="FootnoteReference"/>
        </w:rPr>
        <w:footnoteRef/>
      </w:r>
      <w:bookmarkStart w:id="20" w:name="lt_pId183"/>
      <w:r w:rsidRPr="00A87FB8">
        <w:rPr>
          <w:rFonts w:cstheme="minorHAnsi"/>
          <w:i/>
          <w:iCs/>
        </w:rPr>
        <w:tab/>
      </w:r>
      <w:r w:rsidR="00A87FB8" w:rsidRPr="00A87FB8">
        <w:rPr>
          <w:rFonts w:cstheme="minorHAnsi"/>
        </w:rPr>
        <w:t>Более подробная информация о</w:t>
      </w:r>
      <w:r w:rsidR="00A87FB8">
        <w:rPr>
          <w:rFonts w:cstheme="minorHAnsi"/>
        </w:rPr>
        <w:t>б инициативе</w:t>
      </w:r>
      <w:r w:rsidR="00A87FB8" w:rsidRPr="00A87FB8">
        <w:rPr>
          <w:rFonts w:cstheme="minorHAnsi"/>
        </w:rPr>
        <w:t xml:space="preserve"> </w:t>
      </w:r>
      <w:r w:rsidR="00A87FB8" w:rsidRPr="00A87FB8">
        <w:rPr>
          <w:rFonts w:cstheme="minorHAnsi"/>
          <w:lang w:val="en-GB"/>
        </w:rPr>
        <w:t>Giga</w:t>
      </w:r>
      <w:r w:rsidR="00A87FB8" w:rsidRPr="00A87FB8">
        <w:rPr>
          <w:rFonts w:cstheme="minorHAnsi"/>
        </w:rPr>
        <w:t xml:space="preserve"> доступна на </w:t>
      </w:r>
      <w:r w:rsidR="00A87FB8">
        <w:rPr>
          <w:rFonts w:cstheme="minorHAnsi"/>
        </w:rPr>
        <w:t>веб-</w:t>
      </w:r>
      <w:r w:rsidR="00A87FB8" w:rsidRPr="00A87FB8">
        <w:rPr>
          <w:rFonts w:cstheme="minorHAnsi"/>
        </w:rPr>
        <w:t>сайте</w:t>
      </w:r>
      <w:r w:rsidR="00A87FB8">
        <w:rPr>
          <w:rFonts w:cstheme="minorHAnsi"/>
        </w:rPr>
        <w:t>:</w:t>
      </w:r>
      <w:r w:rsidR="00A87FB8" w:rsidRPr="00A87FB8">
        <w:rPr>
          <w:rFonts w:cstheme="minorHAnsi"/>
        </w:rPr>
        <w:t xml:space="preserve"> </w:t>
      </w:r>
      <w:hyperlink r:id="rId2" w:history="1">
        <w:r w:rsidRPr="00962A82">
          <w:rPr>
            <w:rStyle w:val="Hyperlink"/>
            <w:rFonts w:cstheme="minorHAnsi"/>
            <w:lang w:val="en-GB"/>
          </w:rPr>
          <w:t>https</w:t>
        </w:r>
        <w:r w:rsidRPr="00A87FB8">
          <w:rPr>
            <w:rStyle w:val="Hyperlink"/>
            <w:rFonts w:cstheme="minorHAnsi"/>
          </w:rPr>
          <w:t>:</w:t>
        </w:r>
      </w:hyperlink>
      <w:bookmarkEnd w:id="20"/>
      <w:r w:rsidRPr="00962A82">
        <w:rPr>
          <w:sz w:val="24"/>
        </w:rPr>
        <w:fldChar w:fldCharType="begin"/>
      </w:r>
      <w:r w:rsidRPr="00A87FB8">
        <w:instrText xml:space="preserve"> </w:instrText>
      </w:r>
      <w:r w:rsidRPr="00962A82">
        <w:rPr>
          <w:lang w:val="en-GB"/>
        </w:rPr>
        <w:instrText>HYPERLINK</w:instrText>
      </w:r>
      <w:r w:rsidRPr="00A87FB8">
        <w:instrText xml:space="preserve"> "</w:instrText>
      </w:r>
      <w:r w:rsidRPr="00962A82">
        <w:rPr>
          <w:lang w:val="en-GB"/>
        </w:rPr>
        <w:instrText>https</w:instrText>
      </w:r>
      <w:r w:rsidRPr="00A87FB8">
        <w:instrText>://</w:instrText>
      </w:r>
      <w:r w:rsidRPr="00962A82">
        <w:rPr>
          <w:lang w:val="en-GB"/>
        </w:rPr>
        <w:instrText>gigaconnect</w:instrText>
      </w:r>
      <w:r w:rsidRPr="00A87FB8">
        <w:instrText>.</w:instrText>
      </w:r>
      <w:r w:rsidRPr="00962A82">
        <w:rPr>
          <w:lang w:val="en-GB"/>
        </w:rPr>
        <w:instrText>org</w:instrText>
      </w:r>
      <w:r w:rsidRPr="00A87FB8">
        <w:instrText xml:space="preserve">/" </w:instrText>
      </w:r>
      <w:r w:rsidRPr="00962A82">
        <w:rPr>
          <w:sz w:val="24"/>
        </w:rPr>
        <w:fldChar w:fldCharType="separate"/>
      </w:r>
      <w:bookmarkStart w:id="21" w:name="lt_pId184"/>
      <w:r w:rsidRPr="00A87FB8">
        <w:rPr>
          <w:rStyle w:val="Hyperlink"/>
          <w:rFonts w:cstheme="minorHAnsi"/>
        </w:rPr>
        <w:t>//</w:t>
      </w:r>
      <w:r w:rsidRPr="00962A82">
        <w:rPr>
          <w:rStyle w:val="Hyperlink"/>
          <w:rFonts w:cstheme="minorHAnsi"/>
          <w:lang w:val="en-GB"/>
        </w:rPr>
        <w:t>gigaconnect</w:t>
      </w:r>
      <w:r w:rsidRPr="00A87FB8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org</w:t>
      </w:r>
      <w:r w:rsidRPr="00A87FB8">
        <w:rPr>
          <w:rStyle w:val="Hyperlink"/>
          <w:rFonts w:cstheme="minorHAnsi"/>
        </w:rPr>
        <w:t>/</w:t>
      </w:r>
      <w:bookmarkEnd w:id="21"/>
      <w:r w:rsidRPr="00962A82">
        <w:rPr>
          <w:rStyle w:val="Hyperlink"/>
          <w:rFonts w:cstheme="minorHAnsi"/>
        </w:rPr>
        <w:fldChar w:fldCharType="end"/>
      </w:r>
      <w:r w:rsidRPr="00A87FB8">
        <w:rPr>
          <w:rStyle w:val="Hyperlink"/>
          <w:rFonts w:cstheme="minorHAnsi"/>
          <w:u w:val="none"/>
        </w:rPr>
        <w:t>.</w:t>
      </w:r>
    </w:p>
  </w:footnote>
  <w:footnote w:id="4">
    <w:p w14:paraId="43178E62" w14:textId="2157B68F" w:rsidR="00462E27" w:rsidRPr="003B1B71" w:rsidRDefault="00462E27" w:rsidP="00462E27">
      <w:pPr>
        <w:pStyle w:val="FootnoteText"/>
        <w:rPr>
          <w:rFonts w:cstheme="minorHAnsi"/>
        </w:rPr>
      </w:pPr>
      <w:r w:rsidRPr="00962A82">
        <w:rPr>
          <w:rStyle w:val="FootnoteReference"/>
        </w:rPr>
        <w:footnoteRef/>
      </w:r>
      <w:bookmarkStart w:id="23" w:name="lt_pId185"/>
      <w:r w:rsidRPr="003B1B71">
        <w:rPr>
          <w:rFonts w:cstheme="minorHAnsi"/>
        </w:rPr>
        <w:tab/>
      </w:r>
      <w:r w:rsidR="003B1B71" w:rsidRPr="003B1B71">
        <w:rPr>
          <w:rFonts w:cstheme="minorHAnsi"/>
        </w:rPr>
        <w:t xml:space="preserve">Более подробная информация об инициативе </w:t>
      </w:r>
      <w:r w:rsidR="003B1B71" w:rsidRPr="003B1B71">
        <w:rPr>
          <w:rFonts w:cstheme="minorHAnsi"/>
          <w:lang w:val="en-GB"/>
        </w:rPr>
        <w:t>DTC</w:t>
      </w:r>
      <w:r w:rsidR="003B1B71" w:rsidRPr="003B1B71">
        <w:rPr>
          <w:rFonts w:cstheme="minorHAnsi"/>
        </w:rPr>
        <w:t xml:space="preserve"> доступна на веб-сайте: </w:t>
      </w:r>
      <w:hyperlink r:id="rId3" w:history="1">
        <w:r w:rsidRPr="00962A82">
          <w:rPr>
            <w:rStyle w:val="Hyperlink"/>
            <w:rFonts w:cstheme="minorHAnsi"/>
            <w:lang w:val="en-GB"/>
          </w:rPr>
          <w:t>https</w:t>
        </w:r>
        <w:r w:rsidRPr="003B1B71">
          <w:rPr>
            <w:rStyle w:val="Hyperlink"/>
            <w:rFonts w:cstheme="minorHAnsi"/>
          </w:rPr>
          <w:t>:</w:t>
        </w:r>
      </w:hyperlink>
      <w:bookmarkEnd w:id="23"/>
      <w:r w:rsidRPr="00962A82">
        <w:rPr>
          <w:sz w:val="24"/>
        </w:rPr>
        <w:fldChar w:fldCharType="begin"/>
      </w:r>
      <w:r w:rsidRPr="003B1B71">
        <w:instrText xml:space="preserve"> </w:instrText>
      </w:r>
      <w:r w:rsidRPr="00962A82">
        <w:rPr>
          <w:lang w:val="en-GB"/>
        </w:rPr>
        <w:instrText>HYPERLINK</w:instrText>
      </w:r>
      <w:r w:rsidRPr="003B1B71">
        <w:instrText xml:space="preserve"> "</w:instrText>
      </w:r>
      <w:r w:rsidRPr="00962A82">
        <w:rPr>
          <w:lang w:val="en-GB"/>
        </w:rPr>
        <w:instrText>https</w:instrText>
      </w:r>
      <w:r w:rsidRPr="003B1B71">
        <w:instrText>://</w:instrText>
      </w:r>
      <w:r w:rsidRPr="00962A82">
        <w:rPr>
          <w:lang w:val="en-GB"/>
        </w:rPr>
        <w:instrText>academy</w:instrText>
      </w:r>
      <w:r w:rsidRPr="003B1B71">
        <w:instrText>.</w:instrText>
      </w:r>
      <w:r w:rsidRPr="00962A82">
        <w:rPr>
          <w:lang w:val="en-GB"/>
        </w:rPr>
        <w:instrText>itu</w:instrText>
      </w:r>
      <w:r w:rsidRPr="003B1B71">
        <w:instrText>.</w:instrText>
      </w:r>
      <w:r w:rsidRPr="00962A82">
        <w:rPr>
          <w:lang w:val="en-GB"/>
        </w:rPr>
        <w:instrText>int</w:instrText>
      </w:r>
      <w:r w:rsidRPr="003B1B71">
        <w:instrText>/</w:instrText>
      </w:r>
      <w:r w:rsidRPr="00962A82">
        <w:rPr>
          <w:lang w:val="en-GB"/>
        </w:rPr>
        <w:instrText>main</w:instrText>
      </w:r>
      <w:r w:rsidRPr="003B1B71">
        <w:instrText>-</w:instrText>
      </w:r>
      <w:r w:rsidRPr="00962A82">
        <w:rPr>
          <w:lang w:val="en-GB"/>
        </w:rPr>
        <w:instrText>activities</w:instrText>
      </w:r>
      <w:r w:rsidRPr="003B1B71">
        <w:instrText>/</w:instrText>
      </w:r>
      <w:r w:rsidRPr="00962A82">
        <w:rPr>
          <w:lang w:val="en-GB"/>
        </w:rPr>
        <w:instrText>digital</w:instrText>
      </w:r>
      <w:r w:rsidRPr="003B1B71">
        <w:instrText>-</w:instrText>
      </w:r>
      <w:r w:rsidRPr="00962A82">
        <w:rPr>
          <w:lang w:val="en-GB"/>
        </w:rPr>
        <w:instrText>transformation</w:instrText>
      </w:r>
      <w:r w:rsidRPr="003B1B71">
        <w:instrText>-</w:instrText>
      </w:r>
      <w:r w:rsidRPr="00962A82">
        <w:rPr>
          <w:lang w:val="en-GB"/>
        </w:rPr>
        <w:instrText>centres</w:instrText>
      </w:r>
      <w:r w:rsidRPr="003B1B71">
        <w:instrText>-</w:instrText>
      </w:r>
      <w:r w:rsidRPr="00962A82">
        <w:rPr>
          <w:lang w:val="en-GB"/>
        </w:rPr>
        <w:instrText>initiative</w:instrText>
      </w:r>
      <w:r w:rsidRPr="003B1B71">
        <w:instrText xml:space="preserve">" </w:instrText>
      </w:r>
      <w:r w:rsidRPr="00962A82">
        <w:rPr>
          <w:sz w:val="24"/>
        </w:rPr>
        <w:fldChar w:fldCharType="separate"/>
      </w:r>
      <w:bookmarkStart w:id="24" w:name="lt_pId186"/>
      <w:r w:rsidRPr="003B1B71">
        <w:rPr>
          <w:rStyle w:val="Hyperlink"/>
          <w:rFonts w:cstheme="minorHAnsi"/>
        </w:rPr>
        <w:t>//</w:t>
      </w:r>
      <w:r w:rsidRPr="00962A82">
        <w:rPr>
          <w:rStyle w:val="Hyperlink"/>
          <w:rFonts w:cstheme="minorHAnsi"/>
          <w:lang w:val="en-GB"/>
        </w:rPr>
        <w:t>academy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itu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int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main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activities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digital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transformation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centres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initiative</w:t>
      </w:r>
      <w:bookmarkEnd w:id="24"/>
      <w:r w:rsidRPr="00962A82">
        <w:rPr>
          <w:rStyle w:val="Hyperlink"/>
          <w:rFonts w:cstheme="minorHAnsi"/>
        </w:rPr>
        <w:fldChar w:fldCharType="end"/>
      </w:r>
      <w:r w:rsidRPr="003B1B71">
        <w:rPr>
          <w:rStyle w:val="Hyperlink"/>
          <w:rFonts w:cstheme="minorHAnsi"/>
          <w:u w:val="none"/>
        </w:rPr>
        <w:t>.</w:t>
      </w:r>
    </w:p>
  </w:footnote>
  <w:footnote w:id="5">
    <w:p w14:paraId="29D92244" w14:textId="3DAC2762" w:rsidR="00462E27" w:rsidRPr="003B1B71" w:rsidRDefault="00462E27" w:rsidP="00462E27">
      <w:pPr>
        <w:pStyle w:val="FootnoteText"/>
        <w:tabs>
          <w:tab w:val="left" w:pos="4678"/>
        </w:tabs>
        <w:rPr>
          <w:rFonts w:cstheme="minorHAnsi"/>
        </w:rPr>
      </w:pPr>
      <w:r w:rsidRPr="00962A82">
        <w:rPr>
          <w:rStyle w:val="FootnoteReference"/>
        </w:rPr>
        <w:footnoteRef/>
      </w:r>
      <w:bookmarkStart w:id="26" w:name="lt_pId187"/>
      <w:r w:rsidRPr="003B1B71">
        <w:rPr>
          <w:rFonts w:cstheme="minorHAnsi"/>
        </w:rPr>
        <w:tab/>
      </w:r>
      <w:r w:rsidR="003B1B71" w:rsidRPr="003B1B71">
        <w:rPr>
          <w:rFonts w:cstheme="minorHAnsi"/>
        </w:rPr>
        <w:t xml:space="preserve">Более подробная информация об инициативе </w:t>
      </w:r>
      <w:r w:rsidR="003B1B71" w:rsidRPr="003B1B71">
        <w:rPr>
          <w:rFonts w:cstheme="minorHAnsi"/>
          <w:lang w:val="en-GB"/>
        </w:rPr>
        <w:t>Connect</w:t>
      </w:r>
      <w:r w:rsidR="003B1B71" w:rsidRPr="003B1B71">
        <w:rPr>
          <w:rFonts w:cstheme="minorHAnsi"/>
        </w:rPr>
        <w:t>2</w:t>
      </w:r>
      <w:r w:rsidR="003B1B71" w:rsidRPr="003B1B71">
        <w:rPr>
          <w:rFonts w:cstheme="minorHAnsi"/>
          <w:lang w:val="en-GB"/>
        </w:rPr>
        <w:t>Recover</w:t>
      </w:r>
      <w:r w:rsidR="003B1B71" w:rsidRPr="003B1B71">
        <w:rPr>
          <w:rFonts w:cstheme="minorHAnsi"/>
        </w:rPr>
        <w:t xml:space="preserve"> доступна на веб-сайте</w:t>
      </w:r>
      <w:r w:rsidR="006305E0" w:rsidRPr="006305E0">
        <w:rPr>
          <w:rFonts w:cstheme="minorHAnsi"/>
        </w:rPr>
        <w:t>:</w:t>
      </w:r>
      <w:r w:rsidR="003B1B71" w:rsidRPr="003B1B71">
        <w:rPr>
          <w:rFonts w:cstheme="minorHAnsi"/>
        </w:rPr>
        <w:t xml:space="preserve"> </w:t>
      </w:r>
      <w:hyperlink r:id="rId4" w:history="1">
        <w:r w:rsidRPr="00962A82">
          <w:rPr>
            <w:rStyle w:val="Hyperlink"/>
            <w:rFonts w:cstheme="minorHAnsi"/>
            <w:lang w:val="en-GB"/>
          </w:rPr>
          <w:t>https</w:t>
        </w:r>
        <w:r w:rsidRPr="003B1B71">
          <w:rPr>
            <w:rStyle w:val="Hyperlink"/>
            <w:rFonts w:cstheme="minorHAnsi"/>
          </w:rPr>
          <w:t>:</w:t>
        </w:r>
      </w:hyperlink>
      <w:bookmarkEnd w:id="26"/>
      <w:r w:rsidRPr="00962A82">
        <w:rPr>
          <w:sz w:val="24"/>
        </w:rPr>
        <w:fldChar w:fldCharType="begin"/>
      </w:r>
      <w:r w:rsidRPr="003B1B71">
        <w:instrText xml:space="preserve"> </w:instrText>
      </w:r>
      <w:r w:rsidRPr="00962A82">
        <w:rPr>
          <w:lang w:val="en-GB"/>
        </w:rPr>
        <w:instrText>HYPERLINK</w:instrText>
      </w:r>
      <w:r w:rsidRPr="003B1B71">
        <w:instrText xml:space="preserve"> "</w:instrText>
      </w:r>
      <w:r w:rsidRPr="00962A82">
        <w:rPr>
          <w:lang w:val="en-GB"/>
        </w:rPr>
        <w:instrText>https</w:instrText>
      </w:r>
      <w:r w:rsidRPr="003B1B71">
        <w:instrText>://</w:instrText>
      </w:r>
      <w:r w:rsidRPr="00962A82">
        <w:rPr>
          <w:lang w:val="en-GB"/>
        </w:rPr>
        <w:instrText>www</w:instrText>
      </w:r>
      <w:r w:rsidRPr="003B1B71">
        <w:instrText>.</w:instrText>
      </w:r>
      <w:r w:rsidRPr="00962A82">
        <w:rPr>
          <w:lang w:val="en-GB"/>
        </w:rPr>
        <w:instrText>itu</w:instrText>
      </w:r>
      <w:r w:rsidRPr="003B1B71">
        <w:instrText>.</w:instrText>
      </w:r>
      <w:r w:rsidRPr="00962A82">
        <w:rPr>
          <w:lang w:val="en-GB"/>
        </w:rPr>
        <w:instrText>int</w:instrText>
      </w:r>
      <w:r w:rsidRPr="003B1B71">
        <w:instrText>/</w:instrText>
      </w:r>
      <w:r w:rsidRPr="00962A82">
        <w:rPr>
          <w:lang w:val="en-GB"/>
        </w:rPr>
        <w:instrText>en</w:instrText>
      </w:r>
      <w:r w:rsidRPr="003B1B71">
        <w:instrText>/</w:instrText>
      </w:r>
      <w:r w:rsidRPr="00962A82">
        <w:rPr>
          <w:lang w:val="en-GB"/>
        </w:rPr>
        <w:instrText>ITU</w:instrText>
      </w:r>
      <w:r w:rsidRPr="003B1B71">
        <w:instrText>-</w:instrText>
      </w:r>
      <w:r w:rsidRPr="00962A82">
        <w:rPr>
          <w:lang w:val="en-GB"/>
        </w:rPr>
        <w:instrText>D</w:instrText>
      </w:r>
      <w:r w:rsidRPr="003B1B71">
        <w:instrText>/</w:instrText>
      </w:r>
      <w:r w:rsidRPr="00962A82">
        <w:rPr>
          <w:lang w:val="en-GB"/>
        </w:rPr>
        <w:instrText>Pages</w:instrText>
      </w:r>
      <w:r w:rsidRPr="003B1B71">
        <w:instrText>/</w:instrText>
      </w:r>
      <w:r w:rsidRPr="00962A82">
        <w:rPr>
          <w:lang w:val="en-GB"/>
        </w:rPr>
        <w:instrText>connect</w:instrText>
      </w:r>
      <w:r w:rsidRPr="003B1B71">
        <w:instrText>-2-</w:instrText>
      </w:r>
      <w:r w:rsidRPr="00962A82">
        <w:rPr>
          <w:lang w:val="en-GB"/>
        </w:rPr>
        <w:instrText>recover</w:instrText>
      </w:r>
      <w:r w:rsidRPr="003B1B71">
        <w:instrText>.</w:instrText>
      </w:r>
      <w:r w:rsidRPr="00962A82">
        <w:rPr>
          <w:lang w:val="en-GB"/>
        </w:rPr>
        <w:instrText>aspx</w:instrText>
      </w:r>
      <w:r w:rsidRPr="003B1B71">
        <w:instrText xml:space="preserve">" </w:instrText>
      </w:r>
      <w:r w:rsidRPr="00962A82">
        <w:rPr>
          <w:sz w:val="24"/>
        </w:rPr>
        <w:fldChar w:fldCharType="separate"/>
      </w:r>
      <w:bookmarkStart w:id="27" w:name="lt_pId188"/>
      <w:r w:rsidRPr="003B1B71">
        <w:rPr>
          <w:rStyle w:val="Hyperlink"/>
          <w:rFonts w:cstheme="minorHAnsi"/>
        </w:rPr>
        <w:t>//</w:t>
      </w:r>
      <w:r w:rsidRPr="00962A82">
        <w:rPr>
          <w:rStyle w:val="Hyperlink"/>
          <w:rFonts w:cstheme="minorHAnsi"/>
          <w:lang w:val="en-GB"/>
        </w:rPr>
        <w:t>www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itu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int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en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ITU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D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Pages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connect</w:t>
      </w:r>
      <w:r w:rsidRPr="003B1B71">
        <w:rPr>
          <w:rStyle w:val="Hyperlink"/>
          <w:rFonts w:cstheme="minorHAnsi"/>
        </w:rPr>
        <w:t>-2-</w:t>
      </w:r>
      <w:r w:rsidRPr="00962A82">
        <w:rPr>
          <w:rStyle w:val="Hyperlink"/>
          <w:rFonts w:cstheme="minorHAnsi"/>
          <w:lang w:val="en-GB"/>
        </w:rPr>
        <w:t>recover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aspx</w:t>
      </w:r>
      <w:bookmarkEnd w:id="27"/>
      <w:r w:rsidRPr="00962A82">
        <w:rPr>
          <w:rStyle w:val="Hyperlink"/>
          <w:rFonts w:cstheme="minorHAnsi"/>
        </w:rPr>
        <w:fldChar w:fldCharType="end"/>
      </w:r>
      <w:r w:rsidRPr="003B1B71">
        <w:rPr>
          <w:rStyle w:val="Hyperlink"/>
          <w:rFonts w:cstheme="minorHAnsi"/>
          <w:u w:val="none"/>
        </w:rPr>
        <w:t>.</w:t>
      </w:r>
    </w:p>
  </w:footnote>
  <w:footnote w:id="6">
    <w:p w14:paraId="0F4B40DD" w14:textId="11309418" w:rsidR="00734508" w:rsidRPr="008C0156" w:rsidRDefault="00734508" w:rsidP="00734508">
      <w:pPr>
        <w:pStyle w:val="FootnoteText"/>
        <w:spacing w:before="0"/>
        <w:ind w:left="0" w:firstLine="0"/>
        <w:rPr>
          <w:sz w:val="22"/>
        </w:rPr>
      </w:pPr>
      <w:r w:rsidRPr="00E012E7">
        <w:rPr>
          <w:rStyle w:val="FootnoteReference"/>
        </w:rPr>
        <w:footnoteRef/>
      </w:r>
      <w:bookmarkStart w:id="31" w:name="lt_pId189"/>
      <w:r w:rsidRPr="008C0156">
        <w:rPr>
          <w:i/>
          <w:iCs/>
        </w:rPr>
        <w:tab/>
      </w:r>
      <w:r w:rsidR="00A2746E" w:rsidRPr="00FC2AAD">
        <w:rPr>
          <w:szCs w:val="20"/>
        </w:rPr>
        <w:t xml:space="preserve">Более подробная информация о ФРИКТ доступна в Документе </w:t>
      </w:r>
      <w:r w:rsidR="00A2746E" w:rsidRPr="00FC2AAD">
        <w:rPr>
          <w:szCs w:val="20"/>
          <w:lang w:val="en-GB"/>
        </w:rPr>
        <w:t>C</w:t>
      </w:r>
      <w:r w:rsidR="00A2746E" w:rsidRPr="00FC2AAD">
        <w:rPr>
          <w:szCs w:val="20"/>
        </w:rPr>
        <w:t>21/034</w:t>
      </w:r>
      <w:r w:rsidR="00A2746E" w:rsidRPr="00FC2AAD">
        <w:rPr>
          <w:i/>
          <w:iCs/>
          <w:szCs w:val="20"/>
        </w:rPr>
        <w:t xml:space="preserve"> </w:t>
      </w:r>
      <w:r w:rsidR="00A2746E" w:rsidRPr="00FC2AAD">
        <w:rPr>
          <w:szCs w:val="20"/>
        </w:rPr>
        <w:t xml:space="preserve">на веб-странице: </w:t>
      </w:r>
      <w:hyperlink w:history="1">
        <w:r w:rsidR="004B6ED3" w:rsidRPr="00854FD9">
          <w:rPr>
            <w:rStyle w:val="Hyperlink"/>
            <w:szCs w:val="20"/>
            <w:lang w:val="fr-FR"/>
          </w:rPr>
          <w:t>https</w:t>
        </w:r>
        <w:r w:rsidR="004B6ED3" w:rsidRPr="00854FD9">
          <w:rPr>
            <w:rStyle w:val="Hyperlink"/>
            <w:szCs w:val="20"/>
          </w:rPr>
          <w:t>:</w:t>
        </w:r>
      </w:hyperlink>
      <w:bookmarkEnd w:id="31"/>
      <w:r w:rsidRPr="00FC2AAD">
        <w:fldChar w:fldCharType="begin"/>
      </w:r>
      <w:r w:rsidRPr="008C0156">
        <w:rPr>
          <w:szCs w:val="20"/>
        </w:rPr>
        <w:instrText xml:space="preserve"> </w:instrText>
      </w:r>
      <w:r w:rsidRPr="00FC2AAD">
        <w:rPr>
          <w:szCs w:val="20"/>
          <w:lang w:val="fr-FR"/>
        </w:rPr>
        <w:instrText>HYPERLINK</w:instrText>
      </w:r>
      <w:r w:rsidRPr="008C0156">
        <w:rPr>
          <w:szCs w:val="20"/>
        </w:rPr>
        <w:instrText xml:space="preserve"> "</w:instrText>
      </w:r>
      <w:r w:rsidRPr="00FC2AAD">
        <w:rPr>
          <w:szCs w:val="20"/>
          <w:lang w:val="fr-FR"/>
        </w:rPr>
        <w:instrText>https</w:instrText>
      </w:r>
      <w:r w:rsidRPr="008C0156">
        <w:rPr>
          <w:szCs w:val="20"/>
        </w:rPr>
        <w:instrText>://</w:instrText>
      </w:r>
      <w:r w:rsidRPr="00FC2AAD">
        <w:rPr>
          <w:szCs w:val="20"/>
          <w:lang w:val="fr-FR"/>
        </w:rPr>
        <w:instrText>www</w:instrText>
      </w:r>
      <w:r w:rsidRPr="008C0156">
        <w:rPr>
          <w:szCs w:val="20"/>
        </w:rPr>
        <w:instrText>.</w:instrText>
      </w:r>
      <w:r w:rsidRPr="00FC2AAD">
        <w:rPr>
          <w:szCs w:val="20"/>
          <w:lang w:val="fr-FR"/>
        </w:rPr>
        <w:instrText>itu</w:instrText>
      </w:r>
      <w:r w:rsidRPr="008C0156">
        <w:rPr>
          <w:szCs w:val="20"/>
        </w:rPr>
        <w:instrText>.</w:instrText>
      </w:r>
      <w:r w:rsidRPr="00FC2AAD">
        <w:rPr>
          <w:szCs w:val="20"/>
          <w:lang w:val="fr-FR"/>
        </w:rPr>
        <w:instrText>int</w:instrText>
      </w:r>
      <w:r w:rsidRPr="008C0156">
        <w:rPr>
          <w:szCs w:val="20"/>
        </w:rPr>
        <w:instrText>/</w:instrText>
      </w:r>
      <w:r w:rsidRPr="00FC2AAD">
        <w:rPr>
          <w:szCs w:val="20"/>
          <w:lang w:val="fr-FR"/>
        </w:rPr>
        <w:instrText>md</w:instrText>
      </w:r>
      <w:r w:rsidRPr="008C0156">
        <w:rPr>
          <w:szCs w:val="20"/>
        </w:rPr>
        <w:instrText>/</w:instrText>
      </w:r>
      <w:r w:rsidRPr="00FC2AAD">
        <w:rPr>
          <w:szCs w:val="20"/>
          <w:lang w:val="fr-FR"/>
        </w:rPr>
        <w:instrText>S</w:instrText>
      </w:r>
      <w:r w:rsidRPr="008C0156">
        <w:rPr>
          <w:szCs w:val="20"/>
        </w:rPr>
        <w:instrText>21-</w:instrText>
      </w:r>
      <w:r w:rsidRPr="00FC2AAD">
        <w:rPr>
          <w:szCs w:val="20"/>
          <w:lang w:val="fr-FR"/>
        </w:rPr>
        <w:instrText>CL</w:instrText>
      </w:r>
      <w:r w:rsidRPr="008C0156">
        <w:rPr>
          <w:szCs w:val="20"/>
        </w:rPr>
        <w:instrText>-</w:instrText>
      </w:r>
      <w:r w:rsidRPr="00FC2AAD">
        <w:rPr>
          <w:szCs w:val="20"/>
          <w:lang w:val="fr-FR"/>
        </w:rPr>
        <w:instrText>C</w:instrText>
      </w:r>
      <w:r w:rsidRPr="008C0156">
        <w:rPr>
          <w:szCs w:val="20"/>
        </w:rPr>
        <w:instrText>-0034/</w:instrText>
      </w:r>
      <w:r w:rsidRPr="00FC2AAD">
        <w:rPr>
          <w:szCs w:val="20"/>
          <w:lang w:val="fr-FR"/>
        </w:rPr>
        <w:instrText>en</w:instrText>
      </w:r>
      <w:r w:rsidRPr="008C0156">
        <w:rPr>
          <w:szCs w:val="20"/>
        </w:rPr>
        <w:instrText xml:space="preserve">" </w:instrText>
      </w:r>
      <w:r w:rsidRPr="00FC2AAD">
        <w:fldChar w:fldCharType="separate"/>
      </w:r>
      <w:bookmarkStart w:id="32" w:name="lt_pId190"/>
      <w:r w:rsidRPr="008C0156">
        <w:rPr>
          <w:rStyle w:val="Hyperlink"/>
          <w:szCs w:val="20"/>
        </w:rPr>
        <w:t>//</w:t>
      </w:r>
      <w:r w:rsidRPr="00FC2AAD">
        <w:rPr>
          <w:rStyle w:val="Hyperlink"/>
          <w:szCs w:val="20"/>
          <w:lang w:val="fr-FR"/>
        </w:rPr>
        <w:t>www</w:t>
      </w:r>
      <w:r w:rsidRPr="008C0156">
        <w:rPr>
          <w:rStyle w:val="Hyperlink"/>
          <w:szCs w:val="20"/>
        </w:rPr>
        <w:t>.</w:t>
      </w:r>
      <w:r w:rsidRPr="00FC2AAD">
        <w:rPr>
          <w:rStyle w:val="Hyperlink"/>
          <w:szCs w:val="20"/>
          <w:lang w:val="fr-FR"/>
        </w:rPr>
        <w:t>itu</w:t>
      </w:r>
      <w:r w:rsidRPr="008C0156">
        <w:rPr>
          <w:rStyle w:val="Hyperlink"/>
          <w:szCs w:val="20"/>
        </w:rPr>
        <w:t>.</w:t>
      </w:r>
      <w:r w:rsidRPr="00FC2AAD">
        <w:rPr>
          <w:rStyle w:val="Hyperlink"/>
          <w:szCs w:val="20"/>
          <w:lang w:val="fr-FR"/>
        </w:rPr>
        <w:t>int</w:t>
      </w:r>
      <w:r w:rsidRPr="008C0156">
        <w:rPr>
          <w:rStyle w:val="Hyperlink"/>
          <w:szCs w:val="20"/>
        </w:rPr>
        <w:t>/</w:t>
      </w:r>
      <w:r w:rsidRPr="00FC2AAD">
        <w:rPr>
          <w:rStyle w:val="Hyperlink"/>
          <w:szCs w:val="20"/>
          <w:lang w:val="fr-FR"/>
        </w:rPr>
        <w:t>md</w:t>
      </w:r>
      <w:r w:rsidRPr="008C0156">
        <w:rPr>
          <w:rStyle w:val="Hyperlink"/>
          <w:szCs w:val="20"/>
        </w:rPr>
        <w:t>/</w:t>
      </w:r>
      <w:r w:rsidRPr="00FC2AAD">
        <w:rPr>
          <w:rStyle w:val="Hyperlink"/>
          <w:szCs w:val="20"/>
          <w:lang w:val="fr-FR"/>
        </w:rPr>
        <w:t>S</w:t>
      </w:r>
      <w:r w:rsidRPr="008C0156">
        <w:rPr>
          <w:rStyle w:val="Hyperlink"/>
          <w:szCs w:val="20"/>
        </w:rPr>
        <w:t>21-</w:t>
      </w:r>
      <w:r w:rsidRPr="00FC2AAD">
        <w:rPr>
          <w:rStyle w:val="Hyperlink"/>
          <w:szCs w:val="20"/>
          <w:lang w:val="fr-FR"/>
        </w:rPr>
        <w:t>CL</w:t>
      </w:r>
      <w:r w:rsidRPr="008C0156">
        <w:rPr>
          <w:rStyle w:val="Hyperlink"/>
          <w:szCs w:val="20"/>
        </w:rPr>
        <w:t>-</w:t>
      </w:r>
      <w:r w:rsidRPr="00FC2AAD">
        <w:rPr>
          <w:rStyle w:val="Hyperlink"/>
          <w:szCs w:val="20"/>
          <w:lang w:val="fr-FR"/>
        </w:rPr>
        <w:t>C</w:t>
      </w:r>
      <w:r w:rsidRPr="008C0156">
        <w:rPr>
          <w:rStyle w:val="Hyperlink"/>
          <w:szCs w:val="20"/>
        </w:rPr>
        <w:t>-0034/</w:t>
      </w:r>
      <w:r w:rsidRPr="00FC2AAD">
        <w:rPr>
          <w:rStyle w:val="Hyperlink"/>
          <w:szCs w:val="20"/>
          <w:lang w:val="fr-FR"/>
        </w:rPr>
        <w:t>en</w:t>
      </w:r>
      <w:bookmarkEnd w:id="32"/>
      <w:r w:rsidRPr="00FC2AAD">
        <w:rPr>
          <w:rStyle w:val="Hyperlink"/>
          <w:szCs w:val="20"/>
        </w:rPr>
        <w:fldChar w:fldCharType="end"/>
      </w:r>
      <w:r w:rsidRPr="008C0156">
        <w:rPr>
          <w:szCs w:val="20"/>
        </w:rPr>
        <w:t>.</w:t>
      </w:r>
    </w:p>
  </w:footnote>
  <w:footnote w:id="7">
    <w:p w14:paraId="2AA3FED0" w14:textId="6034BDDA" w:rsidR="00734508" w:rsidRPr="008C0156" w:rsidRDefault="00734508" w:rsidP="00734508">
      <w:pPr>
        <w:pStyle w:val="FootnoteText"/>
        <w:spacing w:before="0"/>
        <w:ind w:left="0" w:firstLine="0"/>
        <w:rPr>
          <w:rFonts w:cstheme="minorHAnsi"/>
        </w:rPr>
      </w:pPr>
      <w:r w:rsidRPr="00E012E7">
        <w:rPr>
          <w:rStyle w:val="FootnoteReference"/>
        </w:rPr>
        <w:footnoteRef/>
      </w:r>
      <w:bookmarkStart w:id="33" w:name="lt_pId191"/>
      <w:r w:rsidRPr="008C0156">
        <w:rPr>
          <w:rFonts w:cstheme="minorHAnsi"/>
        </w:rPr>
        <w:tab/>
      </w:r>
      <w:r w:rsidR="00C14378">
        <w:rPr>
          <w:rFonts w:cstheme="minorHAnsi"/>
        </w:rPr>
        <w:t>К р</w:t>
      </w:r>
      <w:r w:rsidR="005B2338" w:rsidRPr="008C0156">
        <w:rPr>
          <w:rFonts w:cstheme="minorHAnsi"/>
        </w:rPr>
        <w:t>есурс</w:t>
      </w:r>
      <w:r w:rsidR="00C14378">
        <w:rPr>
          <w:rFonts w:cstheme="minorHAnsi"/>
        </w:rPr>
        <w:t>ам</w:t>
      </w:r>
      <w:r w:rsidR="005B2338" w:rsidRPr="008C0156">
        <w:rPr>
          <w:rFonts w:cstheme="minorHAnsi"/>
        </w:rPr>
        <w:t xml:space="preserve"> </w:t>
      </w:r>
      <w:r w:rsidR="005B2338">
        <w:rPr>
          <w:rFonts w:cstheme="minorHAnsi"/>
        </w:rPr>
        <w:t>ОП</w:t>
      </w:r>
      <w:r w:rsidR="005B2338" w:rsidRPr="008C0156">
        <w:rPr>
          <w:rFonts w:cstheme="minorHAnsi"/>
        </w:rPr>
        <w:t xml:space="preserve"> </w:t>
      </w:r>
      <w:r w:rsidR="00C14378">
        <w:rPr>
          <w:rFonts w:cstheme="minorHAnsi"/>
        </w:rPr>
        <w:t xml:space="preserve">относятся </w:t>
      </w:r>
      <w:r w:rsidR="005B2338" w:rsidRPr="008C0156">
        <w:rPr>
          <w:rFonts w:cstheme="minorHAnsi"/>
        </w:rPr>
        <w:t xml:space="preserve">средства, </w:t>
      </w:r>
      <w:r w:rsidR="00A378B1">
        <w:rPr>
          <w:rFonts w:cstheme="minorHAnsi"/>
        </w:rPr>
        <w:t>вы</w:t>
      </w:r>
      <w:r w:rsidR="004B6ED3">
        <w:rPr>
          <w:rFonts w:cstheme="minorHAnsi"/>
        </w:rPr>
        <w:t>де</w:t>
      </w:r>
      <w:r w:rsidR="005B2338" w:rsidRPr="008C0156">
        <w:rPr>
          <w:rFonts w:cstheme="minorHAnsi"/>
        </w:rPr>
        <w:t xml:space="preserve">ленные Советом </w:t>
      </w:r>
      <w:r w:rsidR="008E0879">
        <w:rPr>
          <w:rFonts w:cstheme="minorHAnsi"/>
        </w:rPr>
        <w:t>на</w:t>
      </w:r>
      <w:r w:rsidR="005B2338" w:rsidRPr="008C0156">
        <w:rPr>
          <w:rFonts w:cstheme="minorHAnsi"/>
        </w:rPr>
        <w:t xml:space="preserve"> реализаци</w:t>
      </w:r>
      <w:r w:rsidR="008E0879">
        <w:rPr>
          <w:rFonts w:cstheme="minorHAnsi"/>
        </w:rPr>
        <w:t>ю</w:t>
      </w:r>
      <w:r w:rsidR="005B2338" w:rsidRPr="008C0156">
        <w:rPr>
          <w:rFonts w:cstheme="minorHAnsi"/>
        </w:rPr>
        <w:t xml:space="preserve"> региональных инициатив</w:t>
      </w:r>
      <w:r w:rsidR="009A130A">
        <w:rPr>
          <w:rFonts w:cstheme="minorHAnsi"/>
        </w:rPr>
        <w:t xml:space="preserve"> </w:t>
      </w:r>
      <w:r w:rsidR="005B2338" w:rsidRPr="008C0156">
        <w:rPr>
          <w:rFonts w:cstheme="minorHAnsi"/>
        </w:rPr>
        <w:t>ВКРЭ-17.</w:t>
      </w:r>
      <w:bookmarkEnd w:id="3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08FB" w14:textId="77777777" w:rsidR="00653D43" w:rsidRDefault="00653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35D23EB4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2327C1">
      <w:rPr>
        <w:lang w:val="en-US"/>
      </w:rPr>
      <w:t>11</w:t>
    </w:r>
    <w:r w:rsidR="00E435F4">
      <w:t>(</w:t>
    </w:r>
    <w:r w:rsidR="00E435F4">
      <w:rPr>
        <w:lang w:val="en-US"/>
      </w:rPr>
      <w:t>Rev.1</w:t>
    </w:r>
    <w:r w:rsidR="00E435F4">
      <w:t>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96C8F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3588" w14:textId="77777777" w:rsidR="00653D43" w:rsidRDefault="00653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658A7"/>
    <w:multiLevelType w:val="hybridMultilevel"/>
    <w:tmpl w:val="A652166A"/>
    <w:lvl w:ilvl="0" w:tplc="8EDAD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16C7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02B0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247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E047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F890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C2A5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C1F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2CA7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5170E"/>
    <w:multiLevelType w:val="hybridMultilevel"/>
    <w:tmpl w:val="8912EAFA"/>
    <w:lvl w:ilvl="0" w:tplc="362E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E9BEA" w:tentative="1">
      <w:start w:val="1"/>
      <w:numFmt w:val="lowerLetter"/>
      <w:lvlText w:val="%2."/>
      <w:lvlJc w:val="left"/>
      <w:pPr>
        <w:ind w:left="1440" w:hanging="360"/>
      </w:pPr>
    </w:lvl>
    <w:lvl w:ilvl="2" w:tplc="D9901AEE" w:tentative="1">
      <w:start w:val="1"/>
      <w:numFmt w:val="lowerRoman"/>
      <w:lvlText w:val="%3."/>
      <w:lvlJc w:val="right"/>
      <w:pPr>
        <w:ind w:left="2160" w:hanging="180"/>
      </w:pPr>
    </w:lvl>
    <w:lvl w:ilvl="3" w:tplc="764A6A28" w:tentative="1">
      <w:start w:val="1"/>
      <w:numFmt w:val="decimal"/>
      <w:lvlText w:val="%4."/>
      <w:lvlJc w:val="left"/>
      <w:pPr>
        <w:ind w:left="2880" w:hanging="360"/>
      </w:pPr>
    </w:lvl>
    <w:lvl w:ilvl="4" w:tplc="ED7E85B0" w:tentative="1">
      <w:start w:val="1"/>
      <w:numFmt w:val="lowerLetter"/>
      <w:lvlText w:val="%5."/>
      <w:lvlJc w:val="left"/>
      <w:pPr>
        <w:ind w:left="3600" w:hanging="360"/>
      </w:pPr>
    </w:lvl>
    <w:lvl w:ilvl="5" w:tplc="34F85D7A" w:tentative="1">
      <w:start w:val="1"/>
      <w:numFmt w:val="lowerRoman"/>
      <w:lvlText w:val="%6."/>
      <w:lvlJc w:val="right"/>
      <w:pPr>
        <w:ind w:left="4320" w:hanging="180"/>
      </w:pPr>
    </w:lvl>
    <w:lvl w:ilvl="6" w:tplc="A69C2048" w:tentative="1">
      <w:start w:val="1"/>
      <w:numFmt w:val="decimal"/>
      <w:lvlText w:val="%7."/>
      <w:lvlJc w:val="left"/>
      <w:pPr>
        <w:ind w:left="5040" w:hanging="360"/>
      </w:pPr>
    </w:lvl>
    <w:lvl w:ilvl="7" w:tplc="C666CB02" w:tentative="1">
      <w:start w:val="1"/>
      <w:numFmt w:val="lowerLetter"/>
      <w:lvlText w:val="%8."/>
      <w:lvlJc w:val="left"/>
      <w:pPr>
        <w:ind w:left="5760" w:hanging="360"/>
      </w:pPr>
    </w:lvl>
    <w:lvl w:ilvl="8" w:tplc="C3A8A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57924"/>
    <w:multiLevelType w:val="hybridMultilevel"/>
    <w:tmpl w:val="B3CAB86E"/>
    <w:lvl w:ilvl="0" w:tplc="77264ED2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3460D07E" w:tentative="1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1B27F3C" w:tentative="1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8A0ED8D4" w:tentative="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E6DC2BAA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7D6055E0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DA4AD77A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E0746E74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EAA4185A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5140"/>
    <w:rsid w:val="00011795"/>
    <w:rsid w:val="00012519"/>
    <w:rsid w:val="00012747"/>
    <w:rsid w:val="0001286F"/>
    <w:rsid w:val="00013827"/>
    <w:rsid w:val="000150D6"/>
    <w:rsid w:val="00017F9C"/>
    <w:rsid w:val="00033716"/>
    <w:rsid w:val="00036179"/>
    <w:rsid w:val="00036372"/>
    <w:rsid w:val="00051838"/>
    <w:rsid w:val="00074939"/>
    <w:rsid w:val="000A79B4"/>
    <w:rsid w:val="000B017C"/>
    <w:rsid w:val="000C0C40"/>
    <w:rsid w:val="000D1831"/>
    <w:rsid w:val="000D6D44"/>
    <w:rsid w:val="000E258D"/>
    <w:rsid w:val="000E3611"/>
    <w:rsid w:val="000E3BE6"/>
    <w:rsid w:val="000E4EB1"/>
    <w:rsid w:val="00107E03"/>
    <w:rsid w:val="00111662"/>
    <w:rsid w:val="00124245"/>
    <w:rsid w:val="00134D3C"/>
    <w:rsid w:val="00135A2C"/>
    <w:rsid w:val="00141F35"/>
    <w:rsid w:val="00145A7B"/>
    <w:rsid w:val="00147EF2"/>
    <w:rsid w:val="001530FB"/>
    <w:rsid w:val="00156BD7"/>
    <w:rsid w:val="00161F59"/>
    <w:rsid w:val="001645A7"/>
    <w:rsid w:val="00173798"/>
    <w:rsid w:val="00177DAB"/>
    <w:rsid w:val="00191479"/>
    <w:rsid w:val="00197305"/>
    <w:rsid w:val="001B1763"/>
    <w:rsid w:val="001C2237"/>
    <w:rsid w:val="001C6DD3"/>
    <w:rsid w:val="001E3E78"/>
    <w:rsid w:val="00201ABD"/>
    <w:rsid w:val="00202D0A"/>
    <w:rsid w:val="00206706"/>
    <w:rsid w:val="0020696E"/>
    <w:rsid w:val="002218B7"/>
    <w:rsid w:val="002219FC"/>
    <w:rsid w:val="00222DFB"/>
    <w:rsid w:val="0022359E"/>
    <w:rsid w:val="002236F8"/>
    <w:rsid w:val="002327C1"/>
    <w:rsid w:val="00233B04"/>
    <w:rsid w:val="0023542C"/>
    <w:rsid w:val="00235893"/>
    <w:rsid w:val="002363C5"/>
    <w:rsid w:val="00241B13"/>
    <w:rsid w:val="002502FE"/>
    <w:rsid w:val="00257C2C"/>
    <w:rsid w:val="00262648"/>
    <w:rsid w:val="00265C60"/>
    <w:rsid w:val="00267FCE"/>
    <w:rsid w:val="00270876"/>
    <w:rsid w:val="002717CC"/>
    <w:rsid w:val="00274AC4"/>
    <w:rsid w:val="002931FA"/>
    <w:rsid w:val="002B2F4B"/>
    <w:rsid w:val="002B7F27"/>
    <w:rsid w:val="002C016E"/>
    <w:rsid w:val="002E7320"/>
    <w:rsid w:val="002F6BA5"/>
    <w:rsid w:val="002F6E78"/>
    <w:rsid w:val="00316454"/>
    <w:rsid w:val="003173A2"/>
    <w:rsid w:val="0033210A"/>
    <w:rsid w:val="0035181F"/>
    <w:rsid w:val="0035445C"/>
    <w:rsid w:val="003603ED"/>
    <w:rsid w:val="00360ECD"/>
    <w:rsid w:val="0036228E"/>
    <w:rsid w:val="00366978"/>
    <w:rsid w:val="0037559C"/>
    <w:rsid w:val="00382710"/>
    <w:rsid w:val="003935B8"/>
    <w:rsid w:val="00393BC8"/>
    <w:rsid w:val="003A294B"/>
    <w:rsid w:val="003B1B71"/>
    <w:rsid w:val="003B7358"/>
    <w:rsid w:val="003C6E83"/>
    <w:rsid w:val="003D2108"/>
    <w:rsid w:val="003E35B5"/>
    <w:rsid w:val="003E6E87"/>
    <w:rsid w:val="003F774C"/>
    <w:rsid w:val="0040328D"/>
    <w:rsid w:val="00404B52"/>
    <w:rsid w:val="00405AC0"/>
    <w:rsid w:val="00406873"/>
    <w:rsid w:val="004143D5"/>
    <w:rsid w:val="0041542C"/>
    <w:rsid w:val="00416127"/>
    <w:rsid w:val="004203AC"/>
    <w:rsid w:val="0042198C"/>
    <w:rsid w:val="00422053"/>
    <w:rsid w:val="00432CEF"/>
    <w:rsid w:val="00436B9D"/>
    <w:rsid w:val="004556AF"/>
    <w:rsid w:val="00462E27"/>
    <w:rsid w:val="00470D0C"/>
    <w:rsid w:val="004713B8"/>
    <w:rsid w:val="004734A5"/>
    <w:rsid w:val="00487324"/>
    <w:rsid w:val="00492670"/>
    <w:rsid w:val="00494F87"/>
    <w:rsid w:val="00497897"/>
    <w:rsid w:val="004A49E0"/>
    <w:rsid w:val="004B64A9"/>
    <w:rsid w:val="004B6B23"/>
    <w:rsid w:val="004B6ED3"/>
    <w:rsid w:val="004C2837"/>
    <w:rsid w:val="004D057A"/>
    <w:rsid w:val="004D0E96"/>
    <w:rsid w:val="004E1F1A"/>
    <w:rsid w:val="004E34A2"/>
    <w:rsid w:val="004E4490"/>
    <w:rsid w:val="004E5634"/>
    <w:rsid w:val="004F4760"/>
    <w:rsid w:val="004F5B62"/>
    <w:rsid w:val="00504B7B"/>
    <w:rsid w:val="005213B9"/>
    <w:rsid w:val="00533A65"/>
    <w:rsid w:val="00540584"/>
    <w:rsid w:val="0054564A"/>
    <w:rsid w:val="00572C73"/>
    <w:rsid w:val="005773D4"/>
    <w:rsid w:val="00581038"/>
    <w:rsid w:val="005822A0"/>
    <w:rsid w:val="00585490"/>
    <w:rsid w:val="00596C8F"/>
    <w:rsid w:val="005A5B85"/>
    <w:rsid w:val="005A6FC0"/>
    <w:rsid w:val="005B2338"/>
    <w:rsid w:val="005B42AE"/>
    <w:rsid w:val="005B509C"/>
    <w:rsid w:val="005C0551"/>
    <w:rsid w:val="005C6CBC"/>
    <w:rsid w:val="005D0FAC"/>
    <w:rsid w:val="005D2C00"/>
    <w:rsid w:val="005D4DF3"/>
    <w:rsid w:val="005D6693"/>
    <w:rsid w:val="005D702A"/>
    <w:rsid w:val="005E006A"/>
    <w:rsid w:val="005E45D4"/>
    <w:rsid w:val="005E5203"/>
    <w:rsid w:val="0061628C"/>
    <w:rsid w:val="006305E0"/>
    <w:rsid w:val="00631202"/>
    <w:rsid w:val="00632106"/>
    <w:rsid w:val="00653D43"/>
    <w:rsid w:val="00655923"/>
    <w:rsid w:val="00661A55"/>
    <w:rsid w:val="00666784"/>
    <w:rsid w:val="006855A5"/>
    <w:rsid w:val="00687BEE"/>
    <w:rsid w:val="0069199C"/>
    <w:rsid w:val="006920D5"/>
    <w:rsid w:val="00694764"/>
    <w:rsid w:val="00695C8E"/>
    <w:rsid w:val="006A5F63"/>
    <w:rsid w:val="006B68D1"/>
    <w:rsid w:val="006C475F"/>
    <w:rsid w:val="006C5626"/>
    <w:rsid w:val="006D2CF7"/>
    <w:rsid w:val="006D3D75"/>
    <w:rsid w:val="006D47E8"/>
    <w:rsid w:val="006D7DD0"/>
    <w:rsid w:val="006F2CAA"/>
    <w:rsid w:val="006F5E91"/>
    <w:rsid w:val="006F79A7"/>
    <w:rsid w:val="00701E31"/>
    <w:rsid w:val="00711658"/>
    <w:rsid w:val="00734508"/>
    <w:rsid w:val="00742734"/>
    <w:rsid w:val="007427BF"/>
    <w:rsid w:val="00754EED"/>
    <w:rsid w:val="007574C7"/>
    <w:rsid w:val="00757AF9"/>
    <w:rsid w:val="007802BC"/>
    <w:rsid w:val="007831D9"/>
    <w:rsid w:val="0078696B"/>
    <w:rsid w:val="00790C80"/>
    <w:rsid w:val="00795CBE"/>
    <w:rsid w:val="00796F25"/>
    <w:rsid w:val="007A2F77"/>
    <w:rsid w:val="007A39C6"/>
    <w:rsid w:val="007B11A4"/>
    <w:rsid w:val="007C2602"/>
    <w:rsid w:val="007C26F5"/>
    <w:rsid w:val="007D0E5D"/>
    <w:rsid w:val="007E3261"/>
    <w:rsid w:val="007E3B29"/>
    <w:rsid w:val="007E4315"/>
    <w:rsid w:val="007E5FBB"/>
    <w:rsid w:val="007E6B3A"/>
    <w:rsid w:val="007F63DE"/>
    <w:rsid w:val="008044C4"/>
    <w:rsid w:val="008112E9"/>
    <w:rsid w:val="00811A98"/>
    <w:rsid w:val="00813CA1"/>
    <w:rsid w:val="00820205"/>
    <w:rsid w:val="008242AB"/>
    <w:rsid w:val="008376C6"/>
    <w:rsid w:val="00841EEA"/>
    <w:rsid w:val="00842AD5"/>
    <w:rsid w:val="008439B4"/>
    <w:rsid w:val="008459E3"/>
    <w:rsid w:val="00857F3B"/>
    <w:rsid w:val="00873AAB"/>
    <w:rsid w:val="00873E3F"/>
    <w:rsid w:val="00875722"/>
    <w:rsid w:val="0088203C"/>
    <w:rsid w:val="00884ACC"/>
    <w:rsid w:val="00887EC1"/>
    <w:rsid w:val="008A0183"/>
    <w:rsid w:val="008A1511"/>
    <w:rsid w:val="008A6D81"/>
    <w:rsid w:val="008B499D"/>
    <w:rsid w:val="008C0156"/>
    <w:rsid w:val="008C576E"/>
    <w:rsid w:val="008D4DAB"/>
    <w:rsid w:val="008E0879"/>
    <w:rsid w:val="008E2F7A"/>
    <w:rsid w:val="008E30C1"/>
    <w:rsid w:val="008F015F"/>
    <w:rsid w:val="00900177"/>
    <w:rsid w:val="00904BDF"/>
    <w:rsid w:val="00910A6F"/>
    <w:rsid w:val="009129A8"/>
    <w:rsid w:val="009135B4"/>
    <w:rsid w:val="00916B10"/>
    <w:rsid w:val="009272D1"/>
    <w:rsid w:val="00933E0E"/>
    <w:rsid w:val="00945454"/>
    <w:rsid w:val="00962A82"/>
    <w:rsid w:val="00965DE3"/>
    <w:rsid w:val="00966C63"/>
    <w:rsid w:val="00995E65"/>
    <w:rsid w:val="009A130A"/>
    <w:rsid w:val="009A3FB8"/>
    <w:rsid w:val="009C3522"/>
    <w:rsid w:val="009C5B8E"/>
    <w:rsid w:val="009E2948"/>
    <w:rsid w:val="009F2F9D"/>
    <w:rsid w:val="009F542D"/>
    <w:rsid w:val="00A10AF8"/>
    <w:rsid w:val="00A223CB"/>
    <w:rsid w:val="00A2746E"/>
    <w:rsid w:val="00A30897"/>
    <w:rsid w:val="00A378B1"/>
    <w:rsid w:val="00A42A11"/>
    <w:rsid w:val="00A44602"/>
    <w:rsid w:val="00A45E9A"/>
    <w:rsid w:val="00A5187C"/>
    <w:rsid w:val="00A55989"/>
    <w:rsid w:val="00A64F9D"/>
    <w:rsid w:val="00A73D91"/>
    <w:rsid w:val="00A7608F"/>
    <w:rsid w:val="00A777D7"/>
    <w:rsid w:val="00A80ACE"/>
    <w:rsid w:val="00A81251"/>
    <w:rsid w:val="00A87FB8"/>
    <w:rsid w:val="00A92C77"/>
    <w:rsid w:val="00A94F1E"/>
    <w:rsid w:val="00AA1621"/>
    <w:rsid w:val="00AA42F8"/>
    <w:rsid w:val="00AB23E1"/>
    <w:rsid w:val="00AB4337"/>
    <w:rsid w:val="00AB6A27"/>
    <w:rsid w:val="00AB71AA"/>
    <w:rsid w:val="00AC2E0E"/>
    <w:rsid w:val="00AC452C"/>
    <w:rsid w:val="00AC6023"/>
    <w:rsid w:val="00AC6967"/>
    <w:rsid w:val="00AD1B03"/>
    <w:rsid w:val="00AD42DF"/>
    <w:rsid w:val="00AE0BB7"/>
    <w:rsid w:val="00AE1BA7"/>
    <w:rsid w:val="00AF16CD"/>
    <w:rsid w:val="00AF1767"/>
    <w:rsid w:val="00B10070"/>
    <w:rsid w:val="00B1534E"/>
    <w:rsid w:val="00B222FE"/>
    <w:rsid w:val="00B24169"/>
    <w:rsid w:val="00B31AD3"/>
    <w:rsid w:val="00B33665"/>
    <w:rsid w:val="00B3451C"/>
    <w:rsid w:val="00B44C34"/>
    <w:rsid w:val="00B472AA"/>
    <w:rsid w:val="00B4754E"/>
    <w:rsid w:val="00B505E7"/>
    <w:rsid w:val="00B51A92"/>
    <w:rsid w:val="00B52E6E"/>
    <w:rsid w:val="00B56927"/>
    <w:rsid w:val="00B61F79"/>
    <w:rsid w:val="00B726C0"/>
    <w:rsid w:val="00B74ADF"/>
    <w:rsid w:val="00B75868"/>
    <w:rsid w:val="00B836AB"/>
    <w:rsid w:val="00B863BC"/>
    <w:rsid w:val="00B86C5B"/>
    <w:rsid w:val="00B86DFA"/>
    <w:rsid w:val="00B90372"/>
    <w:rsid w:val="00B9410B"/>
    <w:rsid w:val="00B95EC4"/>
    <w:rsid w:val="00B961EF"/>
    <w:rsid w:val="00BA1E87"/>
    <w:rsid w:val="00BB67B0"/>
    <w:rsid w:val="00BC7A10"/>
    <w:rsid w:val="00BD2C91"/>
    <w:rsid w:val="00BD4F55"/>
    <w:rsid w:val="00BD7A1A"/>
    <w:rsid w:val="00BE3445"/>
    <w:rsid w:val="00BE51AD"/>
    <w:rsid w:val="00BF0E44"/>
    <w:rsid w:val="00C03578"/>
    <w:rsid w:val="00C13EAE"/>
    <w:rsid w:val="00C14378"/>
    <w:rsid w:val="00C14BCA"/>
    <w:rsid w:val="00C15500"/>
    <w:rsid w:val="00C21FA1"/>
    <w:rsid w:val="00C22EBC"/>
    <w:rsid w:val="00C3333A"/>
    <w:rsid w:val="00C33388"/>
    <w:rsid w:val="00C36C30"/>
    <w:rsid w:val="00C433BF"/>
    <w:rsid w:val="00C465A9"/>
    <w:rsid w:val="00C46F63"/>
    <w:rsid w:val="00C47377"/>
    <w:rsid w:val="00C502D1"/>
    <w:rsid w:val="00C521E8"/>
    <w:rsid w:val="00C52910"/>
    <w:rsid w:val="00C62E82"/>
    <w:rsid w:val="00C6330C"/>
    <w:rsid w:val="00C70022"/>
    <w:rsid w:val="00C71A6F"/>
    <w:rsid w:val="00C74A54"/>
    <w:rsid w:val="00C84CCD"/>
    <w:rsid w:val="00C91A03"/>
    <w:rsid w:val="00CB0E5B"/>
    <w:rsid w:val="00CD1F3E"/>
    <w:rsid w:val="00CD34AE"/>
    <w:rsid w:val="00CD474B"/>
    <w:rsid w:val="00CE37A1"/>
    <w:rsid w:val="00CE5E7B"/>
    <w:rsid w:val="00CF5119"/>
    <w:rsid w:val="00D05B03"/>
    <w:rsid w:val="00D0696A"/>
    <w:rsid w:val="00D16175"/>
    <w:rsid w:val="00D5607A"/>
    <w:rsid w:val="00D63781"/>
    <w:rsid w:val="00D671EC"/>
    <w:rsid w:val="00D67AA2"/>
    <w:rsid w:val="00D70216"/>
    <w:rsid w:val="00D70526"/>
    <w:rsid w:val="00D712FE"/>
    <w:rsid w:val="00D75AA8"/>
    <w:rsid w:val="00D923CD"/>
    <w:rsid w:val="00D934F3"/>
    <w:rsid w:val="00D93FCC"/>
    <w:rsid w:val="00DA4610"/>
    <w:rsid w:val="00DA51E9"/>
    <w:rsid w:val="00DB1E36"/>
    <w:rsid w:val="00DB44CB"/>
    <w:rsid w:val="00DB4E81"/>
    <w:rsid w:val="00DC354B"/>
    <w:rsid w:val="00DD05EC"/>
    <w:rsid w:val="00DD1879"/>
    <w:rsid w:val="00DD19E1"/>
    <w:rsid w:val="00DD4E36"/>
    <w:rsid w:val="00DD5D8C"/>
    <w:rsid w:val="00E012E7"/>
    <w:rsid w:val="00E0251C"/>
    <w:rsid w:val="00E03174"/>
    <w:rsid w:val="00E051C4"/>
    <w:rsid w:val="00E06A7D"/>
    <w:rsid w:val="00E15358"/>
    <w:rsid w:val="00E17C9D"/>
    <w:rsid w:val="00E30170"/>
    <w:rsid w:val="00E3373D"/>
    <w:rsid w:val="00E435F4"/>
    <w:rsid w:val="00E46EBE"/>
    <w:rsid w:val="00E53204"/>
    <w:rsid w:val="00E54FD2"/>
    <w:rsid w:val="00E63EF2"/>
    <w:rsid w:val="00E71782"/>
    <w:rsid w:val="00E72082"/>
    <w:rsid w:val="00E77393"/>
    <w:rsid w:val="00E82D31"/>
    <w:rsid w:val="00E9550D"/>
    <w:rsid w:val="00EA1BFB"/>
    <w:rsid w:val="00EB08E9"/>
    <w:rsid w:val="00EB3CD2"/>
    <w:rsid w:val="00EB3FCE"/>
    <w:rsid w:val="00EB7C22"/>
    <w:rsid w:val="00EE153D"/>
    <w:rsid w:val="00EF4AEB"/>
    <w:rsid w:val="00F0236C"/>
    <w:rsid w:val="00F21EEE"/>
    <w:rsid w:val="00F22333"/>
    <w:rsid w:val="00F24D7B"/>
    <w:rsid w:val="00F31436"/>
    <w:rsid w:val="00F328FB"/>
    <w:rsid w:val="00F500D5"/>
    <w:rsid w:val="00F54331"/>
    <w:rsid w:val="00F578BE"/>
    <w:rsid w:val="00F57CE7"/>
    <w:rsid w:val="00F6324F"/>
    <w:rsid w:val="00F72A94"/>
    <w:rsid w:val="00F746B3"/>
    <w:rsid w:val="00F82E20"/>
    <w:rsid w:val="00F85EEE"/>
    <w:rsid w:val="00F90462"/>
    <w:rsid w:val="00F961B7"/>
    <w:rsid w:val="00FA11CD"/>
    <w:rsid w:val="00FA2BC3"/>
    <w:rsid w:val="00FA6BDB"/>
    <w:rsid w:val="00FC1008"/>
    <w:rsid w:val="00FC2AAD"/>
    <w:rsid w:val="00FC5ABC"/>
    <w:rsid w:val="00FD2752"/>
    <w:rsid w:val="00FE0B5E"/>
    <w:rsid w:val="00FE644D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E520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012E7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Ref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E5203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7C1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F6324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F6324F"/>
    <w:rPr>
      <w:rFonts w:eastAsia="Times New Roman" w:cs="Times New Roman"/>
      <w:sz w:val="24"/>
      <w:szCs w:val="20"/>
      <w:lang w:val="en-GB" w:eastAsia="en-US"/>
    </w:rPr>
  </w:style>
  <w:style w:type="paragraph" w:styleId="Revision">
    <w:name w:val="Revision"/>
    <w:hidden/>
    <w:uiPriority w:val="99"/>
    <w:semiHidden/>
    <w:rsid w:val="00AB23E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6E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Projects/Pages/Implementation-Review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8-INF-000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en/ITU-D/Projects/Pages/default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cademy.itu.int/main-activities/digital-transformation-centres-initiative" TargetMode="External"/><Relationship Id="rId2" Type="http://schemas.openxmlformats.org/officeDocument/2006/relationships/hyperlink" Target="https://gigaconnect.org/" TargetMode="External"/><Relationship Id="rId1" Type="http://schemas.openxmlformats.org/officeDocument/2006/relationships/hyperlink" Target="http://www.itu.int/en/ITU-D/Projects/" TargetMode="External"/><Relationship Id="rId4" Type="http://schemas.openxmlformats.org/officeDocument/2006/relationships/hyperlink" Target="https://www.itu.int/en/ITU-D/Pages/connect-2-recover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/PRJ%20database%20for%20TDAG21%20repor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/PRJ%20database%20for%20TDAG21%20repo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'Projects per year'!$B$2</c:f>
              <c:strCache>
                <c:ptCount val="1"/>
                <c:pt idx="0">
                  <c:v> Total (CHF)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'Projects per year'!$A$3:$A$13</c:f>
              <c:numCache>
                <c:formatCode>0_);\(0\)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'Projects per year'!$B$3:$B$13</c:f>
              <c:numCache>
                <c:formatCode>_(* #,##0.00_);_(* \(#,##0.00\);_(* "-"??_);_(@_)</c:formatCode>
                <c:ptCount val="11"/>
                <c:pt idx="0">
                  <c:v>7658673</c:v>
                </c:pt>
                <c:pt idx="1">
                  <c:v>8075257</c:v>
                </c:pt>
                <c:pt idx="2">
                  <c:v>10905274</c:v>
                </c:pt>
                <c:pt idx="3">
                  <c:v>9927803</c:v>
                </c:pt>
                <c:pt idx="4">
                  <c:v>7674402</c:v>
                </c:pt>
                <c:pt idx="5">
                  <c:v>5289174</c:v>
                </c:pt>
                <c:pt idx="6">
                  <c:v>2767939</c:v>
                </c:pt>
                <c:pt idx="7">
                  <c:v>9730134</c:v>
                </c:pt>
                <c:pt idx="8">
                  <c:v>10721579</c:v>
                </c:pt>
                <c:pt idx="9">
                  <c:v>13612980</c:v>
                </c:pt>
                <c:pt idx="10">
                  <c:v>14901477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E-4BD4-885F-A85BE7D95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506240"/>
        <c:axId val="315425040"/>
      </c:barChart>
      <c:catAx>
        <c:axId val="626506240"/>
        <c:scaling>
          <c:orientation val="minMax"/>
        </c:scaling>
        <c:delete val="0"/>
        <c:axPos val="b"/>
        <c:numFmt formatCode="0_);\(0\)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15425040"/>
        <c:crosses val="autoZero"/>
        <c:auto val="1"/>
        <c:lblAlgn val="ctr"/>
        <c:lblOffset val="100"/>
        <c:noMultiLvlLbl val="0"/>
      </c:catAx>
      <c:valAx>
        <c:axId val="31542504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50624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8.313415774706432E-3"/>
                <c:y val="0.2403512826438641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/>
                    <a:t>Миллионы</a:t>
                  </a:r>
                  <a:endParaRPr lang="en-GB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52-4099-92D8-55B8EA90FE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52-4099-92D8-55B8EA90FE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52-4099-92D8-55B8EA90FE43}"/>
              </c:ext>
            </c:extLst>
          </c:dPt>
          <c:dLbls>
            <c:dLbl>
              <c:idx val="0"/>
              <c:layout>
                <c:manualLayout>
                  <c:x val="5.273889821676702E-2"/>
                  <c:y val="-0.1224620678071349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52-4099-92D8-55B8EA90FE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Summary!$L$5:$L$7</c:f>
              <c:strCache>
                <c:ptCount val="3"/>
                <c:pt idx="0">
                  <c:v>FIT</c:v>
                </c:pt>
                <c:pt idx="1">
                  <c:v>ICTDF</c:v>
                </c:pt>
                <c:pt idx="2">
                  <c:v>OP</c:v>
                </c:pt>
              </c:strCache>
            </c:strRef>
          </c:cat>
          <c:val>
            <c:numRef>
              <c:f>Summary!$M$5:$M$7</c:f>
              <c:numCache>
                <c:formatCode>General</c:formatCode>
                <c:ptCount val="3"/>
                <c:pt idx="0">
                  <c:v>74527492</c:v>
                </c:pt>
                <c:pt idx="1">
                  <c:v>4526371</c:v>
                </c:pt>
                <c:pt idx="2">
                  <c:v>4100748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52-4099-92D8-55B8EA90F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0.46844</cdr:x>
      <cdr:y>0.86816</cdr:y>
    </cdr:from>
    <cdr:to>
      <cdr:x>0.61808</cdr:x>
      <cdr:y>0.98391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862469" y="2385392"/>
          <a:ext cx="914400" cy="318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C5F-16EF-446D-B833-E29C3377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2093</Words>
  <Characters>11932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40</cp:revision>
  <cp:lastPrinted>2015-03-02T13:42:00Z</cp:lastPrinted>
  <dcterms:created xsi:type="dcterms:W3CDTF">2021-05-10T21:46:00Z</dcterms:created>
  <dcterms:modified xsi:type="dcterms:W3CDTF">2021-05-26T09:34:00Z</dcterms:modified>
</cp:coreProperties>
</file>