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4253"/>
        <w:gridCol w:w="1134"/>
        <w:gridCol w:w="2091"/>
      </w:tblGrid>
      <w:tr w:rsidR="00C85582" w:rsidRPr="004E7861" w14:paraId="4565BCC6" w14:textId="77777777" w:rsidTr="00C85582">
        <w:trPr>
          <w:cantSplit/>
          <w:trHeight w:val="1134"/>
        </w:trPr>
        <w:tc>
          <w:tcPr>
            <w:tcW w:w="2410" w:type="dxa"/>
            <w:tcBorders>
              <w:bottom w:val="single" w:sz="12" w:space="0" w:color="auto"/>
            </w:tcBorders>
          </w:tcPr>
          <w:p w14:paraId="3DF17C5B" w14:textId="77777777" w:rsidR="00C85582" w:rsidRDefault="00C85582" w:rsidP="00C85582">
            <w:pPr>
              <w:spacing w:after="120"/>
              <w:rPr>
                <w:b/>
                <w:bCs/>
                <w:sz w:val="32"/>
                <w:szCs w:val="32"/>
                <w:lang w:val="es-ES_tradnl"/>
              </w:rPr>
            </w:pPr>
            <w:r>
              <w:rPr>
                <w:noProof/>
              </w:rPr>
              <w:drawing>
                <wp:inline distT="0" distB="0" distL="0" distR="0" wp14:anchorId="00E43E2A" wp14:editId="4F318BC7">
                  <wp:extent cx="1219200" cy="103632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1421"/>
                          <a:stretch/>
                        </pic:blipFill>
                        <pic:spPr bwMode="auto">
                          <a:xfrm>
                            <a:off x="0" y="0"/>
                            <a:ext cx="1219200"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5387" w:type="dxa"/>
            <w:gridSpan w:val="2"/>
            <w:tcBorders>
              <w:bottom w:val="single" w:sz="12" w:space="0" w:color="auto"/>
            </w:tcBorders>
          </w:tcPr>
          <w:p w14:paraId="743C78EF" w14:textId="77777777" w:rsidR="00C85582" w:rsidRDefault="00C85582" w:rsidP="00C85582">
            <w:pPr>
              <w:spacing w:before="280" w:after="120"/>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14:paraId="4EF86CC6" w14:textId="77777777" w:rsidR="00C85582" w:rsidRPr="00560C51" w:rsidRDefault="00C85582" w:rsidP="00AA076A">
            <w:pPr>
              <w:spacing w:before="100" w:after="120"/>
              <w:rPr>
                <w:rFonts w:ascii="Verdana" w:hAnsi="Verdana"/>
                <w:sz w:val="28"/>
                <w:szCs w:val="28"/>
                <w:lang w:val="es-ES_tradnl"/>
              </w:rPr>
            </w:pPr>
            <w:r w:rsidRPr="00656B29">
              <w:rPr>
                <w:b/>
                <w:bCs/>
                <w:sz w:val="26"/>
                <w:szCs w:val="26"/>
                <w:lang w:val="es-ES_tradnl"/>
              </w:rPr>
              <w:t>2</w:t>
            </w:r>
            <w:r>
              <w:rPr>
                <w:b/>
                <w:bCs/>
                <w:sz w:val="26"/>
                <w:szCs w:val="26"/>
                <w:lang w:val="es-ES_tradnl"/>
              </w:rPr>
              <w:t>8</w:t>
            </w:r>
            <w:r w:rsidRPr="00656B29">
              <w:rPr>
                <w:b/>
                <w:bCs/>
                <w:sz w:val="26"/>
                <w:szCs w:val="26"/>
                <w:lang w:val="es-ES_tradnl"/>
              </w:rPr>
              <w:t xml:space="preserve">ª reunión, </w:t>
            </w:r>
            <w:r>
              <w:rPr>
                <w:b/>
                <w:bCs/>
                <w:sz w:val="26"/>
                <w:szCs w:val="26"/>
                <w:lang w:val="es-ES_tradnl"/>
              </w:rPr>
              <w:t>Virtual</w:t>
            </w:r>
            <w:r w:rsidRPr="00656B29">
              <w:rPr>
                <w:b/>
                <w:bCs/>
                <w:sz w:val="26"/>
                <w:szCs w:val="26"/>
                <w:lang w:val="es-ES_tradnl"/>
              </w:rPr>
              <w:t xml:space="preserve">, </w:t>
            </w:r>
            <w:r>
              <w:rPr>
                <w:b/>
                <w:bCs/>
                <w:sz w:val="26"/>
                <w:szCs w:val="26"/>
                <w:lang w:val="es-ES_tradnl"/>
              </w:rPr>
              <w:t>2</w:t>
            </w:r>
            <w:r w:rsidR="00603CC6">
              <w:rPr>
                <w:b/>
                <w:bCs/>
                <w:sz w:val="26"/>
                <w:szCs w:val="26"/>
                <w:lang w:val="es-ES_tradnl"/>
              </w:rPr>
              <w:t>4</w:t>
            </w:r>
            <w:r w:rsidRPr="00656B29">
              <w:rPr>
                <w:b/>
                <w:bCs/>
                <w:sz w:val="26"/>
                <w:szCs w:val="26"/>
                <w:lang w:val="es-ES_tradnl"/>
              </w:rPr>
              <w:t>-</w:t>
            </w:r>
            <w:r>
              <w:rPr>
                <w:b/>
                <w:bCs/>
                <w:sz w:val="26"/>
                <w:szCs w:val="26"/>
                <w:lang w:val="es-ES_tradnl"/>
              </w:rPr>
              <w:t>28 de mayo de 2021</w:t>
            </w:r>
          </w:p>
        </w:tc>
        <w:tc>
          <w:tcPr>
            <w:tcW w:w="2091" w:type="dxa"/>
            <w:tcBorders>
              <w:bottom w:val="single" w:sz="12" w:space="0" w:color="auto"/>
            </w:tcBorders>
          </w:tcPr>
          <w:p w14:paraId="2B71BCD3" w14:textId="77777777" w:rsidR="00C85582" w:rsidRPr="00560C51" w:rsidRDefault="00C85582" w:rsidP="004E7861">
            <w:pPr>
              <w:spacing w:before="40" w:after="80"/>
              <w:ind w:right="142"/>
              <w:jc w:val="right"/>
              <w:rPr>
                <w:lang w:val="es-ES_tradnl"/>
              </w:rPr>
            </w:pPr>
            <w:r w:rsidRPr="008E52B1">
              <w:rPr>
                <w:noProof/>
                <w:color w:val="3399FF"/>
                <w:lang w:val="en-GB" w:eastAsia="en-GB"/>
              </w:rPr>
              <w:drawing>
                <wp:inline distT="0" distB="0" distL="0" distR="0" wp14:anchorId="3ACC25D0" wp14:editId="44D37DA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E7861" w14:paraId="3AD23D54" w14:textId="77777777" w:rsidTr="004B7893">
        <w:trPr>
          <w:cantSplit/>
        </w:trPr>
        <w:tc>
          <w:tcPr>
            <w:tcW w:w="6663" w:type="dxa"/>
            <w:gridSpan w:val="2"/>
            <w:tcBorders>
              <w:top w:val="single" w:sz="12" w:space="0" w:color="auto"/>
            </w:tcBorders>
          </w:tcPr>
          <w:p w14:paraId="6B07D4C3" w14:textId="77777777" w:rsidR="004B7893" w:rsidRPr="00560C51" w:rsidRDefault="004B7893" w:rsidP="004B7893">
            <w:pPr>
              <w:spacing w:before="0"/>
              <w:rPr>
                <w:rFonts w:cs="Arial"/>
                <w:b/>
                <w:bCs/>
                <w:sz w:val="20"/>
                <w:lang w:val="es-ES_tradnl"/>
              </w:rPr>
            </w:pPr>
          </w:p>
        </w:tc>
        <w:tc>
          <w:tcPr>
            <w:tcW w:w="3225" w:type="dxa"/>
            <w:gridSpan w:val="2"/>
            <w:tcBorders>
              <w:top w:val="single" w:sz="12" w:space="0" w:color="auto"/>
            </w:tcBorders>
          </w:tcPr>
          <w:p w14:paraId="267A3F11" w14:textId="77777777" w:rsidR="004B7893" w:rsidRPr="00560C51" w:rsidRDefault="004B7893" w:rsidP="004B7893">
            <w:pPr>
              <w:spacing w:before="0"/>
              <w:rPr>
                <w:b/>
                <w:bCs/>
                <w:sz w:val="20"/>
                <w:lang w:val="es-ES_tradnl"/>
              </w:rPr>
            </w:pPr>
          </w:p>
        </w:tc>
      </w:tr>
      <w:tr w:rsidR="004B7893" w:rsidRPr="00560C51" w14:paraId="211EE90D" w14:textId="77777777" w:rsidTr="004B7893">
        <w:trPr>
          <w:cantSplit/>
        </w:trPr>
        <w:tc>
          <w:tcPr>
            <w:tcW w:w="6663" w:type="dxa"/>
            <w:gridSpan w:val="2"/>
          </w:tcPr>
          <w:p w14:paraId="2E87844D" w14:textId="77777777" w:rsidR="004B7893" w:rsidRPr="00560C51" w:rsidRDefault="004B7893" w:rsidP="004B7893">
            <w:pPr>
              <w:pStyle w:val="Committee"/>
              <w:spacing w:before="0"/>
              <w:rPr>
                <w:b w:val="0"/>
                <w:lang w:val="es-ES_tradnl"/>
              </w:rPr>
            </w:pPr>
          </w:p>
        </w:tc>
        <w:tc>
          <w:tcPr>
            <w:tcW w:w="3225" w:type="dxa"/>
            <w:gridSpan w:val="2"/>
          </w:tcPr>
          <w:p w14:paraId="1FEB4E13" w14:textId="519FB554" w:rsidR="004B7893" w:rsidRPr="00560C51" w:rsidRDefault="005637B9" w:rsidP="00AA076A">
            <w:pPr>
              <w:spacing w:before="0"/>
              <w:rPr>
                <w:bCs/>
                <w:lang w:val="es-ES_tradnl"/>
              </w:rPr>
            </w:pPr>
            <w:r w:rsidRPr="00560C51">
              <w:rPr>
                <w:b/>
                <w:bCs/>
                <w:lang w:val="es-ES_tradnl"/>
              </w:rPr>
              <w:t xml:space="preserve">Documento </w:t>
            </w:r>
            <w:bookmarkStart w:id="0" w:name="DocRef1"/>
            <w:bookmarkEnd w:id="0"/>
            <w:r>
              <w:rPr>
                <w:b/>
                <w:bCs/>
                <w:lang w:val="es-ES_tradnl"/>
              </w:rPr>
              <w:t>TDAG</w:t>
            </w:r>
            <w:r w:rsidR="00602B27">
              <w:rPr>
                <w:b/>
                <w:bCs/>
                <w:lang w:val="es-ES_tradnl"/>
              </w:rPr>
              <w:t>-</w:t>
            </w:r>
            <w:r w:rsidR="00AA076A">
              <w:rPr>
                <w:b/>
                <w:bCs/>
                <w:lang w:val="es-ES_tradnl"/>
              </w:rPr>
              <w:t>2</w:t>
            </w:r>
            <w:r w:rsidR="00C85582">
              <w:rPr>
                <w:b/>
                <w:bCs/>
                <w:lang w:val="es-ES_tradnl"/>
              </w:rPr>
              <w:t>1</w:t>
            </w:r>
            <w:r w:rsidRPr="00560C51">
              <w:rPr>
                <w:b/>
                <w:bCs/>
                <w:lang w:val="es-ES_tradnl"/>
              </w:rPr>
              <w:t>/</w:t>
            </w:r>
            <w:bookmarkStart w:id="1" w:name="DocNo1"/>
            <w:bookmarkEnd w:id="1"/>
            <w:r w:rsidR="00D4106A">
              <w:rPr>
                <w:b/>
                <w:bCs/>
                <w:lang w:val="es-ES_tradnl"/>
              </w:rPr>
              <w:t>11</w:t>
            </w:r>
            <w:r>
              <w:rPr>
                <w:b/>
                <w:bCs/>
                <w:lang w:val="es-ES_tradnl"/>
              </w:rPr>
              <w:t>-S</w:t>
            </w:r>
          </w:p>
        </w:tc>
      </w:tr>
      <w:tr w:rsidR="004B7893" w:rsidRPr="00560C51" w14:paraId="641E518A" w14:textId="77777777" w:rsidTr="004B7893">
        <w:trPr>
          <w:cantSplit/>
        </w:trPr>
        <w:tc>
          <w:tcPr>
            <w:tcW w:w="6663" w:type="dxa"/>
            <w:gridSpan w:val="2"/>
          </w:tcPr>
          <w:p w14:paraId="39DF4967" w14:textId="77777777" w:rsidR="004B7893" w:rsidRPr="00560C51" w:rsidRDefault="004B7893" w:rsidP="004B7893">
            <w:pPr>
              <w:spacing w:before="0"/>
              <w:rPr>
                <w:b/>
                <w:bCs/>
                <w:smallCaps/>
                <w:lang w:val="es-ES_tradnl"/>
              </w:rPr>
            </w:pPr>
          </w:p>
        </w:tc>
        <w:tc>
          <w:tcPr>
            <w:tcW w:w="3225" w:type="dxa"/>
            <w:gridSpan w:val="2"/>
          </w:tcPr>
          <w:p w14:paraId="460FB84E" w14:textId="387CBF81" w:rsidR="004B7893" w:rsidRPr="001900E7" w:rsidRDefault="00D4106A" w:rsidP="00AA076A">
            <w:pPr>
              <w:spacing w:before="0"/>
              <w:rPr>
                <w:b/>
                <w:lang w:val="es-ES"/>
              </w:rPr>
            </w:pPr>
            <w:bookmarkStart w:id="2" w:name="CreationDate"/>
            <w:bookmarkEnd w:id="2"/>
            <w:r w:rsidRPr="001900E7">
              <w:rPr>
                <w:b/>
                <w:bCs/>
                <w:szCs w:val="28"/>
                <w:lang w:val="es-ES"/>
              </w:rPr>
              <w:t>13 de abril de 2021</w:t>
            </w:r>
          </w:p>
        </w:tc>
      </w:tr>
      <w:tr w:rsidR="004B7893" w:rsidRPr="00560C51" w14:paraId="3261C18A" w14:textId="77777777" w:rsidTr="004B7893">
        <w:trPr>
          <w:cantSplit/>
        </w:trPr>
        <w:tc>
          <w:tcPr>
            <w:tcW w:w="6663" w:type="dxa"/>
            <w:gridSpan w:val="2"/>
          </w:tcPr>
          <w:p w14:paraId="7A2B06BA" w14:textId="77777777" w:rsidR="004B7893" w:rsidRPr="00560C51" w:rsidRDefault="004B7893" w:rsidP="004B7893">
            <w:pPr>
              <w:spacing w:before="0"/>
              <w:rPr>
                <w:b/>
                <w:bCs/>
                <w:smallCaps/>
                <w:lang w:val="es-ES_tradnl"/>
              </w:rPr>
            </w:pPr>
          </w:p>
        </w:tc>
        <w:tc>
          <w:tcPr>
            <w:tcW w:w="3225" w:type="dxa"/>
            <w:gridSpan w:val="2"/>
          </w:tcPr>
          <w:p w14:paraId="5FAE077A" w14:textId="555DD47E" w:rsidR="004B7893" w:rsidRPr="007F1CC7" w:rsidRDefault="00D4106A" w:rsidP="004B7893">
            <w:pPr>
              <w:spacing w:before="0"/>
              <w:rPr>
                <w:szCs w:val="24"/>
              </w:rPr>
            </w:pPr>
            <w:r w:rsidRPr="00D4106A">
              <w:rPr>
                <w:b/>
                <w:lang w:val="es-ES_tradnl"/>
              </w:rPr>
              <w:t>Original: inglés</w:t>
            </w:r>
          </w:p>
        </w:tc>
      </w:tr>
      <w:tr w:rsidR="004B7893" w:rsidRPr="00560C51" w14:paraId="2AC44954" w14:textId="77777777" w:rsidTr="004B7893">
        <w:trPr>
          <w:cantSplit/>
          <w:trHeight w:val="852"/>
        </w:trPr>
        <w:tc>
          <w:tcPr>
            <w:tcW w:w="9888" w:type="dxa"/>
            <w:gridSpan w:val="4"/>
          </w:tcPr>
          <w:p w14:paraId="6B4AAC63" w14:textId="4ECECB79" w:rsidR="004B7893" w:rsidRPr="0074781E" w:rsidRDefault="00D4106A" w:rsidP="004B7893">
            <w:pPr>
              <w:pStyle w:val="Source"/>
              <w:rPr>
                <w:szCs w:val="28"/>
                <w:lang w:val="es-ES"/>
              </w:rPr>
            </w:pPr>
            <w:bookmarkStart w:id="3" w:name="Source"/>
            <w:bookmarkEnd w:id="3"/>
            <w:r w:rsidRPr="0074781E">
              <w:rPr>
                <w:lang w:val="es-ES"/>
              </w:rPr>
              <w:t>Directora de la Oficina de Desarrollo de las Telecomunicaciones</w:t>
            </w:r>
          </w:p>
        </w:tc>
      </w:tr>
      <w:tr w:rsidR="004B7893" w:rsidRPr="00560C51" w14:paraId="2B45E069" w14:textId="77777777" w:rsidTr="004B7893">
        <w:trPr>
          <w:cantSplit/>
        </w:trPr>
        <w:tc>
          <w:tcPr>
            <w:tcW w:w="9888" w:type="dxa"/>
            <w:gridSpan w:val="4"/>
          </w:tcPr>
          <w:p w14:paraId="473DDCA1" w14:textId="5679180A" w:rsidR="004B7893" w:rsidRPr="000135AE" w:rsidRDefault="00D4106A" w:rsidP="004B7893">
            <w:pPr>
              <w:pStyle w:val="Title1"/>
              <w:rPr>
                <w:bCs/>
                <w:szCs w:val="28"/>
                <w:lang w:val="es-ES_tradnl"/>
              </w:rPr>
            </w:pPr>
            <w:bookmarkStart w:id="4" w:name="Title"/>
            <w:bookmarkEnd w:id="4"/>
            <w:r w:rsidRPr="00D4106A">
              <w:t>Proyectos del UIT-D</w:t>
            </w:r>
          </w:p>
        </w:tc>
      </w:tr>
      <w:tr w:rsidR="004B7893" w:rsidRPr="00560C51" w14:paraId="5FB3BB77" w14:textId="77777777" w:rsidTr="004B7893">
        <w:trPr>
          <w:cantSplit/>
        </w:trPr>
        <w:tc>
          <w:tcPr>
            <w:tcW w:w="9888" w:type="dxa"/>
            <w:gridSpan w:val="4"/>
            <w:tcBorders>
              <w:bottom w:val="single" w:sz="4" w:space="0" w:color="auto"/>
            </w:tcBorders>
          </w:tcPr>
          <w:p w14:paraId="32BEE068" w14:textId="77777777" w:rsidR="004B7893" w:rsidRPr="00A721F4" w:rsidRDefault="004B7893" w:rsidP="00BC7208"/>
        </w:tc>
      </w:tr>
      <w:tr w:rsidR="004B7893" w:rsidRPr="00560C51" w14:paraId="17C99223" w14:textId="77777777" w:rsidTr="004B7893">
        <w:trPr>
          <w:cantSplit/>
          <w:trHeight w:val="703"/>
        </w:trPr>
        <w:tc>
          <w:tcPr>
            <w:tcW w:w="9888" w:type="dxa"/>
            <w:gridSpan w:val="4"/>
            <w:tcBorders>
              <w:top w:val="single" w:sz="4" w:space="0" w:color="auto"/>
              <w:left w:val="single" w:sz="4" w:space="0" w:color="auto"/>
              <w:bottom w:val="single" w:sz="4" w:space="0" w:color="auto"/>
              <w:right w:val="single" w:sz="4" w:space="0" w:color="auto"/>
            </w:tcBorders>
          </w:tcPr>
          <w:p w14:paraId="0D2B9B3A" w14:textId="77777777" w:rsidR="004B7893" w:rsidRPr="00D4106A" w:rsidRDefault="004B7893" w:rsidP="004B7893">
            <w:pPr>
              <w:spacing w:before="240"/>
              <w:rPr>
                <w:b/>
                <w:bCs/>
                <w:lang w:val="es-ES"/>
              </w:rPr>
            </w:pPr>
            <w:r w:rsidRPr="00D4106A">
              <w:rPr>
                <w:b/>
                <w:bCs/>
                <w:lang w:val="es-ES"/>
              </w:rPr>
              <w:t>Resumen:</w:t>
            </w:r>
          </w:p>
          <w:p w14:paraId="1FF196CF" w14:textId="77777777" w:rsidR="00D4106A" w:rsidRPr="00D4106A" w:rsidRDefault="00D4106A" w:rsidP="00D4106A">
            <w:pPr>
              <w:rPr>
                <w:lang w:val="es-ES"/>
              </w:rPr>
            </w:pPr>
            <w:r w:rsidRPr="00D4106A">
              <w:rPr>
                <w:lang w:val="es-ES"/>
              </w:rPr>
              <w:t>La Unión Internacional de Telecomunicaciones tiene un doble cometido como organismo especializado de las Naciones Unidas y como organismo ejecutor de proyectos. El Sector de Desarrollo de las Telecomunicaciones (UIT-D), en cumplimiento de esos objetivos, tiene la función clave de ejecutar proyectos dentro del sistema de desarrollo de las Naciones Unidas y otros acuerdos de financiación para facilitar y potenciar el desarrollo de las telecomunicaciones ofreciendo, organizando y coordinando actividades de cooperación y asistencia técnicas.</w:t>
            </w:r>
          </w:p>
          <w:p w14:paraId="5CEEAF20" w14:textId="12334C68" w:rsidR="004B7893" w:rsidRPr="00D4106A" w:rsidRDefault="00D4106A" w:rsidP="00D4106A">
            <w:pPr>
              <w:rPr>
                <w:lang w:val="es-ES"/>
              </w:rPr>
            </w:pPr>
            <w:r w:rsidRPr="00D4106A">
              <w:rPr>
                <w:lang w:val="es-ES"/>
              </w:rPr>
              <w:t>En este documento se presenta una visión global de los trabajos emprendidos por la Oficina de Desarrollo de las Telecomunicaciones relacionados con la preparación e implementación de proyectos en las seis regiones del UIT-D, a saber, África, las Américas, los Estados Árabes, Asia y el Pacífico, la Comunidad de Estados Independientes (CEI) y Europa, así como a nivel multirregional.</w:t>
            </w:r>
          </w:p>
          <w:p w14:paraId="4BC13B29" w14:textId="6D7DE87B" w:rsidR="004B7893" w:rsidRPr="00D4106A" w:rsidRDefault="004B7893" w:rsidP="004B7893">
            <w:pPr>
              <w:rPr>
                <w:b/>
                <w:bCs/>
                <w:lang w:val="es-ES"/>
              </w:rPr>
            </w:pPr>
            <w:r w:rsidRPr="00D4106A">
              <w:rPr>
                <w:b/>
                <w:bCs/>
                <w:lang w:val="es-ES"/>
              </w:rPr>
              <w:t>Acción solicitada:</w:t>
            </w:r>
          </w:p>
          <w:p w14:paraId="4F077A3F" w14:textId="5690DF2E" w:rsidR="004B7893" w:rsidRPr="00D4106A" w:rsidRDefault="00D4106A" w:rsidP="004B7893">
            <w:pPr>
              <w:rPr>
                <w:lang w:val="es-ES"/>
              </w:rPr>
            </w:pPr>
            <w:r w:rsidRPr="00D4106A">
              <w:rPr>
                <w:lang w:val="es-ES"/>
              </w:rPr>
              <w:t>Se invita al GADT a tomar nota del presente documento y facilitar las orientaciones que estime oportunas.</w:t>
            </w:r>
          </w:p>
          <w:p w14:paraId="6CE9A15E" w14:textId="77777777" w:rsidR="004B7893" w:rsidRPr="00D4106A" w:rsidRDefault="004B7893" w:rsidP="004B7893">
            <w:pPr>
              <w:rPr>
                <w:b/>
                <w:bCs/>
                <w:lang w:val="es-ES"/>
              </w:rPr>
            </w:pPr>
            <w:r w:rsidRPr="00D4106A">
              <w:rPr>
                <w:b/>
                <w:bCs/>
                <w:lang w:val="es-ES"/>
              </w:rPr>
              <w:t>Referencias:</w:t>
            </w:r>
          </w:p>
          <w:p w14:paraId="59E09539" w14:textId="3DDA3F17" w:rsidR="004B7893" w:rsidRPr="00D4106A" w:rsidRDefault="00D4106A" w:rsidP="00D4106A">
            <w:pPr>
              <w:spacing w:after="120"/>
              <w:rPr>
                <w:lang w:val="es-ES"/>
              </w:rPr>
            </w:pPr>
            <w:r w:rsidRPr="00D4106A">
              <w:rPr>
                <w:lang w:val="es-ES"/>
              </w:rPr>
              <w:t>Resoluciones 17 y 52 (Rev. Buenos Aires, 2017) de la Conferencia Mundial de Desarrollo de las Telecomunicaciones (CMDT) y Resolución 157 (Rev. Dubái, 2018) de la Conferencia de Plenipotenciarios.</w:t>
            </w:r>
          </w:p>
        </w:tc>
      </w:tr>
    </w:tbl>
    <w:p w14:paraId="725CECDD" w14:textId="77777777" w:rsidR="00AA076A" w:rsidRDefault="00AA076A">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p w14:paraId="200E04CD" w14:textId="19850354" w:rsidR="00D4106A" w:rsidRPr="001900E7" w:rsidRDefault="004B567A" w:rsidP="001900E7">
      <w:pPr>
        <w:pStyle w:val="Heading1"/>
      </w:pPr>
      <w:r w:rsidRPr="001900E7">
        <w:lastRenderedPageBreak/>
        <w:t>1</w:t>
      </w:r>
      <w:r w:rsidRPr="001900E7">
        <w:tab/>
      </w:r>
      <w:r w:rsidR="00D4106A" w:rsidRPr="001900E7">
        <w:t>Introducción</w:t>
      </w:r>
    </w:p>
    <w:p w14:paraId="54DADFB9" w14:textId="77777777" w:rsidR="00D4106A" w:rsidRPr="00D4106A" w:rsidRDefault="00D4106A" w:rsidP="00D4106A">
      <w:pPr>
        <w:rPr>
          <w:lang w:val="es-ES"/>
        </w:rPr>
      </w:pPr>
      <w:r w:rsidRPr="00D4106A">
        <w:rPr>
          <w:lang w:val="es-ES"/>
        </w:rPr>
        <w:t>De conformidad con las Resoluciones 17 y 52 (Rev. Buenos Aires, 2017) de la Conferencia Mundial de Desarrollo de las Telecomunicaciones (CMDT) y la Resolución 157 (Rev. Dubái, 2018) de la Conferencia de Plenipotenciarios, la Oficina de Desarrollo de las Telecomunicaciones de la UIT tiene la responsabilidad de cumplir el mandato que incumbe a la UIT en la ejecución de proyectos de desarrollo del sistema de las Naciones Unidas y de otras iniciativas de financiación con objeto de facilitar y potenciar el desarrollo de las telecomunicaciones/tecnologías de la información y la comunicación ofreciendo, organizando y coordinando actividades de cooperación y asistencia técnica.</w:t>
      </w:r>
    </w:p>
    <w:p w14:paraId="6BC59F56" w14:textId="064D6173" w:rsidR="00D4106A" w:rsidRPr="00D4106A" w:rsidRDefault="00D4106A" w:rsidP="00D4106A">
      <w:pPr>
        <w:rPr>
          <w:lang w:val="es-ES"/>
        </w:rPr>
      </w:pPr>
      <w:r w:rsidRPr="00D4106A">
        <w:rPr>
          <w:lang w:val="es-ES"/>
        </w:rPr>
        <w:t>Los proyectos de la BDT responden a la demanda y se centran en la población y el desarrollo de soluciones digitales para cumplir la Agenda de Desarrollo Sostenible 2030. Desde 2007 la BDT ha ejecutado en total 315 proyectos de pequeña, mediana y gran envergadura en los planos nacional, regional, interregional y mundial en beneficio de 150 países en desarrollo y menos adelantados</w:t>
      </w:r>
      <w:r w:rsidR="002A6CF4">
        <w:rPr>
          <w:rStyle w:val="FootnoteReference"/>
          <w:lang w:val="es-ES"/>
        </w:rPr>
        <w:footnoteReference w:id="1"/>
      </w:r>
      <w:r w:rsidRPr="00D4106A">
        <w:rPr>
          <w:lang w:val="es-ES"/>
        </w:rPr>
        <w:t>.</w:t>
      </w:r>
    </w:p>
    <w:p w14:paraId="177E8BFF" w14:textId="26D7DAAF" w:rsidR="00D4106A" w:rsidRPr="001900E7" w:rsidRDefault="004B567A" w:rsidP="004B567A">
      <w:pPr>
        <w:pStyle w:val="Heading1"/>
      </w:pPr>
      <w:r w:rsidRPr="001900E7">
        <w:t>2</w:t>
      </w:r>
      <w:r w:rsidRPr="001900E7">
        <w:tab/>
      </w:r>
      <w:r w:rsidR="00D4106A" w:rsidRPr="001900E7">
        <w:t>Cartera de proyectos de la UIT: proyectos en curso</w:t>
      </w:r>
    </w:p>
    <w:p w14:paraId="6CCD82E3" w14:textId="1A3D2D9D" w:rsidR="00D4106A" w:rsidRPr="00D4106A" w:rsidRDefault="002A6CF4" w:rsidP="002A6CF4">
      <w:pPr>
        <w:pStyle w:val="Heading2"/>
      </w:pPr>
      <w:r>
        <w:t>2.1</w:t>
      </w:r>
      <w:r>
        <w:tab/>
      </w:r>
      <w:r w:rsidR="00D4106A" w:rsidRPr="00D4106A">
        <w:t>Panorama general y distribución regional</w:t>
      </w:r>
    </w:p>
    <w:p w14:paraId="232322B9" w14:textId="65A48C89" w:rsidR="00D4106A" w:rsidRPr="00D4106A" w:rsidRDefault="00D4106A" w:rsidP="00D4106A">
      <w:pPr>
        <w:rPr>
          <w:lang w:val="es-ES"/>
        </w:rPr>
      </w:pPr>
      <w:r w:rsidRPr="00D4106A">
        <w:rPr>
          <w:lang w:val="es-ES"/>
        </w:rPr>
        <w:t>Al 31 de diciembre de 2020 la cartera de proyectos de la UIT cuenta con 75 proyectos en curso, valorados en 86,1 millones CHF, con el resto de los fondos ya ejecutados y un balance de 24,0</w:t>
      </w:r>
      <w:r w:rsidR="002A6CF4">
        <w:rPr>
          <w:lang w:val="es-ES"/>
        </w:rPr>
        <w:t> </w:t>
      </w:r>
      <w:r w:rsidRPr="00D4106A">
        <w:rPr>
          <w:lang w:val="es-ES"/>
        </w:rPr>
        <w:t>millones CHF por ejecutar. En la Figura 1 se muestran la distribución global de estos proyectos por región y los fondos atribuidos a cada proyecto.</w:t>
      </w:r>
    </w:p>
    <w:p w14:paraId="15F7C82F" w14:textId="77777777" w:rsidR="00D4106A" w:rsidRPr="00D4106A" w:rsidRDefault="00D4106A" w:rsidP="002A6CF4">
      <w:pPr>
        <w:pStyle w:val="FigureNotitle"/>
      </w:pPr>
      <w:r w:rsidRPr="00D4106A">
        <w:t xml:space="preserve">Figura 1 – Presentación de los proyectos de la UIT en curso, por región </w:t>
      </w:r>
      <w:r w:rsidRPr="00D4106A">
        <w:br/>
        <w:t>(en miles CHF)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88"/>
        <w:gridCol w:w="1385"/>
        <w:gridCol w:w="1288"/>
        <w:gridCol w:w="1092"/>
        <w:gridCol w:w="1185"/>
        <w:gridCol w:w="1236"/>
        <w:gridCol w:w="1372"/>
        <w:gridCol w:w="982"/>
      </w:tblGrid>
      <w:tr w:rsidR="00A779C9" w:rsidRPr="00A779C9" w14:paraId="570339A2" w14:textId="77777777" w:rsidTr="0054183D">
        <w:trPr>
          <w:jc w:val="center"/>
        </w:trPr>
        <w:tc>
          <w:tcPr>
            <w:tcW w:w="1088" w:type="dxa"/>
            <w:vMerge w:val="restart"/>
            <w:tcBorders>
              <w:top w:val="single" w:sz="4" w:space="0" w:color="auto"/>
              <w:left w:val="single" w:sz="4" w:space="0" w:color="auto"/>
              <w:right w:val="nil"/>
            </w:tcBorders>
            <w:shd w:val="clear" w:color="auto" w:fill="4F81BD" w:themeFill="accent1"/>
            <w:noWrap/>
            <w:vAlign w:val="center"/>
            <w:hideMark/>
          </w:tcPr>
          <w:p w14:paraId="5DC776A8" w14:textId="77777777" w:rsidR="002A6CF4" w:rsidRPr="00A779C9" w:rsidRDefault="002A6CF4" w:rsidP="002A6CF4">
            <w:pPr>
              <w:pStyle w:val="Tablehead"/>
              <w:rPr>
                <w:color w:val="FFFFFF" w:themeColor="background1"/>
                <w:lang w:val="es-ES"/>
              </w:rPr>
            </w:pPr>
            <w:r w:rsidRPr="00A779C9">
              <w:rPr>
                <w:color w:val="FFFFFF" w:themeColor="background1"/>
                <w:lang w:val="es-ES"/>
              </w:rPr>
              <w:t>Región</w:t>
            </w:r>
          </w:p>
        </w:tc>
        <w:tc>
          <w:tcPr>
            <w:tcW w:w="1385" w:type="dxa"/>
            <w:vMerge w:val="restart"/>
            <w:tcBorders>
              <w:top w:val="single" w:sz="4" w:space="0" w:color="auto"/>
              <w:left w:val="nil"/>
              <w:right w:val="nil"/>
            </w:tcBorders>
            <w:shd w:val="clear" w:color="auto" w:fill="4F81BD" w:themeFill="accent1"/>
            <w:noWrap/>
            <w:vAlign w:val="center"/>
            <w:hideMark/>
          </w:tcPr>
          <w:p w14:paraId="48200517" w14:textId="77777777" w:rsidR="002A6CF4" w:rsidRPr="00A779C9" w:rsidRDefault="002A6CF4" w:rsidP="002A6CF4">
            <w:pPr>
              <w:pStyle w:val="Tablehead"/>
              <w:rPr>
                <w:color w:val="FFFFFF" w:themeColor="background1"/>
                <w:lang w:val="es-ES"/>
              </w:rPr>
            </w:pPr>
            <w:r w:rsidRPr="00A779C9">
              <w:rPr>
                <w:color w:val="FFFFFF" w:themeColor="background1"/>
                <w:lang w:val="es-ES"/>
              </w:rPr>
              <w:t>Número de proyectos</w:t>
            </w:r>
          </w:p>
        </w:tc>
        <w:tc>
          <w:tcPr>
            <w:tcW w:w="1288" w:type="dxa"/>
            <w:vMerge w:val="restart"/>
            <w:tcBorders>
              <w:top w:val="single" w:sz="4" w:space="0" w:color="auto"/>
              <w:left w:val="nil"/>
              <w:bottom w:val="nil"/>
              <w:right w:val="nil"/>
            </w:tcBorders>
            <w:shd w:val="clear" w:color="auto" w:fill="4F81BD" w:themeFill="accent1"/>
            <w:noWrap/>
            <w:vAlign w:val="center"/>
            <w:hideMark/>
          </w:tcPr>
          <w:p w14:paraId="0F701914" w14:textId="77777777" w:rsidR="002A6CF4" w:rsidRPr="00A779C9" w:rsidRDefault="002A6CF4" w:rsidP="002A6CF4">
            <w:pPr>
              <w:pStyle w:val="Tablehead"/>
              <w:rPr>
                <w:color w:val="FFFFFF" w:themeColor="background1"/>
                <w:lang w:val="es-ES"/>
              </w:rPr>
            </w:pPr>
            <w:r w:rsidRPr="00A779C9">
              <w:rPr>
                <w:color w:val="FFFFFF" w:themeColor="background1"/>
                <w:lang w:val="es-ES"/>
              </w:rPr>
              <w:t>Fondos externos</w:t>
            </w:r>
          </w:p>
        </w:tc>
        <w:tc>
          <w:tcPr>
            <w:tcW w:w="1092" w:type="dxa"/>
            <w:tcBorders>
              <w:top w:val="single" w:sz="4" w:space="0" w:color="auto"/>
              <w:left w:val="nil"/>
              <w:bottom w:val="nil"/>
              <w:right w:val="nil"/>
            </w:tcBorders>
            <w:shd w:val="clear" w:color="auto" w:fill="4F81BD" w:themeFill="accent1"/>
            <w:noWrap/>
            <w:vAlign w:val="center"/>
            <w:hideMark/>
          </w:tcPr>
          <w:p w14:paraId="5A7EBFF3" w14:textId="77777777" w:rsidR="002A6CF4" w:rsidRPr="00A779C9" w:rsidRDefault="002A6CF4" w:rsidP="002A6CF4">
            <w:pPr>
              <w:pStyle w:val="Tablehead"/>
              <w:rPr>
                <w:color w:val="FFFFFF" w:themeColor="background1"/>
                <w:lang w:val="es-ES"/>
              </w:rPr>
            </w:pPr>
            <w:r w:rsidRPr="00A779C9">
              <w:rPr>
                <w:color w:val="FFFFFF" w:themeColor="background1"/>
                <w:lang w:val="es-ES"/>
              </w:rPr>
              <w:t>Fondos</w:t>
            </w:r>
          </w:p>
        </w:tc>
        <w:tc>
          <w:tcPr>
            <w:tcW w:w="1185" w:type="dxa"/>
            <w:tcBorders>
              <w:top w:val="single" w:sz="4" w:space="0" w:color="auto"/>
              <w:left w:val="nil"/>
              <w:bottom w:val="nil"/>
              <w:right w:val="nil"/>
            </w:tcBorders>
            <w:shd w:val="clear" w:color="auto" w:fill="4F81BD" w:themeFill="accent1"/>
            <w:noWrap/>
            <w:vAlign w:val="center"/>
            <w:hideMark/>
          </w:tcPr>
          <w:p w14:paraId="4B96A325" w14:textId="77777777" w:rsidR="002A6CF4" w:rsidRPr="00A779C9" w:rsidRDefault="002A6CF4" w:rsidP="002A6CF4">
            <w:pPr>
              <w:pStyle w:val="Tablehead"/>
              <w:rPr>
                <w:color w:val="FFFFFF" w:themeColor="background1"/>
                <w:lang w:val="es-ES"/>
              </w:rPr>
            </w:pPr>
            <w:r w:rsidRPr="00A779C9">
              <w:rPr>
                <w:color w:val="FFFFFF" w:themeColor="background1"/>
                <w:lang w:val="es-ES"/>
              </w:rPr>
              <w:t>Fondos</w:t>
            </w:r>
          </w:p>
        </w:tc>
        <w:tc>
          <w:tcPr>
            <w:tcW w:w="1236" w:type="dxa"/>
            <w:tcBorders>
              <w:top w:val="single" w:sz="4" w:space="0" w:color="auto"/>
              <w:left w:val="nil"/>
              <w:bottom w:val="nil"/>
              <w:right w:val="nil"/>
            </w:tcBorders>
            <w:shd w:val="clear" w:color="auto" w:fill="4F81BD" w:themeFill="accent1"/>
            <w:noWrap/>
            <w:vAlign w:val="center"/>
            <w:hideMark/>
          </w:tcPr>
          <w:p w14:paraId="6CFDA26C" w14:textId="77777777" w:rsidR="002A6CF4" w:rsidRPr="00A779C9" w:rsidRDefault="002A6CF4" w:rsidP="002A6CF4">
            <w:pPr>
              <w:pStyle w:val="Tablehead"/>
              <w:rPr>
                <w:color w:val="FFFFFF" w:themeColor="background1"/>
                <w:lang w:val="es-ES"/>
              </w:rPr>
            </w:pPr>
            <w:r w:rsidRPr="00A779C9">
              <w:rPr>
                <w:color w:val="FFFFFF" w:themeColor="background1"/>
                <w:lang w:val="es-ES"/>
              </w:rPr>
              <w:t>Total</w:t>
            </w:r>
          </w:p>
        </w:tc>
        <w:tc>
          <w:tcPr>
            <w:tcW w:w="1372" w:type="dxa"/>
            <w:vMerge w:val="restart"/>
            <w:tcBorders>
              <w:top w:val="single" w:sz="4" w:space="0" w:color="auto"/>
              <w:left w:val="nil"/>
              <w:bottom w:val="nil"/>
              <w:right w:val="nil"/>
            </w:tcBorders>
            <w:shd w:val="clear" w:color="auto" w:fill="4F81BD" w:themeFill="accent1"/>
            <w:noWrap/>
            <w:vAlign w:val="center"/>
            <w:hideMark/>
          </w:tcPr>
          <w:p w14:paraId="594CFD39" w14:textId="77777777" w:rsidR="002A6CF4" w:rsidRPr="00A779C9" w:rsidRDefault="002A6CF4" w:rsidP="002A6CF4">
            <w:pPr>
              <w:pStyle w:val="Tablehead"/>
              <w:rPr>
                <w:color w:val="FFFFFF" w:themeColor="background1"/>
                <w:lang w:val="es-ES"/>
              </w:rPr>
            </w:pPr>
            <w:r w:rsidRPr="00A779C9">
              <w:rPr>
                <w:color w:val="FFFFFF" w:themeColor="background1"/>
                <w:lang w:val="es-ES"/>
              </w:rPr>
              <w:t>Balance de los fondos al 31/12/20</w:t>
            </w:r>
          </w:p>
        </w:tc>
        <w:tc>
          <w:tcPr>
            <w:tcW w:w="982" w:type="dxa"/>
            <w:vMerge w:val="restart"/>
            <w:tcBorders>
              <w:top w:val="single" w:sz="4" w:space="0" w:color="auto"/>
              <w:left w:val="nil"/>
              <w:bottom w:val="nil"/>
              <w:right w:val="single" w:sz="4" w:space="0" w:color="auto"/>
            </w:tcBorders>
            <w:shd w:val="clear" w:color="auto" w:fill="4F81BD" w:themeFill="accent1"/>
            <w:noWrap/>
            <w:vAlign w:val="center"/>
            <w:hideMark/>
          </w:tcPr>
          <w:p w14:paraId="799B5470" w14:textId="67A6EC3D" w:rsidR="002A6CF4" w:rsidRPr="00A779C9" w:rsidRDefault="000C4284" w:rsidP="002A6CF4">
            <w:pPr>
              <w:pStyle w:val="Tablehead"/>
              <w:rPr>
                <w:color w:val="FFFFFF" w:themeColor="background1"/>
                <w:lang w:val="es-ES"/>
              </w:rPr>
            </w:pPr>
            <w:r w:rsidRPr="00A779C9">
              <w:rPr>
                <w:color w:val="FFFFFF" w:themeColor="background1"/>
                <w:lang w:val="es-ES"/>
              </w:rPr>
              <w:t>Balance</w:t>
            </w:r>
            <w:r w:rsidRPr="00A779C9">
              <w:rPr>
                <w:color w:val="FFFFFF" w:themeColor="background1"/>
                <w:lang w:val="es-ES"/>
              </w:rPr>
              <w:t xml:space="preserve"> </w:t>
            </w:r>
            <w:r>
              <w:rPr>
                <w:color w:val="FFFFFF" w:themeColor="background1"/>
                <w:lang w:val="es-ES"/>
              </w:rPr>
              <w:t xml:space="preserve">en </w:t>
            </w:r>
            <w:r w:rsidR="002A6CF4" w:rsidRPr="00A779C9">
              <w:rPr>
                <w:color w:val="FFFFFF" w:themeColor="background1"/>
                <w:lang w:val="es-ES"/>
              </w:rPr>
              <w:t>%</w:t>
            </w:r>
          </w:p>
        </w:tc>
      </w:tr>
      <w:tr w:rsidR="00A779C9" w:rsidRPr="00A779C9" w14:paraId="0E42A54B" w14:textId="77777777" w:rsidTr="00A779C9">
        <w:trPr>
          <w:jc w:val="center"/>
        </w:trPr>
        <w:tc>
          <w:tcPr>
            <w:tcW w:w="1088" w:type="dxa"/>
            <w:vMerge/>
            <w:tcBorders>
              <w:left w:val="single" w:sz="4" w:space="0" w:color="auto"/>
              <w:bottom w:val="single" w:sz="4" w:space="0" w:color="auto"/>
              <w:right w:val="nil"/>
            </w:tcBorders>
            <w:shd w:val="clear" w:color="auto" w:fill="4F81BD" w:themeFill="accent1"/>
            <w:noWrap/>
            <w:vAlign w:val="center"/>
            <w:hideMark/>
          </w:tcPr>
          <w:p w14:paraId="31C6D9E3" w14:textId="77777777" w:rsidR="002A6CF4" w:rsidRPr="00A779C9" w:rsidRDefault="002A6CF4" w:rsidP="002A6CF4">
            <w:pPr>
              <w:pStyle w:val="Tablehead"/>
              <w:rPr>
                <w:color w:val="FFFFFF" w:themeColor="background1"/>
                <w:lang w:val="es-ES"/>
              </w:rPr>
            </w:pPr>
          </w:p>
        </w:tc>
        <w:tc>
          <w:tcPr>
            <w:tcW w:w="1385" w:type="dxa"/>
            <w:vMerge/>
            <w:tcBorders>
              <w:left w:val="nil"/>
              <w:bottom w:val="single" w:sz="4" w:space="0" w:color="auto"/>
              <w:right w:val="nil"/>
            </w:tcBorders>
            <w:shd w:val="clear" w:color="auto" w:fill="4F81BD" w:themeFill="accent1"/>
            <w:noWrap/>
            <w:vAlign w:val="center"/>
            <w:hideMark/>
          </w:tcPr>
          <w:p w14:paraId="34A1B1BB" w14:textId="77777777" w:rsidR="002A6CF4" w:rsidRPr="00A779C9" w:rsidRDefault="002A6CF4" w:rsidP="002A6CF4">
            <w:pPr>
              <w:pStyle w:val="Tablehead"/>
              <w:rPr>
                <w:color w:val="FFFFFF" w:themeColor="background1"/>
                <w:lang w:val="es-ES"/>
              </w:rPr>
            </w:pPr>
          </w:p>
        </w:tc>
        <w:tc>
          <w:tcPr>
            <w:tcW w:w="1288" w:type="dxa"/>
            <w:vMerge/>
            <w:vAlign w:val="center"/>
            <w:hideMark/>
          </w:tcPr>
          <w:p w14:paraId="3A2C2BB9" w14:textId="77777777" w:rsidR="002A6CF4" w:rsidRPr="00A779C9" w:rsidRDefault="002A6CF4" w:rsidP="002A6CF4">
            <w:pPr>
              <w:pStyle w:val="Tablehead"/>
              <w:rPr>
                <w:color w:val="FFFFFF" w:themeColor="background1"/>
                <w:lang w:val="es-ES"/>
              </w:rPr>
            </w:pPr>
          </w:p>
        </w:tc>
        <w:tc>
          <w:tcPr>
            <w:tcW w:w="1092" w:type="dxa"/>
            <w:tcBorders>
              <w:top w:val="nil"/>
              <w:left w:val="nil"/>
              <w:bottom w:val="single" w:sz="4" w:space="0" w:color="auto"/>
              <w:right w:val="nil"/>
            </w:tcBorders>
            <w:shd w:val="clear" w:color="auto" w:fill="4F81BD" w:themeFill="accent1"/>
            <w:noWrap/>
            <w:vAlign w:val="center"/>
            <w:hideMark/>
          </w:tcPr>
          <w:p w14:paraId="4B963B69" w14:textId="77777777" w:rsidR="002A6CF4" w:rsidRPr="00A779C9" w:rsidRDefault="002A6CF4" w:rsidP="002A6CF4">
            <w:pPr>
              <w:pStyle w:val="Tablehead"/>
              <w:rPr>
                <w:color w:val="FFFFFF" w:themeColor="background1"/>
                <w:lang w:val="es-ES"/>
              </w:rPr>
            </w:pPr>
            <w:r w:rsidRPr="00A779C9">
              <w:rPr>
                <w:color w:val="FFFFFF" w:themeColor="background1"/>
                <w:lang w:val="es-ES"/>
              </w:rPr>
              <w:t>FD-TIC</w:t>
            </w:r>
          </w:p>
        </w:tc>
        <w:tc>
          <w:tcPr>
            <w:tcW w:w="1185" w:type="dxa"/>
            <w:tcBorders>
              <w:top w:val="nil"/>
              <w:left w:val="nil"/>
              <w:bottom w:val="single" w:sz="4" w:space="0" w:color="auto"/>
              <w:right w:val="nil"/>
            </w:tcBorders>
            <w:shd w:val="clear" w:color="auto" w:fill="4F81BD" w:themeFill="accent1"/>
            <w:noWrap/>
            <w:vAlign w:val="center"/>
            <w:hideMark/>
          </w:tcPr>
          <w:p w14:paraId="5D7217DD" w14:textId="346FB841" w:rsidR="002A6CF4" w:rsidRPr="00A779C9" w:rsidRDefault="002A6CF4" w:rsidP="002A6CF4">
            <w:pPr>
              <w:pStyle w:val="Tablehead"/>
              <w:rPr>
                <w:color w:val="FFFFFF" w:themeColor="background1"/>
                <w:lang w:val="es-ES"/>
              </w:rPr>
            </w:pPr>
            <w:r w:rsidRPr="00A779C9">
              <w:rPr>
                <w:color w:val="FFFFFF" w:themeColor="background1"/>
                <w:lang w:val="es-ES"/>
              </w:rPr>
              <w:t>PO</w:t>
            </w:r>
          </w:p>
        </w:tc>
        <w:tc>
          <w:tcPr>
            <w:tcW w:w="1236" w:type="dxa"/>
            <w:tcBorders>
              <w:top w:val="nil"/>
              <w:left w:val="nil"/>
              <w:bottom w:val="single" w:sz="4" w:space="0" w:color="auto"/>
              <w:right w:val="nil"/>
            </w:tcBorders>
            <w:shd w:val="clear" w:color="auto" w:fill="4F81BD" w:themeFill="accent1"/>
            <w:noWrap/>
            <w:vAlign w:val="center"/>
            <w:hideMark/>
          </w:tcPr>
          <w:p w14:paraId="7D0A68A0" w14:textId="2C649F94" w:rsidR="002A6CF4" w:rsidRPr="00A779C9" w:rsidRDefault="00BB6ED2" w:rsidP="002A6CF4">
            <w:pPr>
              <w:pStyle w:val="Tablehead"/>
              <w:rPr>
                <w:color w:val="FFFFFF" w:themeColor="background1"/>
                <w:lang w:val="es-ES"/>
              </w:rPr>
            </w:pPr>
            <w:r w:rsidRPr="00A779C9">
              <w:rPr>
                <w:color w:val="FFFFFF" w:themeColor="background1"/>
                <w:lang w:val="es-ES"/>
              </w:rPr>
              <w:t>Fondos</w:t>
            </w:r>
          </w:p>
        </w:tc>
        <w:tc>
          <w:tcPr>
            <w:tcW w:w="1372" w:type="dxa"/>
            <w:vMerge/>
            <w:vAlign w:val="center"/>
            <w:hideMark/>
          </w:tcPr>
          <w:p w14:paraId="135CBF2F" w14:textId="77777777" w:rsidR="002A6CF4" w:rsidRPr="00A779C9" w:rsidRDefault="002A6CF4" w:rsidP="002A6CF4">
            <w:pPr>
              <w:pStyle w:val="Tablehead"/>
              <w:rPr>
                <w:color w:val="FFFFFF" w:themeColor="background1"/>
                <w:lang w:val="es-ES"/>
              </w:rPr>
            </w:pPr>
          </w:p>
        </w:tc>
        <w:tc>
          <w:tcPr>
            <w:tcW w:w="982" w:type="dxa"/>
            <w:vMerge/>
            <w:vAlign w:val="center"/>
            <w:hideMark/>
          </w:tcPr>
          <w:p w14:paraId="681F27B1" w14:textId="77777777" w:rsidR="002A6CF4" w:rsidRPr="00A779C9" w:rsidRDefault="002A6CF4" w:rsidP="002A6CF4">
            <w:pPr>
              <w:pStyle w:val="Tablehead"/>
              <w:rPr>
                <w:color w:val="FFFFFF" w:themeColor="background1"/>
                <w:lang w:val="es-ES"/>
              </w:rPr>
            </w:pPr>
          </w:p>
        </w:tc>
      </w:tr>
      <w:tr w:rsidR="002A6CF4" w:rsidRPr="00D4106A" w14:paraId="5CEE84D2" w14:textId="77777777" w:rsidTr="00A779C9">
        <w:trPr>
          <w:jc w:val="center"/>
        </w:trPr>
        <w:tc>
          <w:tcPr>
            <w:tcW w:w="1088" w:type="dxa"/>
            <w:tcBorders>
              <w:top w:val="single" w:sz="4" w:space="0" w:color="auto"/>
            </w:tcBorders>
            <w:shd w:val="clear" w:color="auto" w:fill="auto"/>
            <w:hideMark/>
          </w:tcPr>
          <w:p w14:paraId="2DCBE89E" w14:textId="6163BBF6" w:rsidR="00D4106A" w:rsidRPr="00D4106A" w:rsidRDefault="00D4106A" w:rsidP="002A6CF4">
            <w:pPr>
              <w:pStyle w:val="Tabletext"/>
              <w:rPr>
                <w:lang w:val="en-GB"/>
              </w:rPr>
            </w:pPr>
            <w:r w:rsidRPr="00D4106A">
              <w:rPr>
                <w:lang w:val="en-GB"/>
              </w:rPr>
              <w:t>AFR</w:t>
            </w:r>
          </w:p>
        </w:tc>
        <w:tc>
          <w:tcPr>
            <w:tcW w:w="1385" w:type="dxa"/>
            <w:tcBorders>
              <w:top w:val="single" w:sz="4" w:space="0" w:color="auto"/>
            </w:tcBorders>
            <w:shd w:val="clear" w:color="auto" w:fill="auto"/>
            <w:noWrap/>
            <w:vAlign w:val="bottom"/>
            <w:hideMark/>
          </w:tcPr>
          <w:p w14:paraId="02A7BBFC" w14:textId="77777777" w:rsidR="00D4106A" w:rsidRPr="00D4106A" w:rsidRDefault="00D4106A" w:rsidP="00BB6ED2">
            <w:pPr>
              <w:pStyle w:val="Tabletext"/>
              <w:ind w:right="454"/>
              <w:jc w:val="right"/>
              <w:rPr>
                <w:lang w:val="en-GB"/>
              </w:rPr>
            </w:pPr>
            <w:r w:rsidRPr="00D4106A">
              <w:rPr>
                <w:lang w:val="en-GB"/>
              </w:rPr>
              <w:t>13</w:t>
            </w:r>
          </w:p>
        </w:tc>
        <w:tc>
          <w:tcPr>
            <w:tcW w:w="1288" w:type="dxa"/>
            <w:tcBorders>
              <w:top w:val="single" w:sz="4" w:space="0" w:color="auto"/>
            </w:tcBorders>
            <w:shd w:val="clear" w:color="auto" w:fill="auto"/>
            <w:vAlign w:val="bottom"/>
            <w:hideMark/>
          </w:tcPr>
          <w:p w14:paraId="77E36A11" w14:textId="245052C2" w:rsidR="00D4106A" w:rsidRPr="00D4106A" w:rsidRDefault="00D4106A" w:rsidP="00BB6ED2">
            <w:pPr>
              <w:pStyle w:val="Tabletext"/>
              <w:ind w:right="170"/>
              <w:jc w:val="right"/>
              <w:rPr>
                <w:lang w:val="en-GB"/>
              </w:rPr>
            </w:pPr>
            <w:r w:rsidRPr="00D4106A">
              <w:rPr>
                <w:lang w:val="en-GB"/>
              </w:rPr>
              <w:t>7</w:t>
            </w:r>
            <w:r w:rsidR="002A6CF4">
              <w:rPr>
                <w:lang w:val="en-GB"/>
              </w:rPr>
              <w:t> </w:t>
            </w:r>
            <w:r w:rsidRPr="00D4106A">
              <w:rPr>
                <w:lang w:val="en-GB"/>
              </w:rPr>
              <w:t>554</w:t>
            </w:r>
            <w:r w:rsidR="002A6CF4">
              <w:rPr>
                <w:lang w:val="en-GB"/>
              </w:rPr>
              <w:t>,</w:t>
            </w:r>
            <w:r w:rsidRPr="00D4106A">
              <w:rPr>
                <w:lang w:val="en-GB"/>
              </w:rPr>
              <w:t>6</w:t>
            </w:r>
          </w:p>
        </w:tc>
        <w:tc>
          <w:tcPr>
            <w:tcW w:w="1092" w:type="dxa"/>
            <w:tcBorders>
              <w:top w:val="single" w:sz="4" w:space="0" w:color="auto"/>
            </w:tcBorders>
            <w:shd w:val="clear" w:color="auto" w:fill="auto"/>
            <w:vAlign w:val="bottom"/>
            <w:hideMark/>
          </w:tcPr>
          <w:p w14:paraId="6A68FEDE" w14:textId="52F53D2E" w:rsidR="00D4106A" w:rsidRPr="00D4106A" w:rsidRDefault="00D4106A" w:rsidP="00BB6ED2">
            <w:pPr>
              <w:pStyle w:val="Tabletext"/>
              <w:ind w:right="113"/>
              <w:jc w:val="right"/>
              <w:rPr>
                <w:lang w:val="en-GB"/>
              </w:rPr>
            </w:pPr>
            <w:r w:rsidRPr="00D4106A">
              <w:rPr>
                <w:lang w:val="en-GB"/>
              </w:rPr>
              <w:t>538</w:t>
            </w:r>
            <w:r w:rsidR="002A6CF4">
              <w:rPr>
                <w:lang w:val="en-GB"/>
              </w:rPr>
              <w:t>,</w:t>
            </w:r>
            <w:r w:rsidRPr="00D4106A">
              <w:rPr>
                <w:lang w:val="en-GB"/>
              </w:rPr>
              <w:t>8</w:t>
            </w:r>
          </w:p>
        </w:tc>
        <w:tc>
          <w:tcPr>
            <w:tcW w:w="1185" w:type="dxa"/>
            <w:tcBorders>
              <w:top w:val="single" w:sz="4" w:space="0" w:color="auto"/>
            </w:tcBorders>
            <w:shd w:val="clear" w:color="auto" w:fill="auto"/>
            <w:vAlign w:val="bottom"/>
            <w:hideMark/>
          </w:tcPr>
          <w:p w14:paraId="590682C2" w14:textId="0163BA75" w:rsidR="00D4106A" w:rsidRPr="00D4106A" w:rsidRDefault="00D4106A" w:rsidP="00BB6ED2">
            <w:pPr>
              <w:pStyle w:val="Tabletext"/>
              <w:ind w:right="170"/>
              <w:jc w:val="right"/>
              <w:rPr>
                <w:lang w:val="en-GB"/>
              </w:rPr>
            </w:pPr>
            <w:r w:rsidRPr="00D4106A">
              <w:rPr>
                <w:lang w:val="en-GB"/>
              </w:rPr>
              <w:t>407</w:t>
            </w:r>
            <w:r w:rsidR="002A6CF4">
              <w:rPr>
                <w:lang w:val="en-GB"/>
              </w:rPr>
              <w:t>,</w:t>
            </w:r>
            <w:r w:rsidRPr="00D4106A">
              <w:rPr>
                <w:lang w:val="en-GB"/>
              </w:rPr>
              <w:t>5</w:t>
            </w:r>
          </w:p>
        </w:tc>
        <w:tc>
          <w:tcPr>
            <w:tcW w:w="1236" w:type="dxa"/>
            <w:tcBorders>
              <w:top w:val="single" w:sz="4" w:space="0" w:color="auto"/>
            </w:tcBorders>
            <w:shd w:val="clear" w:color="auto" w:fill="DBE5F1" w:themeFill="accent1" w:themeFillTint="33"/>
            <w:vAlign w:val="bottom"/>
            <w:hideMark/>
          </w:tcPr>
          <w:p w14:paraId="69D32CD5" w14:textId="47C737A5" w:rsidR="00D4106A" w:rsidRPr="00D4106A" w:rsidRDefault="00D4106A" w:rsidP="00BB6ED2">
            <w:pPr>
              <w:pStyle w:val="Tabletext"/>
              <w:ind w:right="113"/>
              <w:jc w:val="right"/>
              <w:rPr>
                <w:lang w:val="en-GB"/>
              </w:rPr>
            </w:pPr>
            <w:r w:rsidRPr="00D4106A">
              <w:rPr>
                <w:lang w:val="en-GB"/>
              </w:rPr>
              <w:t>8</w:t>
            </w:r>
            <w:r w:rsidR="002A6CF4">
              <w:rPr>
                <w:lang w:val="en-GB"/>
              </w:rPr>
              <w:t> </w:t>
            </w:r>
            <w:r w:rsidRPr="00D4106A">
              <w:rPr>
                <w:lang w:val="en-GB"/>
              </w:rPr>
              <w:t>634</w:t>
            </w:r>
            <w:r w:rsidR="002A6CF4">
              <w:rPr>
                <w:lang w:val="en-GB"/>
              </w:rPr>
              <w:t>,</w:t>
            </w:r>
            <w:r w:rsidRPr="00D4106A">
              <w:rPr>
                <w:lang w:val="en-GB"/>
              </w:rPr>
              <w:t>2</w:t>
            </w:r>
          </w:p>
        </w:tc>
        <w:tc>
          <w:tcPr>
            <w:tcW w:w="1372" w:type="dxa"/>
            <w:tcBorders>
              <w:top w:val="single" w:sz="4" w:space="0" w:color="auto"/>
            </w:tcBorders>
            <w:shd w:val="clear" w:color="auto" w:fill="auto"/>
            <w:vAlign w:val="bottom"/>
          </w:tcPr>
          <w:p w14:paraId="656BD7D8" w14:textId="34F279AC" w:rsidR="00D4106A" w:rsidRPr="00D4106A" w:rsidRDefault="00D4106A" w:rsidP="00BB6ED2">
            <w:pPr>
              <w:pStyle w:val="Tabletext"/>
              <w:ind w:right="227"/>
              <w:jc w:val="right"/>
              <w:rPr>
                <w:lang w:val="en-GB"/>
              </w:rPr>
            </w:pPr>
            <w:r w:rsidRPr="00D4106A">
              <w:rPr>
                <w:lang w:val="en-GB"/>
              </w:rPr>
              <w:t>5</w:t>
            </w:r>
            <w:r w:rsidR="002A6CF4">
              <w:rPr>
                <w:lang w:val="en-GB"/>
              </w:rPr>
              <w:t> </w:t>
            </w:r>
            <w:r w:rsidRPr="00D4106A">
              <w:rPr>
                <w:lang w:val="en-GB"/>
              </w:rPr>
              <w:t>925</w:t>
            </w:r>
            <w:r w:rsidR="002A6CF4">
              <w:rPr>
                <w:lang w:val="en-GB"/>
              </w:rPr>
              <w:t>,</w:t>
            </w:r>
            <w:r w:rsidRPr="00D4106A">
              <w:rPr>
                <w:lang w:val="en-GB"/>
              </w:rPr>
              <w:t>9</w:t>
            </w:r>
          </w:p>
        </w:tc>
        <w:tc>
          <w:tcPr>
            <w:tcW w:w="982" w:type="dxa"/>
            <w:tcBorders>
              <w:top w:val="single" w:sz="4" w:space="0" w:color="auto"/>
            </w:tcBorders>
            <w:shd w:val="clear" w:color="auto" w:fill="auto"/>
            <w:vAlign w:val="bottom"/>
          </w:tcPr>
          <w:p w14:paraId="75446BF5" w14:textId="736B80B2" w:rsidR="00D4106A" w:rsidRPr="00D4106A" w:rsidRDefault="00D4106A" w:rsidP="00BB6ED2">
            <w:pPr>
              <w:pStyle w:val="Tabletext"/>
              <w:jc w:val="center"/>
              <w:rPr>
                <w:lang w:val="en-GB"/>
              </w:rPr>
            </w:pPr>
            <w:r w:rsidRPr="00D4106A">
              <w:rPr>
                <w:lang w:val="en-GB"/>
              </w:rPr>
              <w:t>69</w:t>
            </w:r>
            <w:r w:rsidR="002A6CF4">
              <w:rPr>
                <w:lang w:val="en-GB"/>
              </w:rPr>
              <w:t> </w:t>
            </w:r>
            <w:r w:rsidRPr="00D4106A">
              <w:rPr>
                <w:lang w:val="en-GB"/>
              </w:rPr>
              <w:t>%</w:t>
            </w:r>
          </w:p>
        </w:tc>
      </w:tr>
      <w:tr w:rsidR="002A6CF4" w:rsidRPr="00D4106A" w14:paraId="39FFBC0F" w14:textId="77777777" w:rsidTr="00A779C9">
        <w:trPr>
          <w:jc w:val="center"/>
        </w:trPr>
        <w:tc>
          <w:tcPr>
            <w:tcW w:w="1088" w:type="dxa"/>
            <w:shd w:val="clear" w:color="auto" w:fill="auto"/>
            <w:hideMark/>
          </w:tcPr>
          <w:p w14:paraId="456A5F01" w14:textId="4A2EAA7A" w:rsidR="00D4106A" w:rsidRPr="00D4106A" w:rsidRDefault="00D4106A" w:rsidP="002A6CF4">
            <w:pPr>
              <w:pStyle w:val="Tabletext"/>
              <w:rPr>
                <w:lang w:val="en-GB"/>
              </w:rPr>
            </w:pPr>
            <w:r w:rsidRPr="00D4106A">
              <w:rPr>
                <w:lang w:val="en-GB"/>
              </w:rPr>
              <w:t>AMS</w:t>
            </w:r>
          </w:p>
        </w:tc>
        <w:tc>
          <w:tcPr>
            <w:tcW w:w="1385" w:type="dxa"/>
            <w:shd w:val="clear" w:color="auto" w:fill="auto"/>
            <w:noWrap/>
            <w:vAlign w:val="bottom"/>
          </w:tcPr>
          <w:p w14:paraId="1CCB86BA" w14:textId="77777777" w:rsidR="00D4106A" w:rsidRPr="00D4106A" w:rsidRDefault="00D4106A" w:rsidP="00BB6ED2">
            <w:pPr>
              <w:pStyle w:val="Tabletext"/>
              <w:ind w:right="454"/>
              <w:jc w:val="right"/>
              <w:rPr>
                <w:lang w:val="en-GB"/>
              </w:rPr>
            </w:pPr>
            <w:r w:rsidRPr="00D4106A">
              <w:rPr>
                <w:lang w:val="en-GB"/>
              </w:rPr>
              <w:t>11</w:t>
            </w:r>
          </w:p>
        </w:tc>
        <w:tc>
          <w:tcPr>
            <w:tcW w:w="1288" w:type="dxa"/>
            <w:shd w:val="clear" w:color="auto" w:fill="auto"/>
            <w:vAlign w:val="bottom"/>
          </w:tcPr>
          <w:p w14:paraId="46FC4D7C" w14:textId="76BA3522" w:rsidR="00D4106A" w:rsidRPr="00D4106A" w:rsidRDefault="00D4106A" w:rsidP="00BB6ED2">
            <w:pPr>
              <w:pStyle w:val="Tabletext"/>
              <w:ind w:right="170"/>
              <w:jc w:val="right"/>
              <w:rPr>
                <w:lang w:val="en-GB"/>
              </w:rPr>
            </w:pPr>
            <w:r w:rsidRPr="00D4106A">
              <w:rPr>
                <w:lang w:val="en-GB"/>
              </w:rPr>
              <w:t>40</w:t>
            </w:r>
            <w:r w:rsidR="002A6CF4">
              <w:rPr>
                <w:lang w:val="en-GB"/>
              </w:rPr>
              <w:t> </w:t>
            </w:r>
            <w:r w:rsidRPr="00D4106A">
              <w:rPr>
                <w:lang w:val="en-GB"/>
              </w:rPr>
              <w:t>023</w:t>
            </w:r>
            <w:r w:rsidR="002A6CF4">
              <w:rPr>
                <w:lang w:val="en-GB"/>
              </w:rPr>
              <w:t>,</w:t>
            </w:r>
            <w:r w:rsidRPr="00D4106A">
              <w:rPr>
                <w:lang w:val="en-GB"/>
              </w:rPr>
              <w:t>2</w:t>
            </w:r>
          </w:p>
        </w:tc>
        <w:tc>
          <w:tcPr>
            <w:tcW w:w="1092" w:type="dxa"/>
            <w:shd w:val="clear" w:color="auto" w:fill="auto"/>
            <w:vAlign w:val="bottom"/>
          </w:tcPr>
          <w:p w14:paraId="58356590" w14:textId="11F3ECA7" w:rsidR="00D4106A" w:rsidRPr="00D4106A" w:rsidRDefault="00D4106A" w:rsidP="00BB6ED2">
            <w:pPr>
              <w:pStyle w:val="Tabletext"/>
              <w:ind w:right="113"/>
              <w:jc w:val="right"/>
              <w:rPr>
                <w:lang w:val="en-GB"/>
              </w:rPr>
            </w:pPr>
            <w:r w:rsidRPr="00D4106A">
              <w:rPr>
                <w:lang w:val="en-GB"/>
              </w:rPr>
              <w:t>111</w:t>
            </w:r>
            <w:r w:rsidR="002A6CF4">
              <w:rPr>
                <w:lang w:val="en-GB"/>
              </w:rPr>
              <w:t>,</w:t>
            </w:r>
            <w:r w:rsidRPr="00D4106A">
              <w:rPr>
                <w:lang w:val="en-GB"/>
              </w:rPr>
              <w:t>2</w:t>
            </w:r>
          </w:p>
        </w:tc>
        <w:tc>
          <w:tcPr>
            <w:tcW w:w="1185" w:type="dxa"/>
            <w:shd w:val="clear" w:color="auto" w:fill="auto"/>
            <w:vAlign w:val="bottom"/>
          </w:tcPr>
          <w:p w14:paraId="13862526" w14:textId="6DC2FC8C" w:rsidR="00D4106A" w:rsidRPr="00D4106A" w:rsidRDefault="00D4106A" w:rsidP="00BB6ED2">
            <w:pPr>
              <w:pStyle w:val="Tabletext"/>
              <w:ind w:right="170"/>
              <w:jc w:val="right"/>
              <w:rPr>
                <w:lang w:val="en-GB"/>
              </w:rPr>
            </w:pPr>
            <w:r w:rsidRPr="00D4106A">
              <w:rPr>
                <w:lang w:val="en-GB"/>
              </w:rPr>
              <w:t>240</w:t>
            </w:r>
            <w:r w:rsidR="002A6CF4">
              <w:rPr>
                <w:lang w:val="en-GB"/>
              </w:rPr>
              <w:t>,</w:t>
            </w:r>
            <w:r w:rsidRPr="00D4106A">
              <w:rPr>
                <w:lang w:val="en-GB"/>
              </w:rPr>
              <w:t>8</w:t>
            </w:r>
          </w:p>
        </w:tc>
        <w:tc>
          <w:tcPr>
            <w:tcW w:w="1236" w:type="dxa"/>
            <w:shd w:val="clear" w:color="auto" w:fill="DBE5F1" w:themeFill="accent1" w:themeFillTint="33"/>
            <w:vAlign w:val="bottom"/>
          </w:tcPr>
          <w:p w14:paraId="1C4BE27F" w14:textId="35B49D8A" w:rsidR="00D4106A" w:rsidRPr="00D4106A" w:rsidRDefault="00D4106A" w:rsidP="00BB6ED2">
            <w:pPr>
              <w:pStyle w:val="Tabletext"/>
              <w:ind w:right="113"/>
              <w:jc w:val="right"/>
              <w:rPr>
                <w:lang w:val="en-GB"/>
              </w:rPr>
            </w:pPr>
            <w:r w:rsidRPr="00D4106A">
              <w:rPr>
                <w:lang w:val="en-GB"/>
              </w:rPr>
              <w:t>40</w:t>
            </w:r>
            <w:r w:rsidR="002A6CF4">
              <w:rPr>
                <w:lang w:val="en-GB"/>
              </w:rPr>
              <w:t> </w:t>
            </w:r>
            <w:r w:rsidRPr="00D4106A">
              <w:rPr>
                <w:lang w:val="en-GB"/>
              </w:rPr>
              <w:t>375</w:t>
            </w:r>
            <w:r w:rsidR="002A6CF4">
              <w:rPr>
                <w:lang w:val="en-GB"/>
              </w:rPr>
              <w:t>,</w:t>
            </w:r>
            <w:r w:rsidRPr="00D4106A">
              <w:rPr>
                <w:lang w:val="en-GB"/>
              </w:rPr>
              <w:t>2</w:t>
            </w:r>
          </w:p>
        </w:tc>
        <w:tc>
          <w:tcPr>
            <w:tcW w:w="1372" w:type="dxa"/>
            <w:shd w:val="clear" w:color="auto" w:fill="auto"/>
            <w:vAlign w:val="bottom"/>
          </w:tcPr>
          <w:p w14:paraId="263CE4C0" w14:textId="31F7AAB4" w:rsidR="00D4106A" w:rsidRPr="00D4106A" w:rsidRDefault="00D4106A" w:rsidP="00BB6ED2">
            <w:pPr>
              <w:pStyle w:val="Tabletext"/>
              <w:ind w:right="227"/>
              <w:jc w:val="right"/>
              <w:rPr>
                <w:lang w:val="en-GB"/>
              </w:rPr>
            </w:pPr>
            <w:r w:rsidRPr="00D4106A">
              <w:rPr>
                <w:lang w:val="en-GB"/>
              </w:rPr>
              <w:t>5</w:t>
            </w:r>
            <w:r w:rsidR="002A6CF4">
              <w:rPr>
                <w:lang w:val="en-GB"/>
              </w:rPr>
              <w:t> </w:t>
            </w:r>
            <w:r w:rsidRPr="00D4106A">
              <w:rPr>
                <w:lang w:val="en-GB"/>
              </w:rPr>
              <w:t>190</w:t>
            </w:r>
            <w:r w:rsidR="002A6CF4">
              <w:rPr>
                <w:lang w:val="en-GB"/>
              </w:rPr>
              <w:t>,</w:t>
            </w:r>
            <w:r w:rsidRPr="00D4106A">
              <w:rPr>
                <w:lang w:val="en-GB"/>
              </w:rPr>
              <w:t>8</w:t>
            </w:r>
          </w:p>
        </w:tc>
        <w:tc>
          <w:tcPr>
            <w:tcW w:w="982" w:type="dxa"/>
            <w:shd w:val="clear" w:color="auto" w:fill="auto"/>
            <w:vAlign w:val="bottom"/>
          </w:tcPr>
          <w:p w14:paraId="09205F96" w14:textId="7E351FFA" w:rsidR="00D4106A" w:rsidRPr="00D4106A" w:rsidRDefault="00D4106A" w:rsidP="00BB6ED2">
            <w:pPr>
              <w:pStyle w:val="Tabletext"/>
              <w:jc w:val="center"/>
              <w:rPr>
                <w:lang w:val="en-GB"/>
              </w:rPr>
            </w:pPr>
            <w:r w:rsidRPr="00D4106A">
              <w:rPr>
                <w:lang w:val="en-GB"/>
              </w:rPr>
              <w:t>13</w:t>
            </w:r>
            <w:r w:rsidR="002A6CF4">
              <w:rPr>
                <w:lang w:val="en-GB"/>
              </w:rPr>
              <w:t> </w:t>
            </w:r>
            <w:r w:rsidRPr="00D4106A">
              <w:rPr>
                <w:lang w:val="en-GB"/>
              </w:rPr>
              <w:t>%</w:t>
            </w:r>
          </w:p>
        </w:tc>
      </w:tr>
      <w:tr w:rsidR="002A6CF4" w:rsidRPr="00D4106A" w14:paraId="070B9E06" w14:textId="77777777" w:rsidTr="00A779C9">
        <w:trPr>
          <w:jc w:val="center"/>
        </w:trPr>
        <w:tc>
          <w:tcPr>
            <w:tcW w:w="1088" w:type="dxa"/>
            <w:hideMark/>
          </w:tcPr>
          <w:p w14:paraId="22DE58A1" w14:textId="7B4EE98D" w:rsidR="00D4106A" w:rsidRPr="00D4106A" w:rsidRDefault="00D4106A" w:rsidP="002A6CF4">
            <w:pPr>
              <w:pStyle w:val="Tabletext"/>
              <w:rPr>
                <w:lang w:val="en-GB"/>
              </w:rPr>
            </w:pPr>
            <w:r w:rsidRPr="00D4106A">
              <w:rPr>
                <w:lang w:val="en-GB"/>
              </w:rPr>
              <w:t>ARB</w:t>
            </w:r>
          </w:p>
        </w:tc>
        <w:tc>
          <w:tcPr>
            <w:tcW w:w="1385" w:type="dxa"/>
            <w:shd w:val="clear" w:color="auto" w:fill="auto"/>
            <w:vAlign w:val="bottom"/>
          </w:tcPr>
          <w:p w14:paraId="46FACF69" w14:textId="77777777" w:rsidR="00D4106A" w:rsidRPr="00D4106A" w:rsidRDefault="00D4106A" w:rsidP="00BB6ED2">
            <w:pPr>
              <w:pStyle w:val="Tabletext"/>
              <w:ind w:right="454"/>
              <w:jc w:val="right"/>
              <w:rPr>
                <w:lang w:val="en-GB"/>
              </w:rPr>
            </w:pPr>
            <w:r w:rsidRPr="00D4106A">
              <w:rPr>
                <w:lang w:val="en-GB"/>
              </w:rPr>
              <w:t>11</w:t>
            </w:r>
          </w:p>
        </w:tc>
        <w:tc>
          <w:tcPr>
            <w:tcW w:w="1288" w:type="dxa"/>
            <w:vAlign w:val="bottom"/>
          </w:tcPr>
          <w:p w14:paraId="1EF3CE75" w14:textId="790AD878" w:rsidR="00D4106A" w:rsidRPr="00D4106A" w:rsidRDefault="00D4106A" w:rsidP="00BB6ED2">
            <w:pPr>
              <w:pStyle w:val="Tabletext"/>
              <w:ind w:right="170"/>
              <w:jc w:val="right"/>
              <w:rPr>
                <w:lang w:val="en-GB"/>
              </w:rPr>
            </w:pPr>
            <w:r w:rsidRPr="00D4106A">
              <w:rPr>
                <w:lang w:val="en-GB"/>
              </w:rPr>
              <w:t>5</w:t>
            </w:r>
            <w:r w:rsidR="002A6CF4">
              <w:rPr>
                <w:lang w:val="en-GB"/>
              </w:rPr>
              <w:t> </w:t>
            </w:r>
            <w:r w:rsidRPr="00D4106A">
              <w:rPr>
                <w:lang w:val="en-GB"/>
              </w:rPr>
              <w:t>183</w:t>
            </w:r>
            <w:r w:rsidR="002A6CF4">
              <w:rPr>
                <w:lang w:val="en-GB"/>
              </w:rPr>
              <w:t>,</w:t>
            </w:r>
            <w:r w:rsidRPr="00D4106A">
              <w:rPr>
                <w:lang w:val="en-GB"/>
              </w:rPr>
              <w:t>1</w:t>
            </w:r>
          </w:p>
        </w:tc>
        <w:tc>
          <w:tcPr>
            <w:tcW w:w="1092" w:type="dxa"/>
            <w:vAlign w:val="bottom"/>
          </w:tcPr>
          <w:p w14:paraId="0A4413C8" w14:textId="39489BC9" w:rsidR="00D4106A" w:rsidRPr="00D4106A" w:rsidRDefault="00D4106A" w:rsidP="00BB6ED2">
            <w:pPr>
              <w:pStyle w:val="Tabletext"/>
              <w:ind w:right="113"/>
              <w:jc w:val="right"/>
              <w:rPr>
                <w:lang w:val="en-GB"/>
              </w:rPr>
            </w:pPr>
            <w:r w:rsidRPr="00D4106A">
              <w:rPr>
                <w:lang w:val="en-GB"/>
              </w:rPr>
              <w:t>668</w:t>
            </w:r>
            <w:r w:rsidR="002A6CF4">
              <w:rPr>
                <w:lang w:val="en-GB"/>
              </w:rPr>
              <w:t>,</w:t>
            </w:r>
            <w:r w:rsidRPr="00D4106A">
              <w:rPr>
                <w:lang w:val="en-GB"/>
              </w:rPr>
              <w:t>2</w:t>
            </w:r>
          </w:p>
        </w:tc>
        <w:tc>
          <w:tcPr>
            <w:tcW w:w="1185" w:type="dxa"/>
            <w:vAlign w:val="bottom"/>
          </w:tcPr>
          <w:p w14:paraId="70B798C0" w14:textId="24C8056D" w:rsidR="00D4106A" w:rsidRPr="00D4106A" w:rsidRDefault="00D4106A" w:rsidP="00BB6ED2">
            <w:pPr>
              <w:pStyle w:val="Tabletext"/>
              <w:ind w:right="170"/>
              <w:jc w:val="right"/>
              <w:rPr>
                <w:lang w:val="en-GB"/>
              </w:rPr>
            </w:pPr>
            <w:r w:rsidRPr="00D4106A">
              <w:rPr>
                <w:lang w:val="en-GB"/>
              </w:rPr>
              <w:t>209</w:t>
            </w:r>
            <w:r w:rsidR="002A6CF4">
              <w:rPr>
                <w:lang w:val="en-GB"/>
              </w:rPr>
              <w:t>,</w:t>
            </w:r>
            <w:r w:rsidRPr="00D4106A">
              <w:rPr>
                <w:lang w:val="en-GB"/>
              </w:rPr>
              <w:t>1</w:t>
            </w:r>
          </w:p>
        </w:tc>
        <w:tc>
          <w:tcPr>
            <w:tcW w:w="1236" w:type="dxa"/>
            <w:shd w:val="clear" w:color="auto" w:fill="DBE5F1" w:themeFill="accent1" w:themeFillTint="33"/>
            <w:vAlign w:val="bottom"/>
          </w:tcPr>
          <w:p w14:paraId="4E6BE753" w14:textId="02203449" w:rsidR="00D4106A" w:rsidRPr="00D4106A" w:rsidRDefault="00D4106A" w:rsidP="00BB6ED2">
            <w:pPr>
              <w:pStyle w:val="Tabletext"/>
              <w:ind w:right="113"/>
              <w:jc w:val="right"/>
              <w:rPr>
                <w:lang w:val="en-GB"/>
              </w:rPr>
            </w:pPr>
            <w:r w:rsidRPr="00D4106A">
              <w:rPr>
                <w:lang w:val="en-GB"/>
              </w:rPr>
              <w:t>6</w:t>
            </w:r>
            <w:r w:rsidR="002A6CF4">
              <w:rPr>
                <w:lang w:val="en-GB"/>
              </w:rPr>
              <w:t> </w:t>
            </w:r>
            <w:r w:rsidRPr="00D4106A">
              <w:rPr>
                <w:lang w:val="en-GB"/>
              </w:rPr>
              <w:t>060</w:t>
            </w:r>
            <w:r w:rsidR="002A6CF4">
              <w:rPr>
                <w:lang w:val="en-GB"/>
              </w:rPr>
              <w:t>,</w:t>
            </w:r>
            <w:r w:rsidRPr="00D4106A">
              <w:rPr>
                <w:lang w:val="en-GB"/>
              </w:rPr>
              <w:t>4</w:t>
            </w:r>
          </w:p>
        </w:tc>
        <w:tc>
          <w:tcPr>
            <w:tcW w:w="1372" w:type="dxa"/>
            <w:vAlign w:val="bottom"/>
          </w:tcPr>
          <w:p w14:paraId="1C963272" w14:textId="44471AD2" w:rsidR="00D4106A" w:rsidRPr="00D4106A" w:rsidRDefault="00D4106A" w:rsidP="00BB6ED2">
            <w:pPr>
              <w:pStyle w:val="Tabletext"/>
              <w:ind w:right="227"/>
              <w:jc w:val="right"/>
              <w:rPr>
                <w:lang w:val="en-GB"/>
              </w:rPr>
            </w:pPr>
            <w:r w:rsidRPr="00D4106A">
              <w:rPr>
                <w:lang w:val="en-GB"/>
              </w:rPr>
              <w:t>1</w:t>
            </w:r>
            <w:r w:rsidR="002A6CF4">
              <w:rPr>
                <w:lang w:val="en-GB"/>
              </w:rPr>
              <w:t> </w:t>
            </w:r>
            <w:r w:rsidRPr="00D4106A">
              <w:rPr>
                <w:lang w:val="en-GB"/>
              </w:rPr>
              <w:t>755</w:t>
            </w:r>
            <w:r w:rsidR="002A6CF4">
              <w:rPr>
                <w:lang w:val="en-GB"/>
              </w:rPr>
              <w:t>,</w:t>
            </w:r>
            <w:r w:rsidRPr="00D4106A">
              <w:rPr>
                <w:lang w:val="en-GB"/>
              </w:rPr>
              <w:t>2</w:t>
            </w:r>
          </w:p>
        </w:tc>
        <w:tc>
          <w:tcPr>
            <w:tcW w:w="982" w:type="dxa"/>
            <w:vAlign w:val="bottom"/>
          </w:tcPr>
          <w:p w14:paraId="491A0A58" w14:textId="5718A8A3" w:rsidR="00D4106A" w:rsidRPr="00D4106A" w:rsidRDefault="00D4106A" w:rsidP="00BB6ED2">
            <w:pPr>
              <w:pStyle w:val="Tabletext"/>
              <w:jc w:val="center"/>
              <w:rPr>
                <w:lang w:val="en-GB"/>
              </w:rPr>
            </w:pPr>
            <w:r w:rsidRPr="00D4106A">
              <w:rPr>
                <w:lang w:val="en-GB"/>
              </w:rPr>
              <w:t>29</w:t>
            </w:r>
            <w:r w:rsidR="002A6CF4">
              <w:rPr>
                <w:lang w:val="en-GB"/>
              </w:rPr>
              <w:t> </w:t>
            </w:r>
            <w:r w:rsidRPr="00D4106A">
              <w:rPr>
                <w:lang w:val="en-GB"/>
              </w:rPr>
              <w:t>%</w:t>
            </w:r>
          </w:p>
        </w:tc>
      </w:tr>
      <w:tr w:rsidR="002A6CF4" w:rsidRPr="00D4106A" w14:paraId="1AFE2947" w14:textId="77777777" w:rsidTr="00A779C9">
        <w:trPr>
          <w:jc w:val="center"/>
        </w:trPr>
        <w:tc>
          <w:tcPr>
            <w:tcW w:w="1088" w:type="dxa"/>
            <w:shd w:val="clear" w:color="auto" w:fill="auto"/>
            <w:vAlign w:val="center"/>
            <w:hideMark/>
          </w:tcPr>
          <w:p w14:paraId="63BA0DAA" w14:textId="77777777" w:rsidR="00D4106A" w:rsidRPr="00D4106A" w:rsidRDefault="00D4106A" w:rsidP="002A6CF4">
            <w:pPr>
              <w:pStyle w:val="Tabletext"/>
              <w:rPr>
                <w:lang w:val="en-GB"/>
              </w:rPr>
            </w:pPr>
            <w:r w:rsidRPr="00D4106A">
              <w:rPr>
                <w:lang w:val="en-GB"/>
              </w:rPr>
              <w:t>ASP</w:t>
            </w:r>
          </w:p>
        </w:tc>
        <w:tc>
          <w:tcPr>
            <w:tcW w:w="1385" w:type="dxa"/>
            <w:shd w:val="clear" w:color="auto" w:fill="auto"/>
            <w:noWrap/>
            <w:vAlign w:val="bottom"/>
          </w:tcPr>
          <w:p w14:paraId="73AB2984" w14:textId="77777777" w:rsidR="00D4106A" w:rsidRPr="00D4106A" w:rsidRDefault="00D4106A" w:rsidP="00BB6ED2">
            <w:pPr>
              <w:pStyle w:val="Tabletext"/>
              <w:ind w:right="454"/>
              <w:jc w:val="right"/>
              <w:rPr>
                <w:lang w:val="en-GB"/>
              </w:rPr>
            </w:pPr>
            <w:r w:rsidRPr="00D4106A">
              <w:rPr>
                <w:lang w:val="en-GB"/>
              </w:rPr>
              <w:t>6</w:t>
            </w:r>
          </w:p>
        </w:tc>
        <w:tc>
          <w:tcPr>
            <w:tcW w:w="1288" w:type="dxa"/>
            <w:shd w:val="clear" w:color="auto" w:fill="auto"/>
            <w:vAlign w:val="bottom"/>
          </w:tcPr>
          <w:p w14:paraId="0864A956" w14:textId="16C300EA" w:rsidR="00D4106A" w:rsidRPr="00D4106A" w:rsidRDefault="00D4106A" w:rsidP="00BB6ED2">
            <w:pPr>
              <w:pStyle w:val="Tabletext"/>
              <w:ind w:right="170"/>
              <w:jc w:val="right"/>
              <w:rPr>
                <w:lang w:val="en-GB"/>
              </w:rPr>
            </w:pPr>
            <w:r w:rsidRPr="00D4106A">
              <w:rPr>
                <w:lang w:val="en-GB"/>
              </w:rPr>
              <w:t>3</w:t>
            </w:r>
            <w:r w:rsidR="002A6CF4">
              <w:rPr>
                <w:lang w:val="en-GB"/>
              </w:rPr>
              <w:t> </w:t>
            </w:r>
            <w:r w:rsidRPr="00D4106A">
              <w:rPr>
                <w:lang w:val="en-GB"/>
              </w:rPr>
              <w:t>833</w:t>
            </w:r>
            <w:r w:rsidR="002A6CF4">
              <w:rPr>
                <w:lang w:val="en-GB"/>
              </w:rPr>
              <w:t>,</w:t>
            </w:r>
            <w:r w:rsidRPr="00D4106A">
              <w:rPr>
                <w:lang w:val="en-GB"/>
              </w:rPr>
              <w:t>0</w:t>
            </w:r>
          </w:p>
        </w:tc>
        <w:tc>
          <w:tcPr>
            <w:tcW w:w="1092" w:type="dxa"/>
            <w:shd w:val="clear" w:color="auto" w:fill="auto"/>
            <w:vAlign w:val="bottom"/>
          </w:tcPr>
          <w:p w14:paraId="18C10FCD" w14:textId="77777777" w:rsidR="00D4106A" w:rsidRPr="00D4106A" w:rsidRDefault="00D4106A" w:rsidP="00BB6ED2">
            <w:pPr>
              <w:pStyle w:val="Tabletext"/>
              <w:ind w:right="113"/>
              <w:jc w:val="right"/>
              <w:rPr>
                <w:lang w:val="en-GB"/>
              </w:rPr>
            </w:pPr>
          </w:p>
        </w:tc>
        <w:tc>
          <w:tcPr>
            <w:tcW w:w="1185" w:type="dxa"/>
            <w:shd w:val="clear" w:color="auto" w:fill="auto"/>
            <w:vAlign w:val="bottom"/>
          </w:tcPr>
          <w:p w14:paraId="4187F0DB" w14:textId="0D1ECC06" w:rsidR="00D4106A" w:rsidRPr="00D4106A" w:rsidRDefault="00D4106A" w:rsidP="00BB6ED2">
            <w:pPr>
              <w:pStyle w:val="Tabletext"/>
              <w:ind w:right="170"/>
              <w:jc w:val="right"/>
              <w:rPr>
                <w:lang w:val="en-GB"/>
              </w:rPr>
            </w:pPr>
            <w:r w:rsidRPr="00D4106A">
              <w:rPr>
                <w:lang w:val="en-GB"/>
              </w:rPr>
              <w:t>222</w:t>
            </w:r>
            <w:r w:rsidR="002A6CF4">
              <w:rPr>
                <w:lang w:val="en-GB"/>
              </w:rPr>
              <w:t>,</w:t>
            </w:r>
            <w:r w:rsidRPr="00D4106A">
              <w:rPr>
                <w:lang w:val="en-GB"/>
              </w:rPr>
              <w:t>0</w:t>
            </w:r>
          </w:p>
        </w:tc>
        <w:tc>
          <w:tcPr>
            <w:tcW w:w="1236" w:type="dxa"/>
            <w:shd w:val="clear" w:color="auto" w:fill="DBE5F1" w:themeFill="accent1" w:themeFillTint="33"/>
            <w:vAlign w:val="bottom"/>
          </w:tcPr>
          <w:p w14:paraId="172FE30B" w14:textId="35A48FAD" w:rsidR="00D4106A" w:rsidRPr="00D4106A" w:rsidRDefault="00D4106A" w:rsidP="00BB6ED2">
            <w:pPr>
              <w:pStyle w:val="Tabletext"/>
              <w:ind w:right="113"/>
              <w:jc w:val="right"/>
              <w:rPr>
                <w:lang w:val="en-GB"/>
              </w:rPr>
            </w:pPr>
            <w:r w:rsidRPr="00D4106A">
              <w:rPr>
                <w:lang w:val="en-GB"/>
              </w:rPr>
              <w:t>4</w:t>
            </w:r>
            <w:r w:rsidR="002A6CF4">
              <w:rPr>
                <w:lang w:val="en-GB"/>
              </w:rPr>
              <w:t> </w:t>
            </w:r>
            <w:r w:rsidRPr="00D4106A">
              <w:rPr>
                <w:lang w:val="en-GB"/>
              </w:rPr>
              <w:t>257</w:t>
            </w:r>
            <w:r w:rsidR="002A6CF4">
              <w:rPr>
                <w:lang w:val="en-GB"/>
              </w:rPr>
              <w:t>,</w:t>
            </w:r>
            <w:r w:rsidRPr="00D4106A">
              <w:rPr>
                <w:lang w:val="en-GB"/>
              </w:rPr>
              <w:t>5</w:t>
            </w:r>
          </w:p>
        </w:tc>
        <w:tc>
          <w:tcPr>
            <w:tcW w:w="1372" w:type="dxa"/>
            <w:shd w:val="clear" w:color="auto" w:fill="auto"/>
            <w:vAlign w:val="bottom"/>
          </w:tcPr>
          <w:p w14:paraId="2325DC8A" w14:textId="010D3A92" w:rsidR="00D4106A" w:rsidRPr="00D4106A" w:rsidRDefault="00D4106A" w:rsidP="00BB6ED2">
            <w:pPr>
              <w:pStyle w:val="Tabletext"/>
              <w:ind w:right="227"/>
              <w:jc w:val="right"/>
              <w:rPr>
                <w:lang w:val="en-GB"/>
              </w:rPr>
            </w:pPr>
            <w:r w:rsidRPr="00D4106A">
              <w:rPr>
                <w:lang w:val="en-GB"/>
              </w:rPr>
              <w:t>4</w:t>
            </w:r>
            <w:r w:rsidR="002A6CF4">
              <w:rPr>
                <w:lang w:val="en-GB"/>
              </w:rPr>
              <w:t> </w:t>
            </w:r>
            <w:r w:rsidRPr="00D4106A">
              <w:rPr>
                <w:lang w:val="en-GB"/>
              </w:rPr>
              <w:t>105</w:t>
            </w:r>
            <w:r w:rsidR="002A6CF4">
              <w:rPr>
                <w:lang w:val="en-GB"/>
              </w:rPr>
              <w:t>,</w:t>
            </w:r>
            <w:r w:rsidRPr="00D4106A">
              <w:rPr>
                <w:lang w:val="en-GB"/>
              </w:rPr>
              <w:t>6</w:t>
            </w:r>
          </w:p>
        </w:tc>
        <w:tc>
          <w:tcPr>
            <w:tcW w:w="982" w:type="dxa"/>
            <w:shd w:val="clear" w:color="auto" w:fill="auto"/>
            <w:vAlign w:val="bottom"/>
          </w:tcPr>
          <w:p w14:paraId="7E8A4ECE" w14:textId="680A67EE" w:rsidR="00D4106A" w:rsidRPr="00D4106A" w:rsidRDefault="00D4106A" w:rsidP="00BB6ED2">
            <w:pPr>
              <w:pStyle w:val="Tabletext"/>
              <w:jc w:val="center"/>
              <w:rPr>
                <w:lang w:val="en-GB"/>
              </w:rPr>
            </w:pPr>
            <w:r w:rsidRPr="00D4106A">
              <w:rPr>
                <w:lang w:val="en-GB"/>
              </w:rPr>
              <w:t>96</w:t>
            </w:r>
            <w:r w:rsidR="002A6CF4">
              <w:rPr>
                <w:lang w:val="en-GB"/>
              </w:rPr>
              <w:t> </w:t>
            </w:r>
            <w:r w:rsidRPr="00D4106A">
              <w:rPr>
                <w:lang w:val="en-GB"/>
              </w:rPr>
              <w:t>%</w:t>
            </w:r>
          </w:p>
        </w:tc>
      </w:tr>
      <w:tr w:rsidR="002A6CF4" w:rsidRPr="00D4106A" w14:paraId="4AE99F75" w14:textId="77777777" w:rsidTr="00A779C9">
        <w:trPr>
          <w:jc w:val="center"/>
        </w:trPr>
        <w:tc>
          <w:tcPr>
            <w:tcW w:w="1088" w:type="dxa"/>
            <w:hideMark/>
          </w:tcPr>
          <w:p w14:paraId="238246C3" w14:textId="32C431FB" w:rsidR="00D4106A" w:rsidRPr="00D4106A" w:rsidRDefault="00D4106A" w:rsidP="002A6CF4">
            <w:pPr>
              <w:pStyle w:val="Tabletext"/>
              <w:rPr>
                <w:lang w:val="en-GB"/>
              </w:rPr>
            </w:pPr>
            <w:r w:rsidRPr="00D4106A">
              <w:rPr>
                <w:lang w:val="en-GB"/>
              </w:rPr>
              <w:t>CIS</w:t>
            </w:r>
          </w:p>
        </w:tc>
        <w:tc>
          <w:tcPr>
            <w:tcW w:w="1385" w:type="dxa"/>
            <w:shd w:val="clear" w:color="auto" w:fill="auto"/>
            <w:vAlign w:val="bottom"/>
          </w:tcPr>
          <w:p w14:paraId="57E162A2" w14:textId="77777777" w:rsidR="00D4106A" w:rsidRPr="00D4106A" w:rsidRDefault="00D4106A" w:rsidP="00BB6ED2">
            <w:pPr>
              <w:pStyle w:val="Tabletext"/>
              <w:ind w:right="454"/>
              <w:jc w:val="right"/>
              <w:rPr>
                <w:lang w:val="en-GB"/>
              </w:rPr>
            </w:pPr>
            <w:r w:rsidRPr="00D4106A">
              <w:rPr>
                <w:lang w:val="en-GB"/>
              </w:rPr>
              <w:t>4</w:t>
            </w:r>
          </w:p>
        </w:tc>
        <w:tc>
          <w:tcPr>
            <w:tcW w:w="1288" w:type="dxa"/>
            <w:vAlign w:val="bottom"/>
          </w:tcPr>
          <w:p w14:paraId="7C91B8BD" w14:textId="6784880A" w:rsidR="00D4106A" w:rsidRPr="00D4106A" w:rsidRDefault="00D4106A" w:rsidP="00BB6ED2">
            <w:pPr>
              <w:pStyle w:val="Tabletext"/>
              <w:ind w:right="170"/>
              <w:jc w:val="right"/>
              <w:rPr>
                <w:lang w:val="en-GB"/>
              </w:rPr>
            </w:pPr>
            <w:r w:rsidRPr="00D4106A">
              <w:rPr>
                <w:lang w:val="en-GB"/>
              </w:rPr>
              <w:t>409</w:t>
            </w:r>
            <w:r w:rsidR="002A6CF4">
              <w:rPr>
                <w:lang w:val="en-GB"/>
              </w:rPr>
              <w:t>,</w:t>
            </w:r>
            <w:r w:rsidRPr="00D4106A">
              <w:rPr>
                <w:lang w:val="en-GB"/>
              </w:rPr>
              <w:t>3</w:t>
            </w:r>
          </w:p>
        </w:tc>
        <w:tc>
          <w:tcPr>
            <w:tcW w:w="1092" w:type="dxa"/>
            <w:vAlign w:val="bottom"/>
          </w:tcPr>
          <w:p w14:paraId="7D692D55" w14:textId="77777777" w:rsidR="00D4106A" w:rsidRPr="00D4106A" w:rsidRDefault="00D4106A" w:rsidP="00BB6ED2">
            <w:pPr>
              <w:pStyle w:val="Tabletext"/>
              <w:ind w:right="113"/>
              <w:jc w:val="right"/>
              <w:rPr>
                <w:lang w:val="en-GB"/>
              </w:rPr>
            </w:pPr>
          </w:p>
        </w:tc>
        <w:tc>
          <w:tcPr>
            <w:tcW w:w="1185" w:type="dxa"/>
            <w:vAlign w:val="bottom"/>
          </w:tcPr>
          <w:p w14:paraId="46FD0DB0" w14:textId="32F56FED" w:rsidR="00D4106A" w:rsidRPr="00D4106A" w:rsidRDefault="00D4106A" w:rsidP="00BB6ED2">
            <w:pPr>
              <w:pStyle w:val="Tabletext"/>
              <w:ind w:right="170"/>
              <w:jc w:val="right"/>
              <w:rPr>
                <w:lang w:val="en-GB"/>
              </w:rPr>
            </w:pPr>
            <w:r w:rsidRPr="00D4106A">
              <w:rPr>
                <w:lang w:val="en-GB"/>
              </w:rPr>
              <w:t>340</w:t>
            </w:r>
            <w:r w:rsidR="002A6CF4">
              <w:rPr>
                <w:lang w:val="en-GB"/>
              </w:rPr>
              <w:t>,</w:t>
            </w:r>
            <w:r w:rsidRPr="00D4106A">
              <w:rPr>
                <w:lang w:val="en-GB"/>
              </w:rPr>
              <w:t>2</w:t>
            </w:r>
          </w:p>
        </w:tc>
        <w:tc>
          <w:tcPr>
            <w:tcW w:w="1236" w:type="dxa"/>
            <w:shd w:val="clear" w:color="auto" w:fill="DBE5F1" w:themeFill="accent1" w:themeFillTint="33"/>
            <w:vAlign w:val="bottom"/>
          </w:tcPr>
          <w:p w14:paraId="750303DB" w14:textId="10ABF495" w:rsidR="00D4106A" w:rsidRPr="00D4106A" w:rsidRDefault="00D4106A" w:rsidP="00BB6ED2">
            <w:pPr>
              <w:pStyle w:val="Tabletext"/>
              <w:ind w:right="113"/>
              <w:jc w:val="right"/>
              <w:rPr>
                <w:lang w:val="en-GB"/>
              </w:rPr>
            </w:pPr>
            <w:r w:rsidRPr="00D4106A">
              <w:rPr>
                <w:lang w:val="en-GB"/>
              </w:rPr>
              <w:t>749</w:t>
            </w:r>
            <w:r w:rsidR="002A6CF4">
              <w:rPr>
                <w:lang w:val="en-GB"/>
              </w:rPr>
              <w:t>,</w:t>
            </w:r>
            <w:r w:rsidRPr="00D4106A">
              <w:rPr>
                <w:lang w:val="en-GB"/>
              </w:rPr>
              <w:t>5</w:t>
            </w:r>
          </w:p>
        </w:tc>
        <w:tc>
          <w:tcPr>
            <w:tcW w:w="1372" w:type="dxa"/>
            <w:vAlign w:val="bottom"/>
          </w:tcPr>
          <w:p w14:paraId="0FB7F07B" w14:textId="76D9DC3E" w:rsidR="00D4106A" w:rsidRPr="00D4106A" w:rsidRDefault="00D4106A" w:rsidP="00BB6ED2">
            <w:pPr>
              <w:pStyle w:val="Tabletext"/>
              <w:ind w:right="227"/>
              <w:jc w:val="right"/>
              <w:rPr>
                <w:lang w:val="en-GB"/>
              </w:rPr>
            </w:pPr>
            <w:r w:rsidRPr="00D4106A">
              <w:rPr>
                <w:lang w:val="en-GB"/>
              </w:rPr>
              <w:t>187</w:t>
            </w:r>
            <w:r w:rsidR="002A6CF4">
              <w:rPr>
                <w:lang w:val="en-GB"/>
              </w:rPr>
              <w:t>,</w:t>
            </w:r>
            <w:r w:rsidRPr="00D4106A">
              <w:rPr>
                <w:lang w:val="en-GB"/>
              </w:rPr>
              <w:t>7</w:t>
            </w:r>
          </w:p>
        </w:tc>
        <w:tc>
          <w:tcPr>
            <w:tcW w:w="982" w:type="dxa"/>
            <w:vAlign w:val="bottom"/>
          </w:tcPr>
          <w:p w14:paraId="1E916558" w14:textId="7241F2D2" w:rsidR="00D4106A" w:rsidRPr="00D4106A" w:rsidRDefault="00D4106A" w:rsidP="00BB6ED2">
            <w:pPr>
              <w:pStyle w:val="Tabletext"/>
              <w:jc w:val="center"/>
              <w:rPr>
                <w:lang w:val="en-GB"/>
              </w:rPr>
            </w:pPr>
            <w:r w:rsidRPr="00D4106A">
              <w:rPr>
                <w:lang w:val="en-GB"/>
              </w:rPr>
              <w:t>25</w:t>
            </w:r>
            <w:r w:rsidR="002A6CF4">
              <w:rPr>
                <w:lang w:val="en-GB"/>
              </w:rPr>
              <w:t> </w:t>
            </w:r>
            <w:r w:rsidRPr="00D4106A">
              <w:rPr>
                <w:lang w:val="en-GB"/>
              </w:rPr>
              <w:t>%</w:t>
            </w:r>
          </w:p>
        </w:tc>
      </w:tr>
      <w:tr w:rsidR="002A6CF4" w:rsidRPr="00D4106A" w14:paraId="21EBEA3A" w14:textId="77777777" w:rsidTr="00A779C9">
        <w:trPr>
          <w:jc w:val="center"/>
        </w:trPr>
        <w:tc>
          <w:tcPr>
            <w:tcW w:w="1088" w:type="dxa"/>
            <w:vAlign w:val="bottom"/>
            <w:hideMark/>
          </w:tcPr>
          <w:p w14:paraId="7F973812" w14:textId="77777777" w:rsidR="00D4106A" w:rsidRPr="00D4106A" w:rsidRDefault="00D4106A" w:rsidP="002A6CF4">
            <w:pPr>
              <w:pStyle w:val="Tabletext"/>
              <w:rPr>
                <w:lang w:val="en-GB"/>
              </w:rPr>
            </w:pPr>
            <w:r w:rsidRPr="00D4106A">
              <w:rPr>
                <w:lang w:val="en-GB"/>
              </w:rPr>
              <w:t>EUR</w:t>
            </w:r>
          </w:p>
        </w:tc>
        <w:tc>
          <w:tcPr>
            <w:tcW w:w="1385" w:type="dxa"/>
            <w:shd w:val="clear" w:color="auto" w:fill="auto"/>
            <w:vAlign w:val="bottom"/>
          </w:tcPr>
          <w:p w14:paraId="674F124F" w14:textId="77777777" w:rsidR="00D4106A" w:rsidRPr="00D4106A" w:rsidRDefault="00D4106A" w:rsidP="00BB6ED2">
            <w:pPr>
              <w:pStyle w:val="Tabletext"/>
              <w:ind w:right="454"/>
              <w:jc w:val="right"/>
              <w:rPr>
                <w:lang w:val="en-GB"/>
              </w:rPr>
            </w:pPr>
            <w:r w:rsidRPr="00D4106A">
              <w:rPr>
                <w:lang w:val="en-GB"/>
              </w:rPr>
              <w:t>3</w:t>
            </w:r>
          </w:p>
        </w:tc>
        <w:tc>
          <w:tcPr>
            <w:tcW w:w="1288" w:type="dxa"/>
            <w:vAlign w:val="bottom"/>
          </w:tcPr>
          <w:p w14:paraId="5F7E3FA2" w14:textId="2D0E0071" w:rsidR="00D4106A" w:rsidRPr="00D4106A" w:rsidRDefault="00D4106A" w:rsidP="00BB6ED2">
            <w:pPr>
              <w:pStyle w:val="Tabletext"/>
              <w:ind w:right="170"/>
              <w:jc w:val="right"/>
              <w:rPr>
                <w:lang w:val="en-GB"/>
              </w:rPr>
            </w:pPr>
            <w:r w:rsidRPr="00D4106A">
              <w:rPr>
                <w:lang w:val="en-GB"/>
              </w:rPr>
              <w:t>3</w:t>
            </w:r>
            <w:r w:rsidR="002A6CF4">
              <w:rPr>
                <w:lang w:val="en-GB"/>
              </w:rPr>
              <w:t> </w:t>
            </w:r>
            <w:r w:rsidRPr="00D4106A">
              <w:rPr>
                <w:lang w:val="en-GB"/>
              </w:rPr>
              <w:t>803</w:t>
            </w:r>
            <w:r w:rsidR="002A6CF4">
              <w:rPr>
                <w:lang w:val="en-GB"/>
              </w:rPr>
              <w:t>,</w:t>
            </w:r>
            <w:r w:rsidRPr="00D4106A">
              <w:rPr>
                <w:lang w:val="en-GB"/>
              </w:rPr>
              <w:t>7</w:t>
            </w:r>
          </w:p>
        </w:tc>
        <w:tc>
          <w:tcPr>
            <w:tcW w:w="1092" w:type="dxa"/>
            <w:vAlign w:val="bottom"/>
          </w:tcPr>
          <w:p w14:paraId="095C0904" w14:textId="77777777" w:rsidR="00D4106A" w:rsidRPr="00D4106A" w:rsidRDefault="00D4106A" w:rsidP="00BB6ED2">
            <w:pPr>
              <w:pStyle w:val="Tabletext"/>
              <w:ind w:right="113"/>
              <w:jc w:val="right"/>
              <w:rPr>
                <w:lang w:val="en-GB"/>
              </w:rPr>
            </w:pPr>
          </w:p>
        </w:tc>
        <w:tc>
          <w:tcPr>
            <w:tcW w:w="1185" w:type="dxa"/>
            <w:vAlign w:val="bottom"/>
          </w:tcPr>
          <w:p w14:paraId="2AD285CB" w14:textId="2F8B409F" w:rsidR="00D4106A" w:rsidRPr="00D4106A" w:rsidRDefault="00D4106A" w:rsidP="00BB6ED2">
            <w:pPr>
              <w:pStyle w:val="Tabletext"/>
              <w:ind w:right="170"/>
              <w:jc w:val="right"/>
              <w:rPr>
                <w:lang w:val="en-GB"/>
              </w:rPr>
            </w:pPr>
            <w:r w:rsidRPr="00D4106A">
              <w:rPr>
                <w:lang w:val="en-GB"/>
              </w:rPr>
              <w:t>304</w:t>
            </w:r>
            <w:r w:rsidR="002A6CF4">
              <w:rPr>
                <w:lang w:val="en-GB"/>
              </w:rPr>
              <w:t>,</w:t>
            </w:r>
            <w:r w:rsidRPr="00D4106A">
              <w:rPr>
                <w:lang w:val="en-GB"/>
              </w:rPr>
              <w:t>3</w:t>
            </w:r>
          </w:p>
        </w:tc>
        <w:tc>
          <w:tcPr>
            <w:tcW w:w="1236" w:type="dxa"/>
            <w:shd w:val="clear" w:color="auto" w:fill="DBE5F1" w:themeFill="accent1" w:themeFillTint="33"/>
            <w:vAlign w:val="bottom"/>
          </w:tcPr>
          <w:p w14:paraId="69637E15" w14:textId="736AD7D6" w:rsidR="00D4106A" w:rsidRPr="00D4106A" w:rsidRDefault="00D4106A" w:rsidP="00BB6ED2">
            <w:pPr>
              <w:pStyle w:val="Tabletext"/>
              <w:ind w:right="113"/>
              <w:jc w:val="right"/>
              <w:rPr>
                <w:lang w:val="en-GB"/>
              </w:rPr>
            </w:pPr>
            <w:r w:rsidRPr="00D4106A">
              <w:rPr>
                <w:lang w:val="en-GB"/>
              </w:rPr>
              <w:t>4</w:t>
            </w:r>
            <w:r w:rsidR="002A6CF4">
              <w:rPr>
                <w:lang w:val="en-GB"/>
              </w:rPr>
              <w:t> </w:t>
            </w:r>
            <w:r w:rsidRPr="00D4106A">
              <w:rPr>
                <w:lang w:val="en-GB"/>
              </w:rPr>
              <w:t>108</w:t>
            </w:r>
            <w:r w:rsidR="002A6CF4">
              <w:rPr>
                <w:lang w:val="en-GB"/>
              </w:rPr>
              <w:t>,</w:t>
            </w:r>
            <w:r w:rsidRPr="00D4106A">
              <w:rPr>
                <w:lang w:val="en-GB"/>
              </w:rPr>
              <w:t>1</w:t>
            </w:r>
          </w:p>
        </w:tc>
        <w:tc>
          <w:tcPr>
            <w:tcW w:w="1372" w:type="dxa"/>
            <w:vAlign w:val="bottom"/>
          </w:tcPr>
          <w:p w14:paraId="28E8D475" w14:textId="1FE8B618" w:rsidR="00D4106A" w:rsidRPr="00D4106A" w:rsidRDefault="00D4106A" w:rsidP="00BB6ED2">
            <w:pPr>
              <w:pStyle w:val="Tabletext"/>
              <w:ind w:right="227"/>
              <w:jc w:val="right"/>
              <w:rPr>
                <w:lang w:val="en-GB"/>
              </w:rPr>
            </w:pPr>
            <w:r w:rsidRPr="00D4106A">
              <w:rPr>
                <w:lang w:val="en-GB"/>
              </w:rPr>
              <w:t>2</w:t>
            </w:r>
            <w:r w:rsidR="002A6CF4">
              <w:rPr>
                <w:lang w:val="en-GB"/>
              </w:rPr>
              <w:t> </w:t>
            </w:r>
            <w:r w:rsidRPr="00D4106A">
              <w:rPr>
                <w:lang w:val="en-GB"/>
              </w:rPr>
              <w:t>756</w:t>
            </w:r>
            <w:r w:rsidR="002A6CF4">
              <w:rPr>
                <w:lang w:val="en-GB"/>
              </w:rPr>
              <w:t>,</w:t>
            </w:r>
            <w:r w:rsidRPr="00D4106A">
              <w:rPr>
                <w:lang w:val="en-GB"/>
              </w:rPr>
              <w:t>9</w:t>
            </w:r>
          </w:p>
        </w:tc>
        <w:tc>
          <w:tcPr>
            <w:tcW w:w="982" w:type="dxa"/>
            <w:vAlign w:val="bottom"/>
          </w:tcPr>
          <w:p w14:paraId="072B4467" w14:textId="670D4890" w:rsidR="00D4106A" w:rsidRPr="00D4106A" w:rsidRDefault="00D4106A" w:rsidP="00BB6ED2">
            <w:pPr>
              <w:pStyle w:val="Tabletext"/>
              <w:jc w:val="center"/>
              <w:rPr>
                <w:lang w:val="en-GB"/>
              </w:rPr>
            </w:pPr>
            <w:r w:rsidRPr="00D4106A">
              <w:rPr>
                <w:lang w:val="en-GB"/>
              </w:rPr>
              <w:t>67</w:t>
            </w:r>
            <w:r w:rsidR="002A6CF4">
              <w:rPr>
                <w:lang w:val="en-GB"/>
              </w:rPr>
              <w:t> </w:t>
            </w:r>
            <w:r w:rsidRPr="00D4106A">
              <w:rPr>
                <w:lang w:val="en-GB"/>
              </w:rPr>
              <w:t>%</w:t>
            </w:r>
          </w:p>
        </w:tc>
      </w:tr>
      <w:tr w:rsidR="002A6CF4" w:rsidRPr="00D4106A" w14:paraId="564FBC0A" w14:textId="77777777" w:rsidTr="00A779C9">
        <w:trPr>
          <w:jc w:val="center"/>
        </w:trPr>
        <w:tc>
          <w:tcPr>
            <w:tcW w:w="1088" w:type="dxa"/>
            <w:shd w:val="clear" w:color="auto" w:fill="auto"/>
            <w:hideMark/>
          </w:tcPr>
          <w:p w14:paraId="72857F7F" w14:textId="77777777" w:rsidR="00D4106A" w:rsidRPr="00D4106A" w:rsidRDefault="00D4106A" w:rsidP="002A6CF4">
            <w:pPr>
              <w:pStyle w:val="Tabletext"/>
              <w:rPr>
                <w:lang w:val="en-GB"/>
              </w:rPr>
            </w:pPr>
            <w:r w:rsidRPr="00D4106A">
              <w:rPr>
                <w:lang w:val="en-GB"/>
              </w:rPr>
              <w:t>MUL</w:t>
            </w:r>
          </w:p>
        </w:tc>
        <w:tc>
          <w:tcPr>
            <w:tcW w:w="1385" w:type="dxa"/>
            <w:shd w:val="clear" w:color="auto" w:fill="auto"/>
            <w:noWrap/>
            <w:vAlign w:val="bottom"/>
          </w:tcPr>
          <w:p w14:paraId="06790F78" w14:textId="77777777" w:rsidR="00D4106A" w:rsidRPr="00D4106A" w:rsidRDefault="00D4106A" w:rsidP="00BB6ED2">
            <w:pPr>
              <w:pStyle w:val="Tabletext"/>
              <w:ind w:right="454"/>
              <w:jc w:val="right"/>
              <w:rPr>
                <w:lang w:val="en-GB"/>
              </w:rPr>
            </w:pPr>
            <w:r w:rsidRPr="00D4106A">
              <w:rPr>
                <w:lang w:val="en-GB"/>
              </w:rPr>
              <w:t>27</w:t>
            </w:r>
          </w:p>
        </w:tc>
        <w:tc>
          <w:tcPr>
            <w:tcW w:w="1288" w:type="dxa"/>
            <w:shd w:val="clear" w:color="auto" w:fill="auto"/>
            <w:vAlign w:val="bottom"/>
          </w:tcPr>
          <w:p w14:paraId="6D532A76" w14:textId="3CFAA042" w:rsidR="00D4106A" w:rsidRPr="00D4106A" w:rsidRDefault="00D4106A" w:rsidP="00BB6ED2">
            <w:pPr>
              <w:pStyle w:val="Tabletext"/>
              <w:ind w:right="170"/>
              <w:jc w:val="right"/>
              <w:rPr>
                <w:lang w:val="en-GB"/>
              </w:rPr>
            </w:pPr>
            <w:r w:rsidRPr="00D4106A">
              <w:rPr>
                <w:lang w:val="en-GB"/>
              </w:rPr>
              <w:t>13</w:t>
            </w:r>
            <w:r w:rsidR="002A6CF4">
              <w:rPr>
                <w:lang w:val="en-GB"/>
              </w:rPr>
              <w:t> </w:t>
            </w:r>
            <w:r w:rsidRPr="00D4106A">
              <w:rPr>
                <w:lang w:val="en-GB"/>
              </w:rPr>
              <w:t>720</w:t>
            </w:r>
            <w:r w:rsidR="002A6CF4">
              <w:rPr>
                <w:lang w:val="en-GB"/>
              </w:rPr>
              <w:t>,</w:t>
            </w:r>
            <w:r w:rsidRPr="00D4106A">
              <w:rPr>
                <w:lang w:val="en-GB"/>
              </w:rPr>
              <w:t>5</w:t>
            </w:r>
          </w:p>
        </w:tc>
        <w:tc>
          <w:tcPr>
            <w:tcW w:w="1092" w:type="dxa"/>
            <w:shd w:val="clear" w:color="auto" w:fill="auto"/>
            <w:vAlign w:val="bottom"/>
          </w:tcPr>
          <w:p w14:paraId="2A90CFBA" w14:textId="2E35B6D0" w:rsidR="00D4106A" w:rsidRPr="00D4106A" w:rsidRDefault="00D4106A" w:rsidP="00BB6ED2">
            <w:pPr>
              <w:pStyle w:val="Tabletext"/>
              <w:ind w:right="113"/>
              <w:jc w:val="right"/>
              <w:rPr>
                <w:lang w:val="en-GB"/>
              </w:rPr>
            </w:pPr>
            <w:r w:rsidRPr="00D4106A">
              <w:rPr>
                <w:lang w:val="en-GB"/>
              </w:rPr>
              <w:t>3</w:t>
            </w:r>
            <w:r w:rsidR="002A6CF4">
              <w:rPr>
                <w:lang w:val="en-GB"/>
              </w:rPr>
              <w:t> </w:t>
            </w:r>
            <w:r w:rsidRPr="00D4106A">
              <w:rPr>
                <w:lang w:val="en-GB"/>
              </w:rPr>
              <w:t>208</w:t>
            </w:r>
            <w:r w:rsidR="002A6CF4">
              <w:rPr>
                <w:lang w:val="en-GB"/>
              </w:rPr>
              <w:t>,</w:t>
            </w:r>
            <w:r w:rsidRPr="00D4106A">
              <w:rPr>
                <w:lang w:val="en-GB"/>
              </w:rPr>
              <w:t>1</w:t>
            </w:r>
          </w:p>
        </w:tc>
        <w:tc>
          <w:tcPr>
            <w:tcW w:w="1185" w:type="dxa"/>
            <w:shd w:val="clear" w:color="auto" w:fill="auto"/>
            <w:vAlign w:val="bottom"/>
          </w:tcPr>
          <w:p w14:paraId="107DEAEA" w14:textId="0B3B39C9" w:rsidR="00D4106A" w:rsidRPr="00D4106A" w:rsidRDefault="00D4106A" w:rsidP="00BB6ED2">
            <w:pPr>
              <w:pStyle w:val="Tabletext"/>
              <w:ind w:right="170"/>
              <w:jc w:val="right"/>
              <w:rPr>
                <w:lang w:val="en-GB"/>
              </w:rPr>
            </w:pPr>
            <w:r w:rsidRPr="00D4106A">
              <w:rPr>
                <w:lang w:val="en-GB"/>
              </w:rPr>
              <w:t>2</w:t>
            </w:r>
            <w:r w:rsidR="002A6CF4">
              <w:rPr>
                <w:lang w:val="en-GB"/>
              </w:rPr>
              <w:t> </w:t>
            </w:r>
            <w:r w:rsidRPr="00D4106A">
              <w:rPr>
                <w:lang w:val="en-GB"/>
              </w:rPr>
              <w:t>376</w:t>
            </w:r>
            <w:r w:rsidR="002A6CF4">
              <w:rPr>
                <w:lang w:val="en-GB"/>
              </w:rPr>
              <w:t>,</w:t>
            </w:r>
            <w:r w:rsidRPr="00D4106A">
              <w:rPr>
                <w:lang w:val="en-GB"/>
              </w:rPr>
              <w:t>9</w:t>
            </w:r>
          </w:p>
        </w:tc>
        <w:tc>
          <w:tcPr>
            <w:tcW w:w="1236" w:type="dxa"/>
            <w:shd w:val="clear" w:color="auto" w:fill="DBE5F1" w:themeFill="accent1" w:themeFillTint="33"/>
            <w:vAlign w:val="bottom"/>
          </w:tcPr>
          <w:p w14:paraId="49A9CC67" w14:textId="417596E9" w:rsidR="00D4106A" w:rsidRPr="00D4106A" w:rsidRDefault="00D4106A" w:rsidP="00BB6ED2">
            <w:pPr>
              <w:pStyle w:val="Tabletext"/>
              <w:ind w:right="113"/>
              <w:jc w:val="right"/>
              <w:rPr>
                <w:lang w:val="en-GB"/>
              </w:rPr>
            </w:pPr>
            <w:r w:rsidRPr="00D4106A">
              <w:rPr>
                <w:lang w:val="en-GB"/>
              </w:rPr>
              <w:t>21</w:t>
            </w:r>
            <w:r w:rsidR="002A6CF4">
              <w:rPr>
                <w:lang w:val="en-GB"/>
              </w:rPr>
              <w:t> </w:t>
            </w:r>
            <w:r w:rsidRPr="00D4106A">
              <w:rPr>
                <w:lang w:val="en-GB"/>
              </w:rPr>
              <w:t>879</w:t>
            </w:r>
            <w:r w:rsidR="002A6CF4">
              <w:rPr>
                <w:lang w:val="en-GB"/>
              </w:rPr>
              <w:t>,</w:t>
            </w:r>
            <w:r w:rsidRPr="00D4106A">
              <w:rPr>
                <w:lang w:val="en-GB"/>
              </w:rPr>
              <w:t>6</w:t>
            </w:r>
          </w:p>
        </w:tc>
        <w:tc>
          <w:tcPr>
            <w:tcW w:w="1372" w:type="dxa"/>
            <w:shd w:val="clear" w:color="auto" w:fill="auto"/>
            <w:vAlign w:val="bottom"/>
          </w:tcPr>
          <w:p w14:paraId="12136A81" w14:textId="01671348" w:rsidR="00D4106A" w:rsidRPr="00D4106A" w:rsidRDefault="00D4106A" w:rsidP="00BB6ED2">
            <w:pPr>
              <w:pStyle w:val="Tabletext"/>
              <w:ind w:right="227"/>
              <w:jc w:val="right"/>
              <w:rPr>
                <w:lang w:val="en-GB"/>
              </w:rPr>
            </w:pPr>
            <w:r w:rsidRPr="00D4106A">
              <w:rPr>
                <w:lang w:val="en-GB"/>
              </w:rPr>
              <w:t>4</w:t>
            </w:r>
            <w:r w:rsidR="002A6CF4">
              <w:rPr>
                <w:lang w:val="en-GB"/>
              </w:rPr>
              <w:t> </w:t>
            </w:r>
            <w:r w:rsidRPr="00D4106A">
              <w:rPr>
                <w:lang w:val="en-GB"/>
              </w:rPr>
              <w:t>106</w:t>
            </w:r>
            <w:r w:rsidR="002A6CF4">
              <w:rPr>
                <w:lang w:val="en-GB"/>
              </w:rPr>
              <w:t>,</w:t>
            </w:r>
            <w:r w:rsidRPr="00D4106A">
              <w:rPr>
                <w:lang w:val="en-GB"/>
              </w:rPr>
              <w:t>9</w:t>
            </w:r>
          </w:p>
        </w:tc>
        <w:tc>
          <w:tcPr>
            <w:tcW w:w="982" w:type="dxa"/>
            <w:shd w:val="clear" w:color="auto" w:fill="auto"/>
            <w:vAlign w:val="bottom"/>
          </w:tcPr>
          <w:p w14:paraId="0DE99D99" w14:textId="03A5BA45" w:rsidR="00D4106A" w:rsidRPr="00D4106A" w:rsidRDefault="00D4106A" w:rsidP="00BB6ED2">
            <w:pPr>
              <w:pStyle w:val="Tabletext"/>
              <w:jc w:val="center"/>
              <w:rPr>
                <w:lang w:val="en-GB"/>
              </w:rPr>
            </w:pPr>
            <w:r w:rsidRPr="00D4106A">
              <w:rPr>
                <w:lang w:val="en-GB"/>
              </w:rPr>
              <w:t>19</w:t>
            </w:r>
            <w:r w:rsidR="002A6CF4">
              <w:rPr>
                <w:lang w:val="en-GB"/>
              </w:rPr>
              <w:t> </w:t>
            </w:r>
            <w:r w:rsidRPr="00D4106A">
              <w:rPr>
                <w:lang w:val="en-GB"/>
              </w:rPr>
              <w:t>%</w:t>
            </w:r>
          </w:p>
        </w:tc>
      </w:tr>
      <w:tr w:rsidR="002A6CF4" w:rsidRPr="00D4106A" w14:paraId="6EF1F819" w14:textId="77777777" w:rsidTr="00A779C9">
        <w:trPr>
          <w:jc w:val="center"/>
        </w:trPr>
        <w:tc>
          <w:tcPr>
            <w:tcW w:w="1088" w:type="dxa"/>
            <w:shd w:val="clear" w:color="auto" w:fill="DBE5F1" w:themeFill="accent1" w:themeFillTint="33"/>
            <w:noWrap/>
            <w:vAlign w:val="center"/>
          </w:tcPr>
          <w:p w14:paraId="4BEDB415" w14:textId="77777777" w:rsidR="00D4106A" w:rsidRPr="00D4106A" w:rsidRDefault="00D4106A" w:rsidP="002A6CF4">
            <w:pPr>
              <w:pStyle w:val="Tabletext"/>
              <w:rPr>
                <w:b/>
                <w:bCs/>
                <w:lang w:val="en-GB"/>
              </w:rPr>
            </w:pPr>
            <w:r w:rsidRPr="00D4106A">
              <w:rPr>
                <w:b/>
                <w:bCs/>
                <w:lang w:val="en-GB"/>
              </w:rPr>
              <w:t>Total</w:t>
            </w:r>
          </w:p>
        </w:tc>
        <w:tc>
          <w:tcPr>
            <w:tcW w:w="1385" w:type="dxa"/>
            <w:shd w:val="clear" w:color="auto" w:fill="DBE5F1" w:themeFill="accent1" w:themeFillTint="33"/>
            <w:noWrap/>
            <w:vAlign w:val="bottom"/>
          </w:tcPr>
          <w:p w14:paraId="79226B68" w14:textId="77777777" w:rsidR="00D4106A" w:rsidRPr="00D4106A" w:rsidRDefault="00D4106A" w:rsidP="00BB6ED2">
            <w:pPr>
              <w:pStyle w:val="Tabletext"/>
              <w:ind w:right="454"/>
              <w:jc w:val="right"/>
              <w:rPr>
                <w:b/>
                <w:bCs/>
                <w:lang w:val="en-GB"/>
              </w:rPr>
            </w:pPr>
            <w:r w:rsidRPr="00D4106A">
              <w:rPr>
                <w:b/>
                <w:bCs/>
                <w:lang w:val="en-GB"/>
              </w:rPr>
              <w:t>75</w:t>
            </w:r>
          </w:p>
        </w:tc>
        <w:tc>
          <w:tcPr>
            <w:tcW w:w="1288" w:type="dxa"/>
            <w:shd w:val="clear" w:color="auto" w:fill="DBE5F1" w:themeFill="accent1" w:themeFillTint="33"/>
            <w:noWrap/>
            <w:vAlign w:val="bottom"/>
          </w:tcPr>
          <w:p w14:paraId="387F768F" w14:textId="6AAD6846" w:rsidR="00D4106A" w:rsidRPr="00D4106A" w:rsidRDefault="00D4106A" w:rsidP="00BB6ED2">
            <w:pPr>
              <w:pStyle w:val="Tabletext"/>
              <w:ind w:right="170"/>
              <w:jc w:val="right"/>
              <w:rPr>
                <w:b/>
                <w:bCs/>
                <w:lang w:val="en-GB"/>
              </w:rPr>
            </w:pPr>
            <w:r w:rsidRPr="00D4106A">
              <w:rPr>
                <w:b/>
                <w:bCs/>
                <w:lang w:val="en-GB"/>
              </w:rPr>
              <w:t>74</w:t>
            </w:r>
            <w:r w:rsidR="002A6CF4">
              <w:rPr>
                <w:b/>
                <w:bCs/>
                <w:lang w:val="en-GB"/>
              </w:rPr>
              <w:t> </w:t>
            </w:r>
            <w:r w:rsidRPr="00D4106A">
              <w:rPr>
                <w:b/>
                <w:bCs/>
                <w:lang w:val="en-GB"/>
              </w:rPr>
              <w:t>527</w:t>
            </w:r>
            <w:r w:rsidR="002A6CF4">
              <w:rPr>
                <w:b/>
                <w:bCs/>
                <w:lang w:val="en-GB"/>
              </w:rPr>
              <w:t>,</w:t>
            </w:r>
            <w:r w:rsidRPr="00D4106A">
              <w:rPr>
                <w:b/>
                <w:bCs/>
                <w:lang w:val="en-GB"/>
              </w:rPr>
              <w:t>5</w:t>
            </w:r>
          </w:p>
        </w:tc>
        <w:tc>
          <w:tcPr>
            <w:tcW w:w="1092" w:type="dxa"/>
            <w:shd w:val="clear" w:color="auto" w:fill="DBE5F1" w:themeFill="accent1" w:themeFillTint="33"/>
            <w:noWrap/>
            <w:vAlign w:val="bottom"/>
          </w:tcPr>
          <w:p w14:paraId="0CF41682" w14:textId="513E81F6" w:rsidR="00D4106A" w:rsidRPr="00D4106A" w:rsidRDefault="00D4106A" w:rsidP="00BB6ED2">
            <w:pPr>
              <w:pStyle w:val="Tabletext"/>
              <w:ind w:right="113"/>
              <w:jc w:val="right"/>
              <w:rPr>
                <w:b/>
                <w:bCs/>
                <w:lang w:val="en-GB"/>
              </w:rPr>
            </w:pPr>
            <w:r w:rsidRPr="00D4106A">
              <w:rPr>
                <w:b/>
                <w:bCs/>
                <w:lang w:val="en-GB"/>
              </w:rPr>
              <w:t>4</w:t>
            </w:r>
            <w:r w:rsidR="002A6CF4">
              <w:rPr>
                <w:b/>
                <w:bCs/>
                <w:lang w:val="en-GB"/>
              </w:rPr>
              <w:t> </w:t>
            </w:r>
            <w:r w:rsidRPr="00D4106A">
              <w:rPr>
                <w:b/>
                <w:bCs/>
                <w:lang w:val="en-GB"/>
              </w:rPr>
              <w:t>526</w:t>
            </w:r>
            <w:r w:rsidR="002A6CF4">
              <w:rPr>
                <w:b/>
                <w:bCs/>
                <w:lang w:val="en-GB"/>
              </w:rPr>
              <w:t>,</w:t>
            </w:r>
            <w:r w:rsidRPr="00D4106A">
              <w:rPr>
                <w:b/>
                <w:bCs/>
                <w:lang w:val="en-GB"/>
              </w:rPr>
              <w:t>4</w:t>
            </w:r>
          </w:p>
        </w:tc>
        <w:tc>
          <w:tcPr>
            <w:tcW w:w="1185" w:type="dxa"/>
            <w:shd w:val="clear" w:color="auto" w:fill="DBE5F1" w:themeFill="accent1" w:themeFillTint="33"/>
            <w:noWrap/>
            <w:vAlign w:val="bottom"/>
          </w:tcPr>
          <w:p w14:paraId="0B102271" w14:textId="679CB73A" w:rsidR="00D4106A" w:rsidRPr="00D4106A" w:rsidRDefault="00D4106A" w:rsidP="00BB6ED2">
            <w:pPr>
              <w:pStyle w:val="Tabletext"/>
              <w:ind w:right="170"/>
              <w:jc w:val="right"/>
              <w:rPr>
                <w:b/>
                <w:bCs/>
                <w:lang w:val="en-GB"/>
              </w:rPr>
            </w:pPr>
            <w:r w:rsidRPr="00D4106A">
              <w:rPr>
                <w:b/>
                <w:bCs/>
                <w:lang w:val="en-GB"/>
              </w:rPr>
              <w:t>4</w:t>
            </w:r>
            <w:r w:rsidR="002A6CF4">
              <w:rPr>
                <w:b/>
                <w:bCs/>
                <w:lang w:val="en-GB"/>
              </w:rPr>
              <w:t> </w:t>
            </w:r>
            <w:r w:rsidRPr="00D4106A">
              <w:rPr>
                <w:b/>
                <w:bCs/>
                <w:lang w:val="en-GB"/>
              </w:rPr>
              <w:t>100</w:t>
            </w:r>
            <w:r w:rsidR="002A6CF4">
              <w:rPr>
                <w:b/>
                <w:bCs/>
                <w:lang w:val="en-GB"/>
              </w:rPr>
              <w:t>,</w:t>
            </w:r>
            <w:r w:rsidRPr="00D4106A">
              <w:rPr>
                <w:b/>
                <w:bCs/>
                <w:lang w:val="en-GB"/>
              </w:rPr>
              <w:t>7</w:t>
            </w:r>
          </w:p>
        </w:tc>
        <w:tc>
          <w:tcPr>
            <w:tcW w:w="1236" w:type="dxa"/>
            <w:shd w:val="clear" w:color="auto" w:fill="DBE5F1" w:themeFill="accent1" w:themeFillTint="33"/>
            <w:noWrap/>
            <w:vAlign w:val="bottom"/>
          </w:tcPr>
          <w:p w14:paraId="0505F8C9" w14:textId="1DF89404" w:rsidR="00D4106A" w:rsidRPr="00D4106A" w:rsidRDefault="00D4106A" w:rsidP="00BB6ED2">
            <w:pPr>
              <w:pStyle w:val="Tabletext"/>
              <w:ind w:right="113"/>
              <w:jc w:val="right"/>
              <w:rPr>
                <w:b/>
                <w:bCs/>
                <w:lang w:val="en-GB"/>
              </w:rPr>
            </w:pPr>
            <w:r w:rsidRPr="00D4106A">
              <w:rPr>
                <w:b/>
                <w:bCs/>
                <w:lang w:val="en-GB"/>
              </w:rPr>
              <w:t>86</w:t>
            </w:r>
            <w:r w:rsidR="002A6CF4">
              <w:rPr>
                <w:b/>
                <w:bCs/>
                <w:lang w:val="en-GB"/>
              </w:rPr>
              <w:t> </w:t>
            </w:r>
            <w:r w:rsidRPr="00D4106A">
              <w:rPr>
                <w:b/>
                <w:bCs/>
                <w:lang w:val="en-GB"/>
              </w:rPr>
              <w:t>064</w:t>
            </w:r>
            <w:r w:rsidR="002A6CF4">
              <w:rPr>
                <w:b/>
                <w:bCs/>
                <w:lang w:val="en-GB"/>
              </w:rPr>
              <w:t>,</w:t>
            </w:r>
            <w:r w:rsidRPr="00D4106A">
              <w:rPr>
                <w:b/>
                <w:bCs/>
                <w:lang w:val="en-GB"/>
              </w:rPr>
              <w:t>5</w:t>
            </w:r>
          </w:p>
        </w:tc>
        <w:tc>
          <w:tcPr>
            <w:tcW w:w="1372" w:type="dxa"/>
            <w:shd w:val="clear" w:color="auto" w:fill="DBE5F1" w:themeFill="accent1" w:themeFillTint="33"/>
            <w:noWrap/>
            <w:vAlign w:val="bottom"/>
          </w:tcPr>
          <w:p w14:paraId="5125DF2E" w14:textId="798160CD" w:rsidR="00D4106A" w:rsidRPr="00D4106A" w:rsidRDefault="00D4106A" w:rsidP="00BB6ED2">
            <w:pPr>
              <w:pStyle w:val="Tabletext"/>
              <w:ind w:right="227"/>
              <w:jc w:val="right"/>
              <w:rPr>
                <w:b/>
                <w:bCs/>
                <w:lang w:val="en-GB"/>
              </w:rPr>
            </w:pPr>
            <w:r w:rsidRPr="00D4106A">
              <w:rPr>
                <w:b/>
                <w:bCs/>
                <w:lang w:val="en-GB"/>
              </w:rPr>
              <w:t>24</w:t>
            </w:r>
            <w:r w:rsidR="002A6CF4">
              <w:rPr>
                <w:b/>
                <w:bCs/>
                <w:lang w:val="en-GB"/>
              </w:rPr>
              <w:t> </w:t>
            </w:r>
            <w:r w:rsidRPr="00D4106A">
              <w:rPr>
                <w:b/>
                <w:bCs/>
                <w:lang w:val="en-GB"/>
              </w:rPr>
              <w:t>028</w:t>
            </w:r>
            <w:r w:rsidR="002A6CF4">
              <w:rPr>
                <w:b/>
                <w:bCs/>
                <w:lang w:val="en-GB"/>
              </w:rPr>
              <w:t>,</w:t>
            </w:r>
            <w:r w:rsidRPr="00D4106A">
              <w:rPr>
                <w:b/>
                <w:bCs/>
                <w:lang w:val="en-GB"/>
              </w:rPr>
              <w:t>9</w:t>
            </w:r>
          </w:p>
        </w:tc>
        <w:tc>
          <w:tcPr>
            <w:tcW w:w="982" w:type="dxa"/>
            <w:shd w:val="clear" w:color="auto" w:fill="DBE5F1" w:themeFill="accent1" w:themeFillTint="33"/>
            <w:noWrap/>
            <w:vAlign w:val="bottom"/>
          </w:tcPr>
          <w:p w14:paraId="34EFCF56" w14:textId="07E7A982" w:rsidR="00D4106A" w:rsidRPr="00D4106A" w:rsidRDefault="00D4106A" w:rsidP="00BB6ED2">
            <w:pPr>
              <w:pStyle w:val="Tabletext"/>
              <w:jc w:val="center"/>
              <w:rPr>
                <w:b/>
                <w:bCs/>
                <w:lang w:val="en-GB"/>
              </w:rPr>
            </w:pPr>
            <w:r w:rsidRPr="00D4106A">
              <w:rPr>
                <w:b/>
                <w:bCs/>
                <w:lang w:val="en-GB"/>
              </w:rPr>
              <w:t>28</w:t>
            </w:r>
            <w:r w:rsidR="002A6CF4">
              <w:rPr>
                <w:b/>
                <w:bCs/>
                <w:lang w:val="en-GB"/>
              </w:rPr>
              <w:t> </w:t>
            </w:r>
            <w:r w:rsidRPr="00D4106A">
              <w:rPr>
                <w:b/>
                <w:bCs/>
                <w:lang w:val="en-GB"/>
              </w:rPr>
              <w:t>%</w:t>
            </w:r>
          </w:p>
        </w:tc>
      </w:tr>
    </w:tbl>
    <w:p w14:paraId="53C7B976" w14:textId="246B28EE" w:rsidR="00D4106A" w:rsidRPr="00D4106A" w:rsidRDefault="004F2B55" w:rsidP="002A6CF4">
      <w:pPr>
        <w:pStyle w:val="Heading2"/>
      </w:pPr>
      <w:r>
        <w:lastRenderedPageBreak/>
        <w:t>2</w:t>
      </w:r>
      <w:r w:rsidR="002A6CF4">
        <w:t>.2</w:t>
      </w:r>
      <w:r w:rsidR="002A6CF4">
        <w:tab/>
      </w:r>
      <w:r w:rsidR="00D4106A" w:rsidRPr="00D4106A">
        <w:t>Nuevos proyectos firmados en 2020: crecimiento resultante de nuevas asociaciones</w:t>
      </w:r>
    </w:p>
    <w:p w14:paraId="3022D0BD" w14:textId="1BBB2110" w:rsidR="00D4106A" w:rsidRPr="00D4106A" w:rsidRDefault="00D4106A" w:rsidP="0054183D">
      <w:pPr>
        <w:keepNext/>
        <w:keepLines/>
        <w:rPr>
          <w:lang w:val="es-ES"/>
        </w:rPr>
      </w:pPr>
      <w:r w:rsidRPr="00D4106A">
        <w:rPr>
          <w:lang w:val="es-ES"/>
        </w:rPr>
        <w:t>En 2020 se definieron y firmaron en total 24 nuevos proyectos, valorados en 14,9 millones, lo que representa el mayor volumen de proyectos firmados desde 2010 (véase la Figura 2). Estos proyectos se firmaron en asociación con otras organizaciones, como agencias gubernamentales nacionales, entidades de cooperación bilateral, instituciones sin ánimo de lucro, empresas del sector privado y organismos del sistema de las Naciones Unidas. Este resultado es fruto de las sinergias estratégicas entre el Servicio de Asociaciones con los Miembros y Movilización de Recursos y las Divisiones de apoyo a proyectos del Departamento de Asociaciones para el Desarrollo Digital de la BDT</w:t>
      </w:r>
      <w:r w:rsidR="004B567A">
        <w:rPr>
          <w:rStyle w:val="FootnoteReference"/>
          <w:lang w:val="es-ES"/>
        </w:rPr>
        <w:footnoteReference w:id="2"/>
      </w:r>
      <w:r w:rsidR="004B567A">
        <w:rPr>
          <w:lang w:val="es-ES"/>
        </w:rPr>
        <w:t>.</w:t>
      </w:r>
    </w:p>
    <w:p w14:paraId="42AEB994" w14:textId="77777777" w:rsidR="00D4106A" w:rsidRPr="00D4106A" w:rsidRDefault="00D4106A" w:rsidP="002A6CF4">
      <w:pPr>
        <w:pStyle w:val="FigureNotitle"/>
      </w:pPr>
      <w:r w:rsidRPr="00D4106A">
        <w:t>Figura 2 – Nuevos proyectos firmados en 2010-2020</w:t>
      </w:r>
    </w:p>
    <w:p w14:paraId="44123137" w14:textId="77777777" w:rsidR="00D4106A" w:rsidRPr="00D4106A" w:rsidRDefault="00D4106A" w:rsidP="00D4106A">
      <w:pPr>
        <w:rPr>
          <w:lang w:val="en-GB"/>
        </w:rPr>
      </w:pPr>
      <w:r w:rsidRPr="00D4106A">
        <w:rPr>
          <w:noProof/>
          <w:lang w:val="en-GB"/>
        </w:rPr>
        <w:drawing>
          <wp:inline distT="0" distB="0" distL="0" distR="0" wp14:anchorId="63D06897" wp14:editId="189D21B1">
            <wp:extent cx="6110992" cy="2747645"/>
            <wp:effectExtent l="0" t="0" r="4445" b="0"/>
            <wp:docPr id="3" name="Chart 3">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52E3CF" w14:textId="63997902" w:rsidR="00D4106A" w:rsidRPr="00D4106A" w:rsidRDefault="00D4106A" w:rsidP="00EC2BBE">
      <w:pPr>
        <w:pStyle w:val="Normalaftertitle"/>
        <w:rPr>
          <w:lang w:val="es-ES"/>
        </w:rPr>
      </w:pPr>
      <w:r w:rsidRPr="00D4106A">
        <w:rPr>
          <w:lang w:val="es-ES"/>
        </w:rPr>
        <w:t>La diversidad de los asociados implicados en la definición e implementación de proyectos de telecomunicaciones/TIC de la UIT demuestra claramente el reconocimiento de la BDT como plataforma neutra líder, lo que representa un paso más en la redefinición de una BDT adecuada a su misión, proceso esencial para lograr un aumento de la conectividad y el despliegue de soluciones digitales en todo el mundo, retos éstos imposibles de superar para una sola organización.</w:t>
      </w:r>
    </w:p>
    <w:p w14:paraId="02FA4628" w14:textId="77777777" w:rsidR="00D4106A" w:rsidRPr="00D4106A" w:rsidRDefault="00D4106A" w:rsidP="00D4106A">
      <w:pPr>
        <w:rPr>
          <w:lang w:val="es-ES"/>
        </w:rPr>
      </w:pPr>
      <w:r w:rsidRPr="00D4106A">
        <w:rPr>
          <w:lang w:val="es-ES"/>
        </w:rPr>
        <w:t>Ejemplos de esta colaboración son los siguientes:</w:t>
      </w:r>
    </w:p>
    <w:p w14:paraId="56622AB8" w14:textId="2BE0D5A9" w:rsidR="00D4106A" w:rsidRPr="00D4106A" w:rsidRDefault="004B567A" w:rsidP="004B567A">
      <w:pPr>
        <w:pStyle w:val="enumlev1"/>
        <w:rPr>
          <w:lang w:val="es-ES"/>
        </w:rPr>
      </w:pPr>
      <w:r w:rsidRPr="004B567A">
        <w:rPr>
          <w:lang w:val="es-ES"/>
        </w:rPr>
        <w:t>–</w:t>
      </w:r>
      <w:r>
        <w:rPr>
          <w:lang w:val="es-ES"/>
        </w:rPr>
        <w:tab/>
      </w:r>
      <w:r w:rsidR="00BB6ED2">
        <w:rPr>
          <w:lang w:val="es-ES"/>
        </w:rPr>
        <w:t>l</w:t>
      </w:r>
      <w:r w:rsidR="00D4106A" w:rsidRPr="00D4106A">
        <w:rPr>
          <w:lang w:val="es-ES"/>
        </w:rPr>
        <w:t>a iniciativa Giga</w:t>
      </w:r>
      <w:r>
        <w:rPr>
          <w:rStyle w:val="FootnoteReference"/>
          <w:lang w:val="es-ES"/>
        </w:rPr>
        <w:footnoteReference w:id="3"/>
      </w:r>
      <w:r w:rsidR="00D4106A" w:rsidRPr="00D4106A">
        <w:rPr>
          <w:lang w:val="es-ES"/>
        </w:rPr>
        <w:t xml:space="preserve"> (programa de la UIT-UNICEF destinado a conectar todas las escuelas a </w:t>
      </w:r>
      <w:r w:rsidR="00EC2BBE" w:rsidRPr="00D4106A">
        <w:rPr>
          <w:lang w:val="es-ES"/>
        </w:rPr>
        <w:t>Internet</w:t>
      </w:r>
      <w:r w:rsidR="00D4106A" w:rsidRPr="00D4106A">
        <w:rPr>
          <w:lang w:val="es-ES"/>
        </w:rPr>
        <w:t>);</w:t>
      </w:r>
    </w:p>
    <w:p w14:paraId="0F0DCBE9" w14:textId="4A5639B7" w:rsidR="00D4106A" w:rsidRPr="00D4106A" w:rsidRDefault="004B567A" w:rsidP="004B567A">
      <w:pPr>
        <w:pStyle w:val="enumlev1"/>
        <w:rPr>
          <w:lang w:val="es-ES"/>
        </w:rPr>
      </w:pPr>
      <w:r w:rsidRPr="004B567A">
        <w:rPr>
          <w:lang w:val="es-ES"/>
        </w:rPr>
        <w:lastRenderedPageBreak/>
        <w:t>–</w:t>
      </w:r>
      <w:r>
        <w:rPr>
          <w:lang w:val="es-ES"/>
        </w:rPr>
        <w:tab/>
      </w:r>
      <w:r w:rsidR="00BB6ED2">
        <w:rPr>
          <w:lang w:val="es-ES"/>
        </w:rPr>
        <w:t>l</w:t>
      </w:r>
      <w:r w:rsidR="00D4106A" w:rsidRPr="00D4106A">
        <w:rPr>
          <w:lang w:val="es-ES"/>
        </w:rPr>
        <w:t>a iniciativa Centro de Transformación Digital</w:t>
      </w:r>
      <w:r>
        <w:rPr>
          <w:rStyle w:val="FootnoteReference"/>
          <w:lang w:val="es-ES"/>
        </w:rPr>
        <w:footnoteReference w:id="4"/>
      </w:r>
      <w:r w:rsidR="00D4106A" w:rsidRPr="00D4106A">
        <w:rPr>
          <w:lang w:val="es-ES"/>
        </w:rPr>
        <w:t xml:space="preserve"> (programa cofinanciado por la UIT y NORAD, cuyo objetivo es crear una red mundial de centros para el desarrollo de las competencias digitales de los particulares a nivel básico e intermedio)</w:t>
      </w:r>
      <w:r w:rsidR="00BB6ED2">
        <w:rPr>
          <w:lang w:val="es-ES"/>
        </w:rPr>
        <w:t>;</w:t>
      </w:r>
      <w:r w:rsidR="00D4106A" w:rsidRPr="00D4106A">
        <w:rPr>
          <w:lang w:val="es-ES"/>
        </w:rPr>
        <w:t xml:space="preserve"> y</w:t>
      </w:r>
    </w:p>
    <w:p w14:paraId="1F5465D0" w14:textId="3D3960FE" w:rsidR="00D4106A" w:rsidRPr="00D4106A" w:rsidRDefault="004B567A" w:rsidP="004B567A">
      <w:pPr>
        <w:pStyle w:val="enumlev1"/>
        <w:rPr>
          <w:lang w:val="es-ES"/>
        </w:rPr>
      </w:pPr>
      <w:r w:rsidRPr="004B567A">
        <w:rPr>
          <w:lang w:val="es-ES"/>
        </w:rPr>
        <w:t>–</w:t>
      </w:r>
      <w:r>
        <w:rPr>
          <w:lang w:val="es-ES"/>
        </w:rPr>
        <w:tab/>
      </w:r>
      <w:r w:rsidR="00BB6ED2">
        <w:rPr>
          <w:lang w:val="es-ES"/>
        </w:rPr>
        <w:t>l</w:t>
      </w:r>
      <w:r w:rsidR="00D4106A" w:rsidRPr="00D4106A">
        <w:rPr>
          <w:lang w:val="es-ES"/>
        </w:rPr>
        <w:t>a iniciativa Connect2Recover</w:t>
      </w:r>
      <w:r>
        <w:rPr>
          <w:rStyle w:val="FootnoteReference"/>
          <w:lang w:val="es-ES"/>
        </w:rPr>
        <w:footnoteReference w:id="5"/>
      </w:r>
      <w:r w:rsidR="00D4106A" w:rsidRPr="00D4106A">
        <w:rPr>
          <w:lang w:val="es-ES"/>
        </w:rPr>
        <w:t xml:space="preserve"> (iniciativa mundial cofinanciada por el MIC de Japón y el Centro de ayuda y socorro humanitario Rey Salman del Reino de Arabia Saudita destinada a reforzar la infraestructura y los ecosistemas digitales de los países beneficiarios como medio para sustentar las actividades de recuperación tras la COVID-19 y de preparación para la </w:t>
      </w:r>
      <w:r w:rsidR="00BB6ED2">
        <w:rPr>
          <w:lang w:val="es-ES"/>
        </w:rPr>
        <w:t>"</w:t>
      </w:r>
      <w:r w:rsidR="00D4106A" w:rsidRPr="00D4106A">
        <w:rPr>
          <w:lang w:val="es-ES"/>
        </w:rPr>
        <w:t>nueva normalidad</w:t>
      </w:r>
      <w:r w:rsidR="00BB6ED2">
        <w:rPr>
          <w:lang w:val="es-ES"/>
        </w:rPr>
        <w:t>"</w:t>
      </w:r>
      <w:r w:rsidR="00D4106A" w:rsidRPr="00D4106A">
        <w:rPr>
          <w:lang w:val="es-ES"/>
        </w:rPr>
        <w:t xml:space="preserve"> y las posibles pandemias futuras).</w:t>
      </w:r>
    </w:p>
    <w:p w14:paraId="03D2B0F0" w14:textId="77777777" w:rsidR="00D4106A" w:rsidRPr="00D4106A" w:rsidRDefault="00D4106A" w:rsidP="00D4106A">
      <w:pPr>
        <w:rPr>
          <w:lang w:val="es-ES"/>
        </w:rPr>
      </w:pPr>
      <w:r w:rsidRPr="00D4106A">
        <w:rPr>
          <w:lang w:val="es-ES"/>
        </w:rPr>
        <w:t>Estos y otros proyectos de la UIT demuestran que, gracias a las asociaciones, la UIT puede tener una mayor influencia y prestar una mejor ayuda a sus Miembros en pro del desarrollo digital.</w:t>
      </w:r>
    </w:p>
    <w:p w14:paraId="44DA8888" w14:textId="48CEBB00" w:rsidR="00D4106A" w:rsidRPr="00D4106A" w:rsidRDefault="004F2B55" w:rsidP="004F2B55">
      <w:pPr>
        <w:pStyle w:val="Heading2"/>
      </w:pPr>
      <w:r>
        <w:t>2.3</w:t>
      </w:r>
      <w:r>
        <w:tab/>
      </w:r>
      <w:r w:rsidR="00D4106A" w:rsidRPr="00D4106A">
        <w:t>Proyectos firmados durante el primer trimestre de 2021</w:t>
      </w:r>
    </w:p>
    <w:p w14:paraId="0EB49CBB" w14:textId="467A61ED" w:rsidR="00D4106A" w:rsidRPr="00BB6ED2" w:rsidRDefault="00D4106A" w:rsidP="002A6CF4">
      <w:pPr>
        <w:rPr>
          <w:lang w:val="es-ES"/>
        </w:rPr>
      </w:pPr>
      <w:r w:rsidRPr="00BB6ED2">
        <w:rPr>
          <w:lang w:val="es-ES"/>
        </w:rPr>
        <w:t>Se han proseguido los esfuerzos de atracción de nuevos socios a lo largo del primer trimestre de</w:t>
      </w:r>
      <w:r w:rsidR="00BB6ED2">
        <w:rPr>
          <w:lang w:val="es-ES"/>
        </w:rPr>
        <w:t> </w:t>
      </w:r>
      <w:r w:rsidRPr="00BB6ED2">
        <w:rPr>
          <w:lang w:val="es-ES"/>
        </w:rPr>
        <w:t xml:space="preserve">2021, durante el cual la BDT ha firmado 11 proyectos valorados en unos 5,5 millones CHF. Se espera firmar otros </w:t>
      </w:r>
      <w:r w:rsidR="00EC2BBE">
        <w:rPr>
          <w:lang w:val="es-ES"/>
        </w:rPr>
        <w:t>ocho</w:t>
      </w:r>
      <w:r w:rsidRPr="00BB6ED2">
        <w:rPr>
          <w:lang w:val="es-ES"/>
        </w:rPr>
        <w:t xml:space="preserve"> proyectos a lo largo del segundo trimestre de 2021 por un valor aproximado de 4,3</w:t>
      </w:r>
      <w:r w:rsidR="00EC2BBE">
        <w:rPr>
          <w:lang w:val="es-ES"/>
        </w:rPr>
        <w:t> </w:t>
      </w:r>
      <w:r w:rsidRPr="00BB6ED2">
        <w:rPr>
          <w:lang w:val="es-ES"/>
        </w:rPr>
        <w:t>millones CHF. Estos proyectos son de alcance nacional, regional y multirregional. La lista de acuerdos puede consultarse en</w:t>
      </w:r>
      <w:bookmarkStart w:id="5" w:name="_Hlk70584234"/>
      <w:r w:rsidR="002A6CF4" w:rsidRPr="00BB6ED2">
        <w:rPr>
          <w:lang w:val="es-ES"/>
        </w:rPr>
        <w:t xml:space="preserve"> el Documento </w:t>
      </w:r>
      <w:hyperlink r:id="rId11" w:history="1">
        <w:r w:rsidR="002A6CF4" w:rsidRPr="00BB6ED2">
          <w:rPr>
            <w:rStyle w:val="Hyperlink"/>
            <w:lang w:val="es-ES"/>
          </w:rPr>
          <w:t>TDAG-21/INF/2</w:t>
        </w:r>
      </w:hyperlink>
      <w:r w:rsidRPr="00BB6ED2">
        <w:rPr>
          <w:lang w:val="es-ES"/>
        </w:rPr>
        <w:t>.</w:t>
      </w:r>
    </w:p>
    <w:p w14:paraId="41ED64CF" w14:textId="7D7E7AA2" w:rsidR="00D4106A" w:rsidRPr="00BB6ED2" w:rsidRDefault="004B567A" w:rsidP="004B567A">
      <w:pPr>
        <w:pStyle w:val="Heading1"/>
      </w:pPr>
      <w:bookmarkStart w:id="6" w:name="_Hlk72313739"/>
      <w:bookmarkEnd w:id="5"/>
      <w:r w:rsidRPr="00BB6ED2">
        <w:t>3</w:t>
      </w:r>
      <w:r w:rsidRPr="00BB6ED2">
        <w:tab/>
      </w:r>
      <w:r w:rsidR="00D4106A" w:rsidRPr="00BB6ED2">
        <w:t>Fuentes de financiación para los proyectos de la UIT en curso</w:t>
      </w:r>
    </w:p>
    <w:p w14:paraId="4B413FDA" w14:textId="71913867" w:rsidR="00D4106A" w:rsidRPr="00D4106A" w:rsidRDefault="00D4106A" w:rsidP="00D4106A">
      <w:pPr>
        <w:rPr>
          <w:b/>
          <w:bCs/>
          <w:lang w:val="es-ES"/>
        </w:rPr>
      </w:pPr>
      <w:r w:rsidRPr="00D4106A">
        <w:rPr>
          <w:lang w:val="es-ES"/>
        </w:rPr>
        <w:t>Los proyectos de la UIT se financian principalmente a través de recursos extrapresupuestarios. Existen cuatro fuentes de financiación para los proyectos: fondos fiduciarios (FF), Fondo de Desarrollo de las TIC (FD-TIC)</w:t>
      </w:r>
      <w:r w:rsidR="004B567A">
        <w:rPr>
          <w:rStyle w:val="FootnoteReference"/>
          <w:lang w:val="es-ES"/>
        </w:rPr>
        <w:footnoteReference w:id="6"/>
      </w:r>
      <w:r w:rsidRPr="00D4106A">
        <w:rPr>
          <w:lang w:val="es-ES"/>
        </w:rPr>
        <w:t>, contribuciones voluntarias y presupuesto ordinario de la UIT</w:t>
      </w:r>
      <w:r w:rsidR="004B567A">
        <w:rPr>
          <w:rStyle w:val="FootnoteReference"/>
          <w:lang w:val="es-ES"/>
        </w:rPr>
        <w:footnoteReference w:id="7"/>
      </w:r>
      <w:r w:rsidRPr="00D4106A">
        <w:rPr>
          <w:lang w:val="es-ES"/>
        </w:rPr>
        <w:t>. A 31 de marzo de 2021, sobre la base del presupuesto en vigor para la ejecución de proyectos, el 90</w:t>
      </w:r>
      <w:r w:rsidR="002A6CF4">
        <w:rPr>
          <w:lang w:val="es-ES"/>
        </w:rPr>
        <w:t> </w:t>
      </w:r>
      <w:r w:rsidRPr="00D4106A">
        <w:rPr>
          <w:lang w:val="es-ES"/>
        </w:rPr>
        <w:t>% de la financiación de los proyectos de la UIT en curso procede de fondos fiduciarios, el 5</w:t>
      </w:r>
      <w:r w:rsidR="004F2B55">
        <w:rPr>
          <w:lang w:val="es-ES"/>
        </w:rPr>
        <w:t> </w:t>
      </w:r>
      <w:r w:rsidRPr="00D4106A">
        <w:rPr>
          <w:lang w:val="es-ES"/>
        </w:rPr>
        <w:t>% del</w:t>
      </w:r>
      <w:r w:rsidR="00EF04EE">
        <w:rPr>
          <w:lang w:val="es-ES"/>
        </w:rPr>
        <w:t> </w:t>
      </w:r>
      <w:r w:rsidRPr="00D4106A">
        <w:rPr>
          <w:lang w:val="es-ES"/>
        </w:rPr>
        <w:t>FD</w:t>
      </w:r>
      <w:r w:rsidR="00EF04EE">
        <w:rPr>
          <w:lang w:val="es-ES"/>
        </w:rPr>
        <w:noBreakHyphen/>
      </w:r>
      <w:r w:rsidRPr="00D4106A">
        <w:rPr>
          <w:lang w:val="es-ES"/>
        </w:rPr>
        <w:t>TIC y el 5</w:t>
      </w:r>
      <w:r w:rsidR="002A6CF4">
        <w:rPr>
          <w:lang w:val="es-ES"/>
        </w:rPr>
        <w:t> </w:t>
      </w:r>
      <w:r w:rsidRPr="00D4106A">
        <w:rPr>
          <w:lang w:val="es-ES"/>
        </w:rPr>
        <w:t xml:space="preserve">% del Plan Operacional </w:t>
      </w:r>
      <w:r w:rsidR="002A0CCE" w:rsidRPr="002A0CCE">
        <w:rPr>
          <w:lang w:val="es-ES"/>
        </w:rPr>
        <w:t>(PO)</w:t>
      </w:r>
      <w:r w:rsidR="002A0CCE">
        <w:rPr>
          <w:lang w:val="es-ES"/>
        </w:rPr>
        <w:t xml:space="preserve"> </w:t>
      </w:r>
      <w:r w:rsidRPr="00D4106A">
        <w:rPr>
          <w:lang w:val="es-ES"/>
        </w:rPr>
        <w:t>de la BDT (véase la Figura 3).</w:t>
      </w:r>
    </w:p>
    <w:p w14:paraId="213B6231" w14:textId="50E5B4AE" w:rsidR="00D4106A" w:rsidRDefault="00D4106A" w:rsidP="004F2B55">
      <w:pPr>
        <w:pStyle w:val="FigureNotitle"/>
      </w:pPr>
      <w:r w:rsidRPr="00D4106A">
        <w:lastRenderedPageBreak/>
        <w:t>Figura 3 – Fuentes de financiación para los proyectos de la UIT (proyectos en curso)</w:t>
      </w:r>
    </w:p>
    <w:p w14:paraId="17514643" w14:textId="05BD25DB" w:rsidR="0038464E" w:rsidRPr="0038464E" w:rsidRDefault="0038464E" w:rsidP="0038464E">
      <w:pPr>
        <w:pStyle w:val="Figure"/>
      </w:pPr>
      <w:r>
        <w:rPr>
          <w:noProof/>
        </w:rPr>
        <w:drawing>
          <wp:inline distT="0" distB="0" distL="0" distR="0" wp14:anchorId="40B36C46" wp14:editId="4461F523">
            <wp:extent cx="3751200" cy="22572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1200" cy="2257200"/>
                    </a:xfrm>
                    <a:prstGeom prst="rect">
                      <a:avLst/>
                    </a:prstGeom>
                    <a:noFill/>
                  </pic:spPr>
                </pic:pic>
              </a:graphicData>
            </a:graphic>
          </wp:inline>
        </w:drawing>
      </w:r>
    </w:p>
    <w:bookmarkEnd w:id="6"/>
    <w:p w14:paraId="5914AF2C" w14:textId="66AD74CD" w:rsidR="00D4106A" w:rsidRPr="00D4106A" w:rsidRDefault="002651F5" w:rsidP="002651F5">
      <w:pPr>
        <w:pStyle w:val="Heading2"/>
      </w:pPr>
      <w:r>
        <w:t>3.1</w:t>
      </w:r>
      <w:r>
        <w:tab/>
      </w:r>
      <w:r w:rsidR="00D4106A" w:rsidRPr="00D4106A">
        <w:t xml:space="preserve">Fondos atribuidos por el Consejo a la implementación de las </w:t>
      </w:r>
      <w:r w:rsidR="00BB6ED2">
        <w:t>i</w:t>
      </w:r>
      <w:r w:rsidR="00D4106A" w:rsidRPr="00D4106A">
        <w:t xml:space="preserve">niciativas </w:t>
      </w:r>
      <w:r w:rsidR="00BB6ED2">
        <w:t>r</w:t>
      </w:r>
      <w:r w:rsidR="00D4106A" w:rsidRPr="00D4106A">
        <w:t>egionales de la</w:t>
      </w:r>
      <w:r w:rsidR="000C58C3">
        <w:t> </w:t>
      </w:r>
      <w:r w:rsidR="00D4106A" w:rsidRPr="00D4106A">
        <w:t>CMDT-17</w:t>
      </w:r>
    </w:p>
    <w:p w14:paraId="09910038" w14:textId="27188143" w:rsidR="00D4106A" w:rsidRPr="00D4106A" w:rsidRDefault="00D4106A" w:rsidP="00D4106A">
      <w:pPr>
        <w:rPr>
          <w:lang w:val="es-ES"/>
        </w:rPr>
      </w:pPr>
      <w:r w:rsidRPr="00D4106A">
        <w:rPr>
          <w:lang w:val="es-ES_tradnl"/>
        </w:rPr>
        <w:t>Para la financiación de proyectos destinados a la puesta en marcha de las iniciativas regionales de la CMDT-17, el Consejo de la UIT de 2018 decidió asignar 2 millones CHF para el periodo 2018</w:t>
      </w:r>
      <w:r w:rsidRPr="00D4106A">
        <w:rPr>
          <w:lang w:val="es-ES_tradnl"/>
        </w:rPr>
        <w:noBreakHyphen/>
        <w:t>2019 con cargo al Plan Operacional de 2017 e incluir 3 millones CHF para 2020-2021 en el Plan Financiero 2020-2023</w:t>
      </w:r>
      <w:r w:rsidRPr="00D4106A">
        <w:rPr>
          <w:lang w:val="es-ES"/>
        </w:rPr>
        <w:t>. En principio, estos fondos se otorgan como recursos iniciales y suelen representar el 50</w:t>
      </w:r>
      <w:r w:rsidR="002651F5">
        <w:rPr>
          <w:lang w:val="es-ES"/>
        </w:rPr>
        <w:t> </w:t>
      </w:r>
      <w:r w:rsidRPr="00D4106A">
        <w:rPr>
          <w:lang w:val="es-ES"/>
        </w:rPr>
        <w:t>% del coste total de un proyecto de desarrollo para atraer fondos de asociados potenciales en pro de la ejecución de las iniciativas regionales.</w:t>
      </w:r>
    </w:p>
    <w:p w14:paraId="1AC21C3E" w14:textId="60C71954" w:rsidR="00D4106A" w:rsidRPr="00D4106A" w:rsidRDefault="00D4106A" w:rsidP="00D4106A">
      <w:pPr>
        <w:rPr>
          <w:lang w:val="es-ES"/>
        </w:rPr>
      </w:pPr>
      <w:r w:rsidRPr="00D4106A">
        <w:rPr>
          <w:lang w:val="es-ES"/>
        </w:rPr>
        <w:t xml:space="preserve">En la fecha de preparación de este Informe se han firmado un total de 26 proyectos con financiación procedente de los fondos atribuidos por el Consejo para la implementación de las </w:t>
      </w:r>
      <w:r w:rsidR="00BB6ED2">
        <w:rPr>
          <w:lang w:val="es-ES"/>
        </w:rPr>
        <w:t>i</w:t>
      </w:r>
      <w:r w:rsidRPr="00D4106A">
        <w:rPr>
          <w:lang w:val="es-ES"/>
        </w:rPr>
        <w:t xml:space="preserve">niciativas </w:t>
      </w:r>
      <w:r w:rsidR="00BB6ED2">
        <w:rPr>
          <w:lang w:val="es-ES"/>
        </w:rPr>
        <w:t>r</w:t>
      </w:r>
      <w:r w:rsidRPr="00D4106A">
        <w:rPr>
          <w:lang w:val="es-ES"/>
        </w:rPr>
        <w:t xml:space="preserve">egionales de la CMDT-17. Estos proyectos representan una cartera de 10,9 millones CHF (incluidas las contribuciones en especie) de los cuales 3,4 millones proceden de la BDT. Se prevé firmar a lo largo del segundo trimestre de 2021 los últimos </w:t>
      </w:r>
      <w:r w:rsidR="000C58C3">
        <w:rPr>
          <w:lang w:val="es-ES"/>
        </w:rPr>
        <w:t>ocho</w:t>
      </w:r>
      <w:r w:rsidRPr="00D4106A">
        <w:rPr>
          <w:lang w:val="es-ES"/>
        </w:rPr>
        <w:t xml:space="preserve"> proyectos que recibirán fondos atribuidos por el Consejo.</w:t>
      </w:r>
    </w:p>
    <w:p w14:paraId="23C23D55" w14:textId="62F81CC6" w:rsidR="00D4106A" w:rsidRPr="00D4106A" w:rsidRDefault="004B567A" w:rsidP="004B567A">
      <w:pPr>
        <w:pStyle w:val="Heading1"/>
      </w:pPr>
      <w:r w:rsidRPr="00FC76ED">
        <w:t>4</w:t>
      </w:r>
      <w:r w:rsidRPr="00FC76ED">
        <w:tab/>
      </w:r>
      <w:r w:rsidR="00D4106A" w:rsidRPr="00D4106A">
        <w:t>Esfuerzos invertidos en el fortalecimiento de la gestión de proyectos de la</w:t>
      </w:r>
      <w:r w:rsidRPr="00FC76ED">
        <w:t> </w:t>
      </w:r>
      <w:r w:rsidR="00D4106A" w:rsidRPr="00D4106A">
        <w:t>UIT</w:t>
      </w:r>
    </w:p>
    <w:p w14:paraId="6DB7B24E" w14:textId="77777777" w:rsidR="00D4106A" w:rsidRPr="00D4106A" w:rsidRDefault="00D4106A" w:rsidP="00D4106A">
      <w:pPr>
        <w:rPr>
          <w:lang w:val="es-ES"/>
        </w:rPr>
      </w:pPr>
      <w:r w:rsidRPr="00D4106A">
        <w:rPr>
          <w:lang w:val="es-ES"/>
        </w:rPr>
        <w:t>A lo largo de los últimos 12 meses la BDT ha seguido reforzando la gestión de todos los proyectos de la UIT organizando un amplio abanico de actividades destinadas a fortalecer la gobernanza de los proyectos de la UIT, la capacitación de los gestores de proyectos de la UIT, la normalización de las prácticas de gestión de proyectos en toda la UIT, así como una mayor supervisión y evaluación de los proyectos. Entre esas actividades se cuentan las siguientes:</w:t>
      </w:r>
    </w:p>
    <w:p w14:paraId="3B403EAA" w14:textId="58EA0BFC" w:rsidR="00D4106A" w:rsidRPr="00D4106A" w:rsidRDefault="004B567A" w:rsidP="004B567A">
      <w:pPr>
        <w:pStyle w:val="enumlev1"/>
        <w:rPr>
          <w:b/>
          <w:bCs/>
          <w:lang w:val="es-ES"/>
        </w:rPr>
      </w:pPr>
      <w:r w:rsidRPr="004B567A">
        <w:rPr>
          <w:lang w:val="es-ES"/>
        </w:rPr>
        <w:t>–</w:t>
      </w:r>
      <w:r w:rsidRPr="004B567A">
        <w:rPr>
          <w:lang w:val="es-ES"/>
        </w:rPr>
        <w:tab/>
      </w:r>
      <w:r w:rsidR="00D4106A" w:rsidRPr="00D4106A">
        <w:rPr>
          <w:b/>
          <w:bCs/>
          <w:i/>
          <w:iCs/>
          <w:lang w:val="es-ES"/>
        </w:rPr>
        <w:t xml:space="preserve">Creación de la Junta de </w:t>
      </w:r>
      <w:r w:rsidR="00CD6108" w:rsidRPr="00D4106A">
        <w:rPr>
          <w:b/>
          <w:bCs/>
          <w:i/>
          <w:iCs/>
          <w:lang w:val="es-ES"/>
        </w:rPr>
        <w:t>p</w:t>
      </w:r>
      <w:r w:rsidR="00D4106A" w:rsidRPr="00D4106A">
        <w:rPr>
          <w:b/>
          <w:bCs/>
          <w:i/>
          <w:iCs/>
          <w:lang w:val="es-ES"/>
        </w:rPr>
        <w:t>royectos de la BDT</w:t>
      </w:r>
      <w:r w:rsidR="00D4106A" w:rsidRPr="00BB6ED2">
        <w:rPr>
          <w:lang w:val="es-ES"/>
        </w:rPr>
        <w:t>:</w:t>
      </w:r>
      <w:r w:rsidR="00D4106A" w:rsidRPr="00BB6ED2">
        <w:rPr>
          <w:b/>
          <w:bCs/>
          <w:lang w:val="es-ES"/>
        </w:rPr>
        <w:t xml:space="preserve"> </w:t>
      </w:r>
      <w:r w:rsidR="00BB6ED2">
        <w:rPr>
          <w:lang w:val="es-ES"/>
        </w:rPr>
        <w:t>c</w:t>
      </w:r>
      <w:r w:rsidR="00D4106A" w:rsidRPr="00D4106A">
        <w:rPr>
          <w:lang w:val="es-ES"/>
        </w:rPr>
        <w:t xml:space="preserve">reada por la Directora de la BDT en noviembre de 2020, la Junta de </w:t>
      </w:r>
      <w:r w:rsidR="00CD6108" w:rsidRPr="00D4106A">
        <w:rPr>
          <w:lang w:val="es-ES"/>
        </w:rPr>
        <w:t>p</w:t>
      </w:r>
      <w:r w:rsidR="00D4106A" w:rsidRPr="00D4106A">
        <w:rPr>
          <w:lang w:val="es-ES"/>
        </w:rPr>
        <w:t xml:space="preserve">royectos de la BDT tiene por misión evaluar y calibrar la viabilidad y pertinencia de los proyectos propuestos antes </w:t>
      </w:r>
      <w:r w:rsidR="00E952FE">
        <w:rPr>
          <w:lang w:val="es-ES"/>
        </w:rPr>
        <w:t xml:space="preserve">de </w:t>
      </w:r>
      <w:r w:rsidR="00D4106A" w:rsidRPr="00D4106A">
        <w:rPr>
          <w:lang w:val="es-ES"/>
        </w:rPr>
        <w:t xml:space="preserve">su definición efectiva, examinar y aprobar los proyectos acordados con los socios, participar, sobre la base de un procedimiento formal de evaluación de proyectos, en reuniones trimestrales de evaluación de proyectos con los correspondientes equipos de gestión, y supervisar la ejecución y finalización de los proyectos en caso de problema. El mandato y la composición de la Junta de </w:t>
      </w:r>
      <w:r w:rsidR="00CD6108" w:rsidRPr="00D4106A">
        <w:rPr>
          <w:lang w:val="es-ES"/>
        </w:rPr>
        <w:t>p</w:t>
      </w:r>
      <w:r w:rsidR="00D4106A" w:rsidRPr="00D4106A">
        <w:rPr>
          <w:lang w:val="es-ES"/>
        </w:rPr>
        <w:t xml:space="preserve">royectos pueden consultarse en el </w:t>
      </w:r>
      <w:r w:rsidR="00D4106A" w:rsidRPr="00D4106A">
        <w:rPr>
          <w:b/>
          <w:bCs/>
          <w:lang w:val="es-ES"/>
        </w:rPr>
        <w:t>Anexo 1.</w:t>
      </w:r>
      <w:r w:rsidR="00D4106A" w:rsidRPr="00D4106A">
        <w:rPr>
          <w:lang w:val="es-ES"/>
        </w:rPr>
        <w:t xml:space="preserve"> La Junta de </w:t>
      </w:r>
      <w:r w:rsidR="00CD6108" w:rsidRPr="00D4106A">
        <w:rPr>
          <w:lang w:val="es-ES"/>
        </w:rPr>
        <w:t>p</w:t>
      </w:r>
      <w:r w:rsidR="00D4106A" w:rsidRPr="00D4106A">
        <w:rPr>
          <w:lang w:val="es-ES"/>
        </w:rPr>
        <w:t xml:space="preserve">royectos es un mecanismo independiente de control de las prácticas de gestión de </w:t>
      </w:r>
      <w:r w:rsidR="00D4106A" w:rsidRPr="00D4106A">
        <w:rPr>
          <w:lang w:val="es-ES"/>
        </w:rPr>
        <w:lastRenderedPageBreak/>
        <w:t xml:space="preserve">proyectos que comprenden la gobernanza, la rendición de informes, la supervisión y la evaluación definidas en el Manual de </w:t>
      </w:r>
      <w:r w:rsidR="00CD6108" w:rsidRPr="00D4106A">
        <w:rPr>
          <w:lang w:val="es-ES"/>
        </w:rPr>
        <w:t>p</w:t>
      </w:r>
      <w:r w:rsidR="00D4106A" w:rsidRPr="00D4106A">
        <w:rPr>
          <w:lang w:val="es-ES"/>
        </w:rPr>
        <w:t>royectos de la UIT.</w:t>
      </w:r>
    </w:p>
    <w:p w14:paraId="2AB0E1FE" w14:textId="52441FD4" w:rsidR="00D4106A" w:rsidRPr="00FC76ED" w:rsidRDefault="004B567A" w:rsidP="004B567A">
      <w:pPr>
        <w:pStyle w:val="enumlev1"/>
        <w:rPr>
          <w:lang w:val="es-ES"/>
        </w:rPr>
      </w:pPr>
      <w:r w:rsidRPr="00862737">
        <w:rPr>
          <w:lang w:val="es-ES"/>
        </w:rPr>
        <w:t>–</w:t>
      </w:r>
      <w:r w:rsidRPr="00FC76ED">
        <w:rPr>
          <w:lang w:val="es-ES"/>
        </w:rPr>
        <w:tab/>
      </w:r>
      <w:r w:rsidR="00D4106A" w:rsidRPr="00FC76ED">
        <w:rPr>
          <w:b/>
          <w:bCs/>
          <w:i/>
          <w:iCs/>
          <w:lang w:val="es-ES"/>
        </w:rPr>
        <w:t>Adopción e implementación del nuevo Manual de gestión de proyectos de la UIT</w:t>
      </w:r>
      <w:r w:rsidR="00D4106A" w:rsidRPr="00BB6ED2">
        <w:rPr>
          <w:lang w:val="es-ES"/>
        </w:rPr>
        <w:t xml:space="preserve">: </w:t>
      </w:r>
      <w:r w:rsidR="00BB6ED2">
        <w:rPr>
          <w:lang w:val="es-ES"/>
        </w:rPr>
        <w:t>p</w:t>
      </w:r>
      <w:r w:rsidR="00D4106A" w:rsidRPr="00FC76ED">
        <w:rPr>
          <w:lang w:val="es-ES"/>
        </w:rPr>
        <w:t>ublicado en julio de 2020, el nuevo Manual de proyectos de la UIT se basa en las prácticas idóneas internacionales de gestión de proyectos y en la experiencia acumulada por los gestores de proyectos de la UIT en la ejecución de proyectos para el desarrollo digital. Los principios enunciados en el Manual son de carácter obligatorio para todos los gestores de proyectos de la UIT. Este Manual se utiliza como material de referencia.</w:t>
      </w:r>
    </w:p>
    <w:p w14:paraId="5EDA85C5" w14:textId="54059286" w:rsidR="00D4106A" w:rsidRPr="00D4106A" w:rsidRDefault="004B567A" w:rsidP="004B567A">
      <w:pPr>
        <w:pStyle w:val="enumlev1"/>
        <w:rPr>
          <w:b/>
          <w:bCs/>
          <w:lang w:val="es-ES"/>
        </w:rPr>
      </w:pPr>
      <w:r w:rsidRPr="00862737">
        <w:rPr>
          <w:lang w:val="es-ES"/>
        </w:rPr>
        <w:t>–</w:t>
      </w:r>
      <w:r w:rsidRPr="004B567A">
        <w:rPr>
          <w:lang w:val="es-ES"/>
        </w:rPr>
        <w:tab/>
      </w:r>
      <w:r w:rsidR="00D4106A" w:rsidRPr="00D4106A">
        <w:rPr>
          <w:b/>
          <w:bCs/>
          <w:i/>
          <w:iCs/>
          <w:lang w:val="es-ES"/>
        </w:rPr>
        <w:t>Fortalecimiento de la gobernanza de proyectos</w:t>
      </w:r>
      <w:r w:rsidR="00D4106A" w:rsidRPr="00BB6ED2">
        <w:rPr>
          <w:lang w:val="es-ES"/>
        </w:rPr>
        <w:t xml:space="preserve">: </w:t>
      </w:r>
      <w:r w:rsidR="00D4106A" w:rsidRPr="00D4106A">
        <w:rPr>
          <w:lang w:val="es-ES"/>
        </w:rPr>
        <w:t>la gobernanza de proyectos también se ha reforzado a nivel de los proyectos gracias a la utilización de gráficos RACI, de la participación de patrocinadores de proyectos y, cuando procede, de la creación de comités de dirección para todos los proyectos de la UIT. Esta gobernanza de proyectos reforzada es uno de los pilares fundamentales del Manual de gestión de proyectos de la</w:t>
      </w:r>
      <w:r w:rsidR="00862737">
        <w:rPr>
          <w:lang w:val="es-ES"/>
        </w:rPr>
        <w:t> </w:t>
      </w:r>
      <w:r w:rsidR="00D4106A" w:rsidRPr="00D4106A">
        <w:rPr>
          <w:lang w:val="es-ES"/>
        </w:rPr>
        <w:t>UIT.</w:t>
      </w:r>
    </w:p>
    <w:p w14:paraId="004AAEC3" w14:textId="2AE96595" w:rsidR="00D4106A" w:rsidRPr="00862737" w:rsidRDefault="004B567A" w:rsidP="004B567A">
      <w:pPr>
        <w:pStyle w:val="enumlev1"/>
      </w:pPr>
      <w:r w:rsidRPr="00862737">
        <w:rPr>
          <w:lang w:val="es-ES"/>
        </w:rPr>
        <w:t>–</w:t>
      </w:r>
      <w:r w:rsidRPr="004B567A">
        <w:rPr>
          <w:lang w:val="es-ES"/>
        </w:rPr>
        <w:tab/>
      </w:r>
      <w:r w:rsidR="00D4106A" w:rsidRPr="00D4106A">
        <w:rPr>
          <w:b/>
          <w:bCs/>
          <w:i/>
          <w:iCs/>
          <w:lang w:val="es-ES"/>
        </w:rPr>
        <w:t>Programa de certificación de gestión de proyectos</w:t>
      </w:r>
      <w:r w:rsidR="00D4106A" w:rsidRPr="00BB6ED2">
        <w:rPr>
          <w:lang w:val="es-ES"/>
        </w:rPr>
        <w:t xml:space="preserve">: </w:t>
      </w:r>
      <w:r w:rsidR="00BB6ED2">
        <w:rPr>
          <w:lang w:val="es-ES"/>
        </w:rPr>
        <w:t>l</w:t>
      </w:r>
      <w:r w:rsidR="00D4106A" w:rsidRPr="00D4106A">
        <w:rPr>
          <w:lang w:val="es-ES"/>
        </w:rPr>
        <w:t xml:space="preserve">a UIT siguió en 2020 con el programa de certificación en gestión de proyectos iniciado en 2019. Tras la finalización del segundo programa, un total de 75 funcionarios de la BDT cuentan hoy con un certificado en metodología PMD Pro. El programa seguirá adelante en 2021 con el lanzamiento del nuevo módulo </w:t>
      </w:r>
      <w:r w:rsidR="00BB6ED2">
        <w:rPr>
          <w:lang w:val="es-ES"/>
        </w:rPr>
        <w:t>"</w:t>
      </w:r>
      <w:r w:rsidR="00D4106A" w:rsidRPr="00D4106A">
        <w:rPr>
          <w:lang w:val="es-ES"/>
        </w:rPr>
        <w:t>Comunidad de prácticas de gestores de proyectos de la UIT</w:t>
      </w:r>
      <w:r w:rsidR="00BB6ED2">
        <w:rPr>
          <w:lang w:val="es-ES"/>
        </w:rPr>
        <w:t>"</w:t>
      </w:r>
      <w:r w:rsidR="00D4106A" w:rsidRPr="00D4106A">
        <w:rPr>
          <w:lang w:val="es-ES"/>
        </w:rPr>
        <w:t xml:space="preserve"> y la organización de un programa de </w:t>
      </w:r>
      <w:r w:rsidR="00BB6ED2">
        <w:rPr>
          <w:lang w:val="es-ES"/>
        </w:rPr>
        <w:t>"</w:t>
      </w:r>
      <w:r w:rsidR="00D4106A" w:rsidRPr="00D4106A">
        <w:rPr>
          <w:lang w:val="es-ES"/>
        </w:rPr>
        <w:t>formación de docentes</w:t>
      </w:r>
      <w:r w:rsidR="00BB6ED2">
        <w:rPr>
          <w:lang w:val="es-ES"/>
        </w:rPr>
        <w:t>"</w:t>
      </w:r>
      <w:r w:rsidR="00D4106A" w:rsidRPr="00D4106A">
        <w:rPr>
          <w:lang w:val="es-ES"/>
        </w:rPr>
        <w:t>.</w:t>
      </w:r>
    </w:p>
    <w:p w14:paraId="4C1F1A4C" w14:textId="0AB97A30" w:rsidR="00D4106A" w:rsidRPr="00D4106A" w:rsidRDefault="004B567A" w:rsidP="004B567A">
      <w:pPr>
        <w:pStyle w:val="enumlev1"/>
        <w:rPr>
          <w:lang w:val="es-ES"/>
        </w:rPr>
      </w:pPr>
      <w:r w:rsidRPr="00862737">
        <w:rPr>
          <w:lang w:val="es-ES"/>
        </w:rPr>
        <w:t>–</w:t>
      </w:r>
      <w:r w:rsidRPr="004B567A">
        <w:rPr>
          <w:lang w:val="es-ES"/>
        </w:rPr>
        <w:tab/>
      </w:r>
      <w:r w:rsidR="00D4106A" w:rsidRPr="00D4106A">
        <w:rPr>
          <w:b/>
          <w:bCs/>
          <w:i/>
          <w:iCs/>
          <w:lang w:val="es-ES"/>
        </w:rPr>
        <w:t>Intensificación de la supervisión de los proyectos</w:t>
      </w:r>
      <w:r w:rsidR="00D4106A" w:rsidRPr="00BB6ED2">
        <w:rPr>
          <w:lang w:val="es-ES"/>
        </w:rPr>
        <w:t xml:space="preserve">: </w:t>
      </w:r>
      <w:r w:rsidR="00BB6ED2">
        <w:rPr>
          <w:lang w:val="es-ES"/>
        </w:rPr>
        <w:t>t</w:t>
      </w:r>
      <w:r w:rsidR="00D4106A" w:rsidRPr="00D4106A">
        <w:rPr>
          <w:lang w:val="es-ES"/>
        </w:rPr>
        <w:t>odos los proyectos de la UIT se someten trimestralmente a la supervisión de la División de Apoyo a los Proyectos, cuyos resultados se dan a conocer a la Dirección de la UIT y a los gestores de proyectos en el Informe trimestral de evaluación, informe interactivo cuyo formato se ha rediseñado por completo a fin de poder evaluar con prontitud el estadio de ejecución de cada proyecto. Gracias a este Informe se pueden identificar los proyectos que se desvían de su plan de trabajo original y que pueden necesitar de un apoyo particular para volver al buen camino.</w:t>
      </w:r>
    </w:p>
    <w:p w14:paraId="6040BCEF" w14:textId="2E136E51" w:rsidR="00D4106A" w:rsidRPr="00D4106A" w:rsidRDefault="004B567A" w:rsidP="004B567A">
      <w:pPr>
        <w:pStyle w:val="enumlev1"/>
        <w:rPr>
          <w:lang w:val="es-ES"/>
        </w:rPr>
      </w:pPr>
      <w:r w:rsidRPr="00862737">
        <w:rPr>
          <w:lang w:val="es-ES"/>
        </w:rPr>
        <w:t>–</w:t>
      </w:r>
      <w:r w:rsidRPr="004B567A">
        <w:rPr>
          <w:lang w:val="es-ES"/>
        </w:rPr>
        <w:tab/>
      </w:r>
      <w:r w:rsidR="00D4106A" w:rsidRPr="00BB6ED2">
        <w:rPr>
          <w:b/>
          <w:i/>
          <w:iCs/>
          <w:lang w:val="es-ES_tradnl"/>
        </w:rPr>
        <w:t>Evaluaciones posteriores a la ejecución de los proyectos</w:t>
      </w:r>
      <w:r w:rsidR="00D4106A" w:rsidRPr="00D4106A">
        <w:rPr>
          <w:bCs/>
          <w:lang w:val="es-ES_tradnl"/>
        </w:rPr>
        <w:t xml:space="preserve">: </w:t>
      </w:r>
      <w:r w:rsidR="00D4106A" w:rsidRPr="00D4106A">
        <w:rPr>
          <w:lang w:val="es-ES_tradnl"/>
        </w:rPr>
        <w:t xml:space="preserve">la BDT ha realizado evaluaciones posteriores a la ejecución de varios proyectos de la UIT. Estas evaluaciones tienen por objeto examinar los indicadores fundamentales de rendimiento establecidos para evaluar los resultados, la eficiencia y la eficacia de la ejecución del proyecto en cuestión, así como la repercusión de los resultados obtenidos, centrados en los principios de la gestión basada en los resultados. Las conclusiones del examen se basan en un análisis objetivo de los resultados obtenidos y de las experiencias adquiridas que pueden contribuir a mejorar la concepción y ejecución de futuros proyectos de la UIT. Los resultados se recogen en los </w:t>
      </w:r>
      <w:r w:rsidR="00862737">
        <w:rPr>
          <w:lang w:val="es-ES_tradnl"/>
        </w:rPr>
        <w:t>i</w:t>
      </w:r>
      <w:r w:rsidR="00D4106A" w:rsidRPr="00D4106A">
        <w:rPr>
          <w:lang w:val="es-ES_tradnl"/>
        </w:rPr>
        <w:t xml:space="preserve">nformes de </w:t>
      </w:r>
      <w:r w:rsidR="00862737">
        <w:rPr>
          <w:lang w:val="es-ES_tradnl"/>
        </w:rPr>
        <w:t>e</w:t>
      </w:r>
      <w:r w:rsidR="00D4106A" w:rsidRPr="00D4106A">
        <w:rPr>
          <w:lang w:val="es-ES_tradnl"/>
        </w:rPr>
        <w:t>valuación, algunos de los cuales se publican en el sitio</w:t>
      </w:r>
      <w:r w:rsidR="00D4106A" w:rsidRPr="00D4106A">
        <w:rPr>
          <w:lang w:val="es-ES"/>
        </w:rPr>
        <w:t xml:space="preserve"> </w:t>
      </w:r>
      <w:hyperlink r:id="rId13" w:history="1">
        <w:r w:rsidR="00D4106A" w:rsidRPr="00D4106A">
          <w:rPr>
            <w:rStyle w:val="Hyperlink"/>
            <w:lang w:val="es-ES"/>
          </w:rPr>
          <w:t>BDT Proje</w:t>
        </w:r>
        <w:r w:rsidR="00D4106A" w:rsidRPr="00D4106A">
          <w:rPr>
            <w:rStyle w:val="Hyperlink"/>
            <w:lang w:val="es-ES"/>
          </w:rPr>
          <w:t>c</w:t>
        </w:r>
        <w:r w:rsidR="00D4106A" w:rsidRPr="00D4106A">
          <w:rPr>
            <w:rStyle w:val="Hyperlink"/>
            <w:lang w:val="es-ES"/>
          </w:rPr>
          <w:t>ts website</w:t>
        </w:r>
      </w:hyperlink>
      <w:r w:rsidR="00D4106A" w:rsidRPr="00D4106A">
        <w:rPr>
          <w:lang w:val="es-ES"/>
        </w:rPr>
        <w:t>.</w:t>
      </w:r>
    </w:p>
    <w:p w14:paraId="2E9D178F" w14:textId="05A53DBB" w:rsidR="00D4106A" w:rsidRPr="00BB6ED2" w:rsidRDefault="004B567A" w:rsidP="004B567A">
      <w:pPr>
        <w:pStyle w:val="Heading1"/>
      </w:pPr>
      <w:r w:rsidRPr="002968EF">
        <w:t>5</w:t>
      </w:r>
      <w:r w:rsidRPr="002968EF">
        <w:tab/>
      </w:r>
      <w:r w:rsidR="00D4106A" w:rsidRPr="002968EF">
        <w:t>Conclusiones</w:t>
      </w:r>
    </w:p>
    <w:p w14:paraId="5B9D90A7" w14:textId="48012E26" w:rsidR="00D4106A" w:rsidRPr="00D4106A" w:rsidRDefault="004B567A" w:rsidP="004B567A">
      <w:pPr>
        <w:rPr>
          <w:lang w:val="es-ES"/>
        </w:rPr>
      </w:pPr>
      <w:r>
        <w:rPr>
          <w:lang w:val="es-ES_tradnl"/>
        </w:rPr>
        <w:t>1</w:t>
      </w:r>
      <w:r>
        <w:rPr>
          <w:lang w:val="es-ES_tradnl"/>
        </w:rPr>
        <w:tab/>
      </w:r>
      <w:r w:rsidR="00D4106A" w:rsidRPr="00D4106A">
        <w:rPr>
          <w:lang w:val="es-ES_tradnl"/>
        </w:rPr>
        <w:t>La BDT acumula muchos años de experiencia demostrada en la ejecución de proyectos en beneficio de los países en desarrollo y, en algunos casos, los países desarrollados. Sin embargo, la</w:t>
      </w:r>
      <w:r w:rsidR="002968EF">
        <w:rPr>
          <w:lang w:val="es-ES_tradnl"/>
        </w:rPr>
        <w:t> </w:t>
      </w:r>
      <w:r w:rsidR="00D4106A" w:rsidRPr="00D4106A">
        <w:rPr>
          <w:lang w:val="es-ES_tradnl"/>
        </w:rPr>
        <w:t>BDT evoluciona al tiempo que lo hace el sector de las TIC y se compromete a adaptar sus procesos, explotar nuevas oportunidades y responder adecuadamente a los retos que supone crear, ejecutar, supervisar y evaluar los proyectos</w:t>
      </w:r>
      <w:r w:rsidR="00D4106A" w:rsidRPr="00D4106A">
        <w:rPr>
          <w:lang w:val="es-ES"/>
        </w:rPr>
        <w:t>.</w:t>
      </w:r>
    </w:p>
    <w:p w14:paraId="46C3505A" w14:textId="705430DB" w:rsidR="00D4106A" w:rsidRPr="00D4106A" w:rsidRDefault="004B567A" w:rsidP="004B567A">
      <w:pPr>
        <w:rPr>
          <w:lang w:val="es-ES"/>
        </w:rPr>
      </w:pPr>
      <w:r>
        <w:rPr>
          <w:lang w:val="es-ES_tradnl"/>
        </w:rPr>
        <w:lastRenderedPageBreak/>
        <w:t>2</w:t>
      </w:r>
      <w:r>
        <w:rPr>
          <w:lang w:val="es-ES_tradnl"/>
        </w:rPr>
        <w:tab/>
      </w:r>
      <w:r w:rsidR="00D4106A" w:rsidRPr="00D4106A">
        <w:rPr>
          <w:lang w:val="es-ES_tradnl"/>
        </w:rPr>
        <w:t>Se ha podido constatar que la ejecución de proyectos es una forma eficaz de atender las necesidades específicas de los Estados Miembros de la UIT y constituye un excelente mecanismo para tener una influencia relevante</w:t>
      </w:r>
      <w:r w:rsidR="00D4106A" w:rsidRPr="00D4106A">
        <w:rPr>
          <w:lang w:val="es-ES"/>
        </w:rPr>
        <w:t>.</w:t>
      </w:r>
    </w:p>
    <w:p w14:paraId="4DEE65EF" w14:textId="2BAB458C" w:rsidR="00D4106A" w:rsidRPr="00D4106A" w:rsidRDefault="004B567A" w:rsidP="004B567A">
      <w:pPr>
        <w:rPr>
          <w:lang w:val="es-ES"/>
        </w:rPr>
      </w:pPr>
      <w:r>
        <w:rPr>
          <w:lang w:val="es-ES_tradnl"/>
        </w:rPr>
        <w:t>3</w:t>
      </w:r>
      <w:r>
        <w:rPr>
          <w:lang w:val="es-ES_tradnl"/>
        </w:rPr>
        <w:tab/>
      </w:r>
      <w:r w:rsidR="00D4106A" w:rsidRPr="00D4106A">
        <w:rPr>
          <w:lang w:val="es-ES_tradnl"/>
        </w:rPr>
        <w:t>Los proyectos de la BDT son también un medio eficaz para poner en marcha las iniciativas regionales definidas por los Estados Miembros como ámbitos prioritarios para determinadas regiones</w:t>
      </w:r>
      <w:r w:rsidR="00D4106A" w:rsidRPr="00D4106A">
        <w:rPr>
          <w:lang w:val="es-ES"/>
        </w:rPr>
        <w:t>.</w:t>
      </w:r>
    </w:p>
    <w:p w14:paraId="4DC9687A" w14:textId="319192B8" w:rsidR="00D4106A" w:rsidRPr="00D4106A" w:rsidRDefault="004B567A" w:rsidP="004B567A">
      <w:pPr>
        <w:rPr>
          <w:lang w:val="es-ES"/>
        </w:rPr>
      </w:pPr>
      <w:r>
        <w:rPr>
          <w:lang w:val="es-ES_tradnl"/>
        </w:rPr>
        <w:t>4</w:t>
      </w:r>
      <w:r>
        <w:rPr>
          <w:lang w:val="es-ES_tradnl"/>
        </w:rPr>
        <w:tab/>
      </w:r>
      <w:r w:rsidR="00D4106A" w:rsidRPr="00D4106A">
        <w:rPr>
          <w:lang w:val="es-ES_tradnl"/>
        </w:rPr>
        <w:t>La BDT innova constantemente para aprovechar las oportunidades y responder a los desafíos que plantean los proyectos, mejorando su función de ejecución de proyectos, los procesos y la presentación de la información, a fin de reforzar la rendición de cuentas, la eficacia y eficiencia en la ejecución de los proyectos</w:t>
      </w:r>
      <w:r w:rsidR="00D4106A" w:rsidRPr="00D4106A">
        <w:rPr>
          <w:lang w:val="es-ES"/>
        </w:rPr>
        <w:t>.</w:t>
      </w:r>
    </w:p>
    <w:p w14:paraId="42B9E451" w14:textId="71F14110" w:rsidR="00D4106A" w:rsidRPr="00D4106A" w:rsidRDefault="004B567A" w:rsidP="004B567A">
      <w:pPr>
        <w:rPr>
          <w:lang w:val="es-ES"/>
        </w:rPr>
      </w:pPr>
      <w:r>
        <w:rPr>
          <w:lang w:val="es-ES"/>
        </w:rPr>
        <w:t>5</w:t>
      </w:r>
      <w:r>
        <w:rPr>
          <w:lang w:val="es-ES"/>
        </w:rPr>
        <w:tab/>
      </w:r>
      <w:r w:rsidR="00D4106A" w:rsidRPr="00D4106A">
        <w:rPr>
          <w:lang w:val="es-ES"/>
        </w:rPr>
        <w:t xml:space="preserve">Las tres estrategias recientemente adoptadas en relación con los Miembros del UIT-D, las asociaciones y la movilización de recursos, y la gestión de proyectos han contribuido a atar cabos sueltos y crear la sinergia necesaria para coordinar los esfuerzos para lograr resultados palpables en beneficio de los </w:t>
      </w:r>
      <w:r w:rsidR="002968EF">
        <w:rPr>
          <w:lang w:val="es-ES"/>
        </w:rPr>
        <w:t>m</w:t>
      </w:r>
      <w:r w:rsidR="00D4106A" w:rsidRPr="00D4106A">
        <w:rPr>
          <w:lang w:val="es-ES"/>
        </w:rPr>
        <w:t>iembros. Estas estrategias cuentan con la ayuda que supone la colaboración con los interesados de dentro y fuera de la UIT.</w:t>
      </w:r>
    </w:p>
    <w:p w14:paraId="7078C2A7" w14:textId="4218EACA" w:rsidR="00D4106A" w:rsidRPr="00D4106A" w:rsidRDefault="004B567A" w:rsidP="004B567A">
      <w:pPr>
        <w:rPr>
          <w:lang w:val="es-ES"/>
        </w:rPr>
      </w:pPr>
      <w:r>
        <w:rPr>
          <w:lang w:val="es-ES"/>
        </w:rPr>
        <w:t>6</w:t>
      </w:r>
      <w:r>
        <w:rPr>
          <w:lang w:val="es-ES"/>
        </w:rPr>
        <w:tab/>
      </w:r>
      <w:r w:rsidR="00D4106A" w:rsidRPr="00D4106A">
        <w:rPr>
          <w:lang w:val="es-ES"/>
        </w:rPr>
        <w:t xml:space="preserve">Puede obtenerse más información sobre los proyectos ejecutados por la UIT en la dirección </w:t>
      </w:r>
      <w:hyperlink r:id="rId14" w:history="1">
        <w:r w:rsidRPr="00A77D43">
          <w:rPr>
            <w:rStyle w:val="Hyperlink"/>
            <w:lang w:val="es-ES"/>
          </w:rPr>
          <w:t>http://www.itu.int/en</w:t>
        </w:r>
        <w:r w:rsidRPr="00A77D43">
          <w:rPr>
            <w:rStyle w:val="Hyperlink"/>
            <w:lang w:val="es-ES"/>
          </w:rPr>
          <w:t>/</w:t>
        </w:r>
        <w:r w:rsidRPr="00A77D43">
          <w:rPr>
            <w:rStyle w:val="Hyperlink"/>
            <w:lang w:val="es-ES"/>
          </w:rPr>
          <w:t>I</w:t>
        </w:r>
        <w:r w:rsidRPr="00A77D43">
          <w:rPr>
            <w:rStyle w:val="Hyperlink"/>
            <w:lang w:val="es-ES"/>
          </w:rPr>
          <w:t>TU-D/Projects/</w:t>
        </w:r>
      </w:hyperlink>
      <w:r w:rsidRPr="00D4106A">
        <w:rPr>
          <w:lang w:val="es-ES"/>
        </w:rPr>
        <w:t>.</w:t>
      </w:r>
    </w:p>
    <w:p w14:paraId="71F7D0F8" w14:textId="056764AF" w:rsidR="00991B13" w:rsidRDefault="00991B13" w:rsidP="00991B13">
      <w:pPr>
        <w:rPr>
          <w:lang w:val="es-ES_tradnl"/>
        </w:rPr>
      </w:pPr>
    </w:p>
    <w:p w14:paraId="4B18AF82" w14:textId="77777777" w:rsidR="000725A1" w:rsidRDefault="006E4AB3">
      <w:pPr>
        <w:jc w:val="center"/>
      </w:pPr>
      <w:r>
        <w:t>______________</w:t>
      </w:r>
    </w:p>
    <w:sectPr w:rsidR="000725A1" w:rsidSect="004B7893">
      <w:headerReference w:type="default" r:id="rId15"/>
      <w:footerReference w:type="default" r:id="rId16"/>
      <w:footerReference w:type="first" r:id="rId1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59582" w14:textId="77777777" w:rsidR="00D4106A" w:rsidRDefault="00D4106A" w:rsidP="0088106F">
      <w:r>
        <w:separator/>
      </w:r>
    </w:p>
  </w:endnote>
  <w:endnote w:type="continuationSeparator" w:id="0">
    <w:p w14:paraId="7A63C8AA" w14:textId="77777777" w:rsidR="00D4106A" w:rsidRDefault="00D4106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B6D9" w14:textId="35E71C3B" w:rsidR="0088106F" w:rsidRPr="009A6FC4" w:rsidRDefault="00EF5A5F" w:rsidP="004B567A">
    <w:pPr>
      <w:pStyle w:val="Footer"/>
    </w:pPr>
    <w:r>
      <w:fldChar w:fldCharType="begin"/>
    </w:r>
    <w:r>
      <w:instrText xml:space="preserve"> FILENAME \p  \* MERGEFORMAT </w:instrText>
    </w:r>
    <w:r>
      <w:fldChar w:fldCharType="separate"/>
    </w:r>
    <w:r w:rsidR="004B567A">
      <w:t>P:\ESP\ITU-D\CONF-D\TDAG21\000\011S.docx</w:t>
    </w:r>
    <w:r>
      <w:fldChar w:fldCharType="end"/>
    </w:r>
    <w:r w:rsidR="004B567A">
      <w:t xml:space="preserve"> (486967)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9D1BD4" w:rsidRPr="004D495C" w14:paraId="6C037593" w14:textId="77777777" w:rsidTr="004E3CF5">
      <w:tc>
        <w:tcPr>
          <w:tcW w:w="1134" w:type="dxa"/>
          <w:tcBorders>
            <w:top w:val="single" w:sz="4" w:space="0" w:color="000000"/>
          </w:tcBorders>
          <w:shd w:val="clear" w:color="auto" w:fill="auto"/>
        </w:tcPr>
        <w:p w14:paraId="02F260BE" w14:textId="77777777" w:rsidR="009D1BD4" w:rsidRPr="00D4106A" w:rsidRDefault="009D1BD4" w:rsidP="009D1BD4">
          <w:pPr>
            <w:pStyle w:val="FirstFooter"/>
            <w:tabs>
              <w:tab w:val="left" w:pos="1559"/>
              <w:tab w:val="left" w:pos="3828"/>
            </w:tabs>
            <w:rPr>
              <w:sz w:val="18"/>
              <w:szCs w:val="18"/>
              <w:lang w:val="es-ES"/>
            </w:rPr>
          </w:pPr>
          <w:r w:rsidRPr="00D4106A">
            <w:rPr>
              <w:sz w:val="18"/>
              <w:szCs w:val="18"/>
              <w:lang w:val="es-ES"/>
            </w:rPr>
            <w:t>Contacto:</w:t>
          </w:r>
        </w:p>
      </w:tc>
      <w:tc>
        <w:tcPr>
          <w:tcW w:w="2552" w:type="dxa"/>
          <w:tcBorders>
            <w:top w:val="single" w:sz="4" w:space="0" w:color="000000"/>
          </w:tcBorders>
          <w:shd w:val="clear" w:color="auto" w:fill="auto"/>
        </w:tcPr>
        <w:p w14:paraId="27760216" w14:textId="77777777" w:rsidR="009D1BD4" w:rsidRPr="00D4106A" w:rsidRDefault="009D1BD4" w:rsidP="009D1BD4">
          <w:pPr>
            <w:pStyle w:val="FirstFooter"/>
            <w:tabs>
              <w:tab w:val="left" w:pos="2302"/>
            </w:tabs>
            <w:ind w:left="2302" w:hanging="2302"/>
            <w:rPr>
              <w:sz w:val="18"/>
              <w:szCs w:val="18"/>
              <w:lang w:val="es-ES"/>
            </w:rPr>
          </w:pPr>
          <w:r w:rsidRPr="00D4106A">
            <w:rPr>
              <w:sz w:val="18"/>
              <w:szCs w:val="18"/>
              <w:lang w:val="es-ES"/>
            </w:rPr>
            <w:t>Nombre/Organización/Entidad:</w:t>
          </w:r>
        </w:p>
      </w:tc>
      <w:tc>
        <w:tcPr>
          <w:tcW w:w="6237" w:type="dxa"/>
          <w:tcBorders>
            <w:top w:val="single" w:sz="4" w:space="0" w:color="000000"/>
          </w:tcBorders>
          <w:shd w:val="clear" w:color="auto" w:fill="auto"/>
        </w:tcPr>
        <w:p w14:paraId="753ACE26" w14:textId="594940C9" w:rsidR="009D1BD4" w:rsidRPr="00D4106A" w:rsidRDefault="00D4106A" w:rsidP="00D4106A">
          <w:pPr>
            <w:pStyle w:val="FirstFooter"/>
            <w:tabs>
              <w:tab w:val="left" w:pos="2302"/>
            </w:tabs>
            <w:rPr>
              <w:sz w:val="18"/>
              <w:szCs w:val="18"/>
              <w:lang w:val="es-ES"/>
            </w:rPr>
          </w:pPr>
          <w:bookmarkStart w:id="7" w:name="OrgName"/>
          <w:bookmarkEnd w:id="7"/>
          <w:r w:rsidRPr="00D4106A">
            <w:rPr>
              <w:sz w:val="18"/>
              <w:szCs w:val="18"/>
              <w:lang w:val="es-ES"/>
            </w:rPr>
            <w:t>Dr. Cosmas Zavazava, Jefe del Departamento de Asociaciones para el Desarrollo Digital, Oficina de Desarrollo de las Telecomunicaciones</w:t>
          </w:r>
        </w:p>
      </w:tc>
    </w:tr>
    <w:tr w:rsidR="009D1BD4" w:rsidRPr="004D495C" w14:paraId="7F32EBA6" w14:textId="77777777" w:rsidTr="004E3CF5">
      <w:tc>
        <w:tcPr>
          <w:tcW w:w="1134" w:type="dxa"/>
          <w:shd w:val="clear" w:color="auto" w:fill="auto"/>
        </w:tcPr>
        <w:p w14:paraId="5BC26649" w14:textId="77777777" w:rsidR="009D1BD4" w:rsidRPr="00D4106A" w:rsidRDefault="009D1BD4" w:rsidP="009D1BD4">
          <w:pPr>
            <w:pStyle w:val="FirstFooter"/>
            <w:tabs>
              <w:tab w:val="left" w:pos="1559"/>
              <w:tab w:val="left" w:pos="3828"/>
            </w:tabs>
            <w:rPr>
              <w:sz w:val="20"/>
              <w:lang w:val="es-ES"/>
            </w:rPr>
          </w:pPr>
        </w:p>
      </w:tc>
      <w:tc>
        <w:tcPr>
          <w:tcW w:w="2552" w:type="dxa"/>
          <w:shd w:val="clear" w:color="auto" w:fill="auto"/>
        </w:tcPr>
        <w:p w14:paraId="4BDAEF49" w14:textId="77777777" w:rsidR="009D1BD4" w:rsidRPr="00D4106A" w:rsidRDefault="009D1BD4" w:rsidP="009D1BD4">
          <w:pPr>
            <w:pStyle w:val="FirstFooter"/>
            <w:tabs>
              <w:tab w:val="left" w:pos="2302"/>
            </w:tabs>
            <w:rPr>
              <w:sz w:val="18"/>
              <w:szCs w:val="18"/>
              <w:lang w:val="es-ES"/>
            </w:rPr>
          </w:pPr>
          <w:r w:rsidRPr="00D4106A">
            <w:rPr>
              <w:sz w:val="18"/>
              <w:szCs w:val="18"/>
              <w:lang w:val="es-ES"/>
            </w:rPr>
            <w:t>Teléfono:</w:t>
          </w:r>
        </w:p>
      </w:tc>
      <w:tc>
        <w:tcPr>
          <w:tcW w:w="6237" w:type="dxa"/>
          <w:shd w:val="clear" w:color="auto" w:fill="auto"/>
        </w:tcPr>
        <w:p w14:paraId="291AAB86" w14:textId="3E43C31C" w:rsidR="009D1BD4" w:rsidRPr="00D4106A" w:rsidRDefault="00D4106A" w:rsidP="009D1BD4">
          <w:pPr>
            <w:pStyle w:val="FirstFooter"/>
            <w:tabs>
              <w:tab w:val="left" w:pos="2302"/>
            </w:tabs>
            <w:rPr>
              <w:sz w:val="18"/>
              <w:szCs w:val="18"/>
              <w:lang w:val="es-ES"/>
            </w:rPr>
          </w:pPr>
          <w:bookmarkStart w:id="8" w:name="PhoneNo"/>
          <w:bookmarkEnd w:id="8"/>
          <w:r w:rsidRPr="00D4106A">
            <w:rPr>
              <w:sz w:val="18"/>
              <w:szCs w:val="18"/>
              <w:lang w:val="es-ES"/>
            </w:rPr>
            <w:t>+41 22 7305447</w:t>
          </w:r>
        </w:p>
      </w:tc>
    </w:tr>
    <w:tr w:rsidR="009D1BD4" w:rsidRPr="004D495C" w14:paraId="17236C47" w14:textId="77777777" w:rsidTr="004E3CF5">
      <w:tc>
        <w:tcPr>
          <w:tcW w:w="1134" w:type="dxa"/>
          <w:shd w:val="clear" w:color="auto" w:fill="auto"/>
        </w:tcPr>
        <w:p w14:paraId="5F873371" w14:textId="77777777" w:rsidR="009D1BD4" w:rsidRPr="00D4106A" w:rsidRDefault="009D1BD4" w:rsidP="009D1BD4">
          <w:pPr>
            <w:pStyle w:val="FirstFooter"/>
            <w:tabs>
              <w:tab w:val="left" w:pos="1559"/>
              <w:tab w:val="left" w:pos="3828"/>
            </w:tabs>
            <w:rPr>
              <w:sz w:val="20"/>
              <w:lang w:val="es-ES"/>
            </w:rPr>
          </w:pPr>
        </w:p>
      </w:tc>
      <w:tc>
        <w:tcPr>
          <w:tcW w:w="2552" w:type="dxa"/>
          <w:shd w:val="clear" w:color="auto" w:fill="auto"/>
        </w:tcPr>
        <w:p w14:paraId="60CD64DE" w14:textId="77777777" w:rsidR="009D1BD4" w:rsidRPr="00D4106A" w:rsidRDefault="009D1BD4" w:rsidP="009D1BD4">
          <w:pPr>
            <w:pStyle w:val="FirstFooter"/>
            <w:tabs>
              <w:tab w:val="left" w:pos="2302"/>
            </w:tabs>
            <w:rPr>
              <w:sz w:val="18"/>
              <w:szCs w:val="18"/>
              <w:lang w:val="es-ES"/>
            </w:rPr>
          </w:pPr>
          <w:r w:rsidRPr="00D4106A">
            <w:rPr>
              <w:sz w:val="18"/>
              <w:szCs w:val="18"/>
              <w:lang w:val="es-ES"/>
            </w:rPr>
            <w:t>Correo-e:</w:t>
          </w:r>
        </w:p>
      </w:tc>
      <w:bookmarkStart w:id="9" w:name="Email"/>
      <w:bookmarkEnd w:id="9"/>
      <w:tc>
        <w:tcPr>
          <w:tcW w:w="6237" w:type="dxa"/>
          <w:shd w:val="clear" w:color="auto" w:fill="auto"/>
        </w:tcPr>
        <w:p w14:paraId="42A38B4A" w14:textId="4E7EB1F5" w:rsidR="009D1BD4" w:rsidRPr="00D4106A" w:rsidRDefault="00D4106A" w:rsidP="009D1BD4">
          <w:pPr>
            <w:pStyle w:val="FirstFooter"/>
            <w:tabs>
              <w:tab w:val="left" w:pos="2302"/>
            </w:tabs>
            <w:rPr>
              <w:sz w:val="18"/>
              <w:szCs w:val="18"/>
              <w:lang w:val="es-ES"/>
            </w:rPr>
          </w:pPr>
          <w:r w:rsidRPr="00D4106A">
            <w:rPr>
              <w:sz w:val="18"/>
              <w:szCs w:val="18"/>
              <w:lang w:val="es-ES"/>
            </w:rPr>
            <w:fldChar w:fldCharType="begin"/>
          </w:r>
          <w:r w:rsidRPr="00D4106A">
            <w:rPr>
              <w:sz w:val="18"/>
              <w:szCs w:val="18"/>
              <w:lang w:val="es-ES"/>
            </w:rPr>
            <w:instrText xml:space="preserve"> HYPERLINK "mailto:cosmas.zavazava@itu.int" </w:instrText>
          </w:r>
          <w:r w:rsidRPr="00D4106A">
            <w:rPr>
              <w:sz w:val="18"/>
              <w:szCs w:val="18"/>
              <w:lang w:val="es-ES"/>
            </w:rPr>
            <w:fldChar w:fldCharType="separate"/>
          </w:r>
          <w:r w:rsidRPr="00D4106A">
            <w:rPr>
              <w:rStyle w:val="Hyperlink"/>
              <w:sz w:val="18"/>
              <w:szCs w:val="18"/>
              <w:lang w:val="es-ES"/>
            </w:rPr>
            <w:t>cosmas.zavazava@itu.int</w:t>
          </w:r>
          <w:r w:rsidRPr="00D4106A">
            <w:rPr>
              <w:sz w:val="18"/>
              <w:szCs w:val="18"/>
              <w:lang w:val="es-ES"/>
            </w:rPr>
            <w:fldChar w:fldCharType="end"/>
          </w:r>
        </w:p>
      </w:tc>
    </w:tr>
  </w:tbl>
  <w:p w14:paraId="5182D328" w14:textId="77777777" w:rsidR="006E4AB3" w:rsidRPr="006E4AB3" w:rsidRDefault="00EF5A5F" w:rsidP="00D4106A">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AE24" w14:textId="77777777" w:rsidR="00D4106A" w:rsidRDefault="00D4106A" w:rsidP="0088106F">
      <w:r>
        <w:separator/>
      </w:r>
    </w:p>
  </w:footnote>
  <w:footnote w:type="continuationSeparator" w:id="0">
    <w:p w14:paraId="10ED1016" w14:textId="77777777" w:rsidR="00D4106A" w:rsidRDefault="00D4106A" w:rsidP="0088106F">
      <w:r>
        <w:continuationSeparator/>
      </w:r>
    </w:p>
  </w:footnote>
  <w:footnote w:id="1">
    <w:p w14:paraId="5D8D83CD" w14:textId="2E46F8DF" w:rsidR="002A6CF4" w:rsidRPr="002A6CF4" w:rsidRDefault="002A6CF4" w:rsidP="002A6CF4">
      <w:pPr>
        <w:pStyle w:val="FootnoteText"/>
        <w:rPr>
          <w:lang w:val="es-ES"/>
        </w:rPr>
      </w:pPr>
      <w:r>
        <w:rPr>
          <w:rStyle w:val="FootnoteReference"/>
        </w:rPr>
        <w:footnoteRef/>
      </w:r>
      <w:r>
        <w:tab/>
      </w:r>
      <w:r w:rsidRPr="002A6CF4">
        <w:rPr>
          <w:i/>
          <w:iCs/>
          <w:lang w:val="es-ES"/>
        </w:rPr>
        <w:t xml:space="preserve">Puede consultarse la cartera de proyectos de la UIT en la dirección </w:t>
      </w:r>
      <w:hyperlink r:id="rId1" w:history="1">
        <w:r w:rsidRPr="002A6CF4">
          <w:rPr>
            <w:rStyle w:val="Hyperlink"/>
            <w:i/>
            <w:iCs/>
            <w:lang w:val="es-ES"/>
          </w:rPr>
          <w:t>www.</w:t>
        </w:r>
        <w:r w:rsidRPr="002A6CF4">
          <w:rPr>
            <w:rStyle w:val="Hyperlink"/>
            <w:i/>
            <w:iCs/>
            <w:lang w:val="es-ES"/>
          </w:rPr>
          <w:t>i</w:t>
        </w:r>
        <w:r w:rsidRPr="002A6CF4">
          <w:rPr>
            <w:rStyle w:val="Hyperlink"/>
            <w:i/>
            <w:iCs/>
            <w:lang w:val="es-ES"/>
          </w:rPr>
          <w:t>tu.</w:t>
        </w:r>
        <w:r w:rsidRPr="002A6CF4">
          <w:rPr>
            <w:rStyle w:val="Hyperlink"/>
            <w:i/>
            <w:iCs/>
            <w:lang w:val="es-ES"/>
          </w:rPr>
          <w:t>i</w:t>
        </w:r>
        <w:r w:rsidRPr="002A6CF4">
          <w:rPr>
            <w:rStyle w:val="Hyperlink"/>
            <w:i/>
            <w:iCs/>
            <w:lang w:val="es-ES"/>
          </w:rPr>
          <w:t>nt/en/ITU-D/Projects/</w:t>
        </w:r>
      </w:hyperlink>
      <w:r>
        <w:t>.</w:t>
      </w:r>
    </w:p>
  </w:footnote>
  <w:footnote w:id="2">
    <w:p w14:paraId="1404A87E" w14:textId="53497633" w:rsidR="004B567A" w:rsidRPr="004B567A" w:rsidRDefault="004B567A" w:rsidP="004B567A">
      <w:pPr>
        <w:pStyle w:val="FootnoteText"/>
        <w:rPr>
          <w:lang w:val="es-ES"/>
        </w:rPr>
      </w:pPr>
      <w:r>
        <w:rPr>
          <w:rStyle w:val="FootnoteReference"/>
        </w:rPr>
        <w:footnoteRef/>
      </w:r>
      <w:r>
        <w:tab/>
      </w:r>
      <w:r w:rsidRPr="004B567A">
        <w:rPr>
          <w:i/>
          <w:iCs/>
          <w:lang w:val="es-ES"/>
        </w:rPr>
        <w:t>Puede encontrarse más información sobre las asociaciones y la movilización de recursos del UIT</w:t>
      </w:r>
      <w:r w:rsidR="00EC2BBE">
        <w:rPr>
          <w:i/>
          <w:iCs/>
          <w:lang w:val="es-ES"/>
        </w:rPr>
        <w:noBreakHyphen/>
      </w:r>
      <w:r w:rsidRPr="004B567A">
        <w:rPr>
          <w:i/>
          <w:iCs/>
          <w:lang w:val="es-ES"/>
        </w:rPr>
        <w:t>D en los Documentos TDAG-21/7-S</w:t>
      </w:r>
      <w:r w:rsidR="00EC2BBE">
        <w:rPr>
          <w:i/>
          <w:iCs/>
          <w:lang w:val="es-ES"/>
        </w:rPr>
        <w:t xml:space="preserve"> </w:t>
      </w:r>
      <w:r w:rsidRPr="004B567A">
        <w:rPr>
          <w:i/>
          <w:iCs/>
          <w:lang w:val="es-ES"/>
        </w:rPr>
        <w:t>e INF/2, y en el Documento 12 del GADT-21 sobre los Miembros de Sector, los Asociados y las Instituciones Académicas del UIT-D.</w:t>
      </w:r>
    </w:p>
  </w:footnote>
  <w:footnote w:id="3">
    <w:p w14:paraId="11DE9EB4" w14:textId="70EB66B3" w:rsidR="004B567A" w:rsidRPr="004B567A" w:rsidRDefault="004B567A" w:rsidP="004B567A">
      <w:pPr>
        <w:pStyle w:val="FootnoteText"/>
        <w:rPr>
          <w:lang w:val="es-ES"/>
        </w:rPr>
      </w:pPr>
      <w:r>
        <w:rPr>
          <w:rStyle w:val="FootnoteReference"/>
        </w:rPr>
        <w:footnoteRef/>
      </w:r>
      <w:r>
        <w:tab/>
      </w:r>
      <w:r w:rsidRPr="004B567A">
        <w:rPr>
          <w:i/>
          <w:iCs/>
          <w:lang w:val="es-ES"/>
        </w:rPr>
        <w:t xml:space="preserve">Puede encontrarse más información sobre Giga en la dirección </w:t>
      </w:r>
      <w:hyperlink r:id="rId2" w:history="1">
        <w:r w:rsidRPr="004B567A">
          <w:rPr>
            <w:rStyle w:val="Hyperlink"/>
            <w:i/>
            <w:iCs/>
            <w:lang w:val="es-ES"/>
          </w:rPr>
          <w:t>https://gigaconnect.org/</w:t>
        </w:r>
      </w:hyperlink>
      <w:r>
        <w:t>.</w:t>
      </w:r>
    </w:p>
  </w:footnote>
  <w:footnote w:id="4">
    <w:p w14:paraId="7409355F" w14:textId="43B97D77" w:rsidR="004B567A" w:rsidRPr="004B567A" w:rsidRDefault="004B567A" w:rsidP="004B567A">
      <w:pPr>
        <w:pStyle w:val="FootnoteText"/>
        <w:rPr>
          <w:lang w:val="es-ES"/>
        </w:rPr>
      </w:pPr>
      <w:r>
        <w:rPr>
          <w:rStyle w:val="FootnoteReference"/>
        </w:rPr>
        <w:footnoteRef/>
      </w:r>
      <w:r>
        <w:tab/>
      </w:r>
      <w:r w:rsidRPr="004B567A">
        <w:rPr>
          <w:i/>
          <w:iCs/>
          <w:lang w:val="es-ES"/>
        </w:rPr>
        <w:t xml:space="preserve">Puede encontrarse más información sobre la iniciativa DTC en la dirección </w:t>
      </w:r>
      <w:hyperlink r:id="rId3" w:history="1">
        <w:r w:rsidRPr="004B567A">
          <w:rPr>
            <w:rStyle w:val="Hyperlink"/>
            <w:i/>
            <w:iCs/>
            <w:lang w:val="es-ES"/>
          </w:rPr>
          <w:t>https://academy.itu.int/main-activities/digit</w:t>
        </w:r>
        <w:r w:rsidRPr="004B567A">
          <w:rPr>
            <w:rStyle w:val="Hyperlink"/>
            <w:i/>
            <w:iCs/>
            <w:lang w:val="es-ES"/>
          </w:rPr>
          <w:t>a</w:t>
        </w:r>
        <w:r w:rsidRPr="004B567A">
          <w:rPr>
            <w:rStyle w:val="Hyperlink"/>
            <w:i/>
            <w:iCs/>
            <w:lang w:val="es-ES"/>
          </w:rPr>
          <w:t>l-transformation-centres-initiative</w:t>
        </w:r>
      </w:hyperlink>
      <w:r>
        <w:t>.</w:t>
      </w:r>
    </w:p>
  </w:footnote>
  <w:footnote w:id="5">
    <w:p w14:paraId="3EBC0705" w14:textId="55774AE2" w:rsidR="004B567A" w:rsidRPr="004B567A" w:rsidRDefault="004B567A" w:rsidP="004B567A">
      <w:pPr>
        <w:pStyle w:val="FootnoteText"/>
        <w:rPr>
          <w:lang w:val="es-ES"/>
        </w:rPr>
      </w:pPr>
      <w:r>
        <w:rPr>
          <w:rStyle w:val="FootnoteReference"/>
        </w:rPr>
        <w:footnoteRef/>
      </w:r>
      <w:r>
        <w:tab/>
      </w:r>
      <w:r w:rsidRPr="004B567A">
        <w:rPr>
          <w:i/>
          <w:iCs/>
          <w:lang w:val="es-ES"/>
        </w:rPr>
        <w:t xml:space="preserve">Puede encontrarse más información sobre Connect2Recover en la dirección </w:t>
      </w:r>
      <w:hyperlink r:id="rId4" w:history="1">
        <w:r w:rsidRPr="004B567A">
          <w:rPr>
            <w:rStyle w:val="Hyperlink"/>
            <w:i/>
            <w:iCs/>
            <w:lang w:val="es-ES"/>
          </w:rPr>
          <w:t>https://www.itu.int/en/ITU-D/Pag</w:t>
        </w:r>
        <w:r w:rsidRPr="004B567A">
          <w:rPr>
            <w:rStyle w:val="Hyperlink"/>
            <w:i/>
            <w:iCs/>
            <w:lang w:val="es-ES"/>
          </w:rPr>
          <w:t>e</w:t>
        </w:r>
        <w:r w:rsidRPr="004B567A">
          <w:rPr>
            <w:rStyle w:val="Hyperlink"/>
            <w:i/>
            <w:iCs/>
            <w:lang w:val="es-ES"/>
          </w:rPr>
          <w:t>s/connect-2-recove</w:t>
        </w:r>
        <w:r w:rsidRPr="004B567A">
          <w:rPr>
            <w:rStyle w:val="Hyperlink"/>
            <w:i/>
            <w:iCs/>
            <w:lang w:val="es-ES"/>
          </w:rPr>
          <w:t>r</w:t>
        </w:r>
        <w:r w:rsidRPr="004B567A">
          <w:rPr>
            <w:rStyle w:val="Hyperlink"/>
            <w:i/>
            <w:iCs/>
            <w:lang w:val="es-ES"/>
          </w:rPr>
          <w:t>.aspx</w:t>
        </w:r>
      </w:hyperlink>
      <w:r>
        <w:t>.</w:t>
      </w:r>
    </w:p>
  </w:footnote>
  <w:footnote w:id="6">
    <w:p w14:paraId="78F250AE" w14:textId="35A69290" w:rsidR="004B567A" w:rsidRPr="004B567A" w:rsidRDefault="004B567A" w:rsidP="004B567A">
      <w:pPr>
        <w:pStyle w:val="FootnoteText"/>
        <w:rPr>
          <w:lang w:val="es-ES"/>
        </w:rPr>
      </w:pPr>
      <w:r>
        <w:rPr>
          <w:rStyle w:val="FootnoteReference"/>
        </w:rPr>
        <w:footnoteRef/>
      </w:r>
      <w:r>
        <w:tab/>
      </w:r>
      <w:r w:rsidRPr="004B567A">
        <w:rPr>
          <w:i/>
          <w:iCs/>
          <w:lang w:val="es-ES"/>
        </w:rPr>
        <w:t xml:space="preserve">Puede encontrarse más información sobre el FD-TIC en el Documento C21/034, disponible en la dirección </w:t>
      </w:r>
      <w:hyperlink r:id="rId5" w:history="1">
        <w:r w:rsidR="00BB6ED2">
          <w:rPr>
            <w:rStyle w:val="Hyperlink"/>
            <w:i/>
            <w:iCs/>
            <w:lang w:val="es-ES"/>
          </w:rPr>
          <w:t>https://www.itu.int/md/S21-CL-C-0034/es</w:t>
        </w:r>
      </w:hyperlink>
      <w:r>
        <w:t>.</w:t>
      </w:r>
    </w:p>
  </w:footnote>
  <w:footnote w:id="7">
    <w:p w14:paraId="6193AE00" w14:textId="28922ED4" w:rsidR="004B567A" w:rsidRPr="004B567A" w:rsidRDefault="004B567A" w:rsidP="004B567A">
      <w:pPr>
        <w:pStyle w:val="FootnoteText"/>
        <w:rPr>
          <w:lang w:val="es-ES"/>
        </w:rPr>
      </w:pPr>
      <w:r>
        <w:rPr>
          <w:rStyle w:val="FootnoteReference"/>
        </w:rPr>
        <w:footnoteRef/>
      </w:r>
      <w:r>
        <w:tab/>
      </w:r>
      <w:r w:rsidRPr="004B567A">
        <w:rPr>
          <w:i/>
          <w:iCs/>
          <w:lang w:val="es-ES"/>
        </w:rPr>
        <w:t>Los recursos del PO comprenden los fondos atribu</w:t>
      </w:r>
      <w:r w:rsidR="00BB6ED2">
        <w:rPr>
          <w:i/>
          <w:iCs/>
          <w:lang w:val="es-ES"/>
        </w:rPr>
        <w:t>i</w:t>
      </w:r>
      <w:r w:rsidRPr="004B567A">
        <w:rPr>
          <w:i/>
          <w:iCs/>
          <w:lang w:val="es-ES"/>
        </w:rPr>
        <w:t xml:space="preserve">dos por el Consejo para la implementación de las </w:t>
      </w:r>
      <w:r w:rsidR="00BB6ED2">
        <w:rPr>
          <w:i/>
          <w:iCs/>
          <w:lang w:val="es-ES"/>
        </w:rPr>
        <w:t>i</w:t>
      </w:r>
      <w:r w:rsidRPr="004B567A">
        <w:rPr>
          <w:i/>
          <w:iCs/>
          <w:lang w:val="es-ES"/>
        </w:rPr>
        <w:t xml:space="preserve">niciativas </w:t>
      </w:r>
      <w:r w:rsidR="00BB6ED2">
        <w:rPr>
          <w:i/>
          <w:iCs/>
          <w:lang w:val="es-ES"/>
        </w:rPr>
        <w:t>r</w:t>
      </w:r>
      <w:r w:rsidRPr="004B567A">
        <w:rPr>
          <w:i/>
          <w:iCs/>
          <w:lang w:val="es-ES"/>
        </w:rPr>
        <w:t>egionales de la CMDT-17.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B044" w14:textId="70DD22DA" w:rsidR="009A6FC4" w:rsidRPr="00D4106A" w:rsidRDefault="009A6FC4" w:rsidP="00D4106A">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w:t>
    </w:r>
    <w:r w:rsidR="00C85582">
      <w:rPr>
        <w:sz w:val="22"/>
        <w:szCs w:val="22"/>
        <w:lang w:val="en-US"/>
      </w:rPr>
      <w:t>1</w:t>
    </w:r>
    <w:r w:rsidRPr="003D4CFB">
      <w:rPr>
        <w:sz w:val="22"/>
        <w:szCs w:val="22"/>
        <w:lang w:val="en-US"/>
      </w:rPr>
      <w:t>/</w:t>
    </w:r>
    <w:r w:rsidR="00D4106A">
      <w:rPr>
        <w:sz w:val="22"/>
        <w:szCs w:val="22"/>
        <w:lang w:val="en-US"/>
      </w:rPr>
      <w:t>11</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0D173FC"/>
    <w:multiLevelType w:val="hybridMultilevel"/>
    <w:tmpl w:val="33A6CF0E"/>
    <w:lvl w:ilvl="0" w:tplc="FDE605C2">
      <w:start w:val="1"/>
      <w:numFmt w:val="decimal"/>
      <w:lvlText w:val="%1"/>
      <w:lvlJc w:val="left"/>
      <w:pPr>
        <w:ind w:left="1155" w:hanging="7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DA5170E"/>
    <w:multiLevelType w:val="hybridMultilevel"/>
    <w:tmpl w:val="8912E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057924"/>
    <w:multiLevelType w:val="hybridMultilevel"/>
    <w:tmpl w:val="B3CAB86E"/>
    <w:lvl w:ilvl="0" w:tplc="D8AA70EE">
      <w:start w:val="1"/>
      <w:numFmt w:val="bullet"/>
      <w:lvlText w:val=""/>
      <w:lvlJc w:val="left"/>
      <w:pPr>
        <w:ind w:left="-100" w:hanging="360"/>
      </w:pPr>
      <w:rPr>
        <w:rFonts w:ascii="Symbol" w:hAnsi="Symbol" w:hint="default"/>
      </w:rPr>
    </w:lvl>
    <w:lvl w:ilvl="1" w:tplc="08090003" w:tentative="1">
      <w:start w:val="1"/>
      <w:numFmt w:val="bullet"/>
      <w:lvlText w:val="o"/>
      <w:lvlJc w:val="left"/>
      <w:pPr>
        <w:ind w:left="620" w:hanging="360"/>
      </w:pPr>
      <w:rPr>
        <w:rFonts w:ascii="Courier New" w:hAnsi="Courier New" w:cs="Courier New" w:hint="default"/>
      </w:rPr>
    </w:lvl>
    <w:lvl w:ilvl="2" w:tplc="08090005" w:tentative="1">
      <w:start w:val="1"/>
      <w:numFmt w:val="bullet"/>
      <w:lvlText w:val=""/>
      <w:lvlJc w:val="left"/>
      <w:pPr>
        <w:ind w:left="1340" w:hanging="360"/>
      </w:pPr>
      <w:rPr>
        <w:rFonts w:ascii="Wingdings" w:hAnsi="Wingdings" w:hint="default"/>
      </w:rPr>
    </w:lvl>
    <w:lvl w:ilvl="3" w:tplc="08090001" w:tentative="1">
      <w:start w:val="1"/>
      <w:numFmt w:val="bullet"/>
      <w:lvlText w:val=""/>
      <w:lvlJc w:val="left"/>
      <w:pPr>
        <w:ind w:left="2060" w:hanging="360"/>
      </w:pPr>
      <w:rPr>
        <w:rFonts w:ascii="Symbol" w:hAnsi="Symbol" w:hint="default"/>
      </w:rPr>
    </w:lvl>
    <w:lvl w:ilvl="4" w:tplc="08090003" w:tentative="1">
      <w:start w:val="1"/>
      <w:numFmt w:val="bullet"/>
      <w:lvlText w:val="o"/>
      <w:lvlJc w:val="left"/>
      <w:pPr>
        <w:ind w:left="2780" w:hanging="360"/>
      </w:pPr>
      <w:rPr>
        <w:rFonts w:ascii="Courier New" w:hAnsi="Courier New" w:cs="Courier New" w:hint="default"/>
      </w:rPr>
    </w:lvl>
    <w:lvl w:ilvl="5" w:tplc="08090005" w:tentative="1">
      <w:start w:val="1"/>
      <w:numFmt w:val="bullet"/>
      <w:lvlText w:val=""/>
      <w:lvlJc w:val="left"/>
      <w:pPr>
        <w:ind w:left="3500" w:hanging="360"/>
      </w:pPr>
      <w:rPr>
        <w:rFonts w:ascii="Wingdings" w:hAnsi="Wingdings" w:hint="default"/>
      </w:rPr>
    </w:lvl>
    <w:lvl w:ilvl="6" w:tplc="08090001" w:tentative="1">
      <w:start w:val="1"/>
      <w:numFmt w:val="bullet"/>
      <w:lvlText w:val=""/>
      <w:lvlJc w:val="left"/>
      <w:pPr>
        <w:ind w:left="4220" w:hanging="360"/>
      </w:pPr>
      <w:rPr>
        <w:rFonts w:ascii="Symbol" w:hAnsi="Symbol" w:hint="default"/>
      </w:rPr>
    </w:lvl>
    <w:lvl w:ilvl="7" w:tplc="08090003" w:tentative="1">
      <w:start w:val="1"/>
      <w:numFmt w:val="bullet"/>
      <w:lvlText w:val="o"/>
      <w:lvlJc w:val="left"/>
      <w:pPr>
        <w:ind w:left="4940" w:hanging="360"/>
      </w:pPr>
      <w:rPr>
        <w:rFonts w:ascii="Courier New" w:hAnsi="Courier New" w:cs="Courier New" w:hint="default"/>
      </w:rPr>
    </w:lvl>
    <w:lvl w:ilvl="8" w:tplc="08090005" w:tentative="1">
      <w:start w:val="1"/>
      <w:numFmt w:val="bullet"/>
      <w:lvlText w:val=""/>
      <w:lvlJc w:val="left"/>
      <w:pPr>
        <w:ind w:left="566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6A"/>
    <w:rsid w:val="000135AE"/>
    <w:rsid w:val="00033D49"/>
    <w:rsid w:val="000725A1"/>
    <w:rsid w:val="00085498"/>
    <w:rsid w:val="000C0AA7"/>
    <w:rsid w:val="000C4284"/>
    <w:rsid w:val="000C58C3"/>
    <w:rsid w:val="000E7A0A"/>
    <w:rsid w:val="001900E7"/>
    <w:rsid w:val="00194CB2"/>
    <w:rsid w:val="00213302"/>
    <w:rsid w:val="00221C14"/>
    <w:rsid w:val="00225D2E"/>
    <w:rsid w:val="00241CB9"/>
    <w:rsid w:val="002651F5"/>
    <w:rsid w:val="002968EF"/>
    <w:rsid w:val="002A0CCE"/>
    <w:rsid w:val="002A6CF4"/>
    <w:rsid w:val="002A7FAB"/>
    <w:rsid w:val="002D4BE6"/>
    <w:rsid w:val="002D6772"/>
    <w:rsid w:val="00302736"/>
    <w:rsid w:val="0033649F"/>
    <w:rsid w:val="00360762"/>
    <w:rsid w:val="0038464E"/>
    <w:rsid w:val="00390391"/>
    <w:rsid w:val="003D4CFB"/>
    <w:rsid w:val="00482632"/>
    <w:rsid w:val="00492B9B"/>
    <w:rsid w:val="004B567A"/>
    <w:rsid w:val="004B7893"/>
    <w:rsid w:val="004E7861"/>
    <w:rsid w:val="004F2B55"/>
    <w:rsid w:val="00535C50"/>
    <w:rsid w:val="0054183D"/>
    <w:rsid w:val="005557A3"/>
    <w:rsid w:val="005637B9"/>
    <w:rsid w:val="005643DC"/>
    <w:rsid w:val="00602B27"/>
    <w:rsid w:val="00603CC6"/>
    <w:rsid w:val="006339E7"/>
    <w:rsid w:val="00635A62"/>
    <w:rsid w:val="006E4AB3"/>
    <w:rsid w:val="006F39EB"/>
    <w:rsid w:val="0074781E"/>
    <w:rsid w:val="007C3061"/>
    <w:rsid w:val="007E471D"/>
    <w:rsid w:val="00835A77"/>
    <w:rsid w:val="00862737"/>
    <w:rsid w:val="0086435F"/>
    <w:rsid w:val="0088106F"/>
    <w:rsid w:val="008C1852"/>
    <w:rsid w:val="008D789A"/>
    <w:rsid w:val="00917B12"/>
    <w:rsid w:val="009752D2"/>
    <w:rsid w:val="00991B13"/>
    <w:rsid w:val="009952F6"/>
    <w:rsid w:val="009A6FC4"/>
    <w:rsid w:val="009D1BD4"/>
    <w:rsid w:val="00A33516"/>
    <w:rsid w:val="00A779C9"/>
    <w:rsid w:val="00A87DD9"/>
    <w:rsid w:val="00AA076A"/>
    <w:rsid w:val="00AE1BA7"/>
    <w:rsid w:val="00AF563E"/>
    <w:rsid w:val="00BB6ED2"/>
    <w:rsid w:val="00BC7208"/>
    <w:rsid w:val="00C85582"/>
    <w:rsid w:val="00CD6108"/>
    <w:rsid w:val="00D16175"/>
    <w:rsid w:val="00D372A5"/>
    <w:rsid w:val="00D4106A"/>
    <w:rsid w:val="00E17138"/>
    <w:rsid w:val="00E204A0"/>
    <w:rsid w:val="00E3519F"/>
    <w:rsid w:val="00E51C72"/>
    <w:rsid w:val="00E827C2"/>
    <w:rsid w:val="00E952FE"/>
    <w:rsid w:val="00EB6D19"/>
    <w:rsid w:val="00EC2BBE"/>
    <w:rsid w:val="00ED2681"/>
    <w:rsid w:val="00EF04EE"/>
    <w:rsid w:val="00EF5A5F"/>
    <w:rsid w:val="00F01E28"/>
    <w:rsid w:val="00F12690"/>
    <w:rsid w:val="00FA67A2"/>
    <w:rsid w:val="00FC76ED"/>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1BA36"/>
  <w15:docId w15:val="{0823B97D-5D05-4778-B7D4-078A7E73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BB6ED2"/>
    <w:pPr>
      <w:keepNext/>
      <w:keepLines/>
      <w:spacing w:before="280"/>
      <w:ind w:left="794" w:hanging="794"/>
      <w:outlineLvl w:val="0"/>
    </w:pPr>
    <w:rPr>
      <w:b/>
      <w:sz w:val="28"/>
      <w:lang w:val="es-ES"/>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Style 58,超?级链,超????,하이퍼링크2"/>
    <w:basedOn w:val="DefaultParagraphFont"/>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BB6ED2"/>
    <w:rPr>
      <w:rFonts w:eastAsia="Times New Roman" w:cs="Times New Roman"/>
      <w:b/>
      <w:sz w:val="28"/>
      <w:szCs w:val="20"/>
      <w:lang w:val="es-ES"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D4106A"/>
    <w:rPr>
      <w:color w:val="605E5C"/>
      <w:shd w:val="clear" w:color="auto" w:fill="E1DFDD"/>
    </w:rPr>
  </w:style>
  <w:style w:type="character" w:styleId="FollowedHyperlink">
    <w:name w:val="FollowedHyperlink"/>
    <w:basedOn w:val="DefaultParagraphFont"/>
    <w:uiPriority w:val="99"/>
    <w:semiHidden/>
    <w:unhideWhenUsed/>
    <w:rsid w:val="002A6CF4"/>
    <w:rPr>
      <w:color w:val="800080" w:themeColor="followedHyperlink"/>
      <w:u w:val="single"/>
    </w:rPr>
  </w:style>
  <w:style w:type="paragraph" w:customStyle="1" w:styleId="Figure">
    <w:name w:val="Figure"/>
    <w:basedOn w:val="Normal"/>
    <w:next w:val="FigureNotitle"/>
    <w:rsid w:val="002A6CF4"/>
    <w:pPr>
      <w:keepNext/>
      <w:keepLines/>
      <w:spacing w:before="240" w:after="120"/>
      <w:jc w:val="center"/>
    </w:pPr>
    <w:rPr>
      <w:lang w:val="es-ES_tradnl"/>
    </w:rPr>
  </w:style>
  <w:style w:type="paragraph" w:customStyle="1" w:styleId="FigureNotitle">
    <w:name w:val="Figure_No &amp; title"/>
    <w:basedOn w:val="Normal"/>
    <w:next w:val="Normal"/>
    <w:rsid w:val="002651F5"/>
    <w:pPr>
      <w:keepNext/>
      <w:keepLines/>
      <w:spacing w:before="240" w:after="120"/>
      <w:jc w:val="center"/>
    </w:pPr>
    <w:rPr>
      <w:b/>
      <w:lang w:val="es-ES_tradnl"/>
    </w:rPr>
  </w:style>
  <w:style w:type="paragraph" w:customStyle="1" w:styleId="TableNotitle">
    <w:name w:val="Table_No &amp; title"/>
    <w:basedOn w:val="Normal"/>
    <w:next w:val="Tablehead"/>
    <w:rsid w:val="002A6CF4"/>
    <w:pPr>
      <w:keepNext/>
      <w:keepLines/>
      <w:spacing w:before="360" w:after="120"/>
      <w:jc w:val="center"/>
    </w:pPr>
    <w:rPr>
      <w:b/>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Projects/Pages/Implementation-Review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INF-0002/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s/ITU-D/Projects/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cademy.itu.int/main-activities/digital-transformation-centres-initiative" TargetMode="External"/><Relationship Id="rId2" Type="http://schemas.openxmlformats.org/officeDocument/2006/relationships/hyperlink" Target="https://gigaconnect.org/" TargetMode="External"/><Relationship Id="rId1" Type="http://schemas.openxmlformats.org/officeDocument/2006/relationships/hyperlink" Target="https://www.itu.int/es/ITU-D/Projects/Pages/default.aspx" TargetMode="External"/><Relationship Id="rId5" Type="http://schemas.openxmlformats.org/officeDocument/2006/relationships/hyperlink" Target="https://www.itu.int/md/S21-CL-C-0034/es" TargetMode="External"/><Relationship Id="rId4" Type="http://schemas.openxmlformats.org/officeDocument/2006/relationships/hyperlink" Target="https://www.itu.int/en/ITU-D/Pages/connect-2-recove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BDT-TDAG2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PRJ%20database%20for%20TDAG21%20repo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(CHF) </c:v>
                </c:pt>
              </c:strCache>
            </c:strRef>
          </c:tx>
          <c:spPr>
            <a:solidFill>
              <a:schemeClr val="accent1"/>
            </a:solidFill>
            <a:ln>
              <a:noFill/>
            </a:ln>
            <a:effectLst/>
          </c:spPr>
          <c:invertIfNegative val="0"/>
          <c:cat>
            <c:numRef>
              <c:f>'Projects per year'!$A$3:$A$13</c:f>
              <c:numCache>
                <c:formatCode>0_);\(0\)</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'Projects per year'!$B$3:$B$13</c:f>
              <c:numCache>
                <c:formatCode>_(* #,##0.00_);_(* \(#,##0.00\);_(* "-"??_);_(@_)</c:formatCode>
                <c:ptCount val="11"/>
                <c:pt idx="0">
                  <c:v>7658673</c:v>
                </c:pt>
                <c:pt idx="1">
                  <c:v>8075257</c:v>
                </c:pt>
                <c:pt idx="2">
                  <c:v>10905274</c:v>
                </c:pt>
                <c:pt idx="3">
                  <c:v>9927803</c:v>
                </c:pt>
                <c:pt idx="4">
                  <c:v>7674402</c:v>
                </c:pt>
                <c:pt idx="5">
                  <c:v>5289174</c:v>
                </c:pt>
                <c:pt idx="6">
                  <c:v>2767939</c:v>
                </c:pt>
                <c:pt idx="7">
                  <c:v>9730134</c:v>
                </c:pt>
                <c:pt idx="8">
                  <c:v>10721579</c:v>
                </c:pt>
                <c:pt idx="9">
                  <c:v>13612980</c:v>
                </c:pt>
                <c:pt idx="10">
                  <c:v>14901477</c:v>
                </c:pt>
              </c:numCache>
            </c:numRef>
          </c:val>
          <c:extLst>
            <c:ext xmlns:c16="http://schemas.microsoft.com/office/drawing/2014/chart" uri="{C3380CC4-5D6E-409C-BE32-E72D297353CC}">
              <c16:uniqueId val="{00000000-EBF8-4D87-A2D8-0642F6DF553D}"/>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Millones</a:t>
                  </a:r>
                </a:p>
              </c:rich>
            </c:tx>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C874-755D-43CF-8490-437096F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PS_BDT-TDAG21.dotx</Template>
  <TotalTime>223</TotalTime>
  <Pages>7</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Spanish83</cp:lastModifiedBy>
  <cp:revision>13</cp:revision>
  <dcterms:created xsi:type="dcterms:W3CDTF">2021-05-18T14:14:00Z</dcterms:created>
  <dcterms:modified xsi:type="dcterms:W3CDTF">2021-05-19T09:18:00Z</dcterms:modified>
</cp:coreProperties>
</file>