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4253"/>
        <w:gridCol w:w="1134"/>
        <w:gridCol w:w="2091"/>
      </w:tblGrid>
      <w:tr w:rsidR="00C85582" w:rsidRPr="005547C4" w14:paraId="4A93CF1A" w14:textId="77777777" w:rsidTr="00C85582">
        <w:trPr>
          <w:cantSplit/>
          <w:trHeight w:val="1134"/>
        </w:trPr>
        <w:tc>
          <w:tcPr>
            <w:tcW w:w="2410" w:type="dxa"/>
            <w:tcBorders>
              <w:bottom w:val="single" w:sz="12" w:space="0" w:color="auto"/>
            </w:tcBorders>
          </w:tcPr>
          <w:p w14:paraId="5F3C1BFF" w14:textId="77777777" w:rsidR="00C85582" w:rsidRPr="005547C4" w:rsidRDefault="00C85582" w:rsidP="00C85582">
            <w:pPr>
              <w:spacing w:after="120"/>
              <w:rPr>
                <w:b/>
                <w:bCs/>
                <w:sz w:val="32"/>
                <w:szCs w:val="32"/>
                <w:lang w:val="es-ES_tradnl"/>
              </w:rPr>
            </w:pPr>
            <w:r w:rsidRPr="005547C4">
              <w:rPr>
                <w:noProof/>
                <w:lang w:val="es-ES_tradnl"/>
              </w:rPr>
              <w:drawing>
                <wp:inline distT="0" distB="0" distL="0" distR="0" wp14:anchorId="00008BBE" wp14:editId="2FFDAA14">
                  <wp:extent cx="1219200" cy="1036320"/>
                  <wp:effectExtent l="0" t="0" r="0" b="0"/>
                  <wp:docPr id="2" name="Picture 2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21"/>
                          <a:stretch/>
                        </pic:blipFill>
                        <pic:spPr bwMode="auto">
                          <a:xfrm>
                            <a:off x="0" y="0"/>
                            <a:ext cx="1219200" cy="1036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2"/>
            <w:tcBorders>
              <w:bottom w:val="single" w:sz="12" w:space="0" w:color="auto"/>
            </w:tcBorders>
          </w:tcPr>
          <w:p w14:paraId="200AED91" w14:textId="77777777" w:rsidR="00C85582" w:rsidRPr="005547C4" w:rsidRDefault="00C85582" w:rsidP="00C85582">
            <w:pPr>
              <w:spacing w:before="280" w:after="120"/>
              <w:rPr>
                <w:b/>
                <w:bCs/>
                <w:sz w:val="32"/>
                <w:szCs w:val="32"/>
                <w:lang w:val="es-ES_tradnl"/>
              </w:rPr>
            </w:pPr>
            <w:r w:rsidRPr="005547C4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(GADT</w:t>
            </w:r>
            <w:r w:rsidRPr="005547C4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14:paraId="5E4884AD" w14:textId="77777777" w:rsidR="00C85582" w:rsidRPr="005547C4" w:rsidRDefault="00C85582" w:rsidP="00AA076A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5547C4">
              <w:rPr>
                <w:b/>
                <w:bCs/>
                <w:sz w:val="26"/>
                <w:szCs w:val="26"/>
                <w:lang w:val="es-ES_tradnl"/>
              </w:rPr>
              <w:t>28ª reunión, Virtual, 2</w:t>
            </w:r>
            <w:r w:rsidR="00603CC6" w:rsidRPr="005547C4">
              <w:rPr>
                <w:b/>
                <w:bCs/>
                <w:sz w:val="26"/>
                <w:szCs w:val="26"/>
                <w:lang w:val="es-ES_tradnl"/>
              </w:rPr>
              <w:t>4</w:t>
            </w:r>
            <w:r w:rsidRPr="005547C4">
              <w:rPr>
                <w:b/>
                <w:bCs/>
                <w:sz w:val="26"/>
                <w:szCs w:val="26"/>
                <w:lang w:val="es-ES_tradnl"/>
              </w:rPr>
              <w:t>-28 de mayo de 2021</w:t>
            </w:r>
          </w:p>
        </w:tc>
        <w:tc>
          <w:tcPr>
            <w:tcW w:w="2091" w:type="dxa"/>
            <w:tcBorders>
              <w:bottom w:val="single" w:sz="12" w:space="0" w:color="auto"/>
            </w:tcBorders>
          </w:tcPr>
          <w:p w14:paraId="1F16D91C" w14:textId="77777777" w:rsidR="00C85582" w:rsidRPr="005547C4" w:rsidRDefault="00C85582" w:rsidP="004E7861">
            <w:pPr>
              <w:spacing w:before="40" w:after="80"/>
              <w:ind w:right="142"/>
              <w:jc w:val="right"/>
              <w:rPr>
                <w:lang w:val="es-ES_tradnl"/>
              </w:rPr>
            </w:pPr>
            <w:r w:rsidRPr="005547C4">
              <w:rPr>
                <w:noProof/>
                <w:color w:val="3399FF"/>
                <w:lang w:val="es-ES_tradnl" w:eastAsia="en-GB"/>
              </w:rPr>
              <w:drawing>
                <wp:inline distT="0" distB="0" distL="0" distR="0" wp14:anchorId="317281A2" wp14:editId="10E3E63E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893" w:rsidRPr="005547C4" w14:paraId="58151832" w14:textId="77777777" w:rsidTr="004B789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237D00AC" w14:textId="77777777" w:rsidR="004B7893" w:rsidRPr="005547C4" w:rsidRDefault="004B7893" w:rsidP="00951438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225" w:type="dxa"/>
            <w:gridSpan w:val="2"/>
            <w:tcBorders>
              <w:top w:val="single" w:sz="12" w:space="0" w:color="auto"/>
            </w:tcBorders>
          </w:tcPr>
          <w:p w14:paraId="0D8F935D" w14:textId="77777777" w:rsidR="004B7893" w:rsidRPr="005547C4" w:rsidRDefault="004B7893" w:rsidP="00951438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B7893" w:rsidRPr="005547C4" w14:paraId="7D460C9F" w14:textId="77777777" w:rsidTr="004B7893">
        <w:trPr>
          <w:cantSplit/>
        </w:trPr>
        <w:tc>
          <w:tcPr>
            <w:tcW w:w="6663" w:type="dxa"/>
            <w:gridSpan w:val="2"/>
          </w:tcPr>
          <w:p w14:paraId="3C4E25F5" w14:textId="77777777" w:rsidR="004B7893" w:rsidRPr="005547C4" w:rsidRDefault="004B7893" w:rsidP="00951438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225" w:type="dxa"/>
            <w:gridSpan w:val="2"/>
          </w:tcPr>
          <w:p w14:paraId="1D130225" w14:textId="36144798" w:rsidR="004B7893" w:rsidRPr="005547C4" w:rsidRDefault="005637B9" w:rsidP="00951438">
            <w:pPr>
              <w:spacing w:before="0"/>
              <w:rPr>
                <w:bCs/>
                <w:lang w:val="es-ES_tradnl"/>
              </w:rPr>
            </w:pPr>
            <w:r w:rsidRPr="005547C4">
              <w:rPr>
                <w:b/>
                <w:bCs/>
                <w:lang w:val="es-ES_tradnl"/>
              </w:rPr>
              <w:t xml:space="preserve">Documento </w:t>
            </w:r>
            <w:bookmarkStart w:id="0" w:name="DocRef1"/>
            <w:bookmarkEnd w:id="0"/>
            <w:r w:rsidRPr="005547C4">
              <w:rPr>
                <w:b/>
                <w:bCs/>
                <w:lang w:val="es-ES_tradnl"/>
              </w:rPr>
              <w:t>TDAG</w:t>
            </w:r>
            <w:r w:rsidR="00602B27" w:rsidRPr="005547C4">
              <w:rPr>
                <w:b/>
                <w:bCs/>
                <w:lang w:val="es-ES_tradnl"/>
              </w:rPr>
              <w:t>-</w:t>
            </w:r>
            <w:r w:rsidR="00AA076A" w:rsidRPr="005547C4">
              <w:rPr>
                <w:b/>
                <w:bCs/>
                <w:lang w:val="es-ES_tradnl"/>
              </w:rPr>
              <w:t>2</w:t>
            </w:r>
            <w:r w:rsidR="00C85582" w:rsidRPr="005547C4">
              <w:rPr>
                <w:b/>
                <w:bCs/>
                <w:lang w:val="es-ES_tradnl"/>
              </w:rPr>
              <w:t>1</w:t>
            </w:r>
            <w:r w:rsidRPr="005547C4">
              <w:rPr>
                <w:b/>
                <w:bCs/>
                <w:lang w:val="es-ES_tradnl"/>
              </w:rPr>
              <w:t>/</w:t>
            </w:r>
            <w:bookmarkStart w:id="1" w:name="DocNo1"/>
            <w:bookmarkEnd w:id="1"/>
            <w:r w:rsidR="00622EBE" w:rsidRPr="005547C4">
              <w:rPr>
                <w:b/>
                <w:bCs/>
                <w:lang w:val="es-ES_tradnl"/>
              </w:rPr>
              <w:t>10</w:t>
            </w:r>
            <w:r w:rsidRPr="005547C4">
              <w:rPr>
                <w:b/>
                <w:bCs/>
                <w:lang w:val="es-ES_tradnl"/>
              </w:rPr>
              <w:t>-S</w:t>
            </w:r>
          </w:p>
        </w:tc>
      </w:tr>
      <w:tr w:rsidR="004B7893" w:rsidRPr="005547C4" w14:paraId="041CF564" w14:textId="77777777" w:rsidTr="004B7893">
        <w:trPr>
          <w:cantSplit/>
        </w:trPr>
        <w:tc>
          <w:tcPr>
            <w:tcW w:w="6663" w:type="dxa"/>
            <w:gridSpan w:val="2"/>
          </w:tcPr>
          <w:p w14:paraId="035F1F09" w14:textId="77777777" w:rsidR="004B7893" w:rsidRPr="005547C4" w:rsidRDefault="004B7893" w:rsidP="00951438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  <w:gridSpan w:val="2"/>
          </w:tcPr>
          <w:p w14:paraId="733645B4" w14:textId="298EBA9C" w:rsidR="004B7893" w:rsidRPr="005547C4" w:rsidRDefault="00622EBE" w:rsidP="00951438">
            <w:pPr>
              <w:spacing w:before="0"/>
              <w:rPr>
                <w:b/>
                <w:lang w:val="es-ES_tradnl"/>
              </w:rPr>
            </w:pPr>
            <w:bookmarkStart w:id="2" w:name="CreationDate"/>
            <w:bookmarkEnd w:id="2"/>
            <w:r w:rsidRPr="005547C4">
              <w:rPr>
                <w:b/>
                <w:bCs/>
                <w:szCs w:val="28"/>
                <w:lang w:val="es-ES_tradnl"/>
              </w:rPr>
              <w:t>1</w:t>
            </w:r>
            <w:r w:rsidR="006D3AB8">
              <w:rPr>
                <w:b/>
                <w:bCs/>
                <w:szCs w:val="28"/>
                <w:lang w:val="es-ES_tradnl"/>
              </w:rPr>
              <w:t>8</w:t>
            </w:r>
            <w:bookmarkStart w:id="3" w:name="_GoBack"/>
            <w:bookmarkEnd w:id="3"/>
            <w:r w:rsidRPr="005547C4">
              <w:rPr>
                <w:b/>
                <w:bCs/>
                <w:szCs w:val="28"/>
                <w:lang w:val="es-ES_tradnl"/>
              </w:rPr>
              <w:t xml:space="preserve"> de mayo de</w:t>
            </w:r>
            <w:r w:rsidR="00BC7208" w:rsidRPr="005547C4">
              <w:rPr>
                <w:b/>
                <w:bCs/>
                <w:szCs w:val="28"/>
                <w:lang w:val="es-ES_tradnl"/>
              </w:rPr>
              <w:t xml:space="preserve"> 20</w:t>
            </w:r>
            <w:r w:rsidR="00AA076A" w:rsidRPr="005547C4">
              <w:rPr>
                <w:b/>
                <w:bCs/>
                <w:szCs w:val="28"/>
                <w:lang w:val="es-ES_tradnl"/>
              </w:rPr>
              <w:t>2</w:t>
            </w:r>
            <w:r w:rsidR="00C85582" w:rsidRPr="005547C4">
              <w:rPr>
                <w:b/>
                <w:bCs/>
                <w:szCs w:val="28"/>
                <w:lang w:val="es-ES_tradnl"/>
              </w:rPr>
              <w:t>1</w:t>
            </w:r>
          </w:p>
        </w:tc>
      </w:tr>
      <w:tr w:rsidR="004B7893" w:rsidRPr="005547C4" w14:paraId="50F0872F" w14:textId="77777777" w:rsidTr="004B7893">
        <w:trPr>
          <w:cantSplit/>
        </w:trPr>
        <w:tc>
          <w:tcPr>
            <w:tcW w:w="6663" w:type="dxa"/>
            <w:gridSpan w:val="2"/>
          </w:tcPr>
          <w:p w14:paraId="65FEBF7D" w14:textId="77777777" w:rsidR="004B7893" w:rsidRPr="005547C4" w:rsidRDefault="004B7893" w:rsidP="00951438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  <w:gridSpan w:val="2"/>
          </w:tcPr>
          <w:p w14:paraId="79050728" w14:textId="342618CB" w:rsidR="004B7893" w:rsidRPr="005547C4" w:rsidRDefault="005637B9" w:rsidP="00951438">
            <w:pPr>
              <w:spacing w:before="0"/>
              <w:rPr>
                <w:szCs w:val="24"/>
                <w:lang w:val="es-ES_tradnl"/>
              </w:rPr>
            </w:pPr>
            <w:r w:rsidRPr="005547C4">
              <w:rPr>
                <w:b/>
                <w:lang w:val="es-ES_tradnl"/>
              </w:rPr>
              <w:t>Original:</w:t>
            </w:r>
            <w:bookmarkStart w:id="4" w:name="Original"/>
            <w:bookmarkEnd w:id="4"/>
            <w:r w:rsidRPr="005547C4">
              <w:rPr>
                <w:b/>
                <w:lang w:val="es-ES_tradnl"/>
              </w:rPr>
              <w:t xml:space="preserve"> </w:t>
            </w:r>
            <w:r w:rsidR="00622EBE" w:rsidRPr="005547C4">
              <w:rPr>
                <w:b/>
                <w:lang w:val="es-ES_tradnl"/>
              </w:rPr>
              <w:t>inglés</w:t>
            </w:r>
          </w:p>
        </w:tc>
      </w:tr>
      <w:tr w:rsidR="004B7893" w:rsidRPr="005547C4" w14:paraId="424D4D12" w14:textId="77777777" w:rsidTr="004B7893">
        <w:trPr>
          <w:cantSplit/>
          <w:trHeight w:val="852"/>
        </w:trPr>
        <w:tc>
          <w:tcPr>
            <w:tcW w:w="9888" w:type="dxa"/>
            <w:gridSpan w:val="4"/>
          </w:tcPr>
          <w:p w14:paraId="367F0771" w14:textId="102C7F19" w:rsidR="004B7893" w:rsidRPr="005547C4" w:rsidRDefault="00951438" w:rsidP="00951438">
            <w:pPr>
              <w:pStyle w:val="Source"/>
              <w:rPr>
                <w:szCs w:val="28"/>
                <w:lang w:val="es-ES_tradnl"/>
              </w:rPr>
            </w:pPr>
            <w:bookmarkStart w:id="5" w:name="Source"/>
            <w:bookmarkEnd w:id="5"/>
            <w:r w:rsidRPr="005547C4">
              <w:rPr>
                <w:lang w:val="es-ES_tradnl"/>
              </w:rPr>
              <w:t>Directora de la Oficina de Desarrollo de las Telecomunicaciones</w:t>
            </w:r>
          </w:p>
        </w:tc>
      </w:tr>
      <w:tr w:rsidR="004B7893" w:rsidRPr="005547C4" w14:paraId="538F1AD7" w14:textId="77777777" w:rsidTr="004B7893">
        <w:trPr>
          <w:cantSplit/>
        </w:trPr>
        <w:tc>
          <w:tcPr>
            <w:tcW w:w="9888" w:type="dxa"/>
            <w:gridSpan w:val="4"/>
          </w:tcPr>
          <w:p w14:paraId="2A928F45" w14:textId="775D870F" w:rsidR="004B7893" w:rsidRPr="005547C4" w:rsidRDefault="00951438" w:rsidP="00951438">
            <w:pPr>
              <w:pStyle w:val="Title1"/>
              <w:rPr>
                <w:bCs/>
                <w:szCs w:val="28"/>
                <w:lang w:val="es-ES_tradnl"/>
              </w:rPr>
            </w:pPr>
            <w:bookmarkStart w:id="6" w:name="Title"/>
            <w:bookmarkEnd w:id="6"/>
            <w:r w:rsidRPr="005547C4">
              <w:rPr>
                <w:lang w:val="es-ES_tradnl"/>
              </w:rPr>
              <w:t>plan</w:t>
            </w:r>
            <w:r w:rsidR="003F3BDD">
              <w:rPr>
                <w:lang w:val="es-ES_tradnl"/>
              </w:rPr>
              <w:t>ES</w:t>
            </w:r>
            <w:r w:rsidRPr="005547C4">
              <w:rPr>
                <w:lang w:val="es-ES_tradnl"/>
              </w:rPr>
              <w:t xml:space="preserve"> de continuidad de los trabajos del </w:t>
            </w:r>
            <w:r w:rsidR="00A52C23" w:rsidRPr="005547C4">
              <w:rPr>
                <w:lang w:val="es-ES_tradnl"/>
              </w:rPr>
              <w:t xml:space="preserve">UIT-D en caso </w:t>
            </w:r>
            <w:r w:rsidR="008D0079">
              <w:rPr>
                <w:lang w:val="es-ES_tradnl"/>
              </w:rPr>
              <w:br/>
            </w:r>
            <w:r w:rsidR="00A52C23" w:rsidRPr="005547C4">
              <w:rPr>
                <w:lang w:val="es-ES_tradnl"/>
              </w:rPr>
              <w:t>de que la CMDT</w:t>
            </w:r>
            <w:r w:rsidR="008D0079">
              <w:rPr>
                <w:lang w:val="es-ES_tradnl"/>
              </w:rPr>
              <w:noBreakHyphen/>
            </w:r>
            <w:r w:rsidR="00A52C23" w:rsidRPr="005547C4">
              <w:rPr>
                <w:lang w:val="es-ES_tradnl"/>
              </w:rPr>
              <w:t>21</w:t>
            </w:r>
            <w:r w:rsidR="003F3BDD">
              <w:t xml:space="preserve"> </w:t>
            </w:r>
            <w:r w:rsidR="00A86950" w:rsidRPr="005547C4">
              <w:rPr>
                <w:lang w:val="es-ES_tradnl"/>
              </w:rPr>
              <w:t xml:space="preserve">se aplace </w:t>
            </w:r>
            <w:r w:rsidR="003F3BDD" w:rsidRPr="003F3BDD">
              <w:rPr>
                <w:lang w:val="es-ES_tradnl"/>
              </w:rPr>
              <w:t>hasta junio de 2022</w:t>
            </w:r>
          </w:p>
        </w:tc>
      </w:tr>
      <w:tr w:rsidR="004B7893" w:rsidRPr="005547C4" w14:paraId="5189F942" w14:textId="77777777" w:rsidTr="004B7893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34057C9A" w14:textId="77777777" w:rsidR="004B7893" w:rsidRPr="005547C4" w:rsidRDefault="004B7893" w:rsidP="00951438">
            <w:pPr>
              <w:rPr>
                <w:lang w:val="es-ES_tradnl"/>
              </w:rPr>
            </w:pPr>
          </w:p>
        </w:tc>
      </w:tr>
      <w:tr w:rsidR="004B7893" w:rsidRPr="005547C4" w14:paraId="17FE9167" w14:textId="77777777" w:rsidTr="004B7893">
        <w:trPr>
          <w:cantSplit/>
          <w:trHeight w:val="703"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4699" w14:textId="77777777" w:rsidR="004B7893" w:rsidRPr="005547C4" w:rsidRDefault="004B7893" w:rsidP="00951438">
            <w:pPr>
              <w:spacing w:before="240"/>
              <w:rPr>
                <w:b/>
                <w:bCs/>
                <w:lang w:val="es-ES_tradnl"/>
              </w:rPr>
            </w:pPr>
            <w:r w:rsidRPr="005547C4">
              <w:rPr>
                <w:b/>
                <w:bCs/>
                <w:lang w:val="es-ES_tradnl"/>
              </w:rPr>
              <w:t>Resumen:</w:t>
            </w:r>
          </w:p>
          <w:p w14:paraId="7E9D2B74" w14:textId="36BDC5F6" w:rsidR="004B7893" w:rsidRPr="005547C4" w:rsidRDefault="00951438" w:rsidP="008D0079">
            <w:pPr>
              <w:rPr>
                <w:lang w:val="es-ES_tradnl"/>
              </w:rPr>
            </w:pPr>
            <w:r w:rsidRPr="005547C4">
              <w:rPr>
                <w:lang w:val="es-ES_tradnl"/>
              </w:rPr>
              <w:t xml:space="preserve">En el presente documento se exponen los planes concebidos por la Secretaría para dar continuidad a los trabajos del UIT-D en caso de que la CMDT-21 se aplace </w:t>
            </w:r>
            <w:r w:rsidR="003F3BDD">
              <w:rPr>
                <w:lang w:val="es-ES_tradnl"/>
              </w:rPr>
              <w:t>hast</w:t>
            </w:r>
            <w:r w:rsidRPr="005547C4">
              <w:rPr>
                <w:lang w:val="es-ES_tradnl"/>
              </w:rPr>
              <w:t xml:space="preserve">a junio de 2022, como ha propuesto el </w:t>
            </w:r>
            <w:r w:rsidR="00B1407E" w:rsidRPr="005547C4">
              <w:rPr>
                <w:lang w:val="es-ES_tradnl"/>
              </w:rPr>
              <w:t xml:space="preserve">Gobierno </w:t>
            </w:r>
            <w:r w:rsidRPr="005547C4">
              <w:rPr>
                <w:lang w:val="es-ES_tradnl"/>
              </w:rPr>
              <w:t>de Etiopía.</w:t>
            </w:r>
          </w:p>
          <w:p w14:paraId="6E98F31B" w14:textId="539A69E0" w:rsidR="004B7893" w:rsidRPr="005547C4" w:rsidRDefault="004B7893" w:rsidP="00951438">
            <w:pPr>
              <w:rPr>
                <w:b/>
                <w:bCs/>
                <w:lang w:val="es-ES_tradnl"/>
              </w:rPr>
            </w:pPr>
            <w:r w:rsidRPr="005547C4">
              <w:rPr>
                <w:b/>
                <w:bCs/>
                <w:lang w:val="es-ES_tradnl"/>
              </w:rPr>
              <w:t>Acción solicitada:</w:t>
            </w:r>
          </w:p>
          <w:p w14:paraId="7CB33749" w14:textId="3BFD17B9" w:rsidR="004B7893" w:rsidRPr="005547C4" w:rsidRDefault="00951438" w:rsidP="008D0079">
            <w:pPr>
              <w:rPr>
                <w:lang w:val="es-ES_tradnl"/>
              </w:rPr>
            </w:pPr>
            <w:r w:rsidRPr="005547C4">
              <w:rPr>
                <w:lang w:val="es-ES_tradnl"/>
              </w:rPr>
              <w:t>Se invita al GADT a examinar este documento y a aprobar las propuestas que contiene en relación con las Comisiones de Estudio, las reuniones interregionales y el GADT y sus grupos de trabajo.</w:t>
            </w:r>
          </w:p>
          <w:p w14:paraId="025CDBB1" w14:textId="77777777" w:rsidR="004B7893" w:rsidRPr="005547C4" w:rsidRDefault="004B7893" w:rsidP="00951438">
            <w:pPr>
              <w:rPr>
                <w:b/>
                <w:bCs/>
                <w:lang w:val="es-ES_tradnl"/>
              </w:rPr>
            </w:pPr>
            <w:r w:rsidRPr="005547C4">
              <w:rPr>
                <w:b/>
                <w:bCs/>
                <w:lang w:val="es-ES_tradnl"/>
              </w:rPr>
              <w:t>Referencias:</w:t>
            </w:r>
          </w:p>
          <w:p w14:paraId="3F64C5A1" w14:textId="267BC4A2" w:rsidR="004B7893" w:rsidRPr="005547C4" w:rsidRDefault="006D3AB8" w:rsidP="008D0079">
            <w:pPr>
              <w:spacing w:after="120"/>
              <w:rPr>
                <w:b/>
                <w:bCs/>
                <w:lang w:val="es-ES_tradnl"/>
              </w:rPr>
            </w:pPr>
            <w:hyperlink r:id="rId10" w:history="1">
              <w:bookmarkStart w:id="7" w:name="lt_pId026"/>
              <w:r w:rsidR="00951438" w:rsidRPr="005547C4">
                <w:rPr>
                  <w:rStyle w:val="Hyperlink"/>
                  <w:szCs w:val="24"/>
                  <w:lang w:val="es-ES_tradnl"/>
                </w:rPr>
                <w:t>Carta</w:t>
              </w:r>
              <w:r w:rsidR="00622EBE" w:rsidRPr="005547C4">
                <w:rPr>
                  <w:rStyle w:val="Hyperlink"/>
                  <w:szCs w:val="24"/>
                  <w:lang w:val="es-ES_tradnl"/>
                </w:rPr>
                <w:t xml:space="preserve"> DM-21/1010</w:t>
              </w:r>
              <w:bookmarkEnd w:id="7"/>
            </w:hyperlink>
          </w:p>
        </w:tc>
      </w:tr>
    </w:tbl>
    <w:p w14:paraId="20EC5D87" w14:textId="0065389F" w:rsidR="00622EBE" w:rsidRPr="005547C4" w:rsidRDefault="00622EBE" w:rsidP="00951438">
      <w:pPr>
        <w:pStyle w:val="Heading1"/>
        <w:rPr>
          <w:lang w:val="es-ES_tradnl"/>
        </w:rPr>
      </w:pPr>
      <w:bookmarkStart w:id="8" w:name="lt_pId027"/>
      <w:r w:rsidRPr="005547C4">
        <w:rPr>
          <w:lang w:val="es-ES_tradnl"/>
        </w:rPr>
        <w:t>I</w:t>
      </w:r>
      <w:bookmarkEnd w:id="8"/>
      <w:r w:rsidRPr="005547C4">
        <w:rPr>
          <w:lang w:val="es-ES_tradnl"/>
        </w:rPr>
        <w:tab/>
      </w:r>
      <w:r w:rsidR="007960AA" w:rsidRPr="005547C4">
        <w:rPr>
          <w:lang w:val="es-ES_tradnl"/>
        </w:rPr>
        <w:t>Introducción</w:t>
      </w:r>
    </w:p>
    <w:p w14:paraId="26CCB81F" w14:textId="726B0615" w:rsidR="00622EBE" w:rsidRPr="005547C4" w:rsidRDefault="007960AA" w:rsidP="00951438">
      <w:pPr>
        <w:tabs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lang w:val="es-ES_tradnl"/>
        </w:rPr>
      </w:pPr>
      <w:bookmarkStart w:id="9" w:name="lt_pId029"/>
      <w:r w:rsidRPr="005547C4">
        <w:rPr>
          <w:lang w:val="es-ES_tradnl"/>
        </w:rPr>
        <w:t>En su reunión de 2019, el Consejo de la UIT tomó nota con agradecimiento de la invitación oficial del Gobierno de Etiopía de acoger la CMDT-21 en Addis Abeba, del 8 al 19 de noviembre de 2021, y aprobó el lugar preciso y las fechas exactas.</w:t>
      </w:r>
      <w:bookmarkEnd w:id="9"/>
    </w:p>
    <w:p w14:paraId="16C039F5" w14:textId="57F216B5" w:rsidR="00622EBE" w:rsidRPr="008D0079" w:rsidRDefault="007960AA" w:rsidP="007960AA">
      <w:pPr>
        <w:tabs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</w:pPr>
      <w:r w:rsidRPr="005547C4">
        <w:rPr>
          <w:lang w:val="es-ES_tradnl"/>
        </w:rPr>
        <w:t xml:space="preserve">Durante la primera reunión interregional de preparación de la CMDT-21 (RIR-1), Etiopía presentó una </w:t>
      </w:r>
      <w:hyperlink r:id="rId11" w:history="1">
        <w:r w:rsidRPr="005547C4">
          <w:rPr>
            <w:rStyle w:val="Hyperlink"/>
            <w:lang w:val="es-ES_tradnl"/>
          </w:rPr>
          <w:t>contribución</w:t>
        </w:r>
      </w:hyperlink>
      <w:r w:rsidRPr="005547C4">
        <w:rPr>
          <w:lang w:val="es-ES_tradnl"/>
        </w:rPr>
        <w:t xml:space="preserve"> en la que exponía las cuatro opciones previstas por el país anfitrión para la celebración de la conferencia, teniendo en cuenta la pandemia de COVID-19. El 12 de abril de</w:t>
      </w:r>
      <w:r w:rsidR="00114B51">
        <w:rPr>
          <w:lang w:val="es-ES_tradnl"/>
        </w:rPr>
        <w:t> </w:t>
      </w:r>
      <w:r w:rsidRPr="005547C4">
        <w:rPr>
          <w:lang w:val="es-ES_tradnl"/>
        </w:rPr>
        <w:t xml:space="preserve">2021, la Administración de Etiopía escribió al Secretario General (véase el </w:t>
      </w:r>
      <w:hyperlink r:id="rId12" w:history="1">
        <w:r w:rsidR="00B1407E" w:rsidRPr="005547C4">
          <w:rPr>
            <w:rStyle w:val="Hyperlink"/>
            <w:lang w:val="es-ES_tradnl"/>
          </w:rPr>
          <w:t>D</w:t>
        </w:r>
        <w:r w:rsidRPr="005547C4">
          <w:rPr>
            <w:rStyle w:val="Hyperlink"/>
            <w:lang w:val="es-ES_tradnl"/>
          </w:rPr>
          <w:t>ocumento CL21/76</w:t>
        </w:r>
      </w:hyperlink>
      <w:r w:rsidRPr="005547C4">
        <w:rPr>
          <w:lang w:val="es-ES_tradnl"/>
        </w:rPr>
        <w:t>) señalando que el contexto sanitario actual vinculado a la pandemia de COVID-19 no permitía determinar con certeza si las restricciones de viaje se levantarían en noviembre y si todos los Estados Miembros podrían participar en igualdad de condiciones. Ante esta incertidumbre, Etiopía propuso aplazar la celebración de la CMDT-21 hasta el 6-15 de junio de 2022, y solicitó al Secretario General que consultara a los miembros de la UIT sobre este aplazamiento a la mayor brevedad posible</w:t>
      </w:r>
      <w:bookmarkStart w:id="10" w:name="lt_pId032"/>
      <w:r w:rsidR="00622EBE" w:rsidRPr="005547C4">
        <w:rPr>
          <w:lang w:val="es-ES_tradnl"/>
        </w:rPr>
        <w:t xml:space="preserve"> (</w:t>
      </w:r>
      <w:r w:rsidRPr="005547C4">
        <w:rPr>
          <w:lang w:val="es-ES_tradnl"/>
        </w:rPr>
        <w:t xml:space="preserve">véase la </w:t>
      </w:r>
      <w:hyperlink r:id="rId13" w:history="1">
        <w:r w:rsidRPr="00B92B4C">
          <w:rPr>
            <w:rStyle w:val="Hyperlink"/>
            <w:lang w:val="es-ES_tradnl"/>
          </w:rPr>
          <w:t>carta</w:t>
        </w:r>
        <w:r w:rsidR="00622EBE" w:rsidRPr="00B92B4C">
          <w:rPr>
            <w:rStyle w:val="Hyperlink"/>
            <w:lang w:val="es-ES_tradnl"/>
          </w:rPr>
          <w:t xml:space="preserve"> DM-21/1010</w:t>
        </w:r>
      </w:hyperlink>
      <w:r w:rsidR="00622EBE" w:rsidRPr="005547C4">
        <w:rPr>
          <w:lang w:val="es-ES_tradnl"/>
        </w:rPr>
        <w:t>).</w:t>
      </w:r>
      <w:bookmarkEnd w:id="10"/>
    </w:p>
    <w:p w14:paraId="21201944" w14:textId="765AC1E9" w:rsidR="002D74C9" w:rsidRPr="005547C4" w:rsidRDefault="002D74C9" w:rsidP="002D74C9">
      <w:pPr>
        <w:tabs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lang w:val="es-ES_tradnl"/>
        </w:rPr>
      </w:pPr>
      <w:bookmarkStart w:id="11" w:name="lt_pId033"/>
      <w:r w:rsidRPr="005547C4">
        <w:rPr>
          <w:lang w:val="es-ES_tradnl"/>
        </w:rPr>
        <w:lastRenderedPageBreak/>
        <w:t xml:space="preserve">Por conducto de una carta circular de fecha 14 de mayo de 2021 (véase la </w:t>
      </w:r>
      <w:hyperlink r:id="rId14" w:history="1">
        <w:r w:rsidRPr="005547C4">
          <w:rPr>
            <w:rStyle w:val="Hyperlink"/>
            <w:lang w:val="es-ES_tradnl"/>
          </w:rPr>
          <w:t>carta CL-21/19</w:t>
        </w:r>
      </w:hyperlink>
      <w:r w:rsidRPr="005547C4">
        <w:rPr>
          <w:lang w:val="es-ES_tradnl"/>
        </w:rPr>
        <w:t xml:space="preserve">), el Secretario General informó a los Estados Miembros de que, tras consultar a sus </w:t>
      </w:r>
      <w:r w:rsidR="003F3BDD">
        <w:rPr>
          <w:lang w:val="es-ES_tradnl"/>
        </w:rPr>
        <w:t xml:space="preserve">propios </w:t>
      </w:r>
      <w:r w:rsidRPr="005547C4">
        <w:rPr>
          <w:lang w:val="es-ES_tradnl"/>
        </w:rPr>
        <w:t xml:space="preserve">miembros, el Consejo había decidido aceptar la propuesta de Etiopía de aplazar la CMDT-21 </w:t>
      </w:r>
      <w:r w:rsidR="003F3BDD">
        <w:rPr>
          <w:lang w:val="es-ES_tradnl"/>
        </w:rPr>
        <w:t>hasta e</w:t>
      </w:r>
      <w:r w:rsidRPr="005547C4">
        <w:rPr>
          <w:lang w:val="es-ES_tradnl"/>
        </w:rPr>
        <w:t xml:space="preserve">l 6-15 de junio de 2022 y </w:t>
      </w:r>
      <w:r w:rsidR="00A86950">
        <w:rPr>
          <w:lang w:val="es-ES_tradnl"/>
        </w:rPr>
        <w:t>se disponía a</w:t>
      </w:r>
      <w:r w:rsidRPr="005547C4">
        <w:rPr>
          <w:lang w:val="es-ES_tradnl"/>
        </w:rPr>
        <w:t xml:space="preserve"> inicia</w:t>
      </w:r>
      <w:r w:rsidR="00A86950">
        <w:rPr>
          <w:lang w:val="es-ES_tradnl"/>
        </w:rPr>
        <w:t>r</w:t>
      </w:r>
      <w:r w:rsidRPr="005547C4">
        <w:rPr>
          <w:lang w:val="es-ES_tradnl"/>
        </w:rPr>
        <w:t xml:space="preserve"> la </w:t>
      </w:r>
      <w:r w:rsidR="003F3BDD" w:rsidRPr="005547C4">
        <w:rPr>
          <w:lang w:val="es-ES_tradnl"/>
        </w:rPr>
        <w:t xml:space="preserve">correspondiente </w:t>
      </w:r>
      <w:r w:rsidRPr="005547C4">
        <w:rPr>
          <w:lang w:val="es-ES_tradnl"/>
        </w:rPr>
        <w:t xml:space="preserve">consulta a los Estados Miembros, conforme a lo estipulado en el número 42 del Convenio de la UIT. El plazo para responder a esta consulta vence el </w:t>
      </w:r>
      <w:r w:rsidRPr="005547C4">
        <w:rPr>
          <w:b/>
          <w:bCs/>
          <w:lang w:val="es-ES_tradnl"/>
        </w:rPr>
        <w:t>22 de junio de 2021</w:t>
      </w:r>
      <w:r w:rsidRPr="005547C4">
        <w:rPr>
          <w:lang w:val="es-ES_tradnl"/>
        </w:rPr>
        <w:t>.</w:t>
      </w:r>
    </w:p>
    <w:p w14:paraId="208E3AD2" w14:textId="231ED2D6" w:rsidR="00622EBE" w:rsidRPr="005547C4" w:rsidRDefault="002D74C9" w:rsidP="002D74C9">
      <w:pPr>
        <w:tabs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lang w:val="es-ES_tradnl"/>
        </w:rPr>
      </w:pPr>
      <w:r w:rsidRPr="005547C4">
        <w:rPr>
          <w:lang w:val="es-ES_tradnl"/>
        </w:rPr>
        <w:t>Habida cuenta de las consideraciones que anteceden, la Secretaría ha preparado los siguientes planes de continuidad para su consideración por el GADT.</w:t>
      </w:r>
      <w:bookmarkEnd w:id="11"/>
    </w:p>
    <w:p w14:paraId="0B73603C" w14:textId="67C27CA0" w:rsidR="00622EBE" w:rsidRPr="005547C4" w:rsidRDefault="00622EBE" w:rsidP="002D74C9">
      <w:pPr>
        <w:pStyle w:val="Heading1"/>
        <w:rPr>
          <w:rFonts w:eastAsiaTheme="minorEastAsia"/>
          <w:lang w:val="es-ES_tradnl"/>
        </w:rPr>
      </w:pPr>
      <w:bookmarkStart w:id="12" w:name="Proposal"/>
      <w:bookmarkEnd w:id="12"/>
      <w:r w:rsidRPr="00B92B4C">
        <w:rPr>
          <w:rFonts w:eastAsiaTheme="minorEastAsia"/>
          <w:lang w:val="es-ES_tradnl"/>
        </w:rPr>
        <w:t>1</w:t>
      </w:r>
      <w:r w:rsidRPr="005547C4">
        <w:rPr>
          <w:lang w:val="es-ES_tradnl"/>
        </w:rPr>
        <w:tab/>
      </w:r>
      <w:bookmarkStart w:id="13" w:name="lt_pId037"/>
      <w:r w:rsidR="002D74C9" w:rsidRPr="005547C4">
        <w:rPr>
          <w:rFonts w:eastAsiaTheme="minorEastAsia"/>
          <w:lang w:val="es-ES_tradnl"/>
        </w:rPr>
        <w:t xml:space="preserve">Grupo Asesor de Desarrollo de las Telecomunicaciones (GADT) y </w:t>
      </w:r>
      <w:bookmarkEnd w:id="13"/>
      <w:r w:rsidR="002D74C9" w:rsidRPr="005547C4">
        <w:rPr>
          <w:rFonts w:eastAsiaTheme="minorEastAsia"/>
          <w:lang w:val="es-ES_tradnl"/>
        </w:rPr>
        <w:t>Oficina del</w:t>
      </w:r>
      <w:r w:rsidR="00114B51">
        <w:rPr>
          <w:rFonts w:eastAsiaTheme="minorEastAsia"/>
          <w:lang w:val="es-ES_tradnl"/>
        </w:rPr>
        <w:t> </w:t>
      </w:r>
      <w:r w:rsidR="002D74C9" w:rsidRPr="005547C4">
        <w:rPr>
          <w:rFonts w:eastAsiaTheme="minorEastAsia"/>
          <w:lang w:val="es-ES_tradnl"/>
        </w:rPr>
        <w:t>GADT</w:t>
      </w:r>
    </w:p>
    <w:p w14:paraId="44E3AB0C" w14:textId="30BDF97B" w:rsidR="002D74C9" w:rsidRPr="005547C4" w:rsidRDefault="002D74C9" w:rsidP="002D74C9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rPr>
          <w:rFonts w:eastAsiaTheme="minorEastAsia" w:cstheme="minorBidi"/>
          <w:lang w:val="es-ES_tradnl" w:eastAsia="zh-CN"/>
        </w:rPr>
      </w:pPr>
      <w:bookmarkStart w:id="14" w:name="lt_pId038"/>
      <w:r w:rsidRPr="005547C4">
        <w:rPr>
          <w:rFonts w:eastAsiaTheme="minorEastAsia" w:cstheme="minorBidi"/>
          <w:lang w:val="es-ES_tradnl" w:eastAsia="zh-CN"/>
        </w:rPr>
        <w:t xml:space="preserve">En virtud de la Resolución 61 (Rev. Dubái, 2014) de la CMDT, </w:t>
      </w:r>
      <w:r w:rsidR="00FA520F" w:rsidRPr="005547C4">
        <w:rPr>
          <w:rFonts w:eastAsiaTheme="minorEastAsia" w:cstheme="minorBidi"/>
          <w:lang w:val="es-ES_tradnl" w:eastAsia="zh-CN"/>
        </w:rPr>
        <w:t xml:space="preserve">la Conferencia Mundial de Desarrollo de las Telecomunicaciones nombra a </w:t>
      </w:r>
      <w:r w:rsidRPr="005547C4">
        <w:rPr>
          <w:rFonts w:eastAsiaTheme="minorEastAsia" w:cstheme="minorBidi"/>
          <w:lang w:val="es-ES_tradnl" w:eastAsia="zh-CN"/>
        </w:rPr>
        <w:t xml:space="preserve">los miembros de la </w:t>
      </w:r>
      <w:r w:rsidR="00FA520F" w:rsidRPr="005547C4">
        <w:rPr>
          <w:rFonts w:eastAsiaTheme="minorEastAsia" w:cstheme="minorBidi"/>
          <w:lang w:val="es-ES_tradnl" w:eastAsia="zh-CN"/>
        </w:rPr>
        <w:t>Oficina</w:t>
      </w:r>
      <w:r w:rsidRPr="005547C4">
        <w:rPr>
          <w:rFonts w:eastAsiaTheme="minorEastAsia" w:cstheme="minorBidi"/>
          <w:lang w:val="es-ES_tradnl" w:eastAsia="zh-CN"/>
        </w:rPr>
        <w:t xml:space="preserve"> del GADT.</w:t>
      </w:r>
      <w:r w:rsidR="00FA520F" w:rsidRPr="005547C4">
        <w:rPr>
          <w:rFonts w:eastAsiaTheme="minorEastAsia" w:cstheme="minorBidi"/>
          <w:lang w:val="es-ES_tradnl" w:eastAsia="zh-CN"/>
        </w:rPr>
        <w:t xml:space="preserve"> En consecuencia, </w:t>
      </w:r>
      <w:r w:rsidRPr="005547C4">
        <w:rPr>
          <w:rFonts w:eastAsiaTheme="minorEastAsia" w:cstheme="minorBidi"/>
          <w:lang w:val="es-ES_tradnl" w:eastAsia="zh-CN"/>
        </w:rPr>
        <w:t xml:space="preserve">el mandato </w:t>
      </w:r>
      <w:r w:rsidR="00555B66" w:rsidRPr="005547C4">
        <w:rPr>
          <w:rFonts w:eastAsiaTheme="minorEastAsia" w:cstheme="minorBidi"/>
          <w:lang w:val="es-ES_tradnl" w:eastAsia="zh-CN"/>
        </w:rPr>
        <w:t xml:space="preserve">en vigor </w:t>
      </w:r>
      <w:r w:rsidRPr="005547C4">
        <w:rPr>
          <w:rFonts w:eastAsiaTheme="minorEastAsia" w:cstheme="minorBidi"/>
          <w:lang w:val="es-ES_tradnl" w:eastAsia="zh-CN"/>
        </w:rPr>
        <w:t xml:space="preserve">de los miembros de la </w:t>
      </w:r>
      <w:r w:rsidR="00FA520F" w:rsidRPr="005547C4">
        <w:rPr>
          <w:rFonts w:eastAsiaTheme="minorEastAsia" w:cstheme="minorBidi"/>
          <w:lang w:val="es-ES_tradnl" w:eastAsia="zh-CN"/>
        </w:rPr>
        <w:t>Oficina</w:t>
      </w:r>
      <w:r w:rsidRPr="005547C4">
        <w:rPr>
          <w:rFonts w:eastAsiaTheme="minorEastAsia" w:cstheme="minorBidi"/>
          <w:lang w:val="es-ES_tradnl" w:eastAsia="zh-CN"/>
        </w:rPr>
        <w:t xml:space="preserve"> del GADT</w:t>
      </w:r>
      <w:r w:rsidR="00FA520F" w:rsidRPr="005547C4">
        <w:rPr>
          <w:rFonts w:eastAsiaTheme="minorEastAsia" w:cstheme="minorBidi"/>
          <w:lang w:val="es-ES_tradnl" w:eastAsia="zh-CN"/>
        </w:rPr>
        <w:t xml:space="preserve"> se extenderá</w:t>
      </w:r>
      <w:r w:rsidRPr="005547C4">
        <w:rPr>
          <w:rFonts w:eastAsiaTheme="minorEastAsia" w:cstheme="minorBidi"/>
          <w:lang w:val="es-ES_tradnl" w:eastAsia="zh-CN"/>
        </w:rPr>
        <w:t xml:space="preserve"> automáticamente hasta que se celebre la CMDT-21, en junio de 2022. En caso de que alg</w:t>
      </w:r>
      <w:r w:rsidR="00FA520F" w:rsidRPr="005547C4">
        <w:rPr>
          <w:rFonts w:eastAsiaTheme="minorEastAsia" w:cstheme="minorBidi"/>
          <w:lang w:val="es-ES_tradnl" w:eastAsia="zh-CN"/>
        </w:rPr>
        <w:t>ún</w:t>
      </w:r>
      <w:r w:rsidRPr="005547C4">
        <w:rPr>
          <w:rFonts w:eastAsiaTheme="minorEastAsia" w:cstheme="minorBidi"/>
          <w:lang w:val="es-ES_tradnl" w:eastAsia="zh-CN"/>
        </w:rPr>
        <w:t xml:space="preserve"> miembro de la </w:t>
      </w:r>
      <w:r w:rsidR="00FA520F" w:rsidRPr="005547C4">
        <w:rPr>
          <w:rFonts w:eastAsiaTheme="minorEastAsia" w:cstheme="minorBidi"/>
          <w:lang w:val="es-ES_tradnl" w:eastAsia="zh-CN"/>
        </w:rPr>
        <w:t>Oficin</w:t>
      </w:r>
      <w:r w:rsidR="00B92B4C">
        <w:rPr>
          <w:rFonts w:eastAsiaTheme="minorEastAsia" w:cstheme="minorBidi"/>
          <w:lang w:val="es-ES_tradnl" w:eastAsia="zh-CN"/>
        </w:rPr>
        <w:t>a</w:t>
      </w:r>
      <w:r w:rsidRPr="005547C4">
        <w:rPr>
          <w:rFonts w:eastAsiaTheme="minorEastAsia" w:cstheme="minorBidi"/>
          <w:lang w:val="es-ES_tradnl" w:eastAsia="zh-CN"/>
        </w:rPr>
        <w:t xml:space="preserve"> no </w:t>
      </w:r>
      <w:r w:rsidR="00555B66" w:rsidRPr="005547C4">
        <w:rPr>
          <w:rFonts w:eastAsiaTheme="minorEastAsia" w:cstheme="minorBidi"/>
          <w:lang w:val="es-ES_tradnl" w:eastAsia="zh-CN"/>
        </w:rPr>
        <w:t>pudiera</w:t>
      </w:r>
      <w:r w:rsidRPr="005547C4">
        <w:rPr>
          <w:rFonts w:eastAsiaTheme="minorEastAsia" w:cstheme="minorBidi"/>
          <w:lang w:val="es-ES_tradnl" w:eastAsia="zh-CN"/>
        </w:rPr>
        <w:t xml:space="preserve"> desempeñar sus funciones hasta esa fecha,</w:t>
      </w:r>
      <w:r w:rsidR="00FA520F" w:rsidRPr="005547C4">
        <w:rPr>
          <w:rFonts w:eastAsiaTheme="minorEastAsia" w:cstheme="minorBidi"/>
          <w:lang w:val="es-ES_tradnl" w:eastAsia="zh-CN"/>
        </w:rPr>
        <w:t xml:space="preserve"> se proceder</w:t>
      </w:r>
      <w:r w:rsidR="00555B66" w:rsidRPr="005547C4">
        <w:rPr>
          <w:rFonts w:eastAsiaTheme="minorEastAsia" w:cstheme="minorBidi"/>
          <w:lang w:val="es-ES_tradnl" w:eastAsia="zh-CN"/>
        </w:rPr>
        <w:t>ía</w:t>
      </w:r>
      <w:r w:rsidR="00FA520F" w:rsidRPr="005547C4">
        <w:rPr>
          <w:rFonts w:eastAsiaTheme="minorEastAsia" w:cstheme="minorBidi"/>
          <w:lang w:val="es-ES_tradnl" w:eastAsia="zh-CN"/>
        </w:rPr>
        <w:t xml:space="preserve"> a su sustitución de conformidad con </w:t>
      </w:r>
      <w:r w:rsidRPr="005547C4">
        <w:rPr>
          <w:rFonts w:eastAsiaTheme="minorEastAsia" w:cstheme="minorBidi"/>
          <w:lang w:val="es-ES_tradnl" w:eastAsia="zh-CN"/>
        </w:rPr>
        <w:t>el número 244 del Convenio.</w:t>
      </w:r>
    </w:p>
    <w:p w14:paraId="643F9E62" w14:textId="608F9D46" w:rsidR="00622EBE" w:rsidRPr="005547C4" w:rsidRDefault="002D74C9" w:rsidP="00FA520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rPr>
          <w:rFonts w:eastAsiaTheme="minorEastAsia" w:cstheme="minorBidi"/>
          <w:lang w:val="es-ES_tradnl" w:eastAsia="zh-CN"/>
        </w:rPr>
      </w:pPr>
      <w:r w:rsidRPr="005547C4">
        <w:rPr>
          <w:rFonts w:eastAsiaTheme="minorEastAsia" w:cstheme="minorBidi"/>
          <w:lang w:val="es-ES_tradnl" w:eastAsia="zh-CN"/>
        </w:rPr>
        <w:t xml:space="preserve">Para </w:t>
      </w:r>
      <w:r w:rsidR="00FA520F" w:rsidRPr="005547C4">
        <w:rPr>
          <w:rFonts w:eastAsiaTheme="minorEastAsia" w:cstheme="minorBidi"/>
          <w:lang w:val="es-ES_tradnl" w:eastAsia="zh-CN"/>
        </w:rPr>
        <w:t>dar continuidad</w:t>
      </w:r>
      <w:r w:rsidRPr="005547C4">
        <w:rPr>
          <w:rFonts w:eastAsiaTheme="minorEastAsia" w:cstheme="minorBidi"/>
          <w:lang w:val="es-ES_tradnl" w:eastAsia="zh-CN"/>
        </w:rPr>
        <w:t xml:space="preserve"> </w:t>
      </w:r>
      <w:r w:rsidR="00FA520F" w:rsidRPr="005547C4">
        <w:rPr>
          <w:rFonts w:eastAsiaTheme="minorEastAsia" w:cstheme="minorBidi"/>
          <w:lang w:val="es-ES_tradnl" w:eastAsia="zh-CN"/>
        </w:rPr>
        <w:t>al</w:t>
      </w:r>
      <w:r w:rsidRPr="005547C4">
        <w:rPr>
          <w:rFonts w:eastAsiaTheme="minorEastAsia" w:cstheme="minorBidi"/>
          <w:lang w:val="es-ES_tradnl" w:eastAsia="zh-CN"/>
        </w:rPr>
        <w:t xml:space="preserve"> proceso preparatorio en los meses previos a la CMDT, se propone celebrar una reunión adicional del GADT durante las fechas originales de la CMDT-21, es decir, del 8 al 12 de noviembre.</w:t>
      </w:r>
      <w:bookmarkEnd w:id="14"/>
      <w:r w:rsidR="00622EBE" w:rsidRPr="005547C4">
        <w:rPr>
          <w:rFonts w:eastAsiaTheme="minorEastAsia" w:cstheme="minorBidi"/>
          <w:lang w:val="es-ES_tradnl" w:eastAsia="zh-CN"/>
        </w:rPr>
        <w:t xml:space="preserve"> </w:t>
      </w:r>
    </w:p>
    <w:p w14:paraId="1D5AADB4" w14:textId="1C09B6FC" w:rsidR="00622EBE" w:rsidRPr="005547C4" w:rsidRDefault="00D478DF" w:rsidP="002D74C9">
      <w:pPr>
        <w:pStyle w:val="Headingb"/>
        <w:rPr>
          <w:lang w:val="es-ES_tradnl"/>
        </w:rPr>
      </w:pPr>
      <w:bookmarkStart w:id="15" w:name="lt_pId042"/>
      <w:r w:rsidRPr="005547C4">
        <w:rPr>
          <w:lang w:val="es-ES_tradnl"/>
        </w:rPr>
        <w:t>Propuesta al GADT</w:t>
      </w:r>
      <w:bookmarkEnd w:id="15"/>
    </w:p>
    <w:p w14:paraId="3AC69574" w14:textId="2598EE0E" w:rsidR="00622EBE" w:rsidRPr="00EA0917" w:rsidRDefault="008D0079" w:rsidP="008D0079">
      <w:pPr>
        <w:pStyle w:val="enumlev1"/>
        <w:rPr>
          <w:rFonts w:eastAsiaTheme="minorEastAsia" w:cstheme="minorBidi"/>
          <w:lang w:val="es-ES_tradnl"/>
        </w:rPr>
      </w:pPr>
      <w:bookmarkStart w:id="16" w:name="lt_pId043"/>
      <w:r w:rsidRPr="008D0079">
        <w:rPr>
          <w:lang w:val="es-ES_tradnl"/>
        </w:rPr>
        <w:t>•</w:t>
      </w:r>
      <w:r>
        <w:rPr>
          <w:lang w:val="es-ES_tradnl"/>
        </w:rPr>
        <w:tab/>
      </w:r>
      <w:r w:rsidR="00B92B4C" w:rsidRPr="005547C4">
        <w:rPr>
          <w:lang w:val="es-ES_tradnl"/>
        </w:rPr>
        <w:t xml:space="preserve">Decidir </w:t>
      </w:r>
      <w:r w:rsidR="00D478DF" w:rsidRPr="005547C4">
        <w:rPr>
          <w:lang w:val="es-ES_tradnl"/>
        </w:rPr>
        <w:t xml:space="preserve">si </w:t>
      </w:r>
      <w:r w:rsidR="00555B66" w:rsidRPr="005547C4">
        <w:rPr>
          <w:lang w:val="es-ES_tradnl"/>
        </w:rPr>
        <w:t>conviene celebrar</w:t>
      </w:r>
      <w:r w:rsidR="00D478DF" w:rsidRPr="005547C4">
        <w:rPr>
          <w:lang w:val="es-ES_tradnl"/>
        </w:rPr>
        <w:t xml:space="preserve"> una reunión adicional del GADT durante la semana del 8 al 12 de noviembre (número de días por determinar).</w:t>
      </w:r>
      <w:bookmarkEnd w:id="16"/>
    </w:p>
    <w:p w14:paraId="6F604C6B" w14:textId="79F899DF" w:rsidR="00622EBE" w:rsidRPr="005547C4" w:rsidRDefault="00622EBE" w:rsidP="002D74C9">
      <w:pPr>
        <w:pStyle w:val="Heading1"/>
        <w:rPr>
          <w:lang w:val="es-ES_tradnl" w:eastAsia="en-GB"/>
        </w:rPr>
      </w:pPr>
      <w:r w:rsidRPr="005547C4">
        <w:rPr>
          <w:lang w:val="es-ES_tradnl" w:eastAsia="en-GB"/>
        </w:rPr>
        <w:t>2</w:t>
      </w:r>
      <w:r w:rsidRPr="005547C4">
        <w:rPr>
          <w:lang w:val="es-ES_tradnl" w:eastAsia="en-GB"/>
        </w:rPr>
        <w:tab/>
      </w:r>
      <w:bookmarkStart w:id="17" w:name="lt_pId045"/>
      <w:r w:rsidR="00D478DF" w:rsidRPr="005547C4">
        <w:rPr>
          <w:lang w:val="es-ES_tradnl" w:eastAsia="en-GB"/>
        </w:rPr>
        <w:t>Cuestiones de las Comisiones de Estudio y</w:t>
      </w:r>
      <w:bookmarkEnd w:id="17"/>
      <w:r w:rsidR="00D478DF" w:rsidRPr="005547C4">
        <w:rPr>
          <w:lang w:val="es-ES_tradnl" w:eastAsia="en-GB"/>
        </w:rPr>
        <w:t xml:space="preserve"> equipo de dirección</w:t>
      </w:r>
    </w:p>
    <w:p w14:paraId="5C60976F" w14:textId="6E226BB9" w:rsidR="00622EBE" w:rsidRPr="005547C4" w:rsidRDefault="00555B66" w:rsidP="00555B6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cstheme="minorHAnsi"/>
          <w:szCs w:val="24"/>
          <w:lang w:val="es-ES_tradnl" w:eastAsia="en-GB"/>
        </w:rPr>
      </w:pPr>
      <w:bookmarkStart w:id="18" w:name="lt_pId046"/>
      <w:r w:rsidRPr="005547C4">
        <w:rPr>
          <w:rFonts w:cstheme="minorHAnsi"/>
          <w:szCs w:val="24"/>
          <w:lang w:val="es-ES_tradnl" w:eastAsia="en-GB"/>
        </w:rPr>
        <w:t xml:space="preserve">En virtud de la Resolución 61 (Rev. Dubái, 2014) de la CMDT, la Conferencia Mundial de Desarrollo de las Telecomunicaciones nombra a </w:t>
      </w:r>
      <w:r w:rsidR="00D478DF" w:rsidRPr="005547C4">
        <w:rPr>
          <w:rFonts w:cstheme="minorHAnsi"/>
          <w:szCs w:val="24"/>
          <w:lang w:val="es-ES_tradnl" w:eastAsia="en-GB"/>
        </w:rPr>
        <w:t xml:space="preserve">los Presidentes y Vicepresidentes de las Comisiones de Estudio. </w:t>
      </w:r>
      <w:r w:rsidRPr="005547C4">
        <w:rPr>
          <w:rFonts w:cstheme="minorHAnsi"/>
          <w:szCs w:val="24"/>
          <w:lang w:val="es-ES_tradnl" w:eastAsia="en-GB"/>
        </w:rPr>
        <w:t xml:space="preserve">En consecuencia, el mandato en vigor de </w:t>
      </w:r>
      <w:r w:rsidR="00D478DF" w:rsidRPr="005547C4">
        <w:rPr>
          <w:rFonts w:cstheme="minorHAnsi"/>
          <w:szCs w:val="24"/>
          <w:lang w:val="es-ES_tradnl" w:eastAsia="en-GB"/>
        </w:rPr>
        <w:t xml:space="preserve">los Presidentes y Vicepresidentes de las Comisiones de Estudio </w:t>
      </w:r>
      <w:r w:rsidRPr="005547C4">
        <w:rPr>
          <w:rFonts w:cstheme="minorHAnsi"/>
          <w:szCs w:val="24"/>
          <w:lang w:val="es-ES_tradnl" w:eastAsia="en-GB"/>
        </w:rPr>
        <w:t>se extenderá automáticamente hasta que se celebre la CMDT-21, en junio de 2022. En caso de que alguno de l</w:t>
      </w:r>
      <w:r w:rsidR="00D478DF" w:rsidRPr="005547C4">
        <w:rPr>
          <w:rFonts w:cstheme="minorHAnsi"/>
          <w:szCs w:val="24"/>
          <w:lang w:val="es-ES_tradnl" w:eastAsia="en-GB"/>
        </w:rPr>
        <w:t xml:space="preserve">os Presidentes o Vicepresidentes no </w:t>
      </w:r>
      <w:r w:rsidRPr="005547C4">
        <w:rPr>
          <w:rFonts w:cstheme="minorHAnsi"/>
          <w:szCs w:val="24"/>
          <w:lang w:val="es-ES_tradnl" w:eastAsia="en-GB"/>
        </w:rPr>
        <w:t>pudiera</w:t>
      </w:r>
      <w:r w:rsidR="00D478DF" w:rsidRPr="005547C4">
        <w:rPr>
          <w:rFonts w:cstheme="minorHAnsi"/>
          <w:szCs w:val="24"/>
          <w:lang w:val="es-ES_tradnl" w:eastAsia="en-GB"/>
        </w:rPr>
        <w:t xml:space="preserve"> </w:t>
      </w:r>
      <w:r w:rsidRPr="005547C4">
        <w:rPr>
          <w:rFonts w:cstheme="minorHAnsi"/>
          <w:szCs w:val="24"/>
          <w:lang w:val="es-ES_tradnl" w:eastAsia="en-GB"/>
        </w:rPr>
        <w:t>desempeñar sus funciones hasta esa fecha, se procedería a su sustitución de conformidad con el número 244 del Convenio.</w:t>
      </w:r>
      <w:bookmarkEnd w:id="18"/>
    </w:p>
    <w:p w14:paraId="009E7331" w14:textId="64AF9221" w:rsidR="00622EBE" w:rsidRPr="005547C4" w:rsidRDefault="00D478DF" w:rsidP="00555B6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cstheme="minorHAnsi"/>
          <w:szCs w:val="24"/>
          <w:lang w:val="es-ES_tradnl" w:eastAsia="en-GB"/>
        </w:rPr>
      </w:pPr>
      <w:bookmarkStart w:id="19" w:name="lt_pId049"/>
      <w:r w:rsidRPr="005547C4">
        <w:rPr>
          <w:rFonts w:cstheme="minorHAnsi"/>
          <w:szCs w:val="24"/>
          <w:lang w:val="es-ES_tradnl" w:eastAsia="en-GB"/>
        </w:rPr>
        <w:t xml:space="preserve">El séptimo periodo de estudios del UIT-D </w:t>
      </w:r>
      <w:r w:rsidR="00555B66" w:rsidRPr="005547C4">
        <w:rPr>
          <w:rFonts w:cstheme="minorHAnsi"/>
          <w:szCs w:val="24"/>
          <w:lang w:val="es-ES_tradnl" w:eastAsia="en-GB"/>
        </w:rPr>
        <w:t xml:space="preserve">(2018-2021) </w:t>
      </w:r>
      <w:r w:rsidRPr="005547C4">
        <w:rPr>
          <w:rFonts w:cstheme="minorHAnsi"/>
          <w:szCs w:val="24"/>
          <w:lang w:val="es-ES_tradnl" w:eastAsia="en-GB"/>
        </w:rPr>
        <w:t>finalizará en 2022.</w:t>
      </w:r>
      <w:bookmarkEnd w:id="19"/>
    </w:p>
    <w:p w14:paraId="59B5C78F" w14:textId="09C25CBF" w:rsidR="00622EBE" w:rsidRPr="005547C4" w:rsidRDefault="00555B66" w:rsidP="00555B6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cstheme="minorHAnsi"/>
          <w:szCs w:val="24"/>
          <w:lang w:val="es-ES_tradnl" w:eastAsia="en-GB"/>
        </w:rPr>
      </w:pPr>
      <w:bookmarkStart w:id="20" w:name="lt_pId050"/>
      <w:r w:rsidRPr="005547C4">
        <w:rPr>
          <w:rFonts w:cstheme="minorHAnsi"/>
          <w:szCs w:val="24"/>
          <w:lang w:val="es-ES_tradnl" w:eastAsia="en-GB"/>
        </w:rPr>
        <w:t>Cabe prever</w:t>
      </w:r>
      <w:r w:rsidR="00D478DF" w:rsidRPr="005547C4">
        <w:rPr>
          <w:rFonts w:cstheme="minorHAnsi"/>
          <w:szCs w:val="24"/>
          <w:lang w:val="es-ES_tradnl" w:eastAsia="en-GB"/>
        </w:rPr>
        <w:t xml:space="preserve"> que las Cuestiones de las Comisiones de Estudio </w:t>
      </w:r>
      <w:r w:rsidRPr="005547C4">
        <w:rPr>
          <w:rFonts w:cstheme="minorHAnsi"/>
          <w:szCs w:val="24"/>
          <w:lang w:val="es-ES_tradnl" w:eastAsia="en-GB"/>
        </w:rPr>
        <w:t>prosigan su labor con los textos modificados</w:t>
      </w:r>
      <w:r w:rsidR="00D478DF" w:rsidRPr="005547C4">
        <w:rPr>
          <w:rFonts w:cstheme="minorHAnsi"/>
          <w:szCs w:val="24"/>
          <w:lang w:val="es-ES_tradnl" w:eastAsia="en-GB"/>
        </w:rPr>
        <w:t xml:space="preserve"> (</w:t>
      </w:r>
      <w:r w:rsidRPr="005547C4">
        <w:rPr>
          <w:rFonts w:cstheme="minorHAnsi"/>
          <w:szCs w:val="24"/>
          <w:lang w:val="es-ES_tradnl" w:eastAsia="en-GB"/>
        </w:rPr>
        <w:t xml:space="preserve">véanse las contribuciones </w:t>
      </w:r>
      <w:r w:rsidR="00D478DF" w:rsidRPr="005547C4">
        <w:rPr>
          <w:rFonts w:cstheme="minorHAnsi"/>
          <w:szCs w:val="24"/>
          <w:lang w:val="es-ES_tradnl" w:eastAsia="en-GB"/>
        </w:rPr>
        <w:t xml:space="preserve">a la reunión de marzo de 2021 y la sección 3 de los </w:t>
      </w:r>
      <w:r w:rsidR="00B1407E" w:rsidRPr="005547C4">
        <w:rPr>
          <w:rFonts w:cstheme="minorHAnsi"/>
          <w:szCs w:val="24"/>
          <w:lang w:val="es-ES_tradnl" w:eastAsia="en-GB"/>
        </w:rPr>
        <w:t xml:space="preserve">Documentos </w:t>
      </w:r>
      <w:hyperlink r:id="rId15" w:history="1">
        <w:r w:rsidR="00622EBE" w:rsidRPr="005547C4">
          <w:rPr>
            <w:rStyle w:val="Hyperlink"/>
            <w:rFonts w:cstheme="minorHAnsi"/>
            <w:szCs w:val="24"/>
            <w:lang w:val="es-ES_tradnl" w:eastAsia="en-GB"/>
          </w:rPr>
          <w:t>TDAG-21/8</w:t>
        </w:r>
      </w:hyperlink>
      <w:r w:rsidR="00622EBE" w:rsidRPr="005547C4">
        <w:rPr>
          <w:rFonts w:cstheme="minorHAnsi"/>
          <w:szCs w:val="24"/>
          <w:lang w:val="es-ES_tradnl" w:eastAsia="en-GB"/>
        </w:rPr>
        <w:t xml:space="preserve"> </w:t>
      </w:r>
      <w:r w:rsidRPr="005547C4">
        <w:rPr>
          <w:rFonts w:cstheme="minorHAnsi"/>
          <w:szCs w:val="24"/>
          <w:lang w:val="es-ES_tradnl" w:eastAsia="en-GB"/>
        </w:rPr>
        <w:t>y</w:t>
      </w:r>
      <w:r w:rsidR="00622EBE" w:rsidRPr="005547C4">
        <w:rPr>
          <w:rFonts w:cstheme="minorHAnsi"/>
          <w:szCs w:val="24"/>
          <w:lang w:val="es-ES_tradnl" w:eastAsia="en-GB"/>
        </w:rPr>
        <w:t xml:space="preserve"> </w:t>
      </w:r>
      <w:hyperlink r:id="rId16" w:history="1">
        <w:r w:rsidR="00622EBE" w:rsidRPr="005547C4">
          <w:rPr>
            <w:rStyle w:val="Hyperlink"/>
            <w:rFonts w:cstheme="minorHAnsi"/>
            <w:szCs w:val="24"/>
            <w:lang w:val="es-ES_tradnl" w:eastAsia="en-GB"/>
          </w:rPr>
          <w:t>TDAG-21/9</w:t>
        </w:r>
      </w:hyperlink>
      <w:r w:rsidR="006A6B93" w:rsidRPr="00B1407E">
        <w:t>)</w:t>
      </w:r>
      <w:r w:rsidR="00622EBE" w:rsidRPr="005547C4">
        <w:rPr>
          <w:rFonts w:cstheme="minorHAnsi"/>
          <w:szCs w:val="24"/>
          <w:lang w:val="es-ES_tradnl" w:eastAsia="en-GB"/>
        </w:rPr>
        <w:t>.</w:t>
      </w:r>
      <w:bookmarkEnd w:id="20"/>
    </w:p>
    <w:p w14:paraId="2DB5B1F6" w14:textId="675F1F0A" w:rsidR="00622EBE" w:rsidRPr="005547C4" w:rsidRDefault="00555B66" w:rsidP="00555B6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cstheme="minorHAnsi"/>
          <w:szCs w:val="24"/>
          <w:lang w:val="es-ES_tradnl" w:eastAsia="en-GB"/>
        </w:rPr>
      </w:pPr>
      <w:bookmarkStart w:id="21" w:name="lt_pId051"/>
      <w:r w:rsidRPr="005547C4">
        <w:rPr>
          <w:rFonts w:cstheme="minorHAnsi"/>
          <w:szCs w:val="24"/>
          <w:lang w:val="es-ES_tradnl" w:eastAsia="en-GB"/>
        </w:rPr>
        <w:t>L</w:t>
      </w:r>
      <w:r w:rsidR="00D478DF" w:rsidRPr="005547C4">
        <w:rPr>
          <w:rFonts w:cstheme="minorHAnsi"/>
          <w:szCs w:val="24"/>
          <w:lang w:val="es-ES_tradnl" w:eastAsia="en-GB"/>
        </w:rPr>
        <w:t xml:space="preserve">a </w:t>
      </w:r>
      <w:r w:rsidR="00D478DF" w:rsidRPr="005547C4">
        <w:rPr>
          <w:rFonts w:cstheme="minorHAnsi"/>
          <w:b/>
          <w:bCs/>
          <w:szCs w:val="24"/>
          <w:lang w:val="es-ES_tradnl" w:eastAsia="en-GB"/>
        </w:rPr>
        <w:t>estructura</w:t>
      </w:r>
      <w:r w:rsidR="00D478DF" w:rsidRPr="005547C4">
        <w:rPr>
          <w:rFonts w:cstheme="minorHAnsi"/>
          <w:szCs w:val="24"/>
          <w:lang w:val="es-ES_tradnl" w:eastAsia="en-GB"/>
        </w:rPr>
        <w:t xml:space="preserve"> de las Comisiones de Estudio se </w:t>
      </w:r>
      <w:r w:rsidRPr="005547C4">
        <w:rPr>
          <w:rFonts w:cstheme="minorHAnsi"/>
          <w:szCs w:val="24"/>
          <w:lang w:val="es-ES_tradnl" w:eastAsia="en-GB"/>
        </w:rPr>
        <w:t>debatirá y determinará</w:t>
      </w:r>
      <w:r w:rsidR="00D478DF" w:rsidRPr="005547C4">
        <w:rPr>
          <w:rFonts w:cstheme="minorHAnsi"/>
          <w:szCs w:val="24"/>
          <w:lang w:val="es-ES_tradnl" w:eastAsia="en-GB"/>
        </w:rPr>
        <w:t xml:space="preserve"> en la próxima CMDT</w:t>
      </w:r>
      <w:r w:rsidRPr="005547C4">
        <w:rPr>
          <w:rFonts w:cstheme="minorHAnsi"/>
          <w:szCs w:val="24"/>
          <w:lang w:val="es-ES_tradnl" w:eastAsia="en-GB"/>
        </w:rPr>
        <w:t>,</w:t>
      </w:r>
      <w:r w:rsidR="00D478DF" w:rsidRPr="005547C4">
        <w:rPr>
          <w:rFonts w:cstheme="minorHAnsi"/>
          <w:szCs w:val="24"/>
          <w:lang w:val="es-ES_tradnl" w:eastAsia="en-GB"/>
        </w:rPr>
        <w:t xml:space="preserve"> </w:t>
      </w:r>
      <w:r w:rsidRPr="005547C4">
        <w:rPr>
          <w:rFonts w:cstheme="minorHAnsi"/>
          <w:szCs w:val="24"/>
          <w:lang w:val="es-ES_tradnl" w:eastAsia="en-GB"/>
        </w:rPr>
        <w:t xml:space="preserve">de acuerdo con los trabajos sobre el futuro de las Cuestiones y los métodos de trabajo que está llevando a cabo </w:t>
      </w:r>
      <w:r w:rsidR="00D478DF" w:rsidRPr="005547C4">
        <w:rPr>
          <w:rFonts w:cstheme="minorHAnsi"/>
          <w:szCs w:val="24"/>
          <w:lang w:val="es-ES_tradnl" w:eastAsia="en-GB"/>
        </w:rPr>
        <w:t>e</w:t>
      </w:r>
      <w:r w:rsidRPr="005547C4">
        <w:rPr>
          <w:rFonts w:cstheme="minorHAnsi"/>
          <w:szCs w:val="24"/>
          <w:lang w:val="es-ES_tradnl" w:eastAsia="en-GB"/>
        </w:rPr>
        <w:t>l GT-</w:t>
      </w:r>
      <w:r w:rsidR="00D478DF" w:rsidRPr="005547C4">
        <w:rPr>
          <w:rFonts w:cstheme="minorHAnsi"/>
          <w:szCs w:val="24"/>
          <w:lang w:val="es-ES_tradnl" w:eastAsia="en-GB"/>
        </w:rPr>
        <w:t>GADT-</w:t>
      </w:r>
      <w:r w:rsidRPr="005547C4">
        <w:rPr>
          <w:rFonts w:cstheme="minorHAnsi"/>
          <w:szCs w:val="24"/>
          <w:lang w:val="es-ES_tradnl" w:eastAsia="en-GB"/>
        </w:rPr>
        <w:t>RDPT.</w:t>
      </w:r>
      <w:bookmarkEnd w:id="21"/>
    </w:p>
    <w:p w14:paraId="2E78F6B8" w14:textId="6867AC10" w:rsidR="00622EBE" w:rsidRPr="005547C4" w:rsidRDefault="00D478DF" w:rsidP="00703B7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cstheme="minorHAnsi"/>
          <w:szCs w:val="24"/>
          <w:lang w:val="es-ES_tradnl" w:eastAsia="en-GB"/>
        </w:rPr>
      </w:pPr>
      <w:bookmarkStart w:id="22" w:name="lt_pId052"/>
      <w:r w:rsidRPr="005547C4">
        <w:rPr>
          <w:rFonts w:cstheme="minorHAnsi"/>
          <w:szCs w:val="24"/>
          <w:lang w:val="es-ES_tradnl" w:eastAsia="en-GB"/>
        </w:rPr>
        <w:t xml:space="preserve">El </w:t>
      </w:r>
      <w:r w:rsidRPr="005547C4">
        <w:rPr>
          <w:rFonts w:cstheme="minorHAnsi"/>
          <w:b/>
          <w:bCs/>
          <w:szCs w:val="24"/>
          <w:lang w:val="es-ES_tradnl" w:eastAsia="en-GB"/>
        </w:rPr>
        <w:t>mandato</w:t>
      </w:r>
      <w:r w:rsidRPr="005547C4">
        <w:rPr>
          <w:rFonts w:cstheme="minorHAnsi"/>
          <w:szCs w:val="24"/>
          <w:lang w:val="es-ES_tradnl" w:eastAsia="en-GB"/>
        </w:rPr>
        <w:t xml:space="preserve"> de las Comisiones de Estudio (actualizaci</w:t>
      </w:r>
      <w:r w:rsidR="00555B66" w:rsidRPr="005547C4">
        <w:rPr>
          <w:rFonts w:cstheme="minorHAnsi"/>
          <w:szCs w:val="24"/>
          <w:lang w:val="es-ES_tradnl" w:eastAsia="en-GB"/>
        </w:rPr>
        <w:t>ón</w:t>
      </w:r>
      <w:r w:rsidRPr="005547C4">
        <w:rPr>
          <w:rFonts w:cstheme="minorHAnsi"/>
          <w:szCs w:val="24"/>
          <w:lang w:val="es-ES_tradnl" w:eastAsia="en-GB"/>
        </w:rPr>
        <w:t xml:space="preserve"> de la Resolución 2 (Rev. Buenos Aires, 2017)</w:t>
      </w:r>
      <w:r w:rsidR="00703B76" w:rsidRPr="005547C4">
        <w:rPr>
          <w:rFonts w:cstheme="minorHAnsi"/>
          <w:szCs w:val="24"/>
          <w:lang w:val="es-ES_tradnl" w:eastAsia="en-GB"/>
        </w:rPr>
        <w:t xml:space="preserve"> de la CMDT</w:t>
      </w:r>
      <w:r w:rsidRPr="005547C4">
        <w:rPr>
          <w:rFonts w:cstheme="minorHAnsi"/>
          <w:szCs w:val="24"/>
          <w:lang w:val="es-ES_tradnl" w:eastAsia="en-GB"/>
        </w:rPr>
        <w:t>) se</w:t>
      </w:r>
      <w:r w:rsidR="00703B76" w:rsidRPr="005547C4">
        <w:rPr>
          <w:rFonts w:cstheme="minorHAnsi"/>
          <w:szCs w:val="24"/>
          <w:lang w:val="es-ES_tradnl" w:eastAsia="en-GB"/>
        </w:rPr>
        <w:t xml:space="preserve">rá objeto de estudio </w:t>
      </w:r>
      <w:r w:rsidRPr="005547C4">
        <w:rPr>
          <w:rFonts w:cstheme="minorHAnsi"/>
          <w:szCs w:val="24"/>
          <w:lang w:val="es-ES_tradnl" w:eastAsia="en-GB"/>
        </w:rPr>
        <w:t>en la próxima CMDT, en junio de 2022.</w:t>
      </w:r>
      <w:bookmarkEnd w:id="22"/>
    </w:p>
    <w:p w14:paraId="719DCE34" w14:textId="3A923406" w:rsidR="00622EBE" w:rsidRPr="005547C4" w:rsidRDefault="00D478DF" w:rsidP="00EA3DC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cstheme="minorHAnsi"/>
          <w:szCs w:val="24"/>
          <w:lang w:val="es-ES_tradnl" w:eastAsia="en-GB"/>
        </w:rPr>
      </w:pPr>
      <w:bookmarkStart w:id="23" w:name="lt_pId053"/>
      <w:r w:rsidRPr="005547C4">
        <w:rPr>
          <w:rFonts w:cstheme="minorHAnsi"/>
          <w:szCs w:val="24"/>
          <w:lang w:val="es-ES_tradnl" w:eastAsia="en-GB"/>
        </w:rPr>
        <w:lastRenderedPageBreak/>
        <w:t xml:space="preserve">Las Comisiones de Estudio celebrarán una reunión adicional cada una en octubre de 2021 y </w:t>
      </w:r>
      <w:r w:rsidR="006A6B93">
        <w:rPr>
          <w:rFonts w:cstheme="minorHAnsi"/>
          <w:szCs w:val="24"/>
          <w:lang w:val="es-ES_tradnl" w:eastAsia="en-GB"/>
        </w:rPr>
        <w:t>proseguirán</w:t>
      </w:r>
      <w:r w:rsidRPr="005547C4">
        <w:rPr>
          <w:rFonts w:cstheme="minorHAnsi"/>
          <w:szCs w:val="24"/>
          <w:lang w:val="es-ES_tradnl" w:eastAsia="en-GB"/>
        </w:rPr>
        <w:t xml:space="preserve"> </w:t>
      </w:r>
      <w:r w:rsidR="00EA3DCB" w:rsidRPr="005547C4">
        <w:rPr>
          <w:rFonts w:cstheme="minorHAnsi"/>
          <w:szCs w:val="24"/>
          <w:lang w:val="es-ES_tradnl" w:eastAsia="en-GB"/>
        </w:rPr>
        <w:t>su</w:t>
      </w:r>
      <w:r w:rsidR="006A6B93">
        <w:rPr>
          <w:rFonts w:cstheme="minorHAnsi"/>
          <w:szCs w:val="24"/>
          <w:lang w:val="es-ES_tradnl" w:eastAsia="en-GB"/>
        </w:rPr>
        <w:t xml:space="preserve"> labor</w:t>
      </w:r>
      <w:r w:rsidR="00EA3DCB" w:rsidRPr="005547C4">
        <w:rPr>
          <w:rFonts w:cstheme="minorHAnsi"/>
          <w:szCs w:val="24"/>
          <w:lang w:val="es-ES_tradnl" w:eastAsia="en-GB"/>
        </w:rPr>
        <w:t xml:space="preserve"> conforme a lo estipulado en </w:t>
      </w:r>
      <w:r w:rsidRPr="005547C4">
        <w:rPr>
          <w:rFonts w:cstheme="minorHAnsi"/>
          <w:szCs w:val="24"/>
          <w:lang w:val="es-ES_tradnl" w:eastAsia="en-GB"/>
        </w:rPr>
        <w:t>la Resolución 1 (Rev. Buenos Aires, 2017)</w:t>
      </w:r>
      <w:r w:rsidR="00EA3DCB" w:rsidRPr="005547C4">
        <w:rPr>
          <w:rFonts w:cstheme="minorHAnsi"/>
          <w:szCs w:val="24"/>
          <w:lang w:val="es-ES_tradnl" w:eastAsia="en-GB"/>
        </w:rPr>
        <w:t xml:space="preserve"> de la</w:t>
      </w:r>
      <w:r w:rsidR="00EA0917">
        <w:rPr>
          <w:rFonts w:cstheme="minorHAnsi"/>
          <w:szCs w:val="24"/>
          <w:lang w:val="es-ES_tradnl" w:eastAsia="en-GB"/>
        </w:rPr>
        <w:t> </w:t>
      </w:r>
      <w:r w:rsidR="00EA3DCB" w:rsidRPr="005547C4">
        <w:rPr>
          <w:rFonts w:cstheme="minorHAnsi"/>
          <w:szCs w:val="24"/>
          <w:lang w:val="es-ES_tradnl" w:eastAsia="en-GB"/>
        </w:rPr>
        <w:t>CMDT</w:t>
      </w:r>
      <w:r w:rsidRPr="005547C4">
        <w:rPr>
          <w:rFonts w:cstheme="minorHAnsi"/>
          <w:szCs w:val="24"/>
          <w:lang w:val="es-ES_tradnl" w:eastAsia="en-GB"/>
        </w:rPr>
        <w:t>.</w:t>
      </w:r>
      <w:bookmarkEnd w:id="23"/>
    </w:p>
    <w:p w14:paraId="4DFC872B" w14:textId="207AA49C" w:rsidR="00622EBE" w:rsidRPr="005547C4" w:rsidRDefault="00D478DF" w:rsidP="002D74C9">
      <w:pPr>
        <w:pStyle w:val="Headingb"/>
        <w:rPr>
          <w:lang w:val="es-ES_tradnl" w:eastAsia="en-GB"/>
        </w:rPr>
      </w:pPr>
      <w:bookmarkStart w:id="24" w:name="lt_pId054"/>
      <w:r w:rsidRPr="005547C4">
        <w:rPr>
          <w:lang w:val="es-ES_tradnl" w:eastAsia="en-GB"/>
        </w:rPr>
        <w:t>Propuesta al GADT</w:t>
      </w:r>
      <w:bookmarkEnd w:id="24"/>
    </w:p>
    <w:p w14:paraId="6BDA5436" w14:textId="04775748" w:rsidR="00622EBE" w:rsidRPr="005547C4" w:rsidRDefault="00913F79" w:rsidP="00EA3DCB">
      <w:pPr>
        <w:pStyle w:val="enumlev1"/>
        <w:rPr>
          <w:rFonts w:cstheme="minorHAnsi"/>
          <w:szCs w:val="24"/>
          <w:lang w:val="es-ES_tradnl" w:eastAsia="en-GB"/>
        </w:rPr>
      </w:pPr>
      <w:bookmarkStart w:id="25" w:name="lt_pId055"/>
      <w:r w:rsidRPr="005547C4">
        <w:rPr>
          <w:rFonts w:cstheme="minorHAnsi"/>
          <w:szCs w:val="24"/>
          <w:lang w:val="es-ES_tradnl" w:eastAsia="en-GB"/>
        </w:rPr>
        <w:t>•</w:t>
      </w:r>
      <w:r w:rsidRPr="005547C4">
        <w:rPr>
          <w:rFonts w:cstheme="minorHAnsi"/>
          <w:szCs w:val="24"/>
          <w:lang w:val="es-ES_tradnl" w:eastAsia="en-GB"/>
        </w:rPr>
        <w:tab/>
      </w:r>
      <w:r w:rsidR="00B92B4C" w:rsidRPr="005547C4">
        <w:rPr>
          <w:rFonts w:cstheme="minorHAnsi"/>
          <w:szCs w:val="24"/>
          <w:lang w:val="es-ES_tradnl" w:eastAsia="en-GB"/>
        </w:rPr>
        <w:t xml:space="preserve">Aprobar </w:t>
      </w:r>
      <w:r w:rsidR="00D478DF" w:rsidRPr="005547C4">
        <w:rPr>
          <w:rFonts w:cstheme="minorHAnsi"/>
          <w:szCs w:val="24"/>
          <w:lang w:val="es-ES_tradnl" w:eastAsia="en-GB"/>
        </w:rPr>
        <w:t xml:space="preserve">las Cuestiones revisadas de las Comisiones de Estudio, </w:t>
      </w:r>
      <w:r w:rsidR="00EA3DCB" w:rsidRPr="005547C4">
        <w:rPr>
          <w:rFonts w:cstheme="minorHAnsi"/>
          <w:szCs w:val="24"/>
          <w:lang w:val="es-ES_tradnl" w:eastAsia="en-GB"/>
        </w:rPr>
        <w:t>que figuran</w:t>
      </w:r>
      <w:r w:rsidR="00D478DF" w:rsidRPr="005547C4">
        <w:rPr>
          <w:rFonts w:cstheme="minorHAnsi"/>
          <w:szCs w:val="24"/>
          <w:lang w:val="es-ES_tradnl" w:eastAsia="en-GB"/>
        </w:rPr>
        <w:t xml:space="preserve"> en los </w:t>
      </w:r>
      <w:r w:rsidR="00B1407E" w:rsidRPr="005547C4">
        <w:rPr>
          <w:rFonts w:cstheme="minorHAnsi"/>
          <w:szCs w:val="24"/>
          <w:lang w:val="es-ES_tradnl" w:eastAsia="en-GB"/>
        </w:rPr>
        <w:t xml:space="preserve">Documentos </w:t>
      </w:r>
      <w:hyperlink r:id="rId17" w:history="1">
        <w:r w:rsidR="00622EBE" w:rsidRPr="005547C4">
          <w:rPr>
            <w:rStyle w:val="Hyperlink"/>
            <w:rFonts w:cstheme="minorHAnsi"/>
            <w:szCs w:val="24"/>
            <w:lang w:val="es-ES_tradnl" w:eastAsia="en-GB"/>
          </w:rPr>
          <w:t>TDAG-21/8</w:t>
        </w:r>
      </w:hyperlink>
      <w:r w:rsidR="00622EBE" w:rsidRPr="005547C4">
        <w:rPr>
          <w:rFonts w:cstheme="minorHAnsi"/>
          <w:szCs w:val="24"/>
          <w:lang w:val="es-ES_tradnl" w:eastAsia="en-GB"/>
        </w:rPr>
        <w:t xml:space="preserve"> </w:t>
      </w:r>
      <w:r w:rsidR="00EA3DCB" w:rsidRPr="005547C4">
        <w:rPr>
          <w:rFonts w:cstheme="minorHAnsi"/>
          <w:szCs w:val="24"/>
          <w:lang w:val="es-ES_tradnl" w:eastAsia="en-GB"/>
        </w:rPr>
        <w:t>y</w:t>
      </w:r>
      <w:r w:rsidR="00622EBE" w:rsidRPr="005547C4">
        <w:rPr>
          <w:rFonts w:cstheme="minorHAnsi"/>
          <w:szCs w:val="24"/>
          <w:lang w:val="es-ES_tradnl" w:eastAsia="en-GB"/>
        </w:rPr>
        <w:t xml:space="preserve"> </w:t>
      </w:r>
      <w:hyperlink r:id="rId18" w:history="1">
        <w:r w:rsidR="00622EBE" w:rsidRPr="005547C4">
          <w:rPr>
            <w:rStyle w:val="Hyperlink"/>
            <w:rFonts w:cstheme="minorHAnsi"/>
            <w:szCs w:val="24"/>
            <w:lang w:val="es-ES_tradnl" w:eastAsia="en-GB"/>
          </w:rPr>
          <w:t>TDAG-21/9</w:t>
        </w:r>
      </w:hyperlink>
      <w:bookmarkEnd w:id="25"/>
      <w:r w:rsidR="00B92B4C">
        <w:rPr>
          <w:rFonts w:cstheme="minorHAnsi"/>
          <w:szCs w:val="24"/>
          <w:lang w:val="es-ES_tradnl" w:eastAsia="en-GB"/>
        </w:rPr>
        <w:t>.</w:t>
      </w:r>
    </w:p>
    <w:p w14:paraId="31DD826C" w14:textId="7E4802F7" w:rsidR="00622EBE" w:rsidRPr="005547C4" w:rsidRDefault="00913F79" w:rsidP="00EA3DCB">
      <w:pPr>
        <w:pStyle w:val="enumlev1"/>
        <w:rPr>
          <w:rFonts w:cstheme="minorHAnsi"/>
          <w:szCs w:val="24"/>
          <w:lang w:val="es-ES_tradnl" w:eastAsia="en-GB"/>
        </w:rPr>
      </w:pPr>
      <w:bookmarkStart w:id="26" w:name="lt_pId056"/>
      <w:r w:rsidRPr="005547C4">
        <w:rPr>
          <w:rFonts w:cstheme="minorHAnsi"/>
          <w:szCs w:val="24"/>
          <w:lang w:val="es-ES_tradnl" w:eastAsia="en-GB"/>
        </w:rPr>
        <w:t>•</w:t>
      </w:r>
      <w:r w:rsidRPr="005547C4">
        <w:rPr>
          <w:rFonts w:cstheme="minorHAnsi"/>
          <w:szCs w:val="24"/>
          <w:lang w:val="es-ES_tradnl" w:eastAsia="en-GB"/>
        </w:rPr>
        <w:tab/>
      </w:r>
      <w:r w:rsidR="00B92B4C" w:rsidRPr="005547C4">
        <w:rPr>
          <w:rFonts w:cstheme="minorHAnsi"/>
          <w:szCs w:val="24"/>
          <w:lang w:val="es-ES_tradnl" w:eastAsia="en-GB"/>
        </w:rPr>
        <w:t xml:space="preserve">Aprobar </w:t>
      </w:r>
      <w:r w:rsidR="00D478DF" w:rsidRPr="005547C4">
        <w:rPr>
          <w:rFonts w:cstheme="minorHAnsi"/>
          <w:szCs w:val="24"/>
          <w:lang w:val="es-ES_tradnl" w:eastAsia="en-GB"/>
        </w:rPr>
        <w:t>las</w:t>
      </w:r>
      <w:r w:rsidR="00EA3DCB" w:rsidRPr="005547C4">
        <w:rPr>
          <w:rFonts w:cstheme="minorHAnsi"/>
          <w:szCs w:val="24"/>
          <w:lang w:val="es-ES_tradnl" w:eastAsia="en-GB"/>
        </w:rPr>
        <w:t xml:space="preserve"> siguientes</w:t>
      </w:r>
      <w:r w:rsidR="00D478DF" w:rsidRPr="005547C4">
        <w:rPr>
          <w:rFonts w:cstheme="minorHAnsi"/>
          <w:szCs w:val="24"/>
          <w:lang w:val="es-ES_tradnl" w:eastAsia="en-GB"/>
        </w:rPr>
        <w:t xml:space="preserve"> reuniones adicionales</w:t>
      </w:r>
      <w:r w:rsidR="00622EBE" w:rsidRPr="005547C4">
        <w:rPr>
          <w:rFonts w:cstheme="minorHAnsi"/>
          <w:szCs w:val="24"/>
          <w:lang w:val="es-ES_tradnl" w:eastAsia="en-GB"/>
        </w:rPr>
        <w:t>:</w:t>
      </w:r>
      <w:bookmarkEnd w:id="26"/>
    </w:p>
    <w:p w14:paraId="32010BF4" w14:textId="44F98133" w:rsidR="00D478DF" w:rsidRPr="005547C4" w:rsidRDefault="00913F79" w:rsidP="00D478DF">
      <w:pPr>
        <w:pStyle w:val="enumlev2"/>
        <w:rPr>
          <w:lang w:val="es-ES_tradnl" w:eastAsia="en-GB"/>
        </w:rPr>
      </w:pPr>
      <w:bookmarkStart w:id="27" w:name="lt_pId057"/>
      <w:r w:rsidRPr="005547C4">
        <w:rPr>
          <w:lang w:val="es-ES_tradnl" w:eastAsia="en-GB"/>
        </w:rPr>
        <w:t>–</w:t>
      </w:r>
      <w:r w:rsidRPr="005547C4">
        <w:rPr>
          <w:lang w:val="es-ES_tradnl" w:eastAsia="en-GB"/>
        </w:rPr>
        <w:tab/>
      </w:r>
      <w:r w:rsidR="00D478DF" w:rsidRPr="005547C4">
        <w:rPr>
          <w:lang w:val="es-ES_tradnl" w:eastAsia="en-GB"/>
        </w:rPr>
        <w:t xml:space="preserve">Comisión de Estudio 1 </w:t>
      </w:r>
      <w:r w:rsidR="008D0079">
        <w:rPr>
          <w:lang w:val="es-ES_tradnl" w:eastAsia="en-GB"/>
        </w:rPr>
        <w:t>–</w:t>
      </w:r>
      <w:r w:rsidR="00D478DF" w:rsidRPr="005547C4">
        <w:rPr>
          <w:lang w:val="es-ES_tradnl" w:eastAsia="en-GB"/>
        </w:rPr>
        <w:t xml:space="preserve"> 4-8 de octubre de 2021;</w:t>
      </w:r>
    </w:p>
    <w:p w14:paraId="6D4DB5D2" w14:textId="07A19E8C" w:rsidR="00622EBE" w:rsidRPr="005547C4" w:rsidRDefault="00D478DF" w:rsidP="00EA3DCB">
      <w:pPr>
        <w:pStyle w:val="enumlev2"/>
        <w:rPr>
          <w:lang w:val="es-ES_tradnl" w:eastAsia="en-GB"/>
        </w:rPr>
      </w:pPr>
      <w:r w:rsidRPr="005547C4">
        <w:rPr>
          <w:lang w:val="es-ES_tradnl" w:eastAsia="en-GB"/>
        </w:rPr>
        <w:t>–</w:t>
      </w:r>
      <w:r w:rsidRPr="005547C4">
        <w:rPr>
          <w:lang w:val="es-ES_tradnl" w:eastAsia="en-GB"/>
        </w:rPr>
        <w:tab/>
        <w:t xml:space="preserve">Comisión de Estudio 2 </w:t>
      </w:r>
      <w:r w:rsidR="008D0079">
        <w:rPr>
          <w:lang w:val="es-ES_tradnl" w:eastAsia="en-GB"/>
        </w:rPr>
        <w:t>–</w:t>
      </w:r>
      <w:r w:rsidRPr="005547C4">
        <w:rPr>
          <w:lang w:val="es-ES_tradnl" w:eastAsia="en-GB"/>
        </w:rPr>
        <w:t xml:space="preserve"> 18-22 de octubre de 2021.</w:t>
      </w:r>
      <w:bookmarkEnd w:id="27"/>
    </w:p>
    <w:p w14:paraId="594521F6" w14:textId="25F465F3" w:rsidR="00622EBE" w:rsidRPr="005547C4" w:rsidRDefault="00622EBE" w:rsidP="002D74C9">
      <w:pPr>
        <w:pStyle w:val="Heading1"/>
        <w:rPr>
          <w:lang w:val="es-ES_tradnl"/>
        </w:rPr>
      </w:pPr>
      <w:r w:rsidRPr="005547C4">
        <w:rPr>
          <w:lang w:val="es-ES_tradnl"/>
        </w:rPr>
        <w:t>3</w:t>
      </w:r>
      <w:r w:rsidRPr="005547C4">
        <w:rPr>
          <w:lang w:val="es-ES_tradnl"/>
        </w:rPr>
        <w:tab/>
      </w:r>
      <w:bookmarkStart w:id="28" w:name="lt_pId060"/>
      <w:r w:rsidR="00A52C23" w:rsidRPr="005547C4">
        <w:rPr>
          <w:lang w:val="es-ES_tradnl"/>
        </w:rPr>
        <w:t xml:space="preserve">Grupo de Trabajo del GADT </w:t>
      </w:r>
      <w:r w:rsidR="006A6B93" w:rsidRPr="006A6B93">
        <w:rPr>
          <w:lang w:val="es-ES_tradnl"/>
        </w:rPr>
        <w:t>sobre las Resoluciones, la Declaración y las prioridades temáticas de la CMDT</w:t>
      </w:r>
      <w:r w:rsidR="00A52C23" w:rsidRPr="005547C4">
        <w:rPr>
          <w:lang w:val="es-ES_tradnl"/>
        </w:rPr>
        <w:t xml:space="preserve"> (</w:t>
      </w:r>
      <w:hyperlink r:id="rId19" w:history="1">
        <w:r w:rsidR="00B92B4C">
          <w:rPr>
            <w:rStyle w:val="Hyperlink"/>
            <w:lang w:val="es-ES_tradnl"/>
          </w:rPr>
          <w:t>GT-GADT-RDPT</w:t>
        </w:r>
      </w:hyperlink>
      <w:r w:rsidR="00A52C23" w:rsidRPr="005547C4">
        <w:rPr>
          <w:lang w:val="es-ES_tradnl"/>
        </w:rPr>
        <w:t>)</w:t>
      </w:r>
      <w:bookmarkEnd w:id="28"/>
    </w:p>
    <w:p w14:paraId="2147B502" w14:textId="3BEC5E05" w:rsidR="00622EBE" w:rsidRPr="005547C4" w:rsidRDefault="00920CE5" w:rsidP="00920CE5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rPr>
          <w:rFonts w:eastAsiaTheme="minorEastAsia" w:cstheme="minorBidi"/>
          <w:lang w:val="es-ES_tradnl" w:eastAsia="zh-CN"/>
        </w:rPr>
      </w:pPr>
      <w:bookmarkStart w:id="29" w:name="lt_pId061"/>
      <w:r w:rsidRPr="005547C4">
        <w:rPr>
          <w:rFonts w:eastAsiaTheme="minorEastAsia" w:cstheme="minorBidi"/>
          <w:lang w:val="es-ES_tradnl" w:eastAsia="zh-CN"/>
        </w:rPr>
        <w:t>Gracias al</w:t>
      </w:r>
      <w:r w:rsidR="00D478DF" w:rsidRPr="005547C4">
        <w:rPr>
          <w:rFonts w:eastAsiaTheme="minorEastAsia" w:cstheme="minorBidi"/>
          <w:lang w:val="es-ES_tradnl" w:eastAsia="zh-CN"/>
        </w:rPr>
        <w:t xml:space="preserve"> aplazamiento de la CMDT-21</w:t>
      </w:r>
      <w:r w:rsidRPr="005547C4">
        <w:rPr>
          <w:rFonts w:eastAsiaTheme="minorEastAsia" w:cstheme="minorBidi"/>
          <w:lang w:val="es-ES_tradnl" w:eastAsia="zh-CN"/>
        </w:rPr>
        <w:t>,</w:t>
      </w:r>
      <w:r w:rsidR="00D478DF" w:rsidRPr="005547C4">
        <w:rPr>
          <w:rFonts w:eastAsiaTheme="minorEastAsia" w:cstheme="minorBidi"/>
          <w:lang w:val="es-ES_tradnl" w:eastAsia="zh-CN"/>
        </w:rPr>
        <w:t xml:space="preserve"> este grupo de trabajo</w:t>
      </w:r>
      <w:r w:rsidRPr="005547C4">
        <w:rPr>
          <w:rFonts w:eastAsiaTheme="minorEastAsia" w:cstheme="minorBidi"/>
          <w:lang w:val="es-ES_tradnl" w:eastAsia="zh-CN"/>
        </w:rPr>
        <w:t xml:space="preserve"> dispondrá de más tiempo </w:t>
      </w:r>
      <w:r w:rsidR="00D478DF" w:rsidRPr="005547C4">
        <w:rPr>
          <w:rFonts w:eastAsiaTheme="minorEastAsia" w:cstheme="minorBidi"/>
          <w:lang w:val="es-ES_tradnl" w:eastAsia="zh-CN"/>
        </w:rPr>
        <w:t xml:space="preserve">para </w:t>
      </w:r>
      <w:r w:rsidR="00A86950">
        <w:rPr>
          <w:rFonts w:eastAsiaTheme="minorEastAsia" w:cstheme="minorBidi"/>
          <w:lang w:val="es-ES_tradnl" w:eastAsia="zh-CN"/>
        </w:rPr>
        <w:t xml:space="preserve">seguir </w:t>
      </w:r>
      <w:r w:rsidR="00D478DF" w:rsidRPr="005547C4">
        <w:rPr>
          <w:rFonts w:eastAsiaTheme="minorEastAsia" w:cstheme="minorBidi"/>
          <w:lang w:val="es-ES_tradnl" w:eastAsia="zh-CN"/>
        </w:rPr>
        <w:t>avanza</w:t>
      </w:r>
      <w:r w:rsidR="00A86950">
        <w:rPr>
          <w:rFonts w:eastAsiaTheme="minorEastAsia" w:cstheme="minorBidi"/>
          <w:lang w:val="es-ES_tradnl" w:eastAsia="zh-CN"/>
        </w:rPr>
        <w:t>ndo</w:t>
      </w:r>
      <w:r w:rsidRPr="005547C4">
        <w:rPr>
          <w:rFonts w:eastAsiaTheme="minorEastAsia" w:cstheme="minorBidi"/>
          <w:lang w:val="es-ES_tradnl" w:eastAsia="zh-CN"/>
        </w:rPr>
        <w:t xml:space="preserve"> y podrá facilitar información al respecto a</w:t>
      </w:r>
      <w:r w:rsidR="00D478DF" w:rsidRPr="005547C4">
        <w:rPr>
          <w:rFonts w:eastAsiaTheme="minorEastAsia" w:cstheme="minorBidi"/>
          <w:lang w:val="es-ES_tradnl" w:eastAsia="zh-CN"/>
        </w:rPr>
        <w:t>l GADT en</w:t>
      </w:r>
      <w:r w:rsidRPr="005547C4">
        <w:rPr>
          <w:rFonts w:eastAsiaTheme="minorEastAsia" w:cstheme="minorBidi"/>
          <w:lang w:val="es-ES_tradnl" w:eastAsia="zh-CN"/>
        </w:rPr>
        <w:t xml:space="preserve"> su</w:t>
      </w:r>
      <w:r w:rsidR="00D478DF" w:rsidRPr="005547C4">
        <w:rPr>
          <w:rFonts w:eastAsiaTheme="minorEastAsia" w:cstheme="minorBidi"/>
          <w:lang w:val="es-ES_tradnl" w:eastAsia="zh-CN"/>
        </w:rPr>
        <w:t xml:space="preserve"> </w:t>
      </w:r>
      <w:r w:rsidRPr="005547C4">
        <w:rPr>
          <w:rFonts w:eastAsiaTheme="minorEastAsia" w:cstheme="minorBidi"/>
          <w:lang w:val="es-ES_tradnl" w:eastAsia="zh-CN"/>
        </w:rPr>
        <w:t xml:space="preserve">próxima reunión de </w:t>
      </w:r>
      <w:r w:rsidR="00D478DF" w:rsidRPr="005547C4">
        <w:rPr>
          <w:rFonts w:eastAsiaTheme="minorEastAsia" w:cstheme="minorBidi"/>
          <w:lang w:val="es-ES_tradnl" w:eastAsia="zh-CN"/>
        </w:rPr>
        <w:t xml:space="preserve">noviembre de 2021, si </w:t>
      </w:r>
      <w:r w:rsidR="00A86950">
        <w:rPr>
          <w:rFonts w:eastAsiaTheme="minorEastAsia" w:cstheme="minorBidi"/>
          <w:lang w:val="es-ES_tradnl" w:eastAsia="zh-CN"/>
        </w:rPr>
        <w:t xml:space="preserve">este último </w:t>
      </w:r>
      <w:r w:rsidR="00D478DF" w:rsidRPr="005547C4">
        <w:rPr>
          <w:rFonts w:eastAsiaTheme="minorEastAsia" w:cstheme="minorBidi"/>
          <w:lang w:val="es-ES_tradnl" w:eastAsia="zh-CN"/>
        </w:rPr>
        <w:t>decide celebrarla.</w:t>
      </w:r>
      <w:bookmarkEnd w:id="29"/>
    </w:p>
    <w:p w14:paraId="56F7D548" w14:textId="2502C396" w:rsidR="00622EBE" w:rsidRPr="005547C4" w:rsidRDefault="00D478DF" w:rsidP="002D74C9">
      <w:pPr>
        <w:pStyle w:val="Headingb"/>
        <w:rPr>
          <w:rFonts w:ascii="Calibri" w:hAnsi="Calibri"/>
          <w:szCs w:val="24"/>
          <w:lang w:val="es-ES_tradnl"/>
        </w:rPr>
      </w:pPr>
      <w:r w:rsidRPr="005547C4">
        <w:rPr>
          <w:rFonts w:eastAsiaTheme="minorEastAsia"/>
          <w:lang w:val="es-ES_tradnl"/>
        </w:rPr>
        <w:t>Propuesta al GADT</w:t>
      </w:r>
    </w:p>
    <w:p w14:paraId="7CBE16E6" w14:textId="186ABD3E" w:rsidR="00622EBE" w:rsidRPr="005547C4" w:rsidRDefault="008D0079" w:rsidP="008D0079">
      <w:pPr>
        <w:pStyle w:val="enumlev1"/>
        <w:rPr>
          <w:rFonts w:asciiTheme="minorBidi" w:eastAsiaTheme="minorBidi" w:hAnsiTheme="minorBidi"/>
          <w:szCs w:val="24"/>
          <w:lang w:val="es-ES_tradnl"/>
        </w:rPr>
      </w:pPr>
      <w:bookmarkStart w:id="30" w:name="lt_pId063"/>
      <w:r w:rsidRPr="008D0079">
        <w:rPr>
          <w:rFonts w:eastAsiaTheme="minorEastAsia"/>
          <w:lang w:val="es-ES_tradnl"/>
        </w:rPr>
        <w:t>•</w:t>
      </w:r>
      <w:r>
        <w:rPr>
          <w:rFonts w:eastAsiaTheme="minorEastAsia"/>
          <w:lang w:val="es-ES_tradnl"/>
        </w:rPr>
        <w:tab/>
      </w:r>
      <w:r w:rsidR="00B92B4C" w:rsidRPr="005547C4">
        <w:rPr>
          <w:rFonts w:eastAsiaTheme="minorEastAsia"/>
          <w:lang w:val="es-ES_tradnl"/>
        </w:rPr>
        <w:t xml:space="preserve">Invitar </w:t>
      </w:r>
      <w:r w:rsidR="00D478DF" w:rsidRPr="005547C4">
        <w:rPr>
          <w:rFonts w:eastAsiaTheme="minorEastAsia"/>
          <w:lang w:val="es-ES_tradnl"/>
        </w:rPr>
        <w:t xml:space="preserve">al </w:t>
      </w:r>
      <w:r w:rsidR="00920CE5" w:rsidRPr="005547C4">
        <w:rPr>
          <w:rFonts w:eastAsiaTheme="minorEastAsia"/>
          <w:lang w:val="es-ES_tradnl"/>
        </w:rPr>
        <w:t xml:space="preserve">Presidente </w:t>
      </w:r>
      <w:r w:rsidR="00D478DF" w:rsidRPr="005547C4">
        <w:rPr>
          <w:rFonts w:eastAsiaTheme="minorEastAsia"/>
          <w:lang w:val="es-ES_tradnl"/>
        </w:rPr>
        <w:t xml:space="preserve">del </w:t>
      </w:r>
      <w:r w:rsidR="00920CE5" w:rsidRPr="005547C4">
        <w:rPr>
          <w:rFonts w:eastAsiaTheme="minorEastAsia"/>
          <w:lang w:val="es-ES_tradnl"/>
        </w:rPr>
        <w:t>GT-</w:t>
      </w:r>
      <w:r w:rsidR="00D478DF" w:rsidRPr="005547C4">
        <w:rPr>
          <w:rFonts w:eastAsiaTheme="minorEastAsia"/>
          <w:lang w:val="es-ES_tradnl"/>
        </w:rPr>
        <w:t>GADT-</w:t>
      </w:r>
      <w:r w:rsidR="00920CE5" w:rsidRPr="005547C4">
        <w:rPr>
          <w:rFonts w:eastAsiaTheme="minorEastAsia"/>
          <w:lang w:val="es-ES_tradnl"/>
        </w:rPr>
        <w:t>R</w:t>
      </w:r>
      <w:r w:rsidR="00D478DF" w:rsidRPr="005547C4">
        <w:rPr>
          <w:rFonts w:eastAsiaTheme="minorEastAsia"/>
          <w:lang w:val="es-ES_tradnl"/>
        </w:rPr>
        <w:t>DP</w:t>
      </w:r>
      <w:r w:rsidR="00920CE5" w:rsidRPr="005547C4">
        <w:rPr>
          <w:rFonts w:eastAsiaTheme="minorEastAsia"/>
          <w:lang w:val="es-ES_tradnl"/>
        </w:rPr>
        <w:t>T</w:t>
      </w:r>
      <w:r w:rsidR="00D478DF" w:rsidRPr="005547C4">
        <w:rPr>
          <w:rFonts w:eastAsiaTheme="minorEastAsia"/>
          <w:lang w:val="es-ES_tradnl"/>
        </w:rPr>
        <w:t xml:space="preserve"> a que vuelva a convocar al grupo, </w:t>
      </w:r>
      <w:r w:rsidR="00920CE5" w:rsidRPr="005547C4">
        <w:rPr>
          <w:rFonts w:eastAsiaTheme="minorEastAsia"/>
          <w:lang w:val="es-ES_tradnl"/>
        </w:rPr>
        <w:t>según proceda</w:t>
      </w:r>
      <w:r w:rsidR="00D478DF" w:rsidRPr="005547C4">
        <w:rPr>
          <w:rFonts w:eastAsiaTheme="minorEastAsia"/>
          <w:lang w:val="es-ES_tradnl"/>
        </w:rPr>
        <w:t>,</w:t>
      </w:r>
      <w:r w:rsidR="00920CE5" w:rsidRPr="005547C4">
        <w:rPr>
          <w:rFonts w:eastAsiaTheme="minorEastAsia"/>
          <w:lang w:val="es-ES_tradnl"/>
        </w:rPr>
        <w:t xml:space="preserve"> y facilite información al respecto al GADT en su próxima reunión</w:t>
      </w:r>
      <w:r w:rsidR="00D478DF" w:rsidRPr="005547C4">
        <w:rPr>
          <w:rFonts w:eastAsiaTheme="minorEastAsia"/>
          <w:lang w:val="es-ES_tradnl"/>
        </w:rPr>
        <w:t>.</w:t>
      </w:r>
      <w:bookmarkEnd w:id="30"/>
    </w:p>
    <w:p w14:paraId="2916B009" w14:textId="764EF387" w:rsidR="00D478DF" w:rsidRPr="005547C4" w:rsidRDefault="00622EBE" w:rsidP="00920CE5">
      <w:pPr>
        <w:pStyle w:val="Heading1"/>
        <w:rPr>
          <w:rFonts w:eastAsiaTheme="minorEastAsia"/>
          <w:lang w:val="es-ES_tradnl"/>
        </w:rPr>
      </w:pPr>
      <w:r w:rsidRPr="00452CAC">
        <w:rPr>
          <w:lang w:val="es-ES_tradnl"/>
        </w:rPr>
        <w:t>4</w:t>
      </w:r>
      <w:r w:rsidRPr="005547C4">
        <w:rPr>
          <w:lang w:val="es-ES_tradnl"/>
        </w:rPr>
        <w:tab/>
      </w:r>
      <w:r w:rsidR="0068265E" w:rsidRPr="005547C4">
        <w:rPr>
          <w:rFonts w:eastAsiaTheme="minorEastAsia"/>
          <w:lang w:val="es-ES_tradnl"/>
        </w:rPr>
        <w:t>Grupo de Trabajo del GADT sobre los Planes Estratégico y Operacional (</w:t>
      </w:r>
      <w:hyperlink r:id="rId20" w:history="1">
        <w:r w:rsidR="0068265E" w:rsidRPr="005547C4">
          <w:rPr>
            <w:rStyle w:val="Hyperlink"/>
            <w:rFonts w:eastAsiaTheme="minorEastAsia"/>
            <w:lang w:val="es-ES_tradnl"/>
          </w:rPr>
          <w:t>GT</w:t>
        </w:r>
        <w:r w:rsidR="00B1407E">
          <w:rPr>
            <w:rStyle w:val="Hyperlink"/>
            <w:rFonts w:eastAsiaTheme="minorEastAsia"/>
            <w:lang w:val="es-ES_tradnl"/>
          </w:rPr>
          <w:noBreakHyphen/>
        </w:r>
        <w:r w:rsidR="0068265E" w:rsidRPr="005547C4">
          <w:rPr>
            <w:rStyle w:val="Hyperlink"/>
            <w:rFonts w:eastAsiaTheme="minorEastAsia"/>
            <w:lang w:val="es-ES_tradnl"/>
          </w:rPr>
          <w:t>GADT-PEO</w:t>
        </w:r>
      </w:hyperlink>
      <w:r w:rsidR="0068265E" w:rsidRPr="005547C4">
        <w:rPr>
          <w:rFonts w:eastAsiaTheme="minorEastAsia"/>
          <w:lang w:val="es-ES_tradnl"/>
        </w:rPr>
        <w:t>)</w:t>
      </w:r>
      <w:bookmarkStart w:id="31" w:name="lt_pId066"/>
    </w:p>
    <w:p w14:paraId="39B49808" w14:textId="6EEFEE06" w:rsidR="00622EBE" w:rsidRDefault="00920CE5" w:rsidP="00920CE5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rPr>
          <w:rFonts w:eastAsiaTheme="minorEastAsia" w:cstheme="minorBidi"/>
          <w:lang w:val="es-ES_tradnl" w:eastAsia="zh-CN"/>
        </w:rPr>
      </w:pPr>
      <w:r w:rsidRPr="005547C4">
        <w:rPr>
          <w:rFonts w:eastAsiaTheme="minorEastAsia" w:cstheme="minorBidi"/>
          <w:lang w:val="es-ES_tradnl" w:eastAsia="zh-CN"/>
        </w:rPr>
        <w:t xml:space="preserve">El hecho de que </w:t>
      </w:r>
      <w:r w:rsidR="00D478DF" w:rsidRPr="005547C4">
        <w:rPr>
          <w:rFonts w:eastAsiaTheme="minorEastAsia" w:cstheme="minorBidi"/>
          <w:lang w:val="es-ES_tradnl" w:eastAsia="zh-CN"/>
        </w:rPr>
        <w:t>los miembros del UIT-D</w:t>
      </w:r>
      <w:r w:rsidRPr="005547C4">
        <w:rPr>
          <w:rFonts w:eastAsiaTheme="minorEastAsia" w:cstheme="minorBidi"/>
          <w:lang w:val="es-ES_tradnl" w:eastAsia="zh-CN"/>
        </w:rPr>
        <w:t xml:space="preserve"> elabor</w:t>
      </w:r>
      <w:r w:rsidR="00A86950">
        <w:rPr>
          <w:rFonts w:eastAsiaTheme="minorEastAsia" w:cstheme="minorBidi"/>
          <w:lang w:val="es-ES_tradnl" w:eastAsia="zh-CN"/>
        </w:rPr>
        <w:t>en</w:t>
      </w:r>
      <w:r w:rsidR="00D478DF" w:rsidRPr="005547C4">
        <w:rPr>
          <w:rFonts w:eastAsiaTheme="minorEastAsia" w:cstheme="minorBidi"/>
          <w:lang w:val="es-ES_tradnl" w:eastAsia="zh-CN"/>
        </w:rPr>
        <w:t xml:space="preserve"> una contribución al proceso de planificación estratégica de la UIT</w:t>
      </w:r>
      <w:r w:rsidRPr="005547C4">
        <w:rPr>
          <w:rFonts w:eastAsiaTheme="minorEastAsia" w:cstheme="minorBidi"/>
          <w:lang w:val="es-ES_tradnl" w:eastAsia="zh-CN"/>
        </w:rPr>
        <w:t xml:space="preserve"> reviste una importancia crucial </w:t>
      </w:r>
      <w:r w:rsidR="00D478DF" w:rsidRPr="005547C4">
        <w:rPr>
          <w:rFonts w:eastAsiaTheme="minorEastAsia" w:cstheme="minorBidi"/>
          <w:lang w:val="es-ES_tradnl" w:eastAsia="zh-CN"/>
        </w:rPr>
        <w:t>para</w:t>
      </w:r>
      <w:r w:rsidR="00A86950">
        <w:rPr>
          <w:rFonts w:eastAsiaTheme="minorEastAsia" w:cstheme="minorBidi"/>
          <w:lang w:val="es-ES_tradnl" w:eastAsia="zh-CN"/>
        </w:rPr>
        <w:t xml:space="preserve"> todos</w:t>
      </w:r>
      <w:r w:rsidR="00D478DF" w:rsidRPr="005547C4">
        <w:rPr>
          <w:rFonts w:eastAsiaTheme="minorEastAsia" w:cstheme="minorBidi"/>
          <w:lang w:val="es-ES_tradnl" w:eastAsia="zh-CN"/>
        </w:rPr>
        <w:t xml:space="preserve"> los miembros. El cambio de fecha</w:t>
      </w:r>
      <w:r w:rsidRPr="005547C4">
        <w:rPr>
          <w:rFonts w:eastAsiaTheme="minorEastAsia" w:cstheme="minorBidi"/>
          <w:lang w:val="es-ES_tradnl" w:eastAsia="zh-CN"/>
        </w:rPr>
        <w:t>s</w:t>
      </w:r>
      <w:r w:rsidR="00D478DF" w:rsidRPr="005547C4">
        <w:rPr>
          <w:rFonts w:eastAsiaTheme="minorEastAsia" w:cstheme="minorBidi"/>
          <w:lang w:val="es-ES_tradnl" w:eastAsia="zh-CN"/>
        </w:rPr>
        <w:t xml:space="preserve"> de la CMDT, </w:t>
      </w:r>
      <w:r w:rsidRPr="005547C4">
        <w:rPr>
          <w:rFonts w:eastAsiaTheme="minorEastAsia" w:cstheme="minorBidi"/>
          <w:lang w:val="es-ES_tradnl" w:eastAsia="zh-CN"/>
        </w:rPr>
        <w:t>con respecto a las establecidas</w:t>
      </w:r>
      <w:r w:rsidR="00D478DF" w:rsidRPr="005547C4">
        <w:rPr>
          <w:rFonts w:eastAsiaTheme="minorEastAsia" w:cstheme="minorBidi"/>
          <w:lang w:val="es-ES_tradnl" w:eastAsia="zh-CN"/>
        </w:rPr>
        <w:t xml:space="preserve"> para l</w:t>
      </w:r>
      <w:r w:rsidRPr="005547C4">
        <w:rPr>
          <w:rFonts w:eastAsiaTheme="minorEastAsia" w:cstheme="minorBidi"/>
          <w:lang w:val="es-ES_tradnl" w:eastAsia="zh-CN"/>
        </w:rPr>
        <w:t>a</w:t>
      </w:r>
      <w:r w:rsidR="00D478DF" w:rsidRPr="005547C4">
        <w:rPr>
          <w:rFonts w:eastAsiaTheme="minorEastAsia" w:cstheme="minorBidi"/>
          <w:lang w:val="es-ES_tradnl" w:eastAsia="zh-CN"/>
        </w:rPr>
        <w:t xml:space="preserve"> PP, repercute en la forma en que los miembros</w:t>
      </w:r>
      <w:r w:rsidRPr="005547C4">
        <w:rPr>
          <w:rFonts w:eastAsiaTheme="minorEastAsia" w:cstheme="minorBidi"/>
          <w:lang w:val="es-ES_tradnl" w:eastAsia="zh-CN"/>
        </w:rPr>
        <w:t xml:space="preserve"> intervendrán en la parte d</w:t>
      </w:r>
      <w:r w:rsidR="00D478DF" w:rsidRPr="005547C4">
        <w:rPr>
          <w:rFonts w:eastAsiaTheme="minorEastAsia" w:cstheme="minorBidi"/>
          <w:lang w:val="es-ES_tradnl" w:eastAsia="zh-CN"/>
        </w:rPr>
        <w:t>el Plan Estratégico</w:t>
      </w:r>
      <w:r w:rsidRPr="005547C4">
        <w:rPr>
          <w:rFonts w:eastAsiaTheme="minorEastAsia" w:cstheme="minorBidi"/>
          <w:lang w:val="es-ES_tradnl" w:eastAsia="zh-CN"/>
        </w:rPr>
        <w:t xml:space="preserve"> dedicada al UIT-D</w:t>
      </w:r>
      <w:r w:rsidR="00D478DF" w:rsidRPr="005547C4">
        <w:rPr>
          <w:rFonts w:eastAsiaTheme="minorEastAsia" w:cstheme="minorBidi"/>
          <w:lang w:val="es-ES_tradnl" w:eastAsia="zh-CN"/>
        </w:rPr>
        <w:t>.</w:t>
      </w:r>
      <w:bookmarkEnd w:id="31"/>
    </w:p>
    <w:p w14:paraId="058B51BF" w14:textId="040D2AC0" w:rsidR="00D959AB" w:rsidRPr="005547C4" w:rsidRDefault="00D959AB" w:rsidP="00D959AB">
      <w:pPr>
        <w:pStyle w:val="Figure"/>
        <w:rPr>
          <w:rFonts w:eastAsiaTheme="minorEastAsia"/>
          <w:lang w:eastAsia="zh-CN"/>
        </w:rPr>
      </w:pPr>
      <w:r>
        <w:rPr>
          <w:rFonts w:eastAsiaTheme="minorEastAsia"/>
          <w:noProof/>
          <w:lang w:eastAsia="zh-CN"/>
        </w:rPr>
        <w:drawing>
          <wp:inline distT="0" distB="0" distL="0" distR="0" wp14:anchorId="4DA40CF4" wp14:editId="082DAC3E">
            <wp:extent cx="5936400" cy="282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400" cy="282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4876F7" w14:textId="619DCEB3" w:rsidR="00622EBE" w:rsidRPr="005547C4" w:rsidRDefault="00D959AB" w:rsidP="00B1407E">
      <w:pPr>
        <w:pStyle w:val="Normalaftertitle"/>
        <w:rPr>
          <w:rFonts w:eastAsiaTheme="minorEastAsia"/>
          <w:lang w:val="es-ES_tradnl"/>
        </w:rPr>
      </w:pPr>
      <w:bookmarkStart w:id="32" w:name="lt_pId068"/>
      <w:bookmarkStart w:id="33" w:name="_Hlk72325625"/>
      <w:r w:rsidRPr="00D959AB">
        <w:rPr>
          <w:rFonts w:eastAsiaTheme="minorEastAsia"/>
          <w:lang w:val="es-ES_tradnl"/>
        </w:rPr>
        <w:lastRenderedPageBreak/>
        <w:t>El</w:t>
      </w:r>
      <w:r w:rsidR="00CF657A" w:rsidRPr="00D959AB">
        <w:rPr>
          <w:rFonts w:eastAsiaTheme="minorEastAsia"/>
          <w:lang w:val="es-ES_tradnl"/>
        </w:rPr>
        <w:t xml:space="preserve"> Secretar</w:t>
      </w:r>
      <w:r w:rsidRPr="00D959AB">
        <w:rPr>
          <w:rFonts w:eastAsiaTheme="minorEastAsia"/>
          <w:lang w:val="es-ES_tradnl"/>
        </w:rPr>
        <w:t>io</w:t>
      </w:r>
      <w:r w:rsidR="00CF657A" w:rsidRPr="00D959AB">
        <w:rPr>
          <w:rFonts w:eastAsiaTheme="minorEastAsia"/>
          <w:lang w:val="es-ES_tradnl"/>
        </w:rPr>
        <w:t xml:space="preserve"> General</w:t>
      </w:r>
      <w:r w:rsidR="00622EBE" w:rsidRPr="005547C4">
        <w:rPr>
          <w:rFonts w:eastAsiaTheme="minorEastAsia"/>
          <w:lang w:val="es-ES_tradnl"/>
        </w:rPr>
        <w:t xml:space="preserve"> </w:t>
      </w:r>
      <w:r w:rsidR="00B1407E">
        <w:rPr>
          <w:rFonts w:eastAsiaTheme="minorEastAsia"/>
          <w:lang w:val="es-ES_tradnl"/>
        </w:rPr>
        <w:t>"</w:t>
      </w:r>
      <w:r w:rsidR="0059668A" w:rsidRPr="005547C4">
        <w:rPr>
          <w:rFonts w:eastAsiaTheme="minorEastAsia"/>
          <w:lang w:val="es-ES_tradnl"/>
        </w:rPr>
        <w:t>preparará, en consulta con el Comité de Coordinación, y proporcionará a los Estados Miembros y a los Miembros de los Sectores la documentación que pueda ser necesaria para la elaboración de un informe sobre las políticas y el Plan Estratégico de la Unión</w:t>
      </w:r>
      <w:r w:rsidR="00B1407E">
        <w:rPr>
          <w:rFonts w:eastAsiaTheme="minorEastAsia"/>
          <w:lang w:val="es-ES_tradnl"/>
        </w:rPr>
        <w:t>"</w:t>
      </w:r>
      <w:r w:rsidR="00622EBE" w:rsidRPr="005547C4">
        <w:rPr>
          <w:rFonts w:eastAsiaTheme="minorEastAsia"/>
          <w:lang w:val="es-ES_tradnl"/>
        </w:rPr>
        <w:t xml:space="preserve"> (CS/Art. 11 – 74A).</w:t>
      </w:r>
      <w:bookmarkEnd w:id="32"/>
    </w:p>
    <w:p w14:paraId="24089FEC" w14:textId="156CCB22" w:rsidR="00622EBE" w:rsidRPr="005547C4" w:rsidRDefault="00CF657A" w:rsidP="004B668F">
      <w:pPr>
        <w:rPr>
          <w:rFonts w:eastAsiaTheme="minorEastAsia" w:cstheme="minorBidi"/>
          <w:lang w:val="es-ES_tradnl"/>
        </w:rPr>
      </w:pPr>
      <w:bookmarkStart w:id="34" w:name="lt_pId069"/>
      <w:r w:rsidRPr="005547C4">
        <w:rPr>
          <w:rFonts w:eastAsiaTheme="minorEastAsia" w:cstheme="minorBidi"/>
          <w:lang w:val="es-ES_tradnl"/>
        </w:rPr>
        <w:t>La Conferencia de Plenipotenciarios establece el Plan Estratégico de la Unión, mediante la revisión de la Resolución 71 de</w:t>
      </w:r>
      <w:r w:rsidR="004B668F" w:rsidRPr="005547C4">
        <w:rPr>
          <w:rFonts w:eastAsiaTheme="minorEastAsia" w:cstheme="minorBidi"/>
          <w:lang w:val="es-ES_tradnl"/>
        </w:rPr>
        <w:t xml:space="preserve"> </w:t>
      </w:r>
      <w:r w:rsidRPr="005547C4">
        <w:rPr>
          <w:rFonts w:eastAsiaTheme="minorEastAsia" w:cstheme="minorBidi"/>
          <w:lang w:val="es-ES_tradnl"/>
        </w:rPr>
        <w:t>l</w:t>
      </w:r>
      <w:r w:rsidR="004B668F" w:rsidRPr="005547C4">
        <w:rPr>
          <w:rFonts w:eastAsiaTheme="minorEastAsia" w:cstheme="minorBidi"/>
          <w:lang w:val="es-ES_tradnl"/>
        </w:rPr>
        <w:t>a</w:t>
      </w:r>
      <w:r w:rsidRPr="005547C4">
        <w:rPr>
          <w:rFonts w:eastAsiaTheme="minorEastAsia" w:cstheme="minorBidi"/>
          <w:lang w:val="es-ES_tradnl"/>
        </w:rPr>
        <w:t xml:space="preserve"> PP, y el </w:t>
      </w:r>
      <w:r w:rsidRPr="00D959AB">
        <w:rPr>
          <w:rFonts w:eastAsiaTheme="minorEastAsia" w:cstheme="minorBidi"/>
          <w:lang w:val="es-ES_tradnl"/>
        </w:rPr>
        <w:t>Secretario General</w:t>
      </w:r>
      <w:r w:rsidRPr="005547C4">
        <w:rPr>
          <w:rFonts w:eastAsiaTheme="minorEastAsia" w:cstheme="minorBidi"/>
          <w:lang w:val="es-ES_tradnl"/>
        </w:rPr>
        <w:t xml:space="preserve"> coordina la aplicación del nuevo Plan Estratégico (CV/Art.</w:t>
      </w:r>
      <w:r w:rsidR="00231AF1">
        <w:rPr>
          <w:rFonts w:eastAsiaTheme="minorEastAsia" w:cstheme="minorBidi"/>
          <w:lang w:val="es-ES_tradnl"/>
        </w:rPr>
        <w:t> </w:t>
      </w:r>
      <w:r w:rsidRPr="005547C4">
        <w:rPr>
          <w:rFonts w:eastAsiaTheme="minorEastAsia" w:cstheme="minorBidi"/>
          <w:lang w:val="es-ES_tradnl"/>
        </w:rPr>
        <w:t>5</w:t>
      </w:r>
      <w:r w:rsidR="004B668F" w:rsidRPr="005547C4">
        <w:rPr>
          <w:rFonts w:eastAsiaTheme="minorEastAsia" w:cstheme="minorBidi"/>
          <w:lang w:val="es-ES_tradnl"/>
        </w:rPr>
        <w:t xml:space="preserve"> – </w:t>
      </w:r>
      <w:r w:rsidRPr="005547C4">
        <w:rPr>
          <w:rFonts w:eastAsiaTheme="minorEastAsia" w:cstheme="minorBidi"/>
          <w:lang w:val="es-ES_tradnl"/>
        </w:rPr>
        <w:t>86A).</w:t>
      </w:r>
      <w:bookmarkEnd w:id="34"/>
    </w:p>
    <w:bookmarkEnd w:id="33"/>
    <w:p w14:paraId="79EBF16E" w14:textId="050F2625" w:rsidR="00622EBE" w:rsidRPr="005547C4" w:rsidRDefault="004B668F" w:rsidP="004B668F">
      <w:pPr>
        <w:rPr>
          <w:rFonts w:eastAsiaTheme="minorEastAsia" w:cstheme="minorBidi"/>
          <w:lang w:val="es-ES_tradnl"/>
        </w:rPr>
      </w:pPr>
      <w:r w:rsidRPr="005547C4">
        <w:rPr>
          <w:rFonts w:eastAsiaTheme="minorEastAsia" w:cstheme="minorBidi"/>
          <w:lang w:val="es-ES_tradnl"/>
        </w:rPr>
        <w:t>A tenor de la Constitución y el Convenio de la UIT, la responsabilidad de la aprobación de los Planes Estratégico y Financiero de la UIT recae únicamente sobre la Conferencia de Plenipotenciarios.</w:t>
      </w:r>
    </w:p>
    <w:p w14:paraId="6B99FAD9" w14:textId="03700F67" w:rsidR="00622EBE" w:rsidRPr="005547C4" w:rsidRDefault="004B668F" w:rsidP="00920CE5">
      <w:pPr>
        <w:rPr>
          <w:rFonts w:eastAsiaTheme="minorEastAsia" w:cstheme="minorBidi"/>
          <w:lang w:val="es-ES_tradnl"/>
        </w:rPr>
      </w:pPr>
      <w:bookmarkStart w:id="35" w:name="lt_pId071"/>
      <w:bookmarkStart w:id="36" w:name="_Hlk72325674"/>
      <w:r w:rsidRPr="005547C4">
        <w:rPr>
          <w:rFonts w:eastAsiaTheme="minorEastAsia" w:cstheme="minorBidi"/>
          <w:lang w:val="es-ES_tradnl"/>
        </w:rPr>
        <w:t>El Consejo</w:t>
      </w:r>
      <w:r w:rsidR="00622EBE" w:rsidRPr="005547C4">
        <w:rPr>
          <w:rFonts w:eastAsiaTheme="minorEastAsia" w:cstheme="minorBidi"/>
          <w:lang w:val="es-ES_tradnl"/>
        </w:rPr>
        <w:t xml:space="preserve">, </w:t>
      </w:r>
      <w:r w:rsidR="00B1407E">
        <w:rPr>
          <w:rFonts w:eastAsiaTheme="minorEastAsia" w:cstheme="minorBidi"/>
          <w:lang w:val="es-ES_tradnl"/>
        </w:rPr>
        <w:t>"</w:t>
      </w:r>
      <w:r w:rsidR="0059668A" w:rsidRPr="00231AF1">
        <w:rPr>
          <w:rFonts w:eastAsiaTheme="minorEastAsia" w:cstheme="minorBidi"/>
          <w:lang w:val="es-ES_tradnl"/>
        </w:rPr>
        <w:t xml:space="preserve">en la penúltima reunión ordinaria del Consejo que preceda a la Conferencia de Plenipotenciarios siguiente, </w:t>
      </w:r>
      <w:r w:rsidR="0059668A" w:rsidRPr="00231AF1">
        <w:rPr>
          <w:rFonts w:eastAsiaTheme="minorEastAsia" w:cstheme="minorBidi"/>
          <w:u w:val="single"/>
          <w:lang w:val="es-ES_tradnl"/>
        </w:rPr>
        <w:t xml:space="preserve">iniciará la preparación de un </w:t>
      </w:r>
      <w:r w:rsidR="0059668A" w:rsidRPr="00D959AB">
        <w:rPr>
          <w:rFonts w:eastAsiaTheme="minorEastAsia" w:cstheme="minorBidi"/>
          <w:u w:val="single"/>
          <w:lang w:val="es-ES_tradnl"/>
        </w:rPr>
        <w:t>nuevo proyecto de Plan Estratégico</w:t>
      </w:r>
      <w:r w:rsidR="0059668A" w:rsidRPr="00231AF1">
        <w:rPr>
          <w:rFonts w:eastAsiaTheme="minorEastAsia" w:cstheme="minorBidi"/>
          <w:lang w:val="es-ES_tradnl"/>
        </w:rPr>
        <w:t xml:space="preserve"> de la Unión, </w:t>
      </w:r>
      <w:r w:rsidR="0059668A" w:rsidRPr="00231AF1">
        <w:rPr>
          <w:rFonts w:eastAsiaTheme="minorEastAsia" w:cstheme="minorBidi"/>
          <w:u w:val="single"/>
          <w:lang w:val="es-ES_tradnl"/>
        </w:rPr>
        <w:t>basándose en las contribuciones presentadas por los Estados Miembros y los Miembros de los Sectores, así como en las de los Grupos Asesores de los Sectores</w:t>
      </w:r>
      <w:r w:rsidR="0059668A" w:rsidRPr="00231AF1">
        <w:rPr>
          <w:rFonts w:eastAsiaTheme="minorEastAsia" w:cstheme="minorBidi"/>
          <w:lang w:val="es-ES_tradnl"/>
        </w:rPr>
        <w:t xml:space="preserve">, y elaborará un </w:t>
      </w:r>
      <w:r w:rsidR="0059668A" w:rsidRPr="00D959AB">
        <w:rPr>
          <w:rFonts w:eastAsiaTheme="minorEastAsia" w:cstheme="minorBidi"/>
          <w:lang w:val="es-ES_tradnl"/>
        </w:rPr>
        <w:t>proyecto de nuevo Plan Estratégico</w:t>
      </w:r>
      <w:r w:rsidR="0059668A" w:rsidRPr="00231AF1">
        <w:rPr>
          <w:rFonts w:eastAsiaTheme="minorEastAsia" w:cstheme="minorBidi"/>
          <w:lang w:val="es-ES_tradnl"/>
        </w:rPr>
        <w:t xml:space="preserve"> coordinado </w:t>
      </w:r>
      <w:r w:rsidR="0059668A" w:rsidRPr="00231AF1">
        <w:rPr>
          <w:rFonts w:eastAsiaTheme="minorEastAsia" w:cstheme="minorBidi"/>
          <w:u w:val="single"/>
          <w:lang w:val="es-ES_tradnl"/>
        </w:rPr>
        <w:t>al menos cuatro meses</w:t>
      </w:r>
      <w:r w:rsidR="0059668A" w:rsidRPr="00231AF1">
        <w:rPr>
          <w:rFonts w:eastAsiaTheme="minorEastAsia" w:cstheme="minorBidi"/>
          <w:lang w:val="es-ES_tradnl"/>
        </w:rPr>
        <w:t xml:space="preserve"> antes del comienzo de esa Conferencia de Plenipotenciarios</w:t>
      </w:r>
      <w:r w:rsidR="00B1407E">
        <w:rPr>
          <w:rFonts w:eastAsiaTheme="minorEastAsia" w:cstheme="minorBidi"/>
          <w:lang w:val="es-ES_tradnl"/>
        </w:rPr>
        <w:t>"</w:t>
      </w:r>
      <w:r w:rsidR="00622EBE" w:rsidRPr="005547C4">
        <w:rPr>
          <w:rFonts w:eastAsiaTheme="minorEastAsia" w:cstheme="minorBidi"/>
          <w:lang w:val="es-ES_tradnl"/>
        </w:rPr>
        <w:t xml:space="preserve"> (CV/Art. 4 –</w:t>
      </w:r>
      <w:r w:rsidR="00231AF1">
        <w:rPr>
          <w:rFonts w:eastAsiaTheme="minorEastAsia" w:cstheme="minorBidi"/>
          <w:lang w:val="es-ES_tradnl"/>
        </w:rPr>
        <w:t xml:space="preserve"> </w:t>
      </w:r>
      <w:r w:rsidR="00622EBE" w:rsidRPr="005547C4">
        <w:rPr>
          <w:rFonts w:eastAsiaTheme="minorEastAsia" w:cstheme="minorBidi"/>
          <w:lang w:val="es-ES_tradnl"/>
        </w:rPr>
        <w:t>62A).</w:t>
      </w:r>
      <w:bookmarkEnd w:id="35"/>
    </w:p>
    <w:p w14:paraId="0D395AA2" w14:textId="67A1CD69" w:rsidR="00622EBE" w:rsidRPr="005547C4" w:rsidRDefault="007D5950" w:rsidP="00AD5069">
      <w:pPr>
        <w:rPr>
          <w:rFonts w:eastAsiaTheme="minorEastAsia" w:cstheme="minorBidi"/>
          <w:lang w:val="es-ES_tradnl"/>
        </w:rPr>
      </w:pPr>
      <w:bookmarkStart w:id="37" w:name="lt_pId072"/>
      <w:bookmarkEnd w:id="36"/>
      <w:r>
        <w:rPr>
          <w:rFonts w:eastAsiaTheme="minorEastAsia" w:cstheme="minorBidi"/>
          <w:lang w:val="es-ES_tradnl"/>
        </w:rPr>
        <w:t xml:space="preserve">La práctica adoptada por </w:t>
      </w:r>
      <w:r w:rsidR="00AD5069" w:rsidRPr="005547C4">
        <w:rPr>
          <w:rFonts w:eastAsiaTheme="minorEastAsia" w:cstheme="minorBidi"/>
          <w:lang w:val="es-ES_tradnl"/>
        </w:rPr>
        <w:t>el Consejo</w:t>
      </w:r>
      <w:r>
        <w:rPr>
          <w:rFonts w:eastAsiaTheme="minorEastAsia" w:cstheme="minorBidi"/>
          <w:lang w:val="es-ES_tradnl"/>
        </w:rPr>
        <w:t xml:space="preserve"> en los</w:t>
      </w:r>
      <w:r w:rsidRPr="005547C4">
        <w:rPr>
          <w:rFonts w:eastAsiaTheme="minorEastAsia" w:cstheme="minorBidi"/>
          <w:lang w:val="es-ES_tradnl"/>
        </w:rPr>
        <w:t xml:space="preserve"> ciclos anteriores</w:t>
      </w:r>
      <w:r>
        <w:rPr>
          <w:rFonts w:eastAsiaTheme="minorEastAsia" w:cstheme="minorBidi"/>
          <w:lang w:val="es-ES_tradnl"/>
        </w:rPr>
        <w:t xml:space="preserve"> consistió en</w:t>
      </w:r>
      <w:r w:rsidR="00AD5069" w:rsidRPr="005547C4">
        <w:rPr>
          <w:rFonts w:eastAsiaTheme="minorEastAsia" w:cstheme="minorBidi"/>
          <w:lang w:val="es-ES_tradnl"/>
        </w:rPr>
        <w:t xml:space="preserve"> crear un Grupo de Trabajo </w:t>
      </w:r>
      <w:r w:rsidR="006B69AE">
        <w:rPr>
          <w:rFonts w:eastAsiaTheme="minorEastAsia" w:cstheme="minorBidi"/>
          <w:lang w:val="es-ES_tradnl"/>
        </w:rPr>
        <w:t>propio</w:t>
      </w:r>
      <w:r w:rsidR="00AD5069" w:rsidRPr="005547C4">
        <w:rPr>
          <w:rFonts w:eastAsiaTheme="minorEastAsia" w:cstheme="minorBidi"/>
          <w:lang w:val="es-ES_tradnl"/>
        </w:rPr>
        <w:t xml:space="preserve"> a efectos de la elaboración de los </w:t>
      </w:r>
      <w:r w:rsidR="00AD5069" w:rsidRPr="00D959AB">
        <w:rPr>
          <w:rFonts w:eastAsiaTheme="minorEastAsia" w:cstheme="minorBidi"/>
          <w:lang w:val="es-ES_tradnl"/>
        </w:rPr>
        <w:t>nuevos proyectos de Planes Estratégico y Financiero</w:t>
      </w:r>
      <w:r w:rsidR="00AD5069" w:rsidRPr="005547C4">
        <w:rPr>
          <w:rFonts w:eastAsiaTheme="minorEastAsia" w:cstheme="minorBidi"/>
          <w:lang w:val="es-ES_tradnl"/>
        </w:rPr>
        <w:t xml:space="preserve"> (ref. Res. 1384/C17 del Consejo). En el</w:t>
      </w:r>
      <w:r>
        <w:rPr>
          <w:rFonts w:eastAsiaTheme="minorEastAsia" w:cstheme="minorBidi"/>
          <w:lang w:val="es-ES_tradnl"/>
        </w:rPr>
        <w:t xml:space="preserve"> denominado</w:t>
      </w:r>
      <w:r w:rsidR="00AD5069" w:rsidRPr="005547C4">
        <w:rPr>
          <w:rFonts w:eastAsiaTheme="minorEastAsia" w:cstheme="minorBidi"/>
          <w:lang w:val="es-ES_tradnl"/>
        </w:rPr>
        <w:t xml:space="preserve"> Grupo de Trabajo del Consejo sobre los Planes Estratégico y Financiero (GTC-PEF) pudieron participar los Estados Miembros y los Miembros de Sector interesados en abordar el proyecto de Plan Estratégico. Además de las contribuciones de los Estados Miembros, los Miembros de Sector y los Grupos Asesores de los Sectores, también </w:t>
      </w:r>
      <w:bookmarkStart w:id="38" w:name="lt_pId075"/>
      <w:bookmarkEnd w:id="37"/>
      <w:r w:rsidR="00AD5069" w:rsidRPr="005547C4">
        <w:rPr>
          <w:rFonts w:eastAsiaTheme="minorEastAsia" w:cstheme="minorBidi"/>
          <w:lang w:val="es-ES_tradnl"/>
        </w:rPr>
        <w:t>se tuvieron en cuenta</w:t>
      </w:r>
      <w:r w:rsidR="0059668A" w:rsidRPr="005547C4">
        <w:rPr>
          <w:rFonts w:eastAsiaTheme="minorEastAsia" w:cstheme="minorBidi"/>
          <w:lang w:val="es-ES_tradnl"/>
        </w:rPr>
        <w:t xml:space="preserve"> los resultados de las consultas públicas realizadas sobre el proyecto de marco estratégico.</w:t>
      </w:r>
      <w:bookmarkEnd w:id="38"/>
    </w:p>
    <w:p w14:paraId="6C56BFCE" w14:textId="62F480CE" w:rsidR="00622EBE" w:rsidRPr="005547C4" w:rsidRDefault="00AD5069" w:rsidP="00D959AB">
      <w:pPr>
        <w:tabs>
          <w:tab w:val="left" w:pos="7797"/>
        </w:tabs>
        <w:rPr>
          <w:rFonts w:eastAsiaTheme="minorEastAsia" w:cstheme="minorBidi"/>
          <w:lang w:val="es-ES_tradnl"/>
        </w:rPr>
      </w:pPr>
      <w:bookmarkStart w:id="39" w:name="lt_pId076"/>
      <w:r w:rsidRPr="005547C4">
        <w:rPr>
          <w:rFonts w:eastAsiaTheme="minorEastAsia" w:cstheme="minorBidi"/>
          <w:lang w:val="es-ES_tradnl"/>
        </w:rPr>
        <w:t xml:space="preserve">En su última sesión ordinaria antes de la PP, el Consejo revisa y aprueba el </w:t>
      </w:r>
      <w:r w:rsidRPr="00D959AB">
        <w:rPr>
          <w:rFonts w:eastAsiaTheme="minorEastAsia" w:cstheme="minorBidi"/>
          <w:lang w:val="es-ES_tradnl"/>
        </w:rPr>
        <w:t>nuevo proyecto de Plan</w:t>
      </w:r>
      <w:r w:rsidRPr="005547C4">
        <w:rPr>
          <w:rFonts w:eastAsiaTheme="minorEastAsia" w:cstheme="minorBidi"/>
          <w:lang w:val="es-ES_tradnl"/>
        </w:rPr>
        <w:t xml:space="preserve"> Estratégico (presentado por el GTC-PEF) y el proyecto de plan elaborado se remite a la PP al menos cuatro meses antes del inicio de la conferencia.</w:t>
      </w:r>
      <w:bookmarkEnd w:id="39"/>
    </w:p>
    <w:p w14:paraId="57094290" w14:textId="1EC1A5DB" w:rsidR="00622EBE" w:rsidRPr="005547C4" w:rsidRDefault="00AD5069" w:rsidP="00F97312">
      <w:pPr>
        <w:rPr>
          <w:rFonts w:eastAsiaTheme="minorEastAsia" w:cstheme="minorBidi"/>
          <w:lang w:val="es-ES_tradnl"/>
        </w:rPr>
      </w:pPr>
      <w:bookmarkStart w:id="40" w:name="lt_pId077"/>
      <w:r w:rsidRPr="005547C4">
        <w:rPr>
          <w:rFonts w:eastAsiaTheme="minorEastAsia" w:cstheme="minorBidi"/>
          <w:lang w:val="es-ES_tradnl"/>
        </w:rPr>
        <w:t xml:space="preserve">Aunque, en ocasiones anteriores, la CMDT </w:t>
      </w:r>
      <w:r w:rsidR="00A86950">
        <w:rPr>
          <w:rFonts w:eastAsiaTheme="minorEastAsia" w:cstheme="minorBidi"/>
          <w:lang w:val="es-ES_tradnl"/>
        </w:rPr>
        <w:t>aportó</w:t>
      </w:r>
      <w:r w:rsidRPr="005547C4">
        <w:rPr>
          <w:rFonts w:eastAsiaTheme="minorEastAsia" w:cstheme="minorBidi"/>
          <w:lang w:val="es-ES_tradnl"/>
        </w:rPr>
        <w:t xml:space="preserve"> contribuciones al GTC-PEF para que las tuviera en cuenta </w:t>
      </w:r>
      <w:r w:rsidR="007D5950">
        <w:rPr>
          <w:rFonts w:eastAsiaTheme="minorEastAsia" w:cstheme="minorBidi"/>
          <w:lang w:val="es-ES_tradnl"/>
        </w:rPr>
        <w:t>en la elaboración d</w:t>
      </w:r>
      <w:r w:rsidRPr="005547C4">
        <w:rPr>
          <w:rFonts w:eastAsiaTheme="minorEastAsia" w:cstheme="minorBidi"/>
          <w:lang w:val="es-ES_tradnl"/>
        </w:rPr>
        <w:t>el Plan Estratégico (</w:t>
      </w:r>
      <w:r w:rsidR="00F97312" w:rsidRPr="005547C4">
        <w:rPr>
          <w:rFonts w:eastAsiaTheme="minorEastAsia" w:cstheme="minorBidi"/>
          <w:lang w:val="es-ES_tradnl"/>
        </w:rPr>
        <w:t>conforme a lo previsto en l</w:t>
      </w:r>
      <w:r w:rsidRPr="005547C4">
        <w:rPr>
          <w:rFonts w:eastAsiaTheme="minorEastAsia" w:cstheme="minorBidi"/>
          <w:lang w:val="es-ES_tradnl"/>
        </w:rPr>
        <w:t xml:space="preserve">a </w:t>
      </w:r>
      <w:hyperlink r:id="rId22" w:history="1">
        <w:r w:rsidRPr="005547C4">
          <w:rPr>
            <w:rStyle w:val="Hyperlink"/>
            <w:rFonts w:eastAsiaTheme="minorEastAsia" w:cstheme="minorBidi"/>
            <w:lang w:val="es-ES_tradnl"/>
          </w:rPr>
          <w:t>Resolución 1 (Rev.</w:t>
        </w:r>
        <w:r w:rsidR="00B1407E">
          <w:rPr>
            <w:rStyle w:val="Hyperlink"/>
            <w:rFonts w:eastAsiaTheme="minorEastAsia" w:cstheme="minorBidi"/>
            <w:lang w:val="es-ES_tradnl"/>
          </w:rPr>
          <w:t> </w:t>
        </w:r>
        <w:r w:rsidRPr="005547C4">
          <w:rPr>
            <w:rStyle w:val="Hyperlink"/>
            <w:rFonts w:eastAsiaTheme="minorEastAsia" w:cstheme="minorBidi"/>
            <w:lang w:val="es-ES_tradnl"/>
          </w:rPr>
          <w:t>Buenos Aires, 2017)</w:t>
        </w:r>
        <w:r w:rsidR="00F97312" w:rsidRPr="005547C4">
          <w:rPr>
            <w:rStyle w:val="Hyperlink"/>
            <w:rFonts w:eastAsiaTheme="minorEastAsia" w:cstheme="minorBidi"/>
            <w:lang w:val="es-ES_tradnl"/>
          </w:rPr>
          <w:t xml:space="preserve"> de la CMDT</w:t>
        </w:r>
      </w:hyperlink>
      <w:r w:rsidRPr="005547C4">
        <w:rPr>
          <w:rFonts w:eastAsiaTheme="minorEastAsia" w:cstheme="minorBidi"/>
          <w:lang w:val="es-ES_tradnl"/>
        </w:rPr>
        <w:t xml:space="preserve">), si la </w:t>
      </w:r>
      <w:r w:rsidR="00452CAC">
        <w:rPr>
          <w:rFonts w:eastAsiaTheme="minorEastAsia" w:cstheme="minorBidi"/>
          <w:lang w:val="es-ES_tradnl"/>
        </w:rPr>
        <w:t>c</w:t>
      </w:r>
      <w:r w:rsidR="00F97312" w:rsidRPr="005547C4">
        <w:rPr>
          <w:rFonts w:eastAsiaTheme="minorEastAsia" w:cstheme="minorBidi"/>
          <w:lang w:val="es-ES_tradnl"/>
        </w:rPr>
        <w:t>onferencia</w:t>
      </w:r>
      <w:r w:rsidRPr="005547C4">
        <w:rPr>
          <w:rFonts w:eastAsiaTheme="minorEastAsia" w:cstheme="minorBidi"/>
          <w:lang w:val="es-ES_tradnl"/>
        </w:rPr>
        <w:t xml:space="preserve"> se pospone a las fechas propuestas, que serán posteriores a</w:t>
      </w:r>
      <w:r w:rsidR="00F97312" w:rsidRPr="005547C4">
        <w:rPr>
          <w:rFonts w:eastAsiaTheme="minorEastAsia" w:cstheme="minorBidi"/>
          <w:lang w:val="es-ES_tradnl"/>
        </w:rPr>
        <w:t xml:space="preserve"> </w:t>
      </w:r>
      <w:r w:rsidRPr="005547C4">
        <w:rPr>
          <w:rFonts w:eastAsiaTheme="minorEastAsia" w:cstheme="minorBidi"/>
          <w:lang w:val="es-ES_tradnl"/>
        </w:rPr>
        <w:t>l</w:t>
      </w:r>
      <w:r w:rsidR="00F97312" w:rsidRPr="005547C4">
        <w:rPr>
          <w:rFonts w:eastAsiaTheme="minorEastAsia" w:cstheme="minorBidi"/>
          <w:lang w:val="es-ES_tradnl"/>
        </w:rPr>
        <w:t>a reunión de 2022 del</w:t>
      </w:r>
      <w:r w:rsidRPr="005547C4">
        <w:rPr>
          <w:rFonts w:eastAsiaTheme="minorEastAsia" w:cstheme="minorBidi"/>
          <w:lang w:val="es-ES_tradnl"/>
        </w:rPr>
        <w:t xml:space="preserve"> Consejo, </w:t>
      </w:r>
      <w:r w:rsidR="00F97312" w:rsidRPr="005547C4">
        <w:rPr>
          <w:rFonts w:eastAsiaTheme="minorEastAsia" w:cstheme="minorBidi"/>
          <w:lang w:val="es-ES_tradnl"/>
        </w:rPr>
        <w:t>la CMDT no podrá aprobar sus contribuciones al</w:t>
      </w:r>
      <w:r w:rsidRPr="005547C4">
        <w:rPr>
          <w:rFonts w:eastAsiaTheme="minorEastAsia" w:cstheme="minorBidi"/>
          <w:lang w:val="es-ES_tradnl"/>
        </w:rPr>
        <w:t xml:space="preserve"> Plan Estratégico a tiempo para </w:t>
      </w:r>
      <w:bookmarkEnd w:id="40"/>
      <w:r w:rsidR="00F97312" w:rsidRPr="005547C4">
        <w:rPr>
          <w:rFonts w:eastAsiaTheme="minorEastAsia" w:cstheme="minorBidi"/>
          <w:lang w:val="es-ES_tradnl"/>
        </w:rPr>
        <w:t>dicha reunión del Consejo.</w:t>
      </w:r>
    </w:p>
    <w:p w14:paraId="1C36A6B6" w14:textId="0A175F84" w:rsidR="00CA1741" w:rsidRPr="005547C4" w:rsidRDefault="00AD5069" w:rsidP="00CA1741">
      <w:pPr>
        <w:rPr>
          <w:rFonts w:eastAsiaTheme="minorEastAsia" w:cstheme="minorBidi"/>
          <w:lang w:val="es-ES_tradnl"/>
        </w:rPr>
      </w:pPr>
      <w:bookmarkStart w:id="41" w:name="lt_pId078"/>
      <w:r w:rsidRPr="00F8584C">
        <w:rPr>
          <w:rFonts w:eastAsiaTheme="minorEastAsia" w:cstheme="minorBidi"/>
          <w:lang w:val="es-ES_tradnl"/>
        </w:rPr>
        <w:t>Se</w:t>
      </w:r>
      <w:r w:rsidRPr="005547C4">
        <w:rPr>
          <w:rFonts w:eastAsiaTheme="minorEastAsia" w:cstheme="minorBidi"/>
          <w:lang w:val="es-ES_tradnl"/>
        </w:rPr>
        <w:t xml:space="preserve"> recuerda al GADT que</w:t>
      </w:r>
      <w:r w:rsidR="006B69AE">
        <w:rPr>
          <w:rFonts w:eastAsiaTheme="minorEastAsia" w:cstheme="minorBidi"/>
          <w:lang w:val="es-ES_tradnl"/>
        </w:rPr>
        <w:t xml:space="preserve"> los participantes </w:t>
      </w:r>
      <w:r w:rsidRPr="005547C4">
        <w:rPr>
          <w:rFonts w:eastAsiaTheme="minorEastAsia" w:cstheme="minorBidi"/>
          <w:lang w:val="es-ES_tradnl"/>
        </w:rPr>
        <w:t xml:space="preserve">en su reunión </w:t>
      </w:r>
      <w:r w:rsidR="006B69AE">
        <w:rPr>
          <w:rFonts w:eastAsiaTheme="minorEastAsia" w:cstheme="minorBidi"/>
          <w:lang w:val="es-ES_tradnl"/>
        </w:rPr>
        <w:t>d</w:t>
      </w:r>
      <w:r w:rsidRPr="005547C4">
        <w:rPr>
          <w:rFonts w:eastAsiaTheme="minorEastAsia" w:cstheme="minorBidi"/>
          <w:lang w:val="es-ES_tradnl"/>
        </w:rPr>
        <w:t>el 16 de junio de 2020</w:t>
      </w:r>
      <w:r w:rsidR="006B69AE">
        <w:rPr>
          <w:rFonts w:eastAsiaTheme="minorEastAsia" w:cstheme="minorBidi"/>
          <w:lang w:val="es-ES_tradnl"/>
        </w:rPr>
        <w:t xml:space="preserve"> </w:t>
      </w:r>
      <w:r w:rsidR="00CA1741" w:rsidRPr="005547C4">
        <w:rPr>
          <w:rFonts w:eastAsiaTheme="minorEastAsia" w:cstheme="minorBidi"/>
          <w:lang w:val="es-ES_tradnl"/>
        </w:rPr>
        <w:t>c</w:t>
      </w:r>
      <w:r w:rsidRPr="005547C4">
        <w:rPr>
          <w:rFonts w:eastAsiaTheme="minorEastAsia" w:cstheme="minorBidi"/>
          <w:lang w:val="es-ES_tradnl"/>
        </w:rPr>
        <w:t>re</w:t>
      </w:r>
      <w:r w:rsidR="006B69AE">
        <w:rPr>
          <w:rFonts w:eastAsiaTheme="minorEastAsia" w:cstheme="minorBidi"/>
          <w:lang w:val="es-ES_tradnl"/>
        </w:rPr>
        <w:t>aron</w:t>
      </w:r>
      <w:r w:rsidRPr="005547C4">
        <w:rPr>
          <w:rFonts w:eastAsiaTheme="minorEastAsia" w:cstheme="minorBidi"/>
          <w:lang w:val="es-ES_tradnl"/>
        </w:rPr>
        <w:t xml:space="preserve"> el Grupo de Trabajo del GADT sobre la </w:t>
      </w:r>
      <w:r w:rsidR="00CA1741" w:rsidRPr="005547C4">
        <w:rPr>
          <w:rFonts w:eastAsiaTheme="minorEastAsia" w:cstheme="minorBidi"/>
          <w:lang w:val="es-ES_tradnl"/>
        </w:rPr>
        <w:t>c</w:t>
      </w:r>
      <w:r w:rsidRPr="005547C4">
        <w:rPr>
          <w:rFonts w:eastAsiaTheme="minorEastAsia" w:cstheme="minorBidi"/>
          <w:lang w:val="es-ES_tradnl"/>
        </w:rPr>
        <w:t>ontribución de la BDT a los Planes Estratégico y Operacional de la</w:t>
      </w:r>
      <w:r w:rsidR="00B1407E">
        <w:rPr>
          <w:rFonts w:eastAsiaTheme="minorEastAsia" w:cstheme="minorBidi"/>
          <w:lang w:val="es-ES_tradnl"/>
        </w:rPr>
        <w:t> </w:t>
      </w:r>
      <w:r w:rsidRPr="005547C4">
        <w:rPr>
          <w:rFonts w:eastAsiaTheme="minorEastAsia" w:cstheme="minorBidi"/>
          <w:lang w:val="es-ES_tradnl"/>
        </w:rPr>
        <w:t>UIT (</w:t>
      </w:r>
      <w:r w:rsidR="00CA1741" w:rsidRPr="005547C4">
        <w:rPr>
          <w:rFonts w:eastAsiaTheme="minorEastAsia" w:cstheme="minorBidi"/>
          <w:lang w:val="es-ES_tradnl"/>
        </w:rPr>
        <w:t>GT-</w:t>
      </w:r>
      <w:r w:rsidRPr="005547C4">
        <w:rPr>
          <w:rFonts w:eastAsiaTheme="minorEastAsia" w:cstheme="minorBidi"/>
          <w:lang w:val="es-ES_tradnl"/>
        </w:rPr>
        <w:t>GADT-</w:t>
      </w:r>
      <w:r w:rsidR="00CA1741" w:rsidRPr="005547C4">
        <w:rPr>
          <w:rFonts w:eastAsiaTheme="minorEastAsia" w:cstheme="minorBidi"/>
          <w:lang w:val="es-ES_tradnl"/>
        </w:rPr>
        <w:t>PEO</w:t>
      </w:r>
      <w:r w:rsidRPr="005547C4">
        <w:rPr>
          <w:rFonts w:eastAsiaTheme="minorEastAsia" w:cstheme="minorBidi"/>
          <w:lang w:val="es-ES_tradnl"/>
        </w:rPr>
        <w:t>)</w:t>
      </w:r>
      <w:r w:rsidR="006B69AE">
        <w:rPr>
          <w:rFonts w:eastAsiaTheme="minorEastAsia" w:cstheme="minorBidi"/>
          <w:lang w:val="es-ES_tradnl"/>
        </w:rPr>
        <w:t>,</w:t>
      </w:r>
      <w:r w:rsidRPr="005547C4">
        <w:rPr>
          <w:rFonts w:eastAsiaTheme="minorEastAsia" w:cstheme="minorBidi"/>
          <w:lang w:val="es-ES_tradnl"/>
        </w:rPr>
        <w:t xml:space="preserve"> para </w:t>
      </w:r>
      <w:r w:rsidR="00CA1741" w:rsidRPr="005547C4">
        <w:rPr>
          <w:rFonts w:eastAsiaTheme="minorEastAsia" w:cstheme="minorBidi"/>
          <w:lang w:val="es-ES_tradnl"/>
        </w:rPr>
        <w:t>que estudiase</w:t>
      </w:r>
      <w:r w:rsidRPr="005547C4">
        <w:rPr>
          <w:rFonts w:eastAsiaTheme="minorEastAsia" w:cstheme="minorBidi"/>
          <w:lang w:val="es-ES_tradnl"/>
        </w:rPr>
        <w:t xml:space="preserve"> el estado de aplicación </w:t>
      </w:r>
      <w:r w:rsidR="00CA1741" w:rsidRPr="005547C4">
        <w:rPr>
          <w:rFonts w:eastAsiaTheme="minorEastAsia" w:cstheme="minorBidi"/>
          <w:lang w:val="es-ES_tradnl"/>
        </w:rPr>
        <w:t xml:space="preserve">y los efectos del Plan Estratégico aprobado por la Conferencia de Plenipotenciarios de 2018 y </w:t>
      </w:r>
      <w:r w:rsidRPr="005547C4">
        <w:rPr>
          <w:rFonts w:eastAsiaTheme="minorEastAsia" w:cstheme="minorBidi"/>
          <w:lang w:val="es-ES_tradnl"/>
        </w:rPr>
        <w:t>prepara</w:t>
      </w:r>
      <w:r w:rsidR="00CA1741" w:rsidRPr="005547C4">
        <w:rPr>
          <w:rFonts w:eastAsiaTheme="minorEastAsia" w:cstheme="minorBidi"/>
          <w:lang w:val="es-ES_tradnl"/>
        </w:rPr>
        <w:t>se</w:t>
      </w:r>
      <w:r w:rsidRPr="005547C4">
        <w:rPr>
          <w:rFonts w:eastAsiaTheme="minorEastAsia" w:cstheme="minorBidi"/>
          <w:lang w:val="es-ES_tradnl"/>
        </w:rPr>
        <w:t xml:space="preserve"> </w:t>
      </w:r>
      <w:r w:rsidR="00CA1741" w:rsidRPr="005547C4">
        <w:rPr>
          <w:rFonts w:eastAsiaTheme="minorEastAsia" w:cstheme="minorBidi"/>
          <w:lang w:val="es-ES_tradnl"/>
        </w:rPr>
        <w:t>propuestas para el proyecto de nueva contribución del UIT-D al Plan Estratégico de la UIT para el próximo periodo (2024-2027).</w:t>
      </w:r>
    </w:p>
    <w:p w14:paraId="7D436DB3" w14:textId="5E2D53C4" w:rsidR="00622EBE" w:rsidRPr="005547C4" w:rsidRDefault="00CA1741" w:rsidP="00CA1741">
      <w:pPr>
        <w:rPr>
          <w:rFonts w:eastAsiaTheme="minorEastAsia" w:cstheme="minorBidi"/>
          <w:lang w:val="es-ES_tradnl"/>
        </w:rPr>
      </w:pPr>
      <w:r w:rsidRPr="005547C4">
        <w:rPr>
          <w:rFonts w:eastAsiaTheme="minorEastAsia" w:cstheme="minorBidi"/>
          <w:lang w:val="es-ES_tradnl"/>
        </w:rPr>
        <w:t xml:space="preserve">Una vez examinados </w:t>
      </w:r>
      <w:r w:rsidR="00AD5069" w:rsidRPr="005547C4">
        <w:rPr>
          <w:rFonts w:eastAsiaTheme="minorEastAsia" w:cstheme="minorBidi"/>
          <w:lang w:val="es-ES_tradnl"/>
        </w:rPr>
        <w:t xml:space="preserve">los asuntos comprendidos en su mandato, el </w:t>
      </w:r>
      <w:r w:rsidRPr="005547C4">
        <w:rPr>
          <w:rFonts w:eastAsiaTheme="minorEastAsia" w:cstheme="minorBidi"/>
          <w:lang w:val="es-ES_tradnl"/>
        </w:rPr>
        <w:t>GT-GADT-PEO</w:t>
      </w:r>
      <w:r w:rsidR="00AD5069" w:rsidRPr="005547C4">
        <w:rPr>
          <w:rFonts w:eastAsiaTheme="minorEastAsia" w:cstheme="minorBidi"/>
          <w:lang w:val="es-ES_tradnl"/>
        </w:rPr>
        <w:t xml:space="preserve">, en su </w:t>
      </w:r>
      <w:hyperlink r:id="rId23" w:history="1">
        <w:r w:rsidR="00AD5069" w:rsidRPr="00F8584C">
          <w:rPr>
            <w:rStyle w:val="Hyperlink"/>
            <w:rFonts w:eastAsiaTheme="minorEastAsia" w:cstheme="minorBidi"/>
            <w:lang w:val="es-ES_tradnl"/>
          </w:rPr>
          <w:t>informe al GADT</w:t>
        </w:r>
      </w:hyperlink>
      <w:r w:rsidR="00AD5069" w:rsidRPr="005547C4">
        <w:rPr>
          <w:rFonts w:eastAsiaTheme="minorEastAsia" w:cstheme="minorBidi"/>
          <w:lang w:val="es-ES_tradnl"/>
        </w:rPr>
        <w:t>, recomendó que e</w:t>
      </w:r>
      <w:r w:rsidRPr="005547C4">
        <w:rPr>
          <w:rFonts w:eastAsiaTheme="minorEastAsia" w:cstheme="minorBidi"/>
          <w:lang w:val="es-ES_tradnl"/>
        </w:rPr>
        <w:t>ste último</w:t>
      </w:r>
      <w:r w:rsidR="00AD5069" w:rsidRPr="005547C4">
        <w:rPr>
          <w:rFonts w:eastAsiaTheme="minorEastAsia" w:cstheme="minorBidi"/>
          <w:lang w:val="es-ES_tradnl"/>
        </w:rPr>
        <w:t xml:space="preserve"> respaldara la aplicación de las cuatro prioridades temáticas propuestas por el </w:t>
      </w:r>
      <w:r w:rsidRPr="005547C4">
        <w:rPr>
          <w:rFonts w:eastAsiaTheme="minorEastAsia" w:cstheme="minorBidi"/>
          <w:lang w:val="es-ES_tradnl"/>
        </w:rPr>
        <w:t>GT-</w:t>
      </w:r>
      <w:r w:rsidR="00AD5069" w:rsidRPr="005547C4">
        <w:rPr>
          <w:rFonts w:eastAsiaTheme="minorEastAsia" w:cstheme="minorBidi"/>
          <w:lang w:val="es-ES_tradnl"/>
        </w:rPr>
        <w:t>GADT-RDP</w:t>
      </w:r>
      <w:r w:rsidRPr="005547C4">
        <w:rPr>
          <w:rFonts w:eastAsiaTheme="minorEastAsia" w:cstheme="minorBidi"/>
          <w:lang w:val="es-ES_tradnl"/>
        </w:rPr>
        <w:t>T</w:t>
      </w:r>
      <w:r w:rsidR="006B69AE">
        <w:rPr>
          <w:rFonts w:eastAsiaTheme="minorEastAsia" w:cstheme="minorBidi"/>
          <w:lang w:val="es-ES_tradnl"/>
        </w:rPr>
        <w:t>, con miras a su inclusión en</w:t>
      </w:r>
      <w:r w:rsidRPr="005547C4">
        <w:rPr>
          <w:rFonts w:eastAsiaTheme="minorEastAsia" w:cstheme="minorBidi"/>
          <w:lang w:val="es-ES_tradnl"/>
        </w:rPr>
        <w:t xml:space="preserve"> el próximo Plan Estratégico</w:t>
      </w:r>
      <w:r w:rsidR="006B69AE" w:rsidRPr="006B69AE">
        <w:rPr>
          <w:rFonts w:eastAsiaTheme="minorEastAsia" w:cstheme="minorBidi"/>
          <w:lang w:val="es-ES_tradnl"/>
        </w:rPr>
        <w:t xml:space="preserve"> </w:t>
      </w:r>
      <w:r w:rsidR="006B69AE">
        <w:rPr>
          <w:rFonts w:eastAsiaTheme="minorEastAsia" w:cstheme="minorBidi"/>
          <w:lang w:val="es-ES_tradnl"/>
        </w:rPr>
        <w:t>como</w:t>
      </w:r>
      <w:r w:rsidR="006B69AE" w:rsidRPr="005547C4">
        <w:rPr>
          <w:rFonts w:eastAsiaTheme="minorEastAsia" w:cstheme="minorBidi"/>
          <w:lang w:val="es-ES_tradnl"/>
        </w:rPr>
        <w:t xml:space="preserve"> prioridades estratégicas del UIT-D</w:t>
      </w:r>
      <w:r w:rsidR="00AD5069" w:rsidRPr="005547C4">
        <w:rPr>
          <w:rFonts w:eastAsiaTheme="minorEastAsia" w:cstheme="minorBidi"/>
          <w:lang w:val="es-ES_tradnl"/>
        </w:rPr>
        <w:t xml:space="preserve">. </w:t>
      </w:r>
      <w:r w:rsidRPr="005547C4">
        <w:rPr>
          <w:rFonts w:eastAsiaTheme="minorEastAsia" w:cstheme="minorBidi"/>
          <w:lang w:val="es-ES_tradnl"/>
        </w:rPr>
        <w:t>A continuación, e</w:t>
      </w:r>
      <w:r w:rsidR="00AD5069" w:rsidRPr="005547C4">
        <w:rPr>
          <w:rFonts w:eastAsiaTheme="minorEastAsia" w:cstheme="minorBidi"/>
          <w:lang w:val="es-ES_tradnl"/>
        </w:rPr>
        <w:t>l GADT podría presentar esta propuesta</w:t>
      </w:r>
      <w:r w:rsidRPr="005547C4">
        <w:rPr>
          <w:rFonts w:eastAsiaTheme="minorEastAsia" w:cstheme="minorBidi"/>
          <w:lang w:val="es-ES_tradnl"/>
        </w:rPr>
        <w:t xml:space="preserve"> en calidad de contribución al GTC-PEF</w:t>
      </w:r>
      <w:r w:rsidR="00AD5069" w:rsidRPr="005547C4">
        <w:rPr>
          <w:rFonts w:eastAsiaTheme="minorEastAsia" w:cstheme="minorBidi"/>
          <w:lang w:val="es-ES_tradnl"/>
        </w:rPr>
        <w:t>, que empezar</w:t>
      </w:r>
      <w:r w:rsidR="00A86950">
        <w:rPr>
          <w:rFonts w:eastAsiaTheme="minorEastAsia" w:cstheme="minorBidi"/>
          <w:lang w:val="es-ES_tradnl"/>
        </w:rPr>
        <w:t>á</w:t>
      </w:r>
      <w:r w:rsidR="00AD5069" w:rsidRPr="005547C4">
        <w:rPr>
          <w:rFonts w:eastAsiaTheme="minorEastAsia" w:cstheme="minorBidi"/>
          <w:lang w:val="es-ES_tradnl"/>
        </w:rPr>
        <w:t xml:space="preserve"> a trabajar en el proyecto de Plan Estratégico de </w:t>
      </w:r>
      <w:r w:rsidR="00AD5069" w:rsidRPr="005547C4">
        <w:rPr>
          <w:rFonts w:eastAsiaTheme="minorEastAsia" w:cstheme="minorBidi"/>
          <w:lang w:val="es-ES_tradnl"/>
        </w:rPr>
        <w:lastRenderedPageBreak/>
        <w:t xml:space="preserve">la UIT en junio de 2021 y </w:t>
      </w:r>
      <w:r w:rsidRPr="005547C4">
        <w:rPr>
          <w:rFonts w:eastAsiaTheme="minorEastAsia" w:cstheme="minorBidi"/>
          <w:lang w:val="es-ES_tradnl"/>
        </w:rPr>
        <w:t>someter</w:t>
      </w:r>
      <w:r w:rsidR="00A86950">
        <w:rPr>
          <w:rFonts w:eastAsiaTheme="minorEastAsia" w:cstheme="minorBidi"/>
          <w:lang w:val="es-ES_tradnl"/>
        </w:rPr>
        <w:t>á</w:t>
      </w:r>
      <w:r w:rsidRPr="005547C4">
        <w:rPr>
          <w:rFonts w:eastAsiaTheme="minorEastAsia" w:cstheme="minorBidi"/>
          <w:lang w:val="es-ES_tradnl"/>
        </w:rPr>
        <w:t xml:space="preserve"> la versión final del mismo a la consideración de</w:t>
      </w:r>
      <w:r w:rsidR="00AD5069" w:rsidRPr="005547C4">
        <w:rPr>
          <w:rFonts w:eastAsiaTheme="minorEastAsia" w:cstheme="minorBidi"/>
          <w:lang w:val="es-ES_tradnl"/>
        </w:rPr>
        <w:t>l Consejo en marzo de 2022.</w:t>
      </w:r>
      <w:bookmarkEnd w:id="41"/>
    </w:p>
    <w:p w14:paraId="1ED45B00" w14:textId="3DB7F942" w:rsidR="00622EBE" w:rsidRPr="005547C4" w:rsidRDefault="00D478DF" w:rsidP="00920CE5">
      <w:pPr>
        <w:pStyle w:val="Headingb"/>
        <w:rPr>
          <w:rFonts w:eastAsiaTheme="minorEastAsia"/>
          <w:lang w:val="es-ES_tradnl"/>
        </w:rPr>
      </w:pPr>
      <w:r w:rsidRPr="005547C4">
        <w:rPr>
          <w:rFonts w:eastAsiaTheme="minorEastAsia"/>
          <w:lang w:val="es-ES_tradnl"/>
        </w:rPr>
        <w:t>Propuesta al GADT</w:t>
      </w:r>
    </w:p>
    <w:p w14:paraId="53B3C2ED" w14:textId="1333F21C" w:rsidR="00622EBE" w:rsidRDefault="00913F79" w:rsidP="00920CE5">
      <w:pPr>
        <w:pStyle w:val="enumlev1"/>
        <w:rPr>
          <w:lang w:val="es-ES_tradnl"/>
        </w:rPr>
      </w:pPr>
      <w:bookmarkStart w:id="42" w:name="lt_pId082"/>
      <w:r w:rsidRPr="005547C4">
        <w:rPr>
          <w:lang w:val="es-ES_tradnl"/>
        </w:rPr>
        <w:t>•</w:t>
      </w:r>
      <w:r w:rsidRPr="005547C4">
        <w:rPr>
          <w:lang w:val="es-ES_tradnl"/>
        </w:rPr>
        <w:tab/>
      </w:r>
      <w:r w:rsidR="00F8584C" w:rsidRPr="005547C4">
        <w:rPr>
          <w:lang w:val="es-ES_tradnl"/>
        </w:rPr>
        <w:t xml:space="preserve">Respaldar </w:t>
      </w:r>
      <w:r w:rsidR="00CA1741" w:rsidRPr="005547C4">
        <w:rPr>
          <w:lang w:val="es-ES_tradnl"/>
        </w:rPr>
        <w:t xml:space="preserve">la aplicación </w:t>
      </w:r>
      <w:r w:rsidR="00E7567F" w:rsidRPr="005547C4">
        <w:rPr>
          <w:lang w:val="es-ES_tradnl"/>
        </w:rPr>
        <w:t xml:space="preserve">de las prioridades temáticas propuestas por el GT-GADT-RDPT como Objetivos del UIT-D para el próximo Plan Estratégico de la UIT, </w:t>
      </w:r>
      <w:r w:rsidR="00CA1741" w:rsidRPr="005547C4">
        <w:rPr>
          <w:lang w:val="es-ES_tradnl"/>
        </w:rPr>
        <w:t>a saber</w:t>
      </w:r>
      <w:r w:rsidR="00E7567F" w:rsidRPr="005547C4">
        <w:rPr>
          <w:lang w:val="es-ES_tradnl"/>
        </w:rPr>
        <w:t>:</w:t>
      </w:r>
      <w:bookmarkEnd w:id="42"/>
    </w:p>
    <w:p w14:paraId="66ADE764" w14:textId="702A65C9" w:rsidR="00E7567F" w:rsidRPr="008D0079" w:rsidRDefault="00E7567F" w:rsidP="008D0079">
      <w:pPr>
        <w:pStyle w:val="enumlev2"/>
        <w:rPr>
          <w:lang w:val="es-ES"/>
        </w:rPr>
      </w:pPr>
      <w:bookmarkStart w:id="43" w:name="lt_pId091"/>
      <w:r w:rsidRPr="008D0079">
        <w:rPr>
          <w:lang w:val="es-ES"/>
        </w:rPr>
        <w:t>a)</w:t>
      </w:r>
      <w:r w:rsidRPr="008D0079">
        <w:rPr>
          <w:lang w:val="es-ES"/>
        </w:rPr>
        <w:tab/>
        <w:t>conectividad;</w:t>
      </w:r>
    </w:p>
    <w:p w14:paraId="3892DDF1" w14:textId="258FD0C0" w:rsidR="00E7567F" w:rsidRPr="008D0079" w:rsidRDefault="00E7567F" w:rsidP="008D0079">
      <w:pPr>
        <w:pStyle w:val="enumlev2"/>
        <w:rPr>
          <w:lang w:val="es-ES"/>
        </w:rPr>
      </w:pPr>
      <w:r w:rsidRPr="008D0079">
        <w:rPr>
          <w:lang w:val="es-ES"/>
        </w:rPr>
        <w:t>b)</w:t>
      </w:r>
      <w:r w:rsidRPr="008D0079">
        <w:rPr>
          <w:lang w:val="es-ES"/>
        </w:rPr>
        <w:tab/>
        <w:t>transformación digital;</w:t>
      </w:r>
    </w:p>
    <w:p w14:paraId="75592EA1" w14:textId="5822C04C" w:rsidR="00E7567F" w:rsidRPr="008D0079" w:rsidRDefault="00E7567F" w:rsidP="008D0079">
      <w:pPr>
        <w:pStyle w:val="enumlev2"/>
        <w:rPr>
          <w:lang w:val="es-ES"/>
        </w:rPr>
      </w:pPr>
      <w:r w:rsidRPr="008D0079">
        <w:rPr>
          <w:lang w:val="es-ES"/>
        </w:rPr>
        <w:t>c)</w:t>
      </w:r>
      <w:r w:rsidRPr="008D0079">
        <w:rPr>
          <w:lang w:val="es-ES"/>
        </w:rPr>
        <w:tab/>
        <w:t>entorno propicio</w:t>
      </w:r>
      <w:r w:rsidR="008D0079" w:rsidRPr="008D0079">
        <w:rPr>
          <w:lang w:val="es-ES"/>
        </w:rPr>
        <w:t>;</w:t>
      </w:r>
      <w:r w:rsidRPr="008D0079">
        <w:rPr>
          <w:lang w:val="es-ES"/>
        </w:rPr>
        <w:t xml:space="preserve"> y</w:t>
      </w:r>
    </w:p>
    <w:p w14:paraId="6D5A3683" w14:textId="7BF2C39A" w:rsidR="00622EBE" w:rsidRPr="008D0079" w:rsidRDefault="00E7567F" w:rsidP="008D0079">
      <w:pPr>
        <w:pStyle w:val="enumlev2"/>
        <w:rPr>
          <w:lang w:val="es-ES"/>
        </w:rPr>
      </w:pPr>
      <w:r w:rsidRPr="008D0079">
        <w:rPr>
          <w:lang w:val="es-ES"/>
        </w:rPr>
        <w:t>d)</w:t>
      </w:r>
      <w:r w:rsidRPr="008D0079">
        <w:rPr>
          <w:lang w:val="es-ES"/>
        </w:rPr>
        <w:tab/>
        <w:t>movilización de recursos y cooperación internacional</w:t>
      </w:r>
      <w:bookmarkEnd w:id="43"/>
      <w:r w:rsidRPr="008D0079">
        <w:rPr>
          <w:lang w:val="es-ES"/>
        </w:rPr>
        <w:t>.</w:t>
      </w:r>
    </w:p>
    <w:p w14:paraId="38EA2977" w14:textId="6D05DD13" w:rsidR="00622EBE" w:rsidRPr="005547C4" w:rsidRDefault="00622EBE" w:rsidP="00A23E7B">
      <w:pPr>
        <w:pStyle w:val="Heading1"/>
        <w:rPr>
          <w:rFonts w:eastAsiaTheme="minorEastAsia"/>
          <w:lang w:val="es-ES_tradnl"/>
        </w:rPr>
      </w:pPr>
      <w:r w:rsidRPr="00F8584C">
        <w:rPr>
          <w:lang w:val="es-ES_tradnl"/>
        </w:rPr>
        <w:t>5</w:t>
      </w:r>
      <w:r w:rsidRPr="005547C4">
        <w:rPr>
          <w:lang w:val="es-ES_tradnl"/>
        </w:rPr>
        <w:tab/>
      </w:r>
      <w:r w:rsidR="00A23E7B" w:rsidRPr="005547C4">
        <w:rPr>
          <w:rFonts w:eastAsiaTheme="minorEastAsia"/>
          <w:lang w:val="es-ES_tradnl"/>
        </w:rPr>
        <w:t>Reuniones Interregionales (RIR)</w:t>
      </w:r>
    </w:p>
    <w:p w14:paraId="49380F93" w14:textId="628DE9F5" w:rsidR="004E4C82" w:rsidRPr="005547C4" w:rsidRDefault="004E4C82" w:rsidP="004E4C82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rPr>
          <w:rFonts w:eastAsiaTheme="minorEastAsia" w:cstheme="minorBidi"/>
          <w:lang w:val="es-ES_tradnl" w:eastAsia="zh-CN"/>
        </w:rPr>
      </w:pPr>
      <w:bookmarkStart w:id="44" w:name="lt_pId094"/>
      <w:r w:rsidRPr="005547C4">
        <w:rPr>
          <w:rFonts w:eastAsiaTheme="minorEastAsia" w:cstheme="minorBidi"/>
          <w:lang w:val="es-ES_tradnl" w:eastAsia="zh-CN"/>
        </w:rPr>
        <w:t>Las reuniones preparatorias interregionales se incluyeron en el proceso preparatorio de la CMDT, conforme a las deliberaciones del GT-GADT-Prep, con el objetivo de proporcionar un foro adicional en el que miembros de diferentes regiones pudieran celebrar discusiones y deliberaciones sobre temas importantes para la preparación de la CMDT, afianzando así el consenso en torno a cuestiones clave antes de la conferencia. Se propuso un total de hasta tres reuniones y, hasta la fecha, se ha celebrado una (el 11 de marzo de 2021).</w:t>
      </w:r>
    </w:p>
    <w:p w14:paraId="285A1EB7" w14:textId="3D4021B6" w:rsidR="00622EBE" w:rsidRPr="005547C4" w:rsidRDefault="004E4C82" w:rsidP="008D0079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spacing w:after="120"/>
        <w:rPr>
          <w:rFonts w:eastAsiaTheme="minorEastAsia" w:cstheme="minorBidi"/>
          <w:lang w:val="es-ES_tradnl" w:eastAsia="zh-CN"/>
        </w:rPr>
      </w:pPr>
      <w:r w:rsidRPr="005547C4">
        <w:rPr>
          <w:rFonts w:eastAsiaTheme="minorEastAsia" w:cstheme="minorBidi"/>
          <w:lang w:val="es-ES_tradnl" w:eastAsia="zh-CN"/>
        </w:rPr>
        <w:t>Se propone organizar las dos reuniones restantes con una duración de dos días cada una, según se indica a continuación:</w:t>
      </w:r>
      <w:bookmarkEnd w:id="4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5"/>
        <w:gridCol w:w="1620"/>
        <w:gridCol w:w="5880"/>
      </w:tblGrid>
      <w:tr w:rsidR="00622EBE" w:rsidRPr="005547C4" w14:paraId="522C8321" w14:textId="77777777" w:rsidTr="00915EE4"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EACAD" w14:textId="02F7DC08" w:rsidR="00622EBE" w:rsidRPr="005547C4" w:rsidRDefault="004E4C82" w:rsidP="00A23E7B">
            <w:pPr>
              <w:pStyle w:val="Tablehead"/>
              <w:rPr>
                <w:rFonts w:asciiTheme="minorHAnsi" w:eastAsiaTheme="minorEastAsia" w:hAnsiTheme="minorHAnsi" w:cstheme="minorHAnsi"/>
                <w:lang w:val="es-ES_tradnl"/>
              </w:rPr>
            </w:pPr>
            <w:r w:rsidRPr="005547C4">
              <w:rPr>
                <w:rFonts w:asciiTheme="minorHAnsi" w:eastAsiaTheme="minorEastAsia" w:hAnsiTheme="minorHAnsi" w:cstheme="minorHAnsi"/>
                <w:lang w:val="es-ES_tradnl"/>
              </w:rPr>
              <w:t>Fechas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30D30" w14:textId="73DB3C37" w:rsidR="00622EBE" w:rsidRPr="005547C4" w:rsidRDefault="00622EBE" w:rsidP="00A23E7B">
            <w:pPr>
              <w:pStyle w:val="Tablehead"/>
              <w:rPr>
                <w:rFonts w:asciiTheme="minorHAnsi" w:eastAsiaTheme="minorEastAsia" w:hAnsiTheme="minorHAnsi" w:cstheme="minorHAnsi"/>
                <w:lang w:val="es-ES_tradnl"/>
              </w:rPr>
            </w:pPr>
            <w:bookmarkStart w:id="45" w:name="lt_pId098"/>
            <w:r w:rsidRPr="005547C4">
              <w:rPr>
                <w:rFonts w:asciiTheme="minorHAnsi" w:eastAsiaTheme="minorEastAsia" w:hAnsiTheme="minorHAnsi" w:cstheme="minorHAnsi"/>
                <w:lang w:val="es-ES_tradnl"/>
              </w:rPr>
              <w:t>Grup</w:t>
            </w:r>
            <w:bookmarkEnd w:id="45"/>
            <w:r w:rsidR="004E4C82" w:rsidRPr="005547C4">
              <w:rPr>
                <w:rFonts w:asciiTheme="minorHAnsi" w:eastAsiaTheme="minorEastAsia" w:hAnsiTheme="minorHAnsi" w:cstheme="minorHAnsi"/>
                <w:lang w:val="es-ES_tradnl"/>
              </w:rPr>
              <w:t>o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DC7F2" w14:textId="66710D20" w:rsidR="00622EBE" w:rsidRPr="005547C4" w:rsidRDefault="004E4C82" w:rsidP="00A23E7B">
            <w:pPr>
              <w:pStyle w:val="Tablehead"/>
              <w:rPr>
                <w:rFonts w:asciiTheme="minorHAnsi" w:eastAsiaTheme="minorEastAsia" w:hAnsiTheme="minorHAnsi" w:cstheme="minorHAnsi"/>
                <w:lang w:val="es-ES_tradnl"/>
              </w:rPr>
            </w:pPr>
            <w:r w:rsidRPr="005547C4">
              <w:rPr>
                <w:rFonts w:asciiTheme="minorHAnsi" w:eastAsiaTheme="minorEastAsia" w:hAnsiTheme="minorHAnsi" w:cstheme="minorHAnsi"/>
                <w:lang w:val="es-ES_tradnl"/>
              </w:rPr>
              <w:t>Comentarios</w:t>
            </w:r>
          </w:p>
        </w:tc>
      </w:tr>
      <w:tr w:rsidR="00622EBE" w:rsidRPr="005547C4" w14:paraId="45CFED5A" w14:textId="77777777" w:rsidTr="00915EE4"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F5857" w14:textId="4CEC64CA" w:rsidR="00622EBE" w:rsidRPr="005547C4" w:rsidRDefault="00622EBE" w:rsidP="00A23E7B">
            <w:pPr>
              <w:pStyle w:val="Tabletext"/>
              <w:rPr>
                <w:rFonts w:asciiTheme="minorHAnsi" w:eastAsiaTheme="minorEastAsia" w:hAnsiTheme="minorHAnsi" w:cstheme="minorHAnsi"/>
                <w:lang w:val="es-ES_tradnl"/>
              </w:rPr>
            </w:pPr>
            <w:bookmarkStart w:id="46" w:name="lt_pId100"/>
            <w:r w:rsidRPr="005547C4">
              <w:rPr>
                <w:rFonts w:asciiTheme="minorHAnsi" w:eastAsiaTheme="minorEastAsia" w:hAnsiTheme="minorHAnsi" w:cstheme="minorHAnsi"/>
                <w:lang w:val="es-ES_tradnl"/>
              </w:rPr>
              <w:t xml:space="preserve">16-17 </w:t>
            </w:r>
            <w:r w:rsidR="004E4C82" w:rsidRPr="005547C4">
              <w:rPr>
                <w:rFonts w:asciiTheme="minorHAnsi" w:eastAsiaTheme="minorEastAsia" w:hAnsiTheme="minorHAnsi" w:cstheme="minorHAnsi"/>
                <w:lang w:val="es-ES_tradnl"/>
              </w:rPr>
              <w:t>de septiembre</w:t>
            </w:r>
            <w:bookmarkEnd w:id="46"/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CC2CB" w14:textId="521A563D" w:rsidR="00622EBE" w:rsidRPr="005547C4" w:rsidRDefault="004E4C82" w:rsidP="00A23E7B">
            <w:pPr>
              <w:pStyle w:val="Tabletext"/>
              <w:rPr>
                <w:rFonts w:asciiTheme="minorHAnsi" w:eastAsiaTheme="minorEastAsia" w:hAnsiTheme="minorHAnsi" w:cstheme="minorHAnsi"/>
                <w:lang w:val="es-ES_tradnl"/>
              </w:rPr>
            </w:pPr>
            <w:bookmarkStart w:id="47" w:name="lt_pId101"/>
            <w:r w:rsidRPr="005547C4">
              <w:rPr>
                <w:rFonts w:asciiTheme="minorHAnsi" w:eastAsiaTheme="minorEastAsia" w:hAnsiTheme="minorHAnsi" w:cstheme="minorHAnsi"/>
                <w:lang w:val="es-ES_tradnl"/>
              </w:rPr>
              <w:t>RIR</w:t>
            </w:r>
            <w:r w:rsidR="00622EBE" w:rsidRPr="005547C4">
              <w:rPr>
                <w:rFonts w:asciiTheme="minorHAnsi" w:eastAsiaTheme="minorEastAsia" w:hAnsiTheme="minorHAnsi" w:cstheme="minorHAnsi"/>
                <w:lang w:val="es-ES_tradnl"/>
              </w:rPr>
              <w:t>-2</w:t>
            </w:r>
            <w:bookmarkEnd w:id="47"/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9C0A1" w14:textId="04EE343E" w:rsidR="00622EBE" w:rsidRPr="005547C4" w:rsidRDefault="00622EBE" w:rsidP="00A23E7B">
            <w:pPr>
              <w:pStyle w:val="Tabletext"/>
              <w:rPr>
                <w:rFonts w:asciiTheme="minorHAnsi" w:eastAsiaTheme="minorEastAsia" w:hAnsiTheme="minorHAnsi" w:cstheme="minorHAnsi"/>
                <w:lang w:val="es-ES_tradnl"/>
              </w:rPr>
            </w:pPr>
            <w:bookmarkStart w:id="48" w:name="lt_pId102"/>
            <w:r w:rsidRPr="005547C4">
              <w:rPr>
                <w:rFonts w:asciiTheme="minorHAnsi" w:eastAsiaTheme="minorEastAsia" w:hAnsiTheme="minorHAnsi" w:cstheme="minorHAnsi"/>
                <w:lang w:val="es-ES_tradnl"/>
              </w:rPr>
              <w:t xml:space="preserve">Virtual – </w:t>
            </w:r>
            <w:r w:rsidR="004E4C82" w:rsidRPr="005547C4">
              <w:rPr>
                <w:rFonts w:asciiTheme="minorHAnsi" w:eastAsiaTheme="minorEastAsia" w:hAnsiTheme="minorHAnsi" w:cstheme="minorHAnsi"/>
                <w:lang w:val="es-ES_tradnl"/>
              </w:rPr>
              <w:t>antes de la RIR</w:t>
            </w:r>
            <w:r w:rsidRPr="005547C4">
              <w:rPr>
                <w:rFonts w:asciiTheme="minorHAnsi" w:eastAsiaTheme="minorEastAsia" w:hAnsiTheme="minorHAnsi" w:cstheme="minorHAnsi"/>
                <w:lang w:val="es-ES_tradnl"/>
              </w:rPr>
              <w:t>-3</w:t>
            </w:r>
            <w:bookmarkEnd w:id="48"/>
          </w:p>
        </w:tc>
      </w:tr>
      <w:tr w:rsidR="00622EBE" w:rsidRPr="005547C4" w14:paraId="29402390" w14:textId="77777777" w:rsidTr="00915EE4"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1821E" w14:textId="0525E5C3" w:rsidR="00622EBE" w:rsidRPr="005547C4" w:rsidRDefault="00622EBE" w:rsidP="00A23E7B">
            <w:pPr>
              <w:pStyle w:val="Tabletext"/>
              <w:rPr>
                <w:rFonts w:asciiTheme="minorHAnsi" w:eastAsiaTheme="minorEastAsia" w:hAnsiTheme="minorHAnsi" w:cstheme="minorHAnsi"/>
                <w:lang w:val="es-ES_tradnl"/>
              </w:rPr>
            </w:pPr>
            <w:bookmarkStart w:id="49" w:name="lt_pId103"/>
            <w:r w:rsidRPr="005547C4">
              <w:rPr>
                <w:rFonts w:asciiTheme="minorHAnsi" w:eastAsiaTheme="minorEastAsia" w:hAnsiTheme="minorHAnsi" w:cstheme="minorHAnsi"/>
                <w:lang w:val="es-ES_tradnl"/>
              </w:rPr>
              <w:t xml:space="preserve">11-15 </w:t>
            </w:r>
            <w:r w:rsidR="004E4C82" w:rsidRPr="005547C4">
              <w:rPr>
                <w:rFonts w:asciiTheme="minorHAnsi" w:eastAsiaTheme="minorEastAsia" w:hAnsiTheme="minorHAnsi" w:cstheme="minorHAnsi"/>
                <w:lang w:val="es-ES_tradnl"/>
              </w:rPr>
              <w:t>de octubre</w:t>
            </w:r>
            <w:bookmarkEnd w:id="49"/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98C5F" w14:textId="028809E7" w:rsidR="00622EBE" w:rsidRPr="005547C4" w:rsidRDefault="004E4C82" w:rsidP="00A23E7B">
            <w:pPr>
              <w:pStyle w:val="Tabletext"/>
              <w:rPr>
                <w:rFonts w:asciiTheme="minorHAnsi" w:eastAsiaTheme="minorEastAsia" w:hAnsiTheme="minorHAnsi" w:cstheme="minorHAnsi"/>
                <w:lang w:val="es-ES_tradnl"/>
              </w:rPr>
            </w:pPr>
            <w:bookmarkStart w:id="50" w:name="lt_pId104"/>
            <w:r w:rsidRPr="005547C4">
              <w:rPr>
                <w:rFonts w:asciiTheme="minorHAnsi" w:eastAsiaTheme="minorEastAsia" w:hAnsiTheme="minorHAnsi" w:cstheme="minorHAnsi"/>
                <w:lang w:val="es-ES_tradnl"/>
              </w:rPr>
              <w:t>RIR</w:t>
            </w:r>
            <w:r w:rsidR="00622EBE" w:rsidRPr="005547C4">
              <w:rPr>
                <w:rFonts w:asciiTheme="minorHAnsi" w:eastAsiaTheme="minorEastAsia" w:hAnsiTheme="minorHAnsi" w:cstheme="minorHAnsi"/>
                <w:lang w:val="es-ES_tradnl"/>
              </w:rPr>
              <w:t>-3</w:t>
            </w:r>
            <w:bookmarkEnd w:id="50"/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AD953" w14:textId="26DF2883" w:rsidR="00622EBE" w:rsidRPr="005547C4" w:rsidRDefault="00622EBE" w:rsidP="00A23E7B">
            <w:pPr>
              <w:pStyle w:val="Tabletext"/>
              <w:rPr>
                <w:rFonts w:asciiTheme="minorHAnsi" w:eastAsiaTheme="minorEastAsia" w:hAnsiTheme="minorHAnsi" w:cstheme="minorHAnsi"/>
                <w:lang w:val="es-ES_tradnl"/>
              </w:rPr>
            </w:pPr>
            <w:bookmarkStart w:id="51" w:name="lt_pId105"/>
            <w:r w:rsidRPr="005547C4">
              <w:rPr>
                <w:rFonts w:asciiTheme="minorHAnsi" w:eastAsiaTheme="minorEastAsia" w:hAnsiTheme="minorHAnsi" w:cstheme="minorHAnsi"/>
                <w:lang w:val="es-ES_tradnl"/>
              </w:rPr>
              <w:t xml:space="preserve">Virtual – </w:t>
            </w:r>
            <w:r w:rsidR="004E4C82" w:rsidRPr="005547C4">
              <w:rPr>
                <w:rFonts w:asciiTheme="minorHAnsi" w:eastAsiaTheme="minorEastAsia" w:hAnsiTheme="minorHAnsi" w:cstheme="minorHAnsi"/>
                <w:lang w:val="es-ES_tradnl"/>
              </w:rPr>
              <w:t xml:space="preserve">dos días </w:t>
            </w:r>
            <w:r w:rsidR="006B69AE">
              <w:rPr>
                <w:rFonts w:asciiTheme="minorHAnsi" w:eastAsiaTheme="minorEastAsia" w:hAnsiTheme="minorHAnsi" w:cstheme="minorHAnsi"/>
                <w:lang w:val="es-ES_tradnl"/>
              </w:rPr>
              <w:t>de</w:t>
            </w:r>
            <w:r w:rsidR="004E4C82" w:rsidRPr="005547C4">
              <w:rPr>
                <w:rFonts w:asciiTheme="minorHAnsi" w:eastAsiaTheme="minorEastAsia" w:hAnsiTheme="minorHAnsi" w:cstheme="minorHAnsi"/>
                <w:lang w:val="es-ES_tradnl"/>
              </w:rPr>
              <w:t xml:space="preserve"> esa semana </w:t>
            </w:r>
            <w:r w:rsidRPr="005547C4">
              <w:rPr>
                <w:rFonts w:asciiTheme="minorHAnsi" w:eastAsiaTheme="minorEastAsia" w:hAnsiTheme="minorHAnsi" w:cstheme="minorHAnsi"/>
                <w:lang w:val="es-ES_tradnl"/>
              </w:rPr>
              <w:t>(</w:t>
            </w:r>
            <w:r w:rsidR="004E4C82" w:rsidRPr="005547C4">
              <w:rPr>
                <w:rFonts w:asciiTheme="minorHAnsi" w:eastAsiaTheme="minorEastAsia" w:hAnsiTheme="minorHAnsi" w:cstheme="minorHAnsi"/>
                <w:lang w:val="es-ES_tradnl"/>
              </w:rPr>
              <w:t>fechas actuales de</w:t>
            </w:r>
            <w:r w:rsidRPr="005547C4">
              <w:rPr>
                <w:rFonts w:asciiTheme="minorHAnsi" w:eastAsiaTheme="minorEastAsia" w:hAnsiTheme="minorHAnsi" w:cstheme="minorHAnsi"/>
                <w:lang w:val="es-ES_tradnl"/>
              </w:rPr>
              <w:t xml:space="preserve"> Telecom)</w:t>
            </w:r>
            <w:bookmarkEnd w:id="51"/>
          </w:p>
        </w:tc>
      </w:tr>
    </w:tbl>
    <w:p w14:paraId="1CA1200F" w14:textId="6FD92C88" w:rsidR="00622EBE" w:rsidRPr="005547C4" w:rsidRDefault="004E4C82" w:rsidP="008D0079">
      <w:pPr>
        <w:pStyle w:val="Normalaftertitle"/>
        <w:rPr>
          <w:rFonts w:eastAsiaTheme="minorEastAsia"/>
          <w:lang w:val="es-ES_tradnl" w:eastAsia="zh-CN"/>
        </w:rPr>
      </w:pPr>
      <w:bookmarkStart w:id="52" w:name="lt_pId106"/>
      <w:r w:rsidRPr="005547C4">
        <w:rPr>
          <w:rFonts w:eastAsiaTheme="minorEastAsia"/>
          <w:lang w:val="es-ES_tradnl" w:eastAsia="zh-CN"/>
        </w:rPr>
        <w:t xml:space="preserve">Debido a los costes adicionales que entrañaría un proceso preparatorio más extenso, la Secretaría solicita la opinión de los miembros sobre la necesidad de </w:t>
      </w:r>
      <w:r w:rsidR="0055073D" w:rsidRPr="005547C4">
        <w:rPr>
          <w:rFonts w:eastAsiaTheme="minorEastAsia"/>
          <w:lang w:val="es-ES_tradnl" w:eastAsia="zh-CN"/>
        </w:rPr>
        <w:t xml:space="preserve">facilitar servicios de </w:t>
      </w:r>
      <w:r w:rsidRPr="005547C4">
        <w:rPr>
          <w:rFonts w:eastAsiaTheme="minorEastAsia"/>
          <w:lang w:val="es-ES_tradnl" w:eastAsia="zh-CN"/>
        </w:rPr>
        <w:t>interpretación</w:t>
      </w:r>
      <w:r w:rsidR="0055073D" w:rsidRPr="005547C4">
        <w:rPr>
          <w:rFonts w:eastAsiaTheme="minorEastAsia"/>
          <w:lang w:val="es-ES_tradnl" w:eastAsia="zh-CN"/>
        </w:rPr>
        <w:t xml:space="preserve"> en</w:t>
      </w:r>
      <w:r w:rsidRPr="005547C4">
        <w:rPr>
          <w:rFonts w:eastAsiaTheme="minorEastAsia"/>
          <w:lang w:val="es-ES_tradnl" w:eastAsia="zh-CN"/>
        </w:rPr>
        <w:t xml:space="preserve"> las</w:t>
      </w:r>
      <w:r w:rsidR="00F8584C">
        <w:rPr>
          <w:rFonts w:eastAsiaTheme="minorEastAsia"/>
          <w:lang w:val="es-ES_tradnl" w:eastAsia="zh-CN"/>
        </w:rPr>
        <w:t> </w:t>
      </w:r>
      <w:r w:rsidR="0055073D" w:rsidRPr="005547C4">
        <w:rPr>
          <w:rFonts w:eastAsiaTheme="minorEastAsia"/>
          <w:lang w:val="es-ES_tradnl" w:eastAsia="zh-CN"/>
        </w:rPr>
        <w:t>RIR</w:t>
      </w:r>
      <w:r w:rsidRPr="005547C4">
        <w:rPr>
          <w:rFonts w:eastAsiaTheme="minorEastAsia"/>
          <w:lang w:val="es-ES_tradnl" w:eastAsia="zh-CN"/>
        </w:rPr>
        <w:t>,</w:t>
      </w:r>
      <w:r w:rsidR="0055073D" w:rsidRPr="005547C4">
        <w:rPr>
          <w:rFonts w:eastAsiaTheme="minorEastAsia"/>
          <w:lang w:val="es-ES_tradnl" w:eastAsia="zh-CN"/>
        </w:rPr>
        <w:t xml:space="preserve"> dada la notable repercusión que ello tendría </w:t>
      </w:r>
      <w:r w:rsidR="006B69AE" w:rsidRPr="006B69AE">
        <w:rPr>
          <w:rFonts w:eastAsiaTheme="minorEastAsia"/>
          <w:lang w:val="es-ES_tradnl" w:eastAsia="zh-CN"/>
        </w:rPr>
        <w:t xml:space="preserve">en la capacidad de apoyo a </w:t>
      </w:r>
      <w:r w:rsidR="006B69AE">
        <w:rPr>
          <w:rFonts w:eastAsiaTheme="minorEastAsia"/>
          <w:lang w:val="es-ES_tradnl" w:eastAsia="zh-CN"/>
        </w:rPr>
        <w:t>otras</w:t>
      </w:r>
      <w:r w:rsidR="006B69AE" w:rsidRPr="006B69AE">
        <w:rPr>
          <w:rFonts w:eastAsiaTheme="minorEastAsia"/>
          <w:lang w:val="es-ES_tradnl" w:eastAsia="zh-CN"/>
        </w:rPr>
        <w:t xml:space="preserve"> reuniones</w:t>
      </w:r>
      <w:r w:rsidRPr="005547C4">
        <w:rPr>
          <w:rFonts w:eastAsiaTheme="minorEastAsia"/>
          <w:lang w:val="es-ES_tradnl" w:eastAsia="zh-CN"/>
        </w:rPr>
        <w:t>.</w:t>
      </w:r>
      <w:bookmarkEnd w:id="52"/>
    </w:p>
    <w:p w14:paraId="6C57A3A2" w14:textId="55E23C8E" w:rsidR="00622EBE" w:rsidRPr="005547C4" w:rsidRDefault="00D478DF" w:rsidP="00A23E7B">
      <w:pPr>
        <w:pStyle w:val="Headingb"/>
        <w:rPr>
          <w:rFonts w:eastAsiaTheme="minorEastAsia"/>
          <w:lang w:val="es-ES_tradnl"/>
        </w:rPr>
      </w:pPr>
      <w:r w:rsidRPr="005547C4">
        <w:rPr>
          <w:rFonts w:eastAsiaTheme="minorEastAsia"/>
          <w:lang w:val="es-ES_tradnl"/>
        </w:rPr>
        <w:t>Propuesta al GADT</w:t>
      </w:r>
    </w:p>
    <w:p w14:paraId="484AA698" w14:textId="303C32A8" w:rsidR="0055073D" w:rsidRPr="005547C4" w:rsidRDefault="00913F79" w:rsidP="0055073D">
      <w:pPr>
        <w:pStyle w:val="enumlev1"/>
        <w:rPr>
          <w:rFonts w:eastAsiaTheme="minorEastAsia"/>
          <w:lang w:val="es-ES_tradnl"/>
        </w:rPr>
      </w:pPr>
      <w:bookmarkStart w:id="53" w:name="lt_pId108"/>
      <w:r w:rsidRPr="005547C4">
        <w:rPr>
          <w:rFonts w:eastAsiaTheme="minorEastAsia"/>
          <w:lang w:val="es-ES_tradnl"/>
        </w:rPr>
        <w:t>•</w:t>
      </w:r>
      <w:r w:rsidRPr="005547C4">
        <w:rPr>
          <w:rFonts w:eastAsiaTheme="minorEastAsia"/>
          <w:lang w:val="es-ES_tradnl"/>
        </w:rPr>
        <w:tab/>
      </w:r>
      <w:r w:rsidR="00F8584C" w:rsidRPr="005547C4">
        <w:rPr>
          <w:rFonts w:eastAsiaTheme="minorEastAsia"/>
          <w:lang w:val="es-ES_tradnl"/>
        </w:rPr>
        <w:t xml:space="preserve">Tomar </w:t>
      </w:r>
      <w:r w:rsidR="0055073D" w:rsidRPr="005547C4">
        <w:rPr>
          <w:rFonts w:eastAsiaTheme="minorEastAsia"/>
          <w:lang w:val="es-ES_tradnl"/>
        </w:rPr>
        <w:t xml:space="preserve">una decisión sobre las fechas de las RIR, conforme a lo propuesto </w:t>
      </w:r>
      <w:r w:rsidR="0055073D" w:rsidRPr="005547C4">
        <w:rPr>
          <w:rFonts w:eastAsiaTheme="minorEastAsia"/>
          <w:i/>
          <w:iCs/>
          <w:lang w:val="es-ES_tradnl"/>
        </w:rPr>
        <w:t>supra</w:t>
      </w:r>
      <w:r w:rsidR="00F8584C">
        <w:rPr>
          <w:rFonts w:eastAsiaTheme="minorEastAsia"/>
          <w:lang w:val="es-ES_tradnl"/>
        </w:rPr>
        <w:t>.</w:t>
      </w:r>
    </w:p>
    <w:p w14:paraId="5D391FA6" w14:textId="3732D92C" w:rsidR="00622EBE" w:rsidRPr="005547C4" w:rsidRDefault="0055073D" w:rsidP="0055073D">
      <w:pPr>
        <w:pStyle w:val="enumlev1"/>
        <w:rPr>
          <w:szCs w:val="24"/>
          <w:lang w:val="es-ES_tradnl"/>
        </w:rPr>
      </w:pPr>
      <w:r w:rsidRPr="005547C4">
        <w:rPr>
          <w:rFonts w:eastAsiaTheme="minorEastAsia"/>
          <w:lang w:val="es-ES_tradnl"/>
        </w:rPr>
        <w:t>•</w:t>
      </w:r>
      <w:r w:rsidRPr="005547C4">
        <w:rPr>
          <w:rFonts w:eastAsiaTheme="minorEastAsia"/>
          <w:lang w:val="es-ES_tradnl"/>
        </w:rPr>
        <w:tab/>
      </w:r>
      <w:r w:rsidR="00F8584C" w:rsidRPr="005547C4">
        <w:rPr>
          <w:rFonts w:eastAsiaTheme="minorEastAsia"/>
          <w:lang w:val="es-ES_tradnl"/>
        </w:rPr>
        <w:t xml:space="preserve">Tomar </w:t>
      </w:r>
      <w:r w:rsidRPr="005547C4">
        <w:rPr>
          <w:rFonts w:eastAsiaTheme="minorEastAsia"/>
          <w:lang w:val="es-ES_tradnl"/>
        </w:rPr>
        <w:t>una decisión sobre la necesidad de facilitar servicios de interpretación en esas dos</w:t>
      </w:r>
      <w:r w:rsidR="00B1407E">
        <w:rPr>
          <w:rFonts w:eastAsiaTheme="minorEastAsia"/>
          <w:lang w:val="es-ES_tradnl"/>
        </w:rPr>
        <w:t> </w:t>
      </w:r>
      <w:r w:rsidRPr="005547C4">
        <w:rPr>
          <w:rFonts w:eastAsiaTheme="minorEastAsia"/>
          <w:lang w:val="es-ES_tradnl"/>
        </w:rPr>
        <w:t>RIR</w:t>
      </w:r>
      <w:bookmarkStart w:id="54" w:name="lt_pId109"/>
      <w:bookmarkEnd w:id="53"/>
      <w:r w:rsidR="00622EBE" w:rsidRPr="005547C4">
        <w:rPr>
          <w:rFonts w:eastAsiaTheme="minorEastAsia"/>
          <w:lang w:val="es-ES_tradnl"/>
        </w:rPr>
        <w:t>.</w:t>
      </w:r>
      <w:bookmarkEnd w:id="54"/>
    </w:p>
    <w:p w14:paraId="737FFF64" w14:textId="2B8FF490" w:rsidR="00622EBE" w:rsidRPr="005547C4" w:rsidRDefault="00622EBE" w:rsidP="00A23E7B">
      <w:pPr>
        <w:pStyle w:val="Heading1"/>
        <w:rPr>
          <w:rFonts w:eastAsiaTheme="minorEastAsia"/>
          <w:lang w:val="es-ES_tradnl"/>
        </w:rPr>
      </w:pPr>
      <w:r w:rsidRPr="00D40645">
        <w:rPr>
          <w:rFonts w:eastAsiaTheme="minorEastAsia"/>
          <w:lang w:val="es-ES_tradnl"/>
        </w:rPr>
        <w:t>6</w:t>
      </w:r>
      <w:r w:rsidRPr="005547C4">
        <w:rPr>
          <w:rFonts w:eastAsiaTheme="minorEastAsia"/>
          <w:lang w:val="es-ES_tradnl"/>
        </w:rPr>
        <w:tab/>
      </w:r>
      <w:bookmarkStart w:id="55" w:name="lt_pId111"/>
      <w:r w:rsidRPr="005547C4">
        <w:rPr>
          <w:rFonts w:eastAsiaTheme="minorEastAsia"/>
          <w:lang w:val="es-ES_tradnl"/>
        </w:rPr>
        <w:t xml:space="preserve">Partner2Connect </w:t>
      </w:r>
      <w:bookmarkEnd w:id="55"/>
      <w:r w:rsidR="00F370DE" w:rsidRPr="005547C4">
        <w:rPr>
          <w:rFonts w:eastAsiaTheme="minorEastAsia"/>
          <w:lang w:val="es-ES_tradnl"/>
        </w:rPr>
        <w:t>para el desarrollo digital</w:t>
      </w:r>
    </w:p>
    <w:p w14:paraId="1075823D" w14:textId="06FFD1CB" w:rsidR="00622EBE" w:rsidRPr="005547C4" w:rsidRDefault="00F370DE" w:rsidP="001F037B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rFonts w:eastAsiaTheme="minorEastAsia" w:cstheme="minorBidi"/>
          <w:szCs w:val="24"/>
          <w:lang w:val="es-ES_tradnl"/>
        </w:rPr>
      </w:pPr>
      <w:bookmarkStart w:id="56" w:name="lt_pId112"/>
      <w:r w:rsidRPr="005547C4">
        <w:rPr>
          <w:rFonts w:eastAsiaTheme="minorEastAsia" w:cstheme="minorBidi"/>
          <w:szCs w:val="24"/>
          <w:lang w:val="es-ES_tradnl"/>
        </w:rPr>
        <w:t xml:space="preserve">El aplazamiento de la CMDT permitirá </w:t>
      </w:r>
      <w:r w:rsidR="001B0F91" w:rsidRPr="005547C4">
        <w:rPr>
          <w:rFonts w:eastAsiaTheme="minorEastAsia" w:cstheme="minorBidi"/>
          <w:szCs w:val="24"/>
          <w:lang w:val="es-ES_tradnl"/>
        </w:rPr>
        <w:t>ampli</w:t>
      </w:r>
      <w:r w:rsidR="006B69AE">
        <w:rPr>
          <w:rFonts w:eastAsiaTheme="minorEastAsia" w:cstheme="minorBidi"/>
          <w:szCs w:val="24"/>
          <w:lang w:val="es-ES_tradnl"/>
        </w:rPr>
        <w:t>fic</w:t>
      </w:r>
      <w:r w:rsidR="001B0F91" w:rsidRPr="005547C4">
        <w:rPr>
          <w:rFonts w:eastAsiaTheme="minorEastAsia" w:cstheme="minorBidi"/>
          <w:szCs w:val="24"/>
          <w:lang w:val="es-ES_tradnl"/>
        </w:rPr>
        <w:t xml:space="preserve">ar los trabajos </w:t>
      </w:r>
      <w:r w:rsidRPr="005547C4">
        <w:rPr>
          <w:rFonts w:eastAsiaTheme="minorEastAsia" w:cstheme="minorBidi"/>
          <w:szCs w:val="24"/>
          <w:lang w:val="es-ES_tradnl"/>
        </w:rPr>
        <w:t>preparatorio</w:t>
      </w:r>
      <w:r w:rsidR="001B0F91" w:rsidRPr="005547C4">
        <w:rPr>
          <w:rFonts w:eastAsiaTheme="minorEastAsia" w:cstheme="minorBidi"/>
          <w:szCs w:val="24"/>
          <w:lang w:val="es-ES_tradnl"/>
        </w:rPr>
        <w:t>s, a fin de</w:t>
      </w:r>
      <w:r w:rsidRPr="005547C4">
        <w:rPr>
          <w:rFonts w:eastAsiaTheme="minorEastAsia" w:cstheme="minorBidi"/>
          <w:szCs w:val="24"/>
          <w:lang w:val="es-ES_tradnl"/>
        </w:rPr>
        <w:t xml:space="preserve"> garantizar que </w:t>
      </w:r>
      <w:r w:rsidR="001B0F91" w:rsidRPr="005547C4">
        <w:rPr>
          <w:rFonts w:eastAsiaTheme="minorEastAsia" w:cstheme="minorBidi"/>
          <w:szCs w:val="24"/>
          <w:lang w:val="es-ES_tradnl"/>
        </w:rPr>
        <w:t>la iniciativa</w:t>
      </w:r>
      <w:r w:rsidRPr="005547C4">
        <w:rPr>
          <w:rFonts w:eastAsiaTheme="minorEastAsia" w:cstheme="minorBidi"/>
          <w:szCs w:val="24"/>
          <w:lang w:val="es-ES_tradnl"/>
        </w:rPr>
        <w:t xml:space="preserve"> P2C tenga l</w:t>
      </w:r>
      <w:r w:rsidR="001B0F91" w:rsidRPr="005547C4">
        <w:rPr>
          <w:rFonts w:eastAsiaTheme="minorEastAsia" w:cstheme="minorBidi"/>
          <w:szCs w:val="24"/>
          <w:lang w:val="es-ES_tradnl"/>
        </w:rPr>
        <w:t>a mis</w:t>
      </w:r>
      <w:r w:rsidR="005B5780">
        <w:rPr>
          <w:rFonts w:eastAsiaTheme="minorEastAsia" w:cstheme="minorBidi"/>
          <w:szCs w:val="24"/>
          <w:lang w:val="es-ES_tradnl"/>
        </w:rPr>
        <w:t>m</w:t>
      </w:r>
      <w:r w:rsidR="001B0F91" w:rsidRPr="005547C4">
        <w:rPr>
          <w:rFonts w:eastAsiaTheme="minorEastAsia" w:cstheme="minorBidi"/>
          <w:szCs w:val="24"/>
          <w:lang w:val="es-ES_tradnl"/>
        </w:rPr>
        <w:t xml:space="preserve">a repercusión y presente </w:t>
      </w:r>
      <w:r w:rsidRPr="005547C4">
        <w:rPr>
          <w:rFonts w:eastAsiaTheme="minorEastAsia" w:cstheme="minorBidi"/>
          <w:szCs w:val="24"/>
          <w:lang w:val="es-ES_tradnl"/>
        </w:rPr>
        <w:t>un alcance óptimo para todas las partes interesadas. Además de</w:t>
      </w:r>
      <w:r w:rsidR="003B6D41">
        <w:rPr>
          <w:rFonts w:eastAsiaTheme="minorEastAsia" w:cstheme="minorBidi"/>
          <w:szCs w:val="24"/>
          <w:lang w:val="es-ES_tradnl"/>
        </w:rPr>
        <w:t xml:space="preserve"> lanzar</w:t>
      </w:r>
      <w:r w:rsidRPr="005547C4">
        <w:rPr>
          <w:rFonts w:eastAsiaTheme="minorEastAsia" w:cstheme="minorBidi"/>
          <w:szCs w:val="24"/>
          <w:lang w:val="es-ES_tradnl"/>
        </w:rPr>
        <w:t xml:space="preserve"> una serie de convocatorias de grupos de trabajo para </w:t>
      </w:r>
      <w:r w:rsidR="001F037B" w:rsidRPr="005547C4">
        <w:rPr>
          <w:rFonts w:eastAsiaTheme="minorEastAsia" w:cstheme="minorBidi"/>
          <w:szCs w:val="24"/>
          <w:lang w:val="es-ES_tradnl"/>
        </w:rPr>
        <w:t>impulsar</w:t>
      </w:r>
      <w:r w:rsidRPr="005547C4">
        <w:rPr>
          <w:rFonts w:eastAsiaTheme="minorEastAsia" w:cstheme="minorBidi"/>
          <w:szCs w:val="24"/>
          <w:lang w:val="es-ES_tradnl"/>
        </w:rPr>
        <w:t xml:space="preserve"> el desarrollo </w:t>
      </w:r>
      <w:r w:rsidR="001F037B" w:rsidRPr="005547C4">
        <w:rPr>
          <w:rFonts w:eastAsiaTheme="minorEastAsia" w:cstheme="minorBidi"/>
          <w:szCs w:val="24"/>
          <w:lang w:val="es-ES_tradnl"/>
        </w:rPr>
        <w:t xml:space="preserve">del </w:t>
      </w:r>
      <w:r w:rsidR="003B6D41" w:rsidRPr="003B6D41">
        <w:rPr>
          <w:rFonts w:eastAsiaTheme="minorEastAsia" w:cstheme="minorBidi"/>
          <w:szCs w:val="24"/>
          <w:lang w:val="es-ES_tradnl"/>
        </w:rPr>
        <w:t xml:space="preserve">programa temático </w:t>
      </w:r>
      <w:r w:rsidRPr="005547C4">
        <w:rPr>
          <w:rFonts w:eastAsiaTheme="minorEastAsia" w:cstheme="minorBidi"/>
          <w:szCs w:val="24"/>
          <w:lang w:val="es-ES_tradnl"/>
        </w:rPr>
        <w:t xml:space="preserve">de interés, se </w:t>
      </w:r>
      <w:r w:rsidR="001F037B" w:rsidRPr="005547C4">
        <w:rPr>
          <w:rFonts w:eastAsiaTheme="minorEastAsia" w:cstheme="minorBidi"/>
          <w:szCs w:val="24"/>
          <w:lang w:val="es-ES_tradnl"/>
        </w:rPr>
        <w:t>proyectarán</w:t>
      </w:r>
      <w:r w:rsidRPr="005547C4">
        <w:rPr>
          <w:rFonts w:eastAsiaTheme="minorEastAsia" w:cstheme="minorBidi"/>
          <w:szCs w:val="24"/>
          <w:lang w:val="es-ES_tradnl"/>
        </w:rPr>
        <w:t xml:space="preserve"> </w:t>
      </w:r>
      <w:r w:rsidR="003B6D41">
        <w:rPr>
          <w:rFonts w:eastAsiaTheme="minorEastAsia" w:cstheme="minorBidi"/>
          <w:szCs w:val="24"/>
          <w:lang w:val="es-ES_tradnl"/>
        </w:rPr>
        <w:t>actividades</w:t>
      </w:r>
      <w:r w:rsidRPr="005547C4">
        <w:rPr>
          <w:rFonts w:eastAsiaTheme="minorEastAsia" w:cstheme="minorBidi"/>
          <w:szCs w:val="24"/>
          <w:lang w:val="es-ES_tradnl"/>
        </w:rPr>
        <w:t xml:space="preserve"> preparatori</w:t>
      </w:r>
      <w:r w:rsidR="003B6D41">
        <w:rPr>
          <w:rFonts w:eastAsiaTheme="minorEastAsia" w:cstheme="minorBidi"/>
          <w:szCs w:val="24"/>
          <w:lang w:val="es-ES_tradnl"/>
        </w:rPr>
        <w:t>a</w:t>
      </w:r>
      <w:r w:rsidRPr="005547C4">
        <w:rPr>
          <w:rFonts w:eastAsiaTheme="minorEastAsia" w:cstheme="minorBidi"/>
          <w:szCs w:val="24"/>
          <w:lang w:val="es-ES_tradnl"/>
        </w:rPr>
        <w:t xml:space="preserve">s (virtuales y/o </w:t>
      </w:r>
      <w:r w:rsidR="001F037B" w:rsidRPr="005547C4">
        <w:rPr>
          <w:rFonts w:eastAsiaTheme="minorEastAsia" w:cstheme="minorBidi"/>
          <w:szCs w:val="24"/>
          <w:lang w:val="es-ES_tradnl"/>
        </w:rPr>
        <w:t>presenciales</w:t>
      </w:r>
      <w:r w:rsidRPr="005547C4">
        <w:rPr>
          <w:rFonts w:eastAsiaTheme="minorEastAsia" w:cstheme="minorBidi"/>
          <w:szCs w:val="24"/>
          <w:lang w:val="es-ES_tradnl"/>
        </w:rPr>
        <w:t>) en</w:t>
      </w:r>
      <w:r w:rsidR="001F037B" w:rsidRPr="005547C4">
        <w:rPr>
          <w:rFonts w:eastAsiaTheme="minorEastAsia" w:cstheme="minorBidi"/>
          <w:szCs w:val="24"/>
          <w:lang w:val="es-ES_tradnl"/>
        </w:rPr>
        <w:t xml:space="preserve"> eventos clave de</w:t>
      </w:r>
      <w:r w:rsidRPr="005547C4">
        <w:rPr>
          <w:rFonts w:eastAsiaTheme="minorEastAsia" w:cstheme="minorBidi"/>
          <w:szCs w:val="24"/>
          <w:lang w:val="es-ES_tradnl"/>
        </w:rPr>
        <w:t xml:space="preserve"> las Naciones Unidas (por ejemplo, </w:t>
      </w:r>
      <w:r w:rsidR="001F037B" w:rsidRPr="005547C4">
        <w:rPr>
          <w:rFonts w:eastAsiaTheme="minorEastAsia" w:cstheme="minorBidi"/>
          <w:szCs w:val="24"/>
          <w:lang w:val="es-ES_tradnl"/>
        </w:rPr>
        <w:t>FMPT</w:t>
      </w:r>
      <w:r w:rsidRPr="005547C4">
        <w:rPr>
          <w:rFonts w:eastAsiaTheme="minorEastAsia" w:cstheme="minorBidi"/>
          <w:szCs w:val="24"/>
          <w:lang w:val="es-ES_tradnl"/>
        </w:rPr>
        <w:t xml:space="preserve">-21, </w:t>
      </w:r>
      <w:r w:rsidR="001F037B" w:rsidRPr="005547C4">
        <w:rPr>
          <w:rFonts w:eastAsiaTheme="minorEastAsia" w:cstheme="minorBidi"/>
          <w:szCs w:val="24"/>
          <w:lang w:val="es-ES_tradnl"/>
        </w:rPr>
        <w:t>PMA</w:t>
      </w:r>
      <w:r w:rsidRPr="005547C4">
        <w:rPr>
          <w:rFonts w:eastAsiaTheme="minorEastAsia" w:cstheme="minorBidi"/>
          <w:szCs w:val="24"/>
          <w:lang w:val="es-ES_tradnl"/>
        </w:rPr>
        <w:t xml:space="preserve">5) y </w:t>
      </w:r>
      <w:r w:rsidR="001F037B" w:rsidRPr="005547C4">
        <w:rPr>
          <w:rFonts w:eastAsiaTheme="minorEastAsia" w:cstheme="minorBidi"/>
          <w:szCs w:val="24"/>
          <w:lang w:val="es-ES_tradnl"/>
        </w:rPr>
        <w:t>d</w:t>
      </w:r>
      <w:r w:rsidRPr="005547C4">
        <w:rPr>
          <w:rFonts w:eastAsiaTheme="minorEastAsia" w:cstheme="minorBidi"/>
          <w:szCs w:val="24"/>
          <w:lang w:val="es-ES_tradnl"/>
        </w:rPr>
        <w:t>el sector privado</w:t>
      </w:r>
      <w:r w:rsidR="001F037B" w:rsidRPr="005547C4">
        <w:rPr>
          <w:rFonts w:eastAsiaTheme="minorEastAsia" w:cstheme="minorBidi"/>
          <w:szCs w:val="24"/>
          <w:lang w:val="es-ES_tradnl"/>
        </w:rPr>
        <w:t>,</w:t>
      </w:r>
      <w:r w:rsidRPr="005547C4">
        <w:rPr>
          <w:rFonts w:eastAsiaTheme="minorEastAsia" w:cstheme="minorBidi"/>
          <w:szCs w:val="24"/>
          <w:lang w:val="es-ES_tradnl"/>
        </w:rPr>
        <w:t xml:space="preserve"> para mantener el impulso, la participación y el compromiso </w:t>
      </w:r>
      <w:r w:rsidR="001F037B" w:rsidRPr="005547C4">
        <w:rPr>
          <w:rFonts w:eastAsiaTheme="minorEastAsia" w:cstheme="minorBidi"/>
          <w:szCs w:val="24"/>
          <w:lang w:val="es-ES_tradnl"/>
        </w:rPr>
        <w:t xml:space="preserve">para </w:t>
      </w:r>
      <w:r w:rsidRPr="005547C4">
        <w:rPr>
          <w:rFonts w:eastAsiaTheme="minorEastAsia" w:cstheme="minorBidi"/>
          <w:szCs w:val="24"/>
          <w:lang w:val="es-ES_tradnl"/>
        </w:rPr>
        <w:t>con la P2C.</w:t>
      </w:r>
      <w:bookmarkEnd w:id="56"/>
    </w:p>
    <w:p w14:paraId="071208A6" w14:textId="7FB006DA" w:rsidR="00622EBE" w:rsidRPr="005547C4" w:rsidRDefault="00622EBE" w:rsidP="00F370DE">
      <w:pPr>
        <w:pStyle w:val="Heading1"/>
        <w:rPr>
          <w:rFonts w:eastAsiaTheme="minorEastAsia"/>
          <w:lang w:val="es-ES_tradnl"/>
        </w:rPr>
      </w:pPr>
      <w:r w:rsidRPr="005547C4">
        <w:rPr>
          <w:rFonts w:eastAsiaTheme="minorEastAsia"/>
          <w:lang w:val="es-ES_tradnl"/>
        </w:rPr>
        <w:lastRenderedPageBreak/>
        <w:t>7</w:t>
      </w:r>
      <w:r w:rsidRPr="005547C4">
        <w:rPr>
          <w:rFonts w:eastAsiaTheme="minorEastAsia"/>
          <w:lang w:val="es-ES_tradnl"/>
        </w:rPr>
        <w:tab/>
      </w:r>
      <w:r w:rsidR="00F370DE" w:rsidRPr="005547C4">
        <w:rPr>
          <w:rFonts w:eastAsiaTheme="minorEastAsia"/>
          <w:lang w:val="es-ES_tradnl"/>
        </w:rPr>
        <w:t>Cumbre de la Juventud</w:t>
      </w:r>
    </w:p>
    <w:p w14:paraId="59E27B68" w14:textId="32A2A78E" w:rsidR="00622EBE" w:rsidRPr="005547C4" w:rsidRDefault="00A4315E" w:rsidP="00A4315E">
      <w:pPr>
        <w:overflowPunct/>
        <w:textAlignment w:val="auto"/>
        <w:rPr>
          <w:rFonts w:eastAsiaTheme="minorEastAsia" w:cstheme="minorBidi"/>
          <w:szCs w:val="24"/>
          <w:lang w:val="es-ES_tradnl"/>
        </w:rPr>
      </w:pPr>
      <w:bookmarkStart w:id="57" w:name="lt_pId116"/>
      <w:r w:rsidRPr="005547C4">
        <w:rPr>
          <w:rFonts w:eastAsiaTheme="minorEastAsia" w:cstheme="minorBidi"/>
          <w:szCs w:val="24"/>
          <w:lang w:val="es-ES_tradnl"/>
        </w:rPr>
        <w:t>Se sigue proponiendo celebrar un</w:t>
      </w:r>
      <w:r w:rsidR="00F370DE" w:rsidRPr="005547C4">
        <w:rPr>
          <w:rFonts w:eastAsiaTheme="minorEastAsia" w:cstheme="minorBidi"/>
          <w:szCs w:val="24"/>
          <w:lang w:val="es-ES_tradnl"/>
        </w:rPr>
        <w:t>a Cumbre de la Juventud</w:t>
      </w:r>
      <w:r w:rsidRPr="005547C4">
        <w:rPr>
          <w:rFonts w:eastAsiaTheme="minorEastAsia" w:cstheme="minorBidi"/>
          <w:szCs w:val="24"/>
          <w:lang w:val="es-ES_tradnl"/>
        </w:rPr>
        <w:t xml:space="preserve">, de </w:t>
      </w:r>
      <w:r w:rsidR="00F370DE" w:rsidRPr="005547C4">
        <w:rPr>
          <w:rFonts w:eastAsiaTheme="minorEastAsia" w:cstheme="minorBidi"/>
          <w:szCs w:val="24"/>
          <w:lang w:val="es-ES_tradnl"/>
        </w:rPr>
        <w:t xml:space="preserve">dos días </w:t>
      </w:r>
      <w:r w:rsidRPr="005547C4">
        <w:rPr>
          <w:rFonts w:eastAsiaTheme="minorEastAsia" w:cstheme="minorBidi"/>
          <w:szCs w:val="24"/>
          <w:lang w:val="es-ES_tradnl"/>
        </w:rPr>
        <w:t xml:space="preserve">de duración, </w:t>
      </w:r>
      <w:r w:rsidR="00F370DE" w:rsidRPr="005547C4">
        <w:rPr>
          <w:rFonts w:eastAsiaTheme="minorEastAsia" w:cstheme="minorBidi"/>
          <w:szCs w:val="24"/>
          <w:lang w:val="es-ES_tradnl"/>
        </w:rPr>
        <w:t>poco antes de la CMDT</w:t>
      </w:r>
      <w:r w:rsidRPr="005547C4">
        <w:rPr>
          <w:rFonts w:eastAsiaTheme="minorEastAsia" w:cstheme="minorBidi"/>
          <w:szCs w:val="24"/>
          <w:lang w:val="es-ES_tradnl"/>
        </w:rPr>
        <w:t>. Por consiguiente</w:t>
      </w:r>
      <w:r w:rsidR="00F370DE" w:rsidRPr="005547C4">
        <w:rPr>
          <w:rFonts w:eastAsiaTheme="minorEastAsia" w:cstheme="minorBidi"/>
          <w:szCs w:val="24"/>
          <w:lang w:val="es-ES_tradnl"/>
        </w:rPr>
        <w:t xml:space="preserve">, si la CMDT se </w:t>
      </w:r>
      <w:r w:rsidRPr="005547C4">
        <w:rPr>
          <w:rFonts w:eastAsiaTheme="minorEastAsia" w:cstheme="minorBidi"/>
          <w:szCs w:val="24"/>
          <w:lang w:val="es-ES_tradnl"/>
        </w:rPr>
        <w:t>aplaza</w:t>
      </w:r>
      <w:r w:rsidR="00F370DE" w:rsidRPr="005547C4">
        <w:rPr>
          <w:rFonts w:eastAsiaTheme="minorEastAsia" w:cstheme="minorBidi"/>
          <w:szCs w:val="24"/>
          <w:lang w:val="es-ES_tradnl"/>
        </w:rPr>
        <w:t>, la Cumbre también tendría que posponerse a una fecha adecuada antes del 6 de junio de 2022, en colaboración con el país anfitrión</w:t>
      </w:r>
      <w:r w:rsidR="00622EBE" w:rsidRPr="005547C4">
        <w:rPr>
          <w:rFonts w:eastAsiaTheme="minorEastAsia" w:cstheme="minorBidi"/>
          <w:szCs w:val="24"/>
          <w:lang w:val="es-ES_tradnl"/>
        </w:rPr>
        <w:t>.</w:t>
      </w:r>
      <w:bookmarkEnd w:id="57"/>
    </w:p>
    <w:p w14:paraId="60A519F9" w14:textId="266F963A" w:rsidR="00622EBE" w:rsidRPr="005547C4" w:rsidRDefault="00622EBE" w:rsidP="00F370DE">
      <w:pPr>
        <w:pStyle w:val="Heading1"/>
        <w:rPr>
          <w:rFonts w:eastAsiaTheme="minorEastAsia"/>
          <w:lang w:val="es-ES_tradnl"/>
        </w:rPr>
      </w:pPr>
      <w:r w:rsidRPr="005547C4">
        <w:rPr>
          <w:rFonts w:eastAsiaTheme="minorEastAsia"/>
          <w:lang w:val="es-ES_tradnl"/>
        </w:rPr>
        <w:t>8</w:t>
      </w:r>
      <w:r w:rsidRPr="005547C4">
        <w:rPr>
          <w:rFonts w:eastAsiaTheme="minorEastAsia"/>
          <w:lang w:val="es-ES_tradnl"/>
        </w:rPr>
        <w:tab/>
      </w:r>
      <w:r w:rsidR="00F370DE" w:rsidRPr="005547C4">
        <w:rPr>
          <w:rFonts w:eastAsiaTheme="minorEastAsia"/>
          <w:lang w:val="es-ES_tradnl"/>
        </w:rPr>
        <w:t>Camino a Addis</w:t>
      </w:r>
    </w:p>
    <w:p w14:paraId="38E25374" w14:textId="4837F8BA" w:rsidR="00622EBE" w:rsidRPr="008D0079" w:rsidRDefault="00A4315E" w:rsidP="00A4315E">
      <w:pPr>
        <w:overflowPunct/>
        <w:textAlignment w:val="auto"/>
        <w:rPr>
          <w:rFonts w:eastAsiaTheme="minorEastAsia"/>
        </w:rPr>
      </w:pPr>
      <w:bookmarkStart w:id="58" w:name="lt_pId119"/>
      <w:r w:rsidRPr="005547C4">
        <w:rPr>
          <w:rFonts w:eastAsiaTheme="minorEastAsia" w:cstheme="minorBidi"/>
          <w:szCs w:val="24"/>
          <w:lang w:val="es-ES_tradnl"/>
        </w:rPr>
        <w:t>Los eventos de la serie Camino a Addis tendrán lugar a lo largo de todo el año 2021 y proseguirán</w:t>
      </w:r>
      <w:r w:rsidR="00F370DE" w:rsidRPr="005547C4">
        <w:rPr>
          <w:rFonts w:eastAsiaTheme="minorEastAsia" w:cstheme="minorBidi"/>
          <w:szCs w:val="24"/>
          <w:lang w:val="es-ES_tradnl"/>
        </w:rPr>
        <w:t xml:space="preserve"> en 2022</w:t>
      </w:r>
      <w:r w:rsidRPr="005547C4">
        <w:rPr>
          <w:rFonts w:eastAsiaTheme="minorEastAsia" w:cstheme="minorBidi"/>
          <w:szCs w:val="24"/>
          <w:lang w:val="es-ES_tradnl"/>
        </w:rPr>
        <w:t>,</w:t>
      </w:r>
      <w:r w:rsidR="00F370DE" w:rsidRPr="005547C4">
        <w:rPr>
          <w:rFonts w:eastAsiaTheme="minorEastAsia" w:cstheme="minorBidi"/>
          <w:szCs w:val="24"/>
          <w:lang w:val="es-ES_tradnl"/>
        </w:rPr>
        <w:t xml:space="preserve"> </w:t>
      </w:r>
      <w:r w:rsidRPr="005547C4">
        <w:rPr>
          <w:rFonts w:eastAsiaTheme="minorEastAsia" w:cstheme="minorBidi"/>
          <w:szCs w:val="24"/>
          <w:lang w:val="es-ES_tradnl"/>
        </w:rPr>
        <w:t>con el objetivo de</w:t>
      </w:r>
      <w:r w:rsidR="00F370DE" w:rsidRPr="005547C4">
        <w:rPr>
          <w:rFonts w:eastAsiaTheme="minorEastAsia" w:cstheme="minorBidi"/>
          <w:szCs w:val="24"/>
          <w:lang w:val="es-ES_tradnl"/>
        </w:rPr>
        <w:t xml:space="preserve"> </w:t>
      </w:r>
      <w:r w:rsidRPr="005547C4">
        <w:rPr>
          <w:rFonts w:eastAsiaTheme="minorEastAsia" w:cstheme="minorBidi"/>
          <w:szCs w:val="24"/>
          <w:lang w:val="es-ES_tradnl"/>
        </w:rPr>
        <w:t xml:space="preserve">aprovechar las oportunidades </w:t>
      </w:r>
      <w:r w:rsidR="003B6D41">
        <w:rPr>
          <w:rFonts w:eastAsiaTheme="minorEastAsia" w:cstheme="minorBidi"/>
          <w:szCs w:val="24"/>
          <w:lang w:val="es-ES_tradnl"/>
        </w:rPr>
        <w:t xml:space="preserve">disponibles </w:t>
      </w:r>
      <w:r w:rsidRPr="005547C4">
        <w:rPr>
          <w:rFonts w:eastAsiaTheme="minorEastAsia" w:cstheme="minorBidi"/>
          <w:szCs w:val="24"/>
          <w:lang w:val="es-ES_tradnl"/>
        </w:rPr>
        <w:t>para crear conciencia en torno a la CMD</w:t>
      </w:r>
      <w:bookmarkEnd w:id="58"/>
      <w:r w:rsidRPr="005547C4">
        <w:rPr>
          <w:rFonts w:eastAsiaTheme="minorEastAsia" w:cstheme="minorBidi"/>
          <w:szCs w:val="24"/>
          <w:lang w:val="es-ES_tradnl"/>
        </w:rPr>
        <w:t>T</w:t>
      </w:r>
      <w:r w:rsidR="005B5780">
        <w:rPr>
          <w:rFonts w:eastAsiaTheme="minorEastAsia" w:cstheme="minorBidi"/>
          <w:szCs w:val="24"/>
          <w:lang w:val="es-ES_tradnl"/>
        </w:rPr>
        <w:t xml:space="preserve"> a escala</w:t>
      </w:r>
      <w:r w:rsidR="005B5780" w:rsidRPr="005B5780">
        <w:rPr>
          <w:rFonts w:eastAsiaTheme="minorEastAsia" w:cstheme="minorBidi"/>
          <w:szCs w:val="24"/>
          <w:lang w:val="es-ES_tradnl"/>
        </w:rPr>
        <w:t xml:space="preserve"> </w:t>
      </w:r>
      <w:r w:rsidR="005B5780" w:rsidRPr="005547C4">
        <w:rPr>
          <w:rFonts w:eastAsiaTheme="minorEastAsia" w:cstheme="minorBidi"/>
          <w:szCs w:val="24"/>
          <w:lang w:val="es-ES_tradnl"/>
        </w:rPr>
        <w:t>mundial</w:t>
      </w:r>
      <w:r w:rsidRPr="005547C4">
        <w:rPr>
          <w:rFonts w:eastAsiaTheme="minorEastAsia" w:cstheme="minorBidi"/>
          <w:szCs w:val="24"/>
          <w:lang w:val="es-ES_tradnl"/>
        </w:rPr>
        <w:t>.</w:t>
      </w:r>
    </w:p>
    <w:p w14:paraId="5DA8557E" w14:textId="2642E7C9" w:rsidR="00622EBE" w:rsidRPr="005547C4" w:rsidRDefault="00622EBE" w:rsidP="00A23E7B">
      <w:pPr>
        <w:pStyle w:val="Heading1"/>
        <w:rPr>
          <w:rFonts w:eastAsiaTheme="minorEastAsia"/>
          <w:lang w:val="es-ES_tradnl"/>
        </w:rPr>
      </w:pPr>
      <w:r w:rsidRPr="00452CAC">
        <w:rPr>
          <w:rFonts w:eastAsiaTheme="minorEastAsia"/>
          <w:lang w:val="es-ES_tradnl"/>
        </w:rPr>
        <w:t>9</w:t>
      </w:r>
      <w:r w:rsidRPr="005547C4">
        <w:rPr>
          <w:rFonts w:eastAsiaTheme="minorEastAsia"/>
          <w:lang w:val="es-ES_tradnl"/>
        </w:rPr>
        <w:tab/>
      </w:r>
      <w:r w:rsidR="00F370DE" w:rsidRPr="005547C4">
        <w:rPr>
          <w:rFonts w:eastAsiaTheme="minorEastAsia"/>
          <w:lang w:val="es-ES_tradnl"/>
        </w:rPr>
        <w:t>Iniciativas y proyectos regionales</w:t>
      </w:r>
    </w:p>
    <w:p w14:paraId="56B06EA0" w14:textId="55228154" w:rsidR="00F370DE" w:rsidRPr="005547C4" w:rsidRDefault="00F370DE" w:rsidP="00F370DE">
      <w:pPr>
        <w:rPr>
          <w:rFonts w:eastAsiaTheme="minorEastAsia" w:cstheme="minorBidi"/>
          <w:lang w:val="es-ES_tradnl"/>
        </w:rPr>
      </w:pPr>
      <w:bookmarkStart w:id="59" w:name="lt_pId122"/>
      <w:r w:rsidRPr="005547C4">
        <w:rPr>
          <w:rFonts w:eastAsiaTheme="minorEastAsia" w:cstheme="minorBidi"/>
          <w:lang w:val="es-ES_tradnl"/>
        </w:rPr>
        <w:t xml:space="preserve">Las </w:t>
      </w:r>
      <w:r w:rsidR="00D40645">
        <w:rPr>
          <w:rFonts w:eastAsiaTheme="minorEastAsia" w:cstheme="minorBidi"/>
          <w:lang w:val="es-ES_tradnl"/>
        </w:rPr>
        <w:t>i</w:t>
      </w:r>
      <w:r w:rsidRPr="005547C4">
        <w:rPr>
          <w:rFonts w:eastAsiaTheme="minorEastAsia" w:cstheme="minorBidi"/>
          <w:lang w:val="es-ES_tradnl"/>
        </w:rPr>
        <w:t xml:space="preserve">niciativas </w:t>
      </w:r>
      <w:r w:rsidR="00D40645">
        <w:rPr>
          <w:rFonts w:eastAsiaTheme="minorEastAsia" w:cstheme="minorBidi"/>
          <w:lang w:val="es-ES_tradnl"/>
        </w:rPr>
        <w:t>r</w:t>
      </w:r>
      <w:r w:rsidRPr="005547C4">
        <w:rPr>
          <w:rFonts w:eastAsiaTheme="minorEastAsia" w:cstheme="minorBidi"/>
          <w:lang w:val="es-ES_tradnl"/>
        </w:rPr>
        <w:t>egionales (IR) de la UIT</w:t>
      </w:r>
      <w:r w:rsidR="00E57260" w:rsidRPr="005547C4">
        <w:rPr>
          <w:rFonts w:eastAsiaTheme="minorEastAsia" w:cstheme="minorBidi"/>
          <w:lang w:val="es-ES_tradnl"/>
        </w:rPr>
        <w:t xml:space="preserve"> para</w:t>
      </w:r>
      <w:r w:rsidRPr="005547C4">
        <w:rPr>
          <w:rFonts w:eastAsiaTheme="minorEastAsia" w:cstheme="minorBidi"/>
          <w:lang w:val="es-ES_tradnl"/>
        </w:rPr>
        <w:t xml:space="preserve"> </w:t>
      </w:r>
      <w:r w:rsidR="00E57260" w:rsidRPr="005547C4">
        <w:rPr>
          <w:rFonts w:eastAsiaTheme="minorEastAsia" w:cstheme="minorBidi"/>
          <w:lang w:val="es-ES_tradnl"/>
        </w:rPr>
        <w:t xml:space="preserve">2018-2021 </w:t>
      </w:r>
      <w:r w:rsidRPr="005547C4">
        <w:rPr>
          <w:rFonts w:eastAsiaTheme="minorEastAsia" w:cstheme="minorBidi"/>
          <w:lang w:val="es-ES_tradnl"/>
        </w:rPr>
        <w:t xml:space="preserve">se adoptaron en la Conferencia Mundial de Desarrollo de las Telecomunicaciones </w:t>
      </w:r>
      <w:r w:rsidR="00E57260" w:rsidRPr="005547C4">
        <w:rPr>
          <w:rFonts w:eastAsiaTheme="minorEastAsia" w:cstheme="minorBidi"/>
          <w:lang w:val="es-ES_tradnl"/>
        </w:rPr>
        <w:t>de</w:t>
      </w:r>
      <w:r w:rsidRPr="005547C4">
        <w:rPr>
          <w:rFonts w:eastAsiaTheme="minorEastAsia" w:cstheme="minorBidi"/>
          <w:lang w:val="es-ES_tradnl"/>
        </w:rPr>
        <w:t xml:space="preserve"> 2017 (CMDT-17)</w:t>
      </w:r>
      <w:r w:rsidR="00E57260" w:rsidRPr="005547C4">
        <w:rPr>
          <w:rFonts w:eastAsiaTheme="minorEastAsia" w:cstheme="minorBidi"/>
          <w:lang w:val="es-ES_tradnl"/>
        </w:rPr>
        <w:t xml:space="preserve">, </w:t>
      </w:r>
      <w:r w:rsidR="005547C4" w:rsidRPr="005547C4">
        <w:rPr>
          <w:rFonts w:eastAsiaTheme="minorEastAsia" w:cstheme="minorBidi"/>
          <w:lang w:val="es-ES_tradnl"/>
        </w:rPr>
        <w:t>con el fin de</w:t>
      </w:r>
      <w:r w:rsidRPr="005547C4">
        <w:rPr>
          <w:rFonts w:eastAsiaTheme="minorEastAsia" w:cstheme="minorBidi"/>
          <w:lang w:val="es-ES_tradnl"/>
        </w:rPr>
        <w:t xml:space="preserve"> abordar </w:t>
      </w:r>
      <w:r w:rsidR="005547C4" w:rsidRPr="005547C4">
        <w:rPr>
          <w:rFonts w:eastAsiaTheme="minorEastAsia" w:cstheme="minorBidi"/>
          <w:lang w:val="es-ES_tradnl"/>
        </w:rPr>
        <w:t>ciertas esfer</w:t>
      </w:r>
      <w:r w:rsidRPr="005547C4">
        <w:rPr>
          <w:rFonts w:eastAsiaTheme="minorEastAsia" w:cstheme="minorBidi"/>
          <w:lang w:val="es-ES_tradnl"/>
        </w:rPr>
        <w:t xml:space="preserve">as prioritarias de las telecomunicaciones/tecnologías de la información y la comunicación (TIC) </w:t>
      </w:r>
      <w:r w:rsidR="005547C4" w:rsidRPr="005547C4">
        <w:rPr>
          <w:rFonts w:eastAsiaTheme="minorEastAsia" w:cstheme="minorBidi"/>
          <w:lang w:val="es-ES_tradnl"/>
        </w:rPr>
        <w:t xml:space="preserve">y atender así </w:t>
      </w:r>
      <w:r w:rsidRPr="005547C4">
        <w:rPr>
          <w:rFonts w:eastAsiaTheme="minorEastAsia" w:cstheme="minorBidi"/>
          <w:lang w:val="es-ES_tradnl"/>
        </w:rPr>
        <w:t>las necesidades</w:t>
      </w:r>
      <w:r w:rsidR="005547C4" w:rsidRPr="005547C4">
        <w:rPr>
          <w:rFonts w:eastAsiaTheme="minorEastAsia" w:cstheme="minorBidi"/>
          <w:lang w:val="es-ES_tradnl"/>
        </w:rPr>
        <w:t xml:space="preserve"> en materia</w:t>
      </w:r>
      <w:r w:rsidRPr="005547C4">
        <w:rPr>
          <w:rFonts w:eastAsiaTheme="minorEastAsia" w:cstheme="minorBidi"/>
          <w:lang w:val="es-ES_tradnl"/>
        </w:rPr>
        <w:t xml:space="preserve"> de desarrollo de las regiones</w:t>
      </w:r>
      <w:r w:rsidR="005547C4" w:rsidRPr="005547C4">
        <w:rPr>
          <w:rFonts w:eastAsiaTheme="minorEastAsia" w:cstheme="minorBidi"/>
          <w:lang w:val="es-ES_tradnl"/>
        </w:rPr>
        <w:t xml:space="preserve">. Estas iniciativas serán de aplicación </w:t>
      </w:r>
      <w:r w:rsidRPr="005547C4">
        <w:rPr>
          <w:rFonts w:eastAsiaTheme="minorEastAsia" w:cstheme="minorBidi"/>
          <w:lang w:val="es-ES_tradnl"/>
        </w:rPr>
        <w:t>hasta la próxima CMDT.</w:t>
      </w:r>
    </w:p>
    <w:p w14:paraId="66E01EA0" w14:textId="295014E7" w:rsidR="00622EBE" w:rsidRPr="005547C4" w:rsidRDefault="005547C4" w:rsidP="005547C4">
      <w:pPr>
        <w:rPr>
          <w:rFonts w:eastAsiaTheme="minorEastAsia" w:cstheme="minorBidi"/>
          <w:lang w:val="es-ES_tradnl"/>
        </w:rPr>
      </w:pPr>
      <w:r w:rsidRPr="005547C4">
        <w:rPr>
          <w:rFonts w:eastAsiaTheme="minorEastAsia" w:cstheme="minorBidi"/>
          <w:lang w:val="es-ES_tradnl"/>
        </w:rPr>
        <w:t>Por otro lado</w:t>
      </w:r>
      <w:r w:rsidR="00F370DE" w:rsidRPr="005547C4">
        <w:rPr>
          <w:rFonts w:eastAsiaTheme="minorEastAsia" w:cstheme="minorBidi"/>
          <w:lang w:val="es-ES_tradnl"/>
        </w:rPr>
        <w:t xml:space="preserve">, el aplazamiento de la CMDT-21 no tendrá repercusiones en la ejecución de los proyectos de la UIT, que seguirán </w:t>
      </w:r>
      <w:r w:rsidRPr="005547C4">
        <w:rPr>
          <w:rFonts w:eastAsiaTheme="minorEastAsia" w:cstheme="minorBidi"/>
          <w:lang w:val="es-ES_tradnl"/>
        </w:rPr>
        <w:t xml:space="preserve">aplicándose </w:t>
      </w:r>
      <w:r w:rsidR="00F370DE" w:rsidRPr="005547C4">
        <w:rPr>
          <w:rFonts w:eastAsiaTheme="minorEastAsia" w:cstheme="minorBidi"/>
          <w:lang w:val="es-ES_tradnl"/>
        </w:rPr>
        <w:t xml:space="preserve">en función del alcance, </w:t>
      </w:r>
      <w:r w:rsidRPr="005547C4">
        <w:rPr>
          <w:rFonts w:eastAsiaTheme="minorEastAsia" w:cstheme="minorBidi"/>
          <w:lang w:val="es-ES_tradnl"/>
        </w:rPr>
        <w:t>los plazos</w:t>
      </w:r>
      <w:r w:rsidR="00F370DE" w:rsidRPr="005547C4">
        <w:rPr>
          <w:rFonts w:eastAsiaTheme="minorEastAsia" w:cstheme="minorBidi"/>
          <w:lang w:val="es-ES_tradnl"/>
        </w:rPr>
        <w:t xml:space="preserve"> y los recursos </w:t>
      </w:r>
      <w:bookmarkStart w:id="60" w:name="lt_pId123"/>
      <w:bookmarkEnd w:id="59"/>
      <w:r w:rsidR="003B6D41">
        <w:rPr>
          <w:rFonts w:eastAsiaTheme="minorEastAsia" w:cstheme="minorBidi"/>
          <w:lang w:val="es-ES_tradnl"/>
        </w:rPr>
        <w:t>previstos</w:t>
      </w:r>
      <w:r w:rsidR="00622EBE" w:rsidRPr="005547C4">
        <w:rPr>
          <w:rFonts w:eastAsiaTheme="minorEastAsia" w:cstheme="minorBidi"/>
          <w:lang w:val="es-ES_tradnl"/>
        </w:rPr>
        <w:t>.</w:t>
      </w:r>
      <w:bookmarkEnd w:id="60"/>
    </w:p>
    <w:p w14:paraId="3F03DE01" w14:textId="42FC81A9" w:rsidR="00622EBE" w:rsidRPr="005547C4" w:rsidRDefault="00622EBE" w:rsidP="00A23E7B">
      <w:pPr>
        <w:pStyle w:val="Heading1"/>
        <w:rPr>
          <w:rFonts w:eastAsiaTheme="minorEastAsia"/>
          <w:lang w:val="es-ES_tradnl"/>
        </w:rPr>
      </w:pPr>
      <w:r w:rsidRPr="005547C4">
        <w:rPr>
          <w:rFonts w:eastAsiaTheme="minorEastAsia"/>
          <w:lang w:val="es-ES_tradnl"/>
        </w:rPr>
        <w:t>10</w:t>
      </w:r>
      <w:r w:rsidRPr="005547C4">
        <w:rPr>
          <w:rFonts w:eastAsiaTheme="minorEastAsia"/>
          <w:lang w:val="es-ES_tradnl"/>
        </w:rPr>
        <w:tab/>
      </w:r>
      <w:r w:rsidR="00F370DE" w:rsidRPr="005547C4">
        <w:rPr>
          <w:rFonts w:eastAsiaTheme="minorEastAsia"/>
          <w:lang w:val="es-ES_tradnl"/>
        </w:rPr>
        <w:t>Prioridades temáticas de la BDT</w:t>
      </w:r>
    </w:p>
    <w:p w14:paraId="628098DB" w14:textId="667ED4A3" w:rsidR="00913F79" w:rsidRDefault="00F370DE" w:rsidP="005547C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rFonts w:eastAsiaTheme="minorEastAsia" w:cstheme="minorBidi"/>
          <w:szCs w:val="24"/>
          <w:lang w:val="es-ES_tradnl"/>
        </w:rPr>
      </w:pPr>
      <w:bookmarkStart w:id="61" w:name="lt_pId126"/>
      <w:r w:rsidRPr="005547C4">
        <w:rPr>
          <w:rFonts w:eastAsiaTheme="minorEastAsia" w:cstheme="minorBidi"/>
          <w:szCs w:val="24"/>
          <w:lang w:val="es-ES_tradnl"/>
        </w:rPr>
        <w:t>El aplazamiento de la CMDT-21 no tendrá repercusiones en la aplicación de las prioridades temáticas de la BDT.</w:t>
      </w:r>
      <w:bookmarkEnd w:id="61"/>
    </w:p>
    <w:p w14:paraId="2AB06F2C" w14:textId="77777777" w:rsidR="00B1407E" w:rsidRPr="005547C4" w:rsidRDefault="00B1407E" w:rsidP="005547C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rFonts w:eastAsiaTheme="minorEastAsia" w:cstheme="minorBidi"/>
          <w:szCs w:val="24"/>
          <w:lang w:val="es-ES_tradnl"/>
        </w:rPr>
      </w:pPr>
    </w:p>
    <w:p w14:paraId="7A74EBA3" w14:textId="77777777" w:rsidR="00913F79" w:rsidRPr="005547C4" w:rsidRDefault="00913F79">
      <w:pPr>
        <w:jc w:val="center"/>
        <w:rPr>
          <w:lang w:val="es-ES_tradnl"/>
        </w:rPr>
      </w:pPr>
      <w:r w:rsidRPr="005547C4">
        <w:rPr>
          <w:lang w:val="es-ES_tradnl"/>
        </w:rPr>
        <w:t>______________</w:t>
      </w:r>
    </w:p>
    <w:sectPr w:rsidR="00913F79" w:rsidRPr="005547C4" w:rsidSect="004B7893">
      <w:headerReference w:type="default" r:id="rId24"/>
      <w:footerReference w:type="default" r:id="rId25"/>
      <w:footerReference w:type="first" r:id="rId26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CAE2F" w14:textId="77777777" w:rsidR="003D23C8" w:rsidRDefault="003D23C8" w:rsidP="0088106F">
      <w:r>
        <w:separator/>
      </w:r>
    </w:p>
  </w:endnote>
  <w:endnote w:type="continuationSeparator" w:id="0">
    <w:p w14:paraId="436EB218" w14:textId="77777777" w:rsidR="003D23C8" w:rsidRDefault="003D23C8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FBD6F" w14:textId="4EAE594B" w:rsidR="0088106F" w:rsidRPr="009A6FC4" w:rsidRDefault="006D3AB8" w:rsidP="008D007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D0079">
      <w:t>P:\ESP\ITU-D\CONF-D\TDAG21\000\010S.docx</w:t>
    </w:r>
    <w:r>
      <w:fldChar w:fldCharType="end"/>
    </w:r>
    <w:r w:rsidR="008D0079">
      <w:t xml:space="preserve"> (485971)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AC4822" w:rsidRPr="007960AA" w14:paraId="3DB966CE" w14:textId="77777777" w:rsidTr="00AC4822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0A35C9FF" w14:textId="77777777" w:rsidR="00AC4822" w:rsidRPr="007960AA" w:rsidRDefault="00AC4822" w:rsidP="007960A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7960AA">
            <w:rPr>
              <w:sz w:val="18"/>
              <w:szCs w:val="18"/>
              <w:lang w:val="es-ES_tradnl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4C92FAA7" w14:textId="77777777" w:rsidR="00AC4822" w:rsidRPr="007960AA" w:rsidRDefault="00AC4822" w:rsidP="007960A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r w:rsidRPr="007960AA">
            <w:rPr>
              <w:sz w:val="18"/>
              <w:szCs w:val="18"/>
              <w:lang w:val="es-ES_tradnl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</w:tcPr>
        <w:p w14:paraId="0A7ED6EC" w14:textId="111E0AA5" w:rsidR="00AC4822" w:rsidRPr="007960AA" w:rsidRDefault="007960AA" w:rsidP="007960AA">
          <w:pPr>
            <w:pStyle w:val="FirstFooter"/>
            <w:tabs>
              <w:tab w:val="left" w:pos="2160"/>
            </w:tabs>
            <w:rPr>
              <w:sz w:val="18"/>
              <w:szCs w:val="18"/>
              <w:lang w:val="es-ES_tradnl"/>
            </w:rPr>
          </w:pPr>
          <w:r w:rsidRPr="007960AA">
            <w:rPr>
              <w:sz w:val="18"/>
              <w:szCs w:val="18"/>
              <w:lang w:val="es-ES_tradnl"/>
            </w:rPr>
            <w:t>Sr.</w:t>
          </w:r>
          <w:r w:rsidR="00AC4822" w:rsidRPr="007960AA">
            <w:rPr>
              <w:sz w:val="18"/>
              <w:szCs w:val="18"/>
              <w:lang w:val="es-ES_tradnl"/>
            </w:rPr>
            <w:t xml:space="preserve"> Stephen Bereaux, </w:t>
          </w:r>
          <w:r w:rsidRPr="007960AA">
            <w:rPr>
              <w:sz w:val="18"/>
              <w:szCs w:val="18"/>
              <w:lang w:val="es-ES_tradnl"/>
            </w:rPr>
            <w:t>Director Adjunto, Oficina de Desarrollo de las Telecomunicaciones</w:t>
          </w:r>
        </w:p>
      </w:tc>
      <w:bookmarkStart w:id="62" w:name="OrgName"/>
      <w:bookmarkEnd w:id="62"/>
    </w:tr>
    <w:tr w:rsidR="00AC4822" w:rsidRPr="007960AA" w14:paraId="690089DD" w14:textId="77777777" w:rsidTr="00AC4822">
      <w:tc>
        <w:tcPr>
          <w:tcW w:w="1134" w:type="dxa"/>
          <w:shd w:val="clear" w:color="auto" w:fill="auto"/>
        </w:tcPr>
        <w:p w14:paraId="0CA9CE65" w14:textId="77777777" w:rsidR="00AC4822" w:rsidRPr="007960AA" w:rsidRDefault="00AC4822" w:rsidP="007960A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14:paraId="695FBF32" w14:textId="77777777" w:rsidR="00AC4822" w:rsidRPr="007960AA" w:rsidRDefault="00AC4822" w:rsidP="007960AA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7960AA">
            <w:rPr>
              <w:sz w:val="18"/>
              <w:szCs w:val="18"/>
              <w:lang w:val="es-ES_tradnl"/>
            </w:rPr>
            <w:t>Teléfono:</w:t>
          </w:r>
        </w:p>
      </w:tc>
      <w:tc>
        <w:tcPr>
          <w:tcW w:w="6237" w:type="dxa"/>
        </w:tcPr>
        <w:p w14:paraId="2B8246D3" w14:textId="1C9592DB" w:rsidR="00AC4822" w:rsidRPr="007960AA" w:rsidRDefault="00AC4822" w:rsidP="007960AA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7960AA">
            <w:rPr>
              <w:sz w:val="18"/>
              <w:szCs w:val="18"/>
              <w:lang w:val="es-ES_tradnl"/>
            </w:rPr>
            <w:t>+41 22 730 5131</w:t>
          </w:r>
        </w:p>
      </w:tc>
      <w:bookmarkStart w:id="63" w:name="PhoneNo"/>
      <w:bookmarkEnd w:id="63"/>
    </w:tr>
    <w:tr w:rsidR="00AC4822" w:rsidRPr="007960AA" w14:paraId="06FB6FAE" w14:textId="77777777" w:rsidTr="00AC4822">
      <w:tc>
        <w:tcPr>
          <w:tcW w:w="1134" w:type="dxa"/>
          <w:shd w:val="clear" w:color="auto" w:fill="auto"/>
        </w:tcPr>
        <w:p w14:paraId="54B5C3F1" w14:textId="77777777" w:rsidR="00AC4822" w:rsidRPr="007960AA" w:rsidRDefault="00AC4822" w:rsidP="007960A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14:paraId="5C2ADA87" w14:textId="77777777" w:rsidR="00AC4822" w:rsidRPr="007960AA" w:rsidRDefault="00AC4822" w:rsidP="007960AA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7960AA">
            <w:rPr>
              <w:sz w:val="18"/>
              <w:szCs w:val="18"/>
              <w:lang w:val="es-ES_tradnl"/>
            </w:rPr>
            <w:t>Correo-e:</w:t>
          </w:r>
        </w:p>
      </w:tc>
      <w:tc>
        <w:tcPr>
          <w:tcW w:w="6237" w:type="dxa"/>
        </w:tcPr>
        <w:p w14:paraId="20347951" w14:textId="312F9135" w:rsidR="00AC4822" w:rsidRPr="007960AA" w:rsidRDefault="006D3AB8" w:rsidP="007960AA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hyperlink r:id="rId1" w:history="1">
            <w:r w:rsidR="00AC4822" w:rsidRPr="007960AA">
              <w:rPr>
                <w:rStyle w:val="Hyperlink"/>
                <w:sz w:val="18"/>
                <w:szCs w:val="22"/>
                <w:lang w:val="es-ES_tradnl"/>
              </w:rPr>
              <w:t>stephen.bereaux@itu.int</w:t>
            </w:r>
          </w:hyperlink>
          <w:r w:rsidR="00AC4822" w:rsidRPr="007960AA">
            <w:rPr>
              <w:sz w:val="18"/>
              <w:szCs w:val="22"/>
              <w:lang w:val="es-ES_tradnl"/>
            </w:rPr>
            <w:t xml:space="preserve"> </w:t>
          </w:r>
        </w:p>
      </w:tc>
      <w:bookmarkStart w:id="64" w:name="Email"/>
      <w:bookmarkEnd w:id="64"/>
    </w:tr>
  </w:tbl>
  <w:p w14:paraId="289C33FD" w14:textId="77777777" w:rsidR="006E4AB3" w:rsidRPr="007960AA" w:rsidRDefault="006D3AB8" w:rsidP="008D007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rFonts w:ascii="Calibri" w:hAnsi="Calibri"/>
        <w:caps/>
        <w:noProof/>
        <w:sz w:val="16"/>
        <w:lang w:val="es-ES_tradnl"/>
      </w:rPr>
    </w:pPr>
    <w:hyperlink r:id="rId2" w:history="1">
      <w:r w:rsidR="00225D2E" w:rsidRPr="007960AA">
        <w:rPr>
          <w:rFonts w:ascii="Calibri" w:hAnsi="Calibri"/>
          <w:color w:val="0000FF"/>
          <w:sz w:val="18"/>
          <w:szCs w:val="18"/>
          <w:u w:val="single"/>
          <w:lang w:val="es-ES_tradnl"/>
        </w:rPr>
        <w:t>GADT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9F211" w14:textId="77777777" w:rsidR="003D23C8" w:rsidRDefault="003D23C8" w:rsidP="0088106F">
      <w:r>
        <w:separator/>
      </w:r>
    </w:p>
  </w:footnote>
  <w:footnote w:type="continuationSeparator" w:id="0">
    <w:p w14:paraId="318150B5" w14:textId="77777777" w:rsidR="003D23C8" w:rsidRDefault="003D23C8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1AD22" w14:textId="471AA41F" w:rsidR="009A6FC4" w:rsidRPr="00913F79" w:rsidRDefault="009A6FC4" w:rsidP="00913F79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Pr="003D4CFB">
      <w:rPr>
        <w:sz w:val="22"/>
        <w:szCs w:val="22"/>
        <w:lang w:val="en-US"/>
      </w:rPr>
      <w:t>TDAG</w:t>
    </w:r>
    <w:r w:rsidR="00602B27">
      <w:rPr>
        <w:sz w:val="22"/>
        <w:szCs w:val="22"/>
        <w:lang w:val="en-US"/>
      </w:rPr>
      <w:t>-</w:t>
    </w:r>
    <w:r w:rsidR="00AA076A">
      <w:rPr>
        <w:sz w:val="22"/>
        <w:szCs w:val="22"/>
        <w:lang w:val="en-US"/>
      </w:rPr>
      <w:t>2</w:t>
    </w:r>
    <w:r w:rsidR="00C85582">
      <w:rPr>
        <w:sz w:val="22"/>
        <w:szCs w:val="22"/>
        <w:lang w:val="en-US"/>
      </w:rPr>
      <w:t>1</w:t>
    </w:r>
    <w:r w:rsidRPr="003D4CFB">
      <w:rPr>
        <w:sz w:val="22"/>
        <w:szCs w:val="22"/>
        <w:lang w:val="en-US"/>
      </w:rPr>
      <w:t>/</w:t>
    </w:r>
    <w:r w:rsidR="00913F79">
      <w:rPr>
        <w:sz w:val="22"/>
        <w:szCs w:val="22"/>
        <w:lang w:val="en-US"/>
      </w:rPr>
      <w:t>10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86435F">
      <w:rPr>
        <w:noProof/>
        <w:sz w:val="22"/>
        <w:szCs w:val="22"/>
        <w:lang w:val="en-US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67D24"/>
    <w:multiLevelType w:val="multilevel"/>
    <w:tmpl w:val="2CF6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FD6B5A"/>
    <w:multiLevelType w:val="hybridMultilevel"/>
    <w:tmpl w:val="61708640"/>
    <w:lvl w:ilvl="0" w:tplc="77F8D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4C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628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0E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0D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E21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2F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18CE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181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464DB"/>
    <w:multiLevelType w:val="hybridMultilevel"/>
    <w:tmpl w:val="FD78970C"/>
    <w:lvl w:ilvl="0" w:tplc="1F36D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E6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60F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8A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BC0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364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06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EA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9A8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C8"/>
    <w:rsid w:val="000135AE"/>
    <w:rsid w:val="00033D49"/>
    <w:rsid w:val="000725A1"/>
    <w:rsid w:val="000C0AA7"/>
    <w:rsid w:val="000E7A0A"/>
    <w:rsid w:val="00114B51"/>
    <w:rsid w:val="00194CB2"/>
    <w:rsid w:val="001B0F91"/>
    <w:rsid w:val="001F037B"/>
    <w:rsid w:val="00213302"/>
    <w:rsid w:val="00221C14"/>
    <w:rsid w:val="00225D2E"/>
    <w:rsid w:val="00231AF1"/>
    <w:rsid w:val="00241CB9"/>
    <w:rsid w:val="002A7FAB"/>
    <w:rsid w:val="002D4BE6"/>
    <w:rsid w:val="002D6772"/>
    <w:rsid w:val="002D74C9"/>
    <w:rsid w:val="00302736"/>
    <w:rsid w:val="0033649F"/>
    <w:rsid w:val="00360762"/>
    <w:rsid w:val="00390391"/>
    <w:rsid w:val="003B2389"/>
    <w:rsid w:val="003B6D41"/>
    <w:rsid w:val="003D23C8"/>
    <w:rsid w:val="003D4CFB"/>
    <w:rsid w:val="003F3BDD"/>
    <w:rsid w:val="00452CAC"/>
    <w:rsid w:val="00482632"/>
    <w:rsid w:val="00492B9B"/>
    <w:rsid w:val="004B668F"/>
    <w:rsid w:val="004B7893"/>
    <w:rsid w:val="004E4C82"/>
    <w:rsid w:val="004E7861"/>
    <w:rsid w:val="00535C50"/>
    <w:rsid w:val="0055073D"/>
    <w:rsid w:val="005547C4"/>
    <w:rsid w:val="005557A3"/>
    <w:rsid w:val="00555B66"/>
    <w:rsid w:val="005637B9"/>
    <w:rsid w:val="005643DC"/>
    <w:rsid w:val="0059668A"/>
    <w:rsid w:val="005B5780"/>
    <w:rsid w:val="00602B27"/>
    <w:rsid w:val="00603CC6"/>
    <w:rsid w:val="00616BB8"/>
    <w:rsid w:val="00622EBE"/>
    <w:rsid w:val="006339E7"/>
    <w:rsid w:val="00635A62"/>
    <w:rsid w:val="0068265E"/>
    <w:rsid w:val="006A6B93"/>
    <w:rsid w:val="006B69AE"/>
    <w:rsid w:val="006D3AB8"/>
    <w:rsid w:val="006E4AB3"/>
    <w:rsid w:val="006F39EB"/>
    <w:rsid w:val="00703B76"/>
    <w:rsid w:val="00761ADF"/>
    <w:rsid w:val="007960AA"/>
    <w:rsid w:val="007C3061"/>
    <w:rsid w:val="007D5950"/>
    <w:rsid w:val="007E471D"/>
    <w:rsid w:val="00835A77"/>
    <w:rsid w:val="0086435F"/>
    <w:rsid w:val="0088106F"/>
    <w:rsid w:val="008C1852"/>
    <w:rsid w:val="008D0079"/>
    <w:rsid w:val="008D789A"/>
    <w:rsid w:val="00913F79"/>
    <w:rsid w:val="00917B12"/>
    <w:rsid w:val="00920CE5"/>
    <w:rsid w:val="00951438"/>
    <w:rsid w:val="009752D2"/>
    <w:rsid w:val="00991B13"/>
    <w:rsid w:val="009952F6"/>
    <w:rsid w:val="009A6FC4"/>
    <w:rsid w:val="009C0B24"/>
    <w:rsid w:val="009D1BD4"/>
    <w:rsid w:val="00A23E7B"/>
    <w:rsid w:val="00A33516"/>
    <w:rsid w:val="00A4315E"/>
    <w:rsid w:val="00A52C23"/>
    <w:rsid w:val="00A86950"/>
    <w:rsid w:val="00A87DD9"/>
    <w:rsid w:val="00AA076A"/>
    <w:rsid w:val="00AC4822"/>
    <w:rsid w:val="00AD5069"/>
    <w:rsid w:val="00AE1BA7"/>
    <w:rsid w:val="00AF563E"/>
    <w:rsid w:val="00B06D12"/>
    <w:rsid w:val="00B1407E"/>
    <w:rsid w:val="00B92B4C"/>
    <w:rsid w:val="00B94B16"/>
    <w:rsid w:val="00BC7208"/>
    <w:rsid w:val="00C1075E"/>
    <w:rsid w:val="00C85582"/>
    <w:rsid w:val="00CA1741"/>
    <w:rsid w:val="00CF657A"/>
    <w:rsid w:val="00D02477"/>
    <w:rsid w:val="00D16175"/>
    <w:rsid w:val="00D372A5"/>
    <w:rsid w:val="00D40645"/>
    <w:rsid w:val="00D478DF"/>
    <w:rsid w:val="00D959AB"/>
    <w:rsid w:val="00DB10E7"/>
    <w:rsid w:val="00DE658D"/>
    <w:rsid w:val="00E17138"/>
    <w:rsid w:val="00E204A0"/>
    <w:rsid w:val="00E3519F"/>
    <w:rsid w:val="00E51C72"/>
    <w:rsid w:val="00E57260"/>
    <w:rsid w:val="00E7567F"/>
    <w:rsid w:val="00E827C2"/>
    <w:rsid w:val="00EA0917"/>
    <w:rsid w:val="00EA3DCB"/>
    <w:rsid w:val="00EB6D19"/>
    <w:rsid w:val="00ED2681"/>
    <w:rsid w:val="00F01E28"/>
    <w:rsid w:val="00F12690"/>
    <w:rsid w:val="00F370DE"/>
    <w:rsid w:val="00F8584C"/>
    <w:rsid w:val="00F97312"/>
    <w:rsid w:val="00FA520F"/>
    <w:rsid w:val="00FA67A2"/>
    <w:rsid w:val="00FD3A29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A73FE1"/>
  <w15:docId w15:val="{CE7E8827-5B0F-4B58-9C8B-99DA26CD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aliases w:val="CEO_Hyperlink"/>
    <w:basedOn w:val="DefaultParagraphFont"/>
    <w:uiPriority w:val="99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uiPriority w:val="39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991B13"/>
    <w:pPr>
      <w:spacing w:before="240" w:after="24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991B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622EB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2EBE"/>
    <w:rPr>
      <w:rFonts w:eastAsia="Times New Roman" w:cs="Times New Roman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52C2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C23"/>
    <w:rPr>
      <w:color w:val="605E5C"/>
      <w:shd w:val="clear" w:color="auto" w:fill="E1DFDD"/>
    </w:rPr>
  </w:style>
  <w:style w:type="paragraph" w:customStyle="1" w:styleId="Figure">
    <w:name w:val="Figure"/>
    <w:basedOn w:val="Normal"/>
    <w:next w:val="FigureNotitle"/>
    <w:rsid w:val="00B1407E"/>
    <w:pPr>
      <w:spacing w:before="240" w:after="120"/>
      <w:jc w:val="center"/>
    </w:pPr>
    <w:rPr>
      <w:lang w:val="es-ES_tradnl"/>
    </w:rPr>
  </w:style>
  <w:style w:type="paragraph" w:customStyle="1" w:styleId="FigureNotitle">
    <w:name w:val="Figure_No &amp; title"/>
    <w:basedOn w:val="Normal"/>
    <w:next w:val="Normal"/>
    <w:rsid w:val="00B1407E"/>
    <w:pPr>
      <w:keepNext/>
      <w:keepLines/>
      <w:spacing w:before="240" w:after="120"/>
      <w:jc w:val="center"/>
    </w:pPr>
    <w:rPr>
      <w:b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S21-DM-CIR-01010/es" TargetMode="External"/><Relationship Id="rId18" Type="http://schemas.openxmlformats.org/officeDocument/2006/relationships/hyperlink" Target="https://www.itu.int/md/D18-TDAG28-C-0009/es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s://www.itu.int/md/S21-CL-C-0076/es" TargetMode="External"/><Relationship Id="rId17" Type="http://schemas.openxmlformats.org/officeDocument/2006/relationships/hyperlink" Target="https://www.itu.int/md/D18-TDAG28-C-0008/es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8-TDAG28-C-0009/es" TargetMode="External"/><Relationship Id="rId20" Type="http://schemas.openxmlformats.org/officeDocument/2006/relationships/hyperlink" Target="https://www.itu.int/es/ITU-D/Conferences/TDAG/Pages/TDAG_WG_SOP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RPMIRM-C-0021/e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8-TDAG28-C-0008/es" TargetMode="External"/><Relationship Id="rId23" Type="http://schemas.openxmlformats.org/officeDocument/2006/relationships/hyperlink" Target="https://www.itu.int/md/D18-TDAG28-C-0022/e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tu.int/md/S21-DM-CIR-01010/es" TargetMode="External"/><Relationship Id="rId19" Type="http://schemas.openxmlformats.org/officeDocument/2006/relationships/hyperlink" Target="https://www.itu.int/es/ITU-D/Conferences/TDAG/Pages/TDAG_WG_WTDC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S21-SG-CIR-0019/es" TargetMode="External"/><Relationship Id="rId22" Type="http://schemas.openxmlformats.org/officeDocument/2006/relationships/hyperlink" Target="https://www.itu.int/en/ITU-D/Conferences/WTDC/WTDC17/Documents/WTDC17_final_report_es.pdf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BDT-TDAG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96DDF-CADE-4D3E-82C7-7A5A2416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PS_BDT-TDAG21.dotx</Template>
  <TotalTime>154</TotalTime>
  <Pages>6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14496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Spanish</dc:creator>
  <cp:keywords/>
  <dc:description/>
  <cp:lastModifiedBy>BDT-nd</cp:lastModifiedBy>
  <cp:revision>9</cp:revision>
  <dcterms:created xsi:type="dcterms:W3CDTF">2021-05-19T09:46:00Z</dcterms:created>
  <dcterms:modified xsi:type="dcterms:W3CDTF">2021-05-20T07:26:00Z</dcterms:modified>
</cp:coreProperties>
</file>