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268"/>
        <w:gridCol w:w="4111"/>
        <w:gridCol w:w="1985"/>
        <w:gridCol w:w="1524"/>
      </w:tblGrid>
      <w:tr w:rsidR="005221A2" w:rsidRPr="0044093E" w14:paraId="1C20896F" w14:textId="77777777" w:rsidTr="005221A2">
        <w:trPr>
          <w:cantSplit/>
          <w:trHeight w:val="1134"/>
        </w:trPr>
        <w:tc>
          <w:tcPr>
            <w:tcW w:w="2268" w:type="dxa"/>
          </w:tcPr>
          <w:p w14:paraId="45C5ED40" w14:textId="1F9903B0" w:rsidR="005221A2" w:rsidRPr="0044093E" w:rsidRDefault="005221A2" w:rsidP="005221A2">
            <w:pPr>
              <w:tabs>
                <w:tab w:val="clear" w:pos="1191"/>
                <w:tab w:val="clear" w:pos="1588"/>
                <w:tab w:val="clear" w:pos="1985"/>
              </w:tabs>
              <w:spacing w:after="120"/>
              <w:ind w:left="34"/>
              <w:rPr>
                <w:b/>
                <w:bCs/>
                <w:sz w:val="32"/>
                <w:szCs w:val="32"/>
                <w:lang w:val="fr-FR"/>
              </w:rPr>
            </w:pPr>
            <w:r w:rsidRPr="0044093E">
              <w:rPr>
                <w:b/>
                <w:bCs/>
                <w:noProof/>
                <w:sz w:val="32"/>
                <w:szCs w:val="32"/>
                <w:lang w:val="en-US"/>
              </w:rPr>
              <w:drawing>
                <wp:inline distT="0" distB="0" distL="0" distR="0" wp14:anchorId="4C2F4A2F" wp14:editId="4D3DBF58">
                  <wp:extent cx="1069224" cy="9334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F.png"/>
                          <pic:cNvPicPr/>
                        </pic:nvPicPr>
                        <pic:blipFill rotWithShape="1">
                          <a:blip r:embed="rId8" cstate="print">
                            <a:extLst>
                              <a:ext uri="{28A0092B-C50C-407E-A947-70E740481C1C}">
                                <a14:useLocalDpi xmlns:a14="http://schemas.microsoft.com/office/drawing/2010/main" val="0"/>
                              </a:ext>
                            </a:extLst>
                          </a:blip>
                          <a:srcRect t="8968"/>
                          <a:stretch/>
                        </pic:blipFill>
                        <pic:spPr bwMode="auto">
                          <a:xfrm>
                            <a:off x="0" y="0"/>
                            <a:ext cx="1072989" cy="936737"/>
                          </a:xfrm>
                          <a:prstGeom prst="rect">
                            <a:avLst/>
                          </a:prstGeom>
                          <a:ln>
                            <a:noFill/>
                          </a:ln>
                          <a:extLst>
                            <a:ext uri="{53640926-AAD7-44D8-BBD7-CCE9431645EC}">
                              <a14:shadowObscured xmlns:a14="http://schemas.microsoft.com/office/drawing/2010/main"/>
                            </a:ext>
                          </a:extLst>
                        </pic:spPr>
                      </pic:pic>
                    </a:graphicData>
                  </a:graphic>
                </wp:inline>
              </w:drawing>
            </w:r>
          </w:p>
        </w:tc>
        <w:tc>
          <w:tcPr>
            <w:tcW w:w="6096" w:type="dxa"/>
            <w:gridSpan w:val="2"/>
          </w:tcPr>
          <w:p w14:paraId="3F7D2D25" w14:textId="77777777" w:rsidR="005221A2" w:rsidRPr="0044093E" w:rsidRDefault="005221A2" w:rsidP="005221A2">
            <w:pPr>
              <w:tabs>
                <w:tab w:val="clear" w:pos="1191"/>
                <w:tab w:val="clear" w:pos="1588"/>
                <w:tab w:val="clear" w:pos="1985"/>
              </w:tabs>
              <w:spacing w:before="280" w:after="120"/>
              <w:ind w:left="34"/>
              <w:rPr>
                <w:b/>
                <w:bCs/>
                <w:sz w:val="32"/>
                <w:szCs w:val="32"/>
                <w:lang w:val="fr-FR"/>
              </w:rPr>
            </w:pPr>
            <w:r w:rsidRPr="0044093E">
              <w:rPr>
                <w:b/>
                <w:bCs/>
                <w:sz w:val="32"/>
                <w:szCs w:val="32"/>
                <w:lang w:val="fr-FR"/>
              </w:rPr>
              <w:t xml:space="preserve">Groupe consultatif pour le développement </w:t>
            </w:r>
            <w:r w:rsidRPr="0044093E">
              <w:rPr>
                <w:b/>
                <w:bCs/>
                <w:sz w:val="32"/>
                <w:szCs w:val="32"/>
                <w:lang w:val="fr-FR"/>
              </w:rPr>
              <w:br/>
              <w:t>des télécommunications (GCDT)</w:t>
            </w:r>
          </w:p>
          <w:p w14:paraId="3DFE313D" w14:textId="3622BC23" w:rsidR="005221A2" w:rsidRPr="0044093E" w:rsidRDefault="005221A2" w:rsidP="00D37A23">
            <w:pPr>
              <w:tabs>
                <w:tab w:val="clear" w:pos="1191"/>
                <w:tab w:val="clear" w:pos="1588"/>
                <w:tab w:val="clear" w:pos="1985"/>
              </w:tabs>
              <w:spacing w:before="100" w:after="120"/>
              <w:ind w:left="34"/>
              <w:rPr>
                <w:rFonts w:ascii="Verdana" w:hAnsi="Verdana"/>
                <w:sz w:val="28"/>
                <w:szCs w:val="28"/>
                <w:lang w:val="fr-FR"/>
              </w:rPr>
            </w:pPr>
            <w:r w:rsidRPr="0044093E">
              <w:rPr>
                <w:b/>
                <w:bCs/>
                <w:sz w:val="26"/>
                <w:szCs w:val="26"/>
                <w:lang w:val="fr-FR"/>
              </w:rPr>
              <w:t>28ème réunion, virtuelle, 2</w:t>
            </w:r>
            <w:r w:rsidR="00191189" w:rsidRPr="0044093E">
              <w:rPr>
                <w:b/>
                <w:bCs/>
                <w:sz w:val="26"/>
                <w:szCs w:val="26"/>
                <w:lang w:val="fr-FR"/>
              </w:rPr>
              <w:t>4</w:t>
            </w:r>
            <w:r w:rsidRPr="0044093E">
              <w:rPr>
                <w:b/>
                <w:bCs/>
                <w:sz w:val="26"/>
                <w:szCs w:val="26"/>
                <w:lang w:val="fr-FR"/>
              </w:rPr>
              <w:t>-28 mai 2021</w:t>
            </w:r>
          </w:p>
        </w:tc>
        <w:tc>
          <w:tcPr>
            <w:tcW w:w="1524" w:type="dxa"/>
          </w:tcPr>
          <w:p w14:paraId="5BB3CF32" w14:textId="2BFBE1BC" w:rsidR="005221A2" w:rsidRPr="0044093E" w:rsidRDefault="002E38ED" w:rsidP="005221A2">
            <w:pPr>
              <w:spacing w:before="240"/>
              <w:ind w:right="142"/>
              <w:jc w:val="right"/>
              <w:rPr>
                <w:lang w:val="fr-FR"/>
              </w:rPr>
            </w:pPr>
            <w:r w:rsidRPr="0044093E">
              <w:rPr>
                <w:noProof/>
                <w:lang w:val="en-US"/>
              </w:rPr>
              <w:drawing>
                <wp:inline distT="0" distB="0" distL="0" distR="0" wp14:anchorId="790FBF89" wp14:editId="6C33ED98">
                  <wp:extent cx="712470" cy="785495"/>
                  <wp:effectExtent l="0" t="0" r="0" b="0"/>
                  <wp:docPr id="3" name="Picture 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44093E" w14:paraId="27F9265D" w14:textId="77777777" w:rsidTr="005221A2">
        <w:trPr>
          <w:cantSplit/>
        </w:trPr>
        <w:tc>
          <w:tcPr>
            <w:tcW w:w="6379" w:type="dxa"/>
            <w:gridSpan w:val="2"/>
            <w:tcBorders>
              <w:top w:val="single" w:sz="12" w:space="0" w:color="auto"/>
            </w:tcBorders>
          </w:tcPr>
          <w:p w14:paraId="274519C1" w14:textId="77777777" w:rsidR="00683C32" w:rsidRPr="0044093E" w:rsidRDefault="00683C32" w:rsidP="00107E85">
            <w:pPr>
              <w:spacing w:before="0"/>
              <w:rPr>
                <w:rFonts w:cs="Arial"/>
                <w:b/>
                <w:bCs/>
                <w:sz w:val="20"/>
                <w:lang w:val="fr-FR"/>
              </w:rPr>
            </w:pPr>
          </w:p>
        </w:tc>
        <w:tc>
          <w:tcPr>
            <w:tcW w:w="3509" w:type="dxa"/>
            <w:gridSpan w:val="2"/>
            <w:tcBorders>
              <w:top w:val="single" w:sz="12" w:space="0" w:color="auto"/>
            </w:tcBorders>
          </w:tcPr>
          <w:p w14:paraId="20F9BDF5" w14:textId="77777777" w:rsidR="00683C32" w:rsidRPr="0044093E" w:rsidRDefault="00683C32" w:rsidP="00107E85">
            <w:pPr>
              <w:spacing w:before="0"/>
              <w:rPr>
                <w:b/>
                <w:bCs/>
                <w:sz w:val="20"/>
                <w:lang w:val="fr-FR"/>
              </w:rPr>
            </w:pPr>
          </w:p>
        </w:tc>
      </w:tr>
      <w:tr w:rsidR="00683C32" w:rsidRPr="0044093E" w14:paraId="46C2A819" w14:textId="77777777" w:rsidTr="005221A2">
        <w:trPr>
          <w:cantSplit/>
        </w:trPr>
        <w:tc>
          <w:tcPr>
            <w:tcW w:w="6379" w:type="dxa"/>
            <w:gridSpan w:val="2"/>
          </w:tcPr>
          <w:p w14:paraId="1C4186C5" w14:textId="77777777" w:rsidR="00683C32" w:rsidRPr="0044093E" w:rsidRDefault="00683C32" w:rsidP="00400CCF">
            <w:pPr>
              <w:pStyle w:val="Committee"/>
              <w:spacing w:before="0"/>
              <w:rPr>
                <w:b w:val="0"/>
                <w:szCs w:val="24"/>
                <w:lang w:val="fr-FR"/>
              </w:rPr>
            </w:pPr>
          </w:p>
        </w:tc>
        <w:tc>
          <w:tcPr>
            <w:tcW w:w="3509" w:type="dxa"/>
            <w:gridSpan w:val="2"/>
          </w:tcPr>
          <w:p w14:paraId="18DBE3E6" w14:textId="1A4B0CD9" w:rsidR="00683C32" w:rsidRPr="0044093E" w:rsidRDefault="0096201B" w:rsidP="00B648C7">
            <w:pPr>
              <w:spacing w:before="0"/>
              <w:jc w:val="both"/>
              <w:rPr>
                <w:bCs/>
                <w:szCs w:val="24"/>
                <w:lang w:val="fr-FR"/>
              </w:rPr>
            </w:pPr>
            <w:r w:rsidRPr="0044093E">
              <w:rPr>
                <w:b/>
                <w:bCs/>
                <w:lang w:val="fr-FR"/>
              </w:rPr>
              <w:t xml:space="preserve">Document </w:t>
            </w:r>
            <w:bookmarkStart w:id="0" w:name="DocRef1"/>
            <w:bookmarkEnd w:id="0"/>
            <w:r w:rsidRPr="0044093E">
              <w:rPr>
                <w:b/>
                <w:bCs/>
                <w:lang w:val="fr-FR"/>
              </w:rPr>
              <w:t>TDAG</w:t>
            </w:r>
            <w:r w:rsidR="003242AB" w:rsidRPr="0044093E">
              <w:rPr>
                <w:b/>
                <w:bCs/>
                <w:lang w:val="fr-FR"/>
              </w:rPr>
              <w:t>-</w:t>
            </w:r>
            <w:r w:rsidR="00B648C7" w:rsidRPr="0044093E">
              <w:rPr>
                <w:b/>
                <w:bCs/>
                <w:lang w:val="fr-FR"/>
              </w:rPr>
              <w:t>2</w:t>
            </w:r>
            <w:bookmarkStart w:id="1" w:name="DocNo1"/>
            <w:bookmarkEnd w:id="1"/>
            <w:r w:rsidR="005221A2" w:rsidRPr="0044093E">
              <w:rPr>
                <w:b/>
                <w:bCs/>
                <w:lang w:val="fr-FR"/>
              </w:rPr>
              <w:t>1</w:t>
            </w:r>
            <w:r w:rsidR="0009076F" w:rsidRPr="0044093E">
              <w:rPr>
                <w:b/>
                <w:bCs/>
                <w:lang w:val="fr-FR"/>
              </w:rPr>
              <w:t>/</w:t>
            </w:r>
            <w:r w:rsidR="00CD3DC8" w:rsidRPr="0044093E">
              <w:rPr>
                <w:b/>
                <w:bCs/>
                <w:lang w:val="fr-FR"/>
              </w:rPr>
              <w:t>10</w:t>
            </w:r>
            <w:r w:rsidRPr="0044093E">
              <w:rPr>
                <w:b/>
                <w:bCs/>
                <w:lang w:val="fr-FR"/>
              </w:rPr>
              <w:t>-</w:t>
            </w:r>
            <w:r w:rsidR="00D37A23" w:rsidRPr="0044093E">
              <w:rPr>
                <w:b/>
                <w:bCs/>
                <w:lang w:val="fr-FR"/>
              </w:rPr>
              <w:t>F</w:t>
            </w:r>
          </w:p>
        </w:tc>
      </w:tr>
      <w:tr w:rsidR="00683C32" w:rsidRPr="0044093E" w14:paraId="3E4E062E" w14:textId="77777777" w:rsidTr="005221A2">
        <w:trPr>
          <w:cantSplit/>
        </w:trPr>
        <w:tc>
          <w:tcPr>
            <w:tcW w:w="6379" w:type="dxa"/>
            <w:gridSpan w:val="2"/>
          </w:tcPr>
          <w:p w14:paraId="34B7B41B" w14:textId="77777777" w:rsidR="00683C32" w:rsidRPr="0044093E" w:rsidRDefault="00683C32" w:rsidP="00400CCF">
            <w:pPr>
              <w:spacing w:before="0"/>
              <w:rPr>
                <w:b/>
                <w:bCs/>
                <w:smallCaps/>
                <w:szCs w:val="24"/>
                <w:lang w:val="fr-FR"/>
              </w:rPr>
            </w:pPr>
          </w:p>
        </w:tc>
        <w:tc>
          <w:tcPr>
            <w:tcW w:w="3509" w:type="dxa"/>
            <w:gridSpan w:val="2"/>
          </w:tcPr>
          <w:p w14:paraId="06852E4D" w14:textId="7957FAE5" w:rsidR="00683C32" w:rsidRPr="0044093E" w:rsidRDefault="00CD3DC8" w:rsidP="00B648C7">
            <w:pPr>
              <w:spacing w:before="0"/>
              <w:rPr>
                <w:b/>
                <w:szCs w:val="24"/>
                <w:lang w:val="fr-FR"/>
              </w:rPr>
            </w:pPr>
            <w:bookmarkStart w:id="2" w:name="CreationDate"/>
            <w:bookmarkEnd w:id="2"/>
            <w:r w:rsidRPr="0044093E">
              <w:rPr>
                <w:b/>
                <w:bCs/>
                <w:szCs w:val="28"/>
                <w:lang w:val="fr-FR"/>
              </w:rPr>
              <w:t>1</w:t>
            </w:r>
            <w:r w:rsidR="009306C4">
              <w:rPr>
                <w:b/>
                <w:bCs/>
                <w:szCs w:val="28"/>
                <w:lang w:val="fr-FR"/>
              </w:rPr>
              <w:t>8</w:t>
            </w:r>
            <w:bookmarkStart w:id="3" w:name="_GoBack"/>
            <w:bookmarkEnd w:id="3"/>
            <w:r w:rsidRPr="0044093E">
              <w:rPr>
                <w:b/>
                <w:bCs/>
                <w:szCs w:val="28"/>
                <w:lang w:val="fr-FR"/>
              </w:rPr>
              <w:t xml:space="preserve"> mai</w:t>
            </w:r>
            <w:r w:rsidR="00CE0422" w:rsidRPr="0044093E">
              <w:rPr>
                <w:b/>
                <w:bCs/>
                <w:szCs w:val="28"/>
                <w:lang w:val="fr-FR"/>
              </w:rPr>
              <w:t xml:space="preserve"> 20</w:t>
            </w:r>
            <w:r w:rsidR="00B648C7" w:rsidRPr="0044093E">
              <w:rPr>
                <w:b/>
                <w:bCs/>
                <w:szCs w:val="28"/>
                <w:lang w:val="fr-FR"/>
              </w:rPr>
              <w:t>2</w:t>
            </w:r>
            <w:r w:rsidR="002C248F" w:rsidRPr="0044093E">
              <w:rPr>
                <w:b/>
                <w:bCs/>
                <w:szCs w:val="28"/>
                <w:lang w:val="fr-FR"/>
              </w:rPr>
              <w:t>1</w:t>
            </w:r>
          </w:p>
        </w:tc>
      </w:tr>
      <w:tr w:rsidR="00683C32" w:rsidRPr="0044093E" w14:paraId="3834278A" w14:textId="77777777" w:rsidTr="005221A2">
        <w:trPr>
          <w:cantSplit/>
        </w:trPr>
        <w:tc>
          <w:tcPr>
            <w:tcW w:w="6379" w:type="dxa"/>
            <w:gridSpan w:val="2"/>
          </w:tcPr>
          <w:p w14:paraId="524FF41E" w14:textId="77777777" w:rsidR="00683C32" w:rsidRPr="0044093E" w:rsidRDefault="00683C32" w:rsidP="00400CCF">
            <w:pPr>
              <w:spacing w:before="0"/>
              <w:rPr>
                <w:b/>
                <w:bCs/>
                <w:smallCaps/>
                <w:szCs w:val="24"/>
                <w:lang w:val="fr-FR"/>
              </w:rPr>
            </w:pPr>
          </w:p>
        </w:tc>
        <w:tc>
          <w:tcPr>
            <w:tcW w:w="3509" w:type="dxa"/>
            <w:gridSpan w:val="2"/>
          </w:tcPr>
          <w:p w14:paraId="605501D5" w14:textId="395EB052" w:rsidR="00514D2F" w:rsidRPr="0044093E" w:rsidRDefault="0096201B" w:rsidP="00400CCF">
            <w:pPr>
              <w:spacing w:before="0"/>
              <w:rPr>
                <w:szCs w:val="24"/>
                <w:lang w:val="fr-FR"/>
              </w:rPr>
            </w:pPr>
            <w:r w:rsidRPr="0044093E">
              <w:rPr>
                <w:b/>
                <w:lang w:val="fr-FR"/>
              </w:rPr>
              <w:t>Original:</w:t>
            </w:r>
            <w:bookmarkStart w:id="4" w:name="Original"/>
            <w:bookmarkEnd w:id="4"/>
            <w:r w:rsidR="00CE0422" w:rsidRPr="0044093E">
              <w:rPr>
                <w:b/>
                <w:lang w:val="fr-FR"/>
              </w:rPr>
              <w:t xml:space="preserve"> </w:t>
            </w:r>
            <w:r w:rsidR="009B008D" w:rsidRPr="0044093E">
              <w:rPr>
                <w:b/>
                <w:lang w:val="fr-FR"/>
              </w:rPr>
              <w:t>anglais</w:t>
            </w:r>
          </w:p>
        </w:tc>
      </w:tr>
      <w:tr w:rsidR="00A13162" w:rsidRPr="008B2B25" w14:paraId="29562115" w14:textId="77777777" w:rsidTr="00107E85">
        <w:trPr>
          <w:cantSplit/>
          <w:trHeight w:val="852"/>
        </w:trPr>
        <w:tc>
          <w:tcPr>
            <w:tcW w:w="9888" w:type="dxa"/>
            <w:gridSpan w:val="4"/>
          </w:tcPr>
          <w:p w14:paraId="43DDA6D5" w14:textId="7DFD9BCB" w:rsidR="00A13162" w:rsidRPr="0044093E" w:rsidRDefault="00E42D3D" w:rsidP="00E32A6C">
            <w:pPr>
              <w:pStyle w:val="Source"/>
              <w:rPr>
                <w:lang w:val="fr-FR"/>
              </w:rPr>
            </w:pPr>
            <w:r w:rsidRPr="0044093E">
              <w:rPr>
                <w:lang w:val="fr-FR"/>
              </w:rPr>
              <w:t>Directrice du Bureau de développement des télécommunications</w:t>
            </w:r>
          </w:p>
        </w:tc>
      </w:tr>
      <w:tr w:rsidR="00AC6F14" w:rsidRPr="008B2B25" w14:paraId="7644819D" w14:textId="77777777" w:rsidTr="00107E85">
        <w:trPr>
          <w:cantSplit/>
        </w:trPr>
        <w:tc>
          <w:tcPr>
            <w:tcW w:w="9888" w:type="dxa"/>
            <w:gridSpan w:val="4"/>
          </w:tcPr>
          <w:p w14:paraId="683FE517" w14:textId="2D27EB86" w:rsidR="00AC6F14" w:rsidRPr="0044093E" w:rsidRDefault="00BA5873" w:rsidP="00E32A6C">
            <w:pPr>
              <w:pStyle w:val="Title1"/>
              <w:rPr>
                <w:lang w:val="fr-FR"/>
              </w:rPr>
            </w:pPr>
            <w:bookmarkStart w:id="5" w:name="Title"/>
            <w:bookmarkEnd w:id="5"/>
            <w:r w:rsidRPr="0044093E">
              <w:rPr>
                <w:lang w:val="fr-FR"/>
              </w:rPr>
              <w:t>Plan pour la continuité des travaux de l'UIT-D en cas de report</w:t>
            </w:r>
            <w:r w:rsidRPr="0044093E">
              <w:rPr>
                <w:lang w:val="fr-FR"/>
              </w:rPr>
              <w:br/>
              <w:t>de la CMDT-21 à juin 2022</w:t>
            </w:r>
          </w:p>
        </w:tc>
      </w:tr>
      <w:tr w:rsidR="00A721F4" w:rsidRPr="008B2B25" w14:paraId="0E912AC2" w14:textId="77777777" w:rsidTr="00A721F4">
        <w:trPr>
          <w:cantSplit/>
        </w:trPr>
        <w:tc>
          <w:tcPr>
            <w:tcW w:w="9888" w:type="dxa"/>
            <w:gridSpan w:val="4"/>
            <w:tcBorders>
              <w:bottom w:val="single" w:sz="4" w:space="0" w:color="auto"/>
            </w:tcBorders>
          </w:tcPr>
          <w:p w14:paraId="3D2D5135" w14:textId="77777777" w:rsidR="00A721F4" w:rsidRPr="0044093E" w:rsidRDefault="00A721F4" w:rsidP="0030353C">
            <w:pPr>
              <w:rPr>
                <w:lang w:val="fr-FR"/>
              </w:rPr>
            </w:pPr>
          </w:p>
        </w:tc>
      </w:tr>
      <w:tr w:rsidR="00A721F4" w:rsidRPr="0044093E" w14:paraId="15E3CA6F"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72221968" w14:textId="7AAE885A" w:rsidR="00A721F4" w:rsidRPr="0044093E" w:rsidRDefault="00D37A23" w:rsidP="00E32A6C">
            <w:pPr>
              <w:spacing w:after="120"/>
              <w:rPr>
                <w:b/>
                <w:bCs/>
                <w:szCs w:val="24"/>
                <w:lang w:val="fr-FR"/>
              </w:rPr>
            </w:pPr>
            <w:r w:rsidRPr="0044093E">
              <w:rPr>
                <w:b/>
                <w:bCs/>
                <w:szCs w:val="24"/>
                <w:lang w:val="fr-FR"/>
              </w:rPr>
              <w:t>Résumé</w:t>
            </w:r>
            <w:r w:rsidR="00A721F4" w:rsidRPr="0044093E">
              <w:rPr>
                <w:b/>
                <w:bCs/>
                <w:szCs w:val="24"/>
                <w:lang w:val="fr-FR"/>
              </w:rPr>
              <w:t>:</w:t>
            </w:r>
          </w:p>
          <w:p w14:paraId="47745426" w14:textId="2672CF48" w:rsidR="005221A2" w:rsidRPr="0044093E" w:rsidRDefault="00A72229" w:rsidP="00E32A6C">
            <w:pPr>
              <w:spacing w:after="120"/>
              <w:rPr>
                <w:szCs w:val="24"/>
                <w:lang w:val="fr-FR"/>
              </w:rPr>
            </w:pPr>
            <w:r w:rsidRPr="0044093E">
              <w:rPr>
                <w:lang w:val="fr-FR"/>
              </w:rPr>
              <w:t>On trouvera dans le présent document le plan élaboré par le Secrétariat pour permettre la continuité des travaux de l'UIT-D, dans le cas où la CMDT-21 serait reportée à juin 2022, comme l'a proposé le Gouvernement de l'Éthiopie.</w:t>
            </w:r>
          </w:p>
          <w:p w14:paraId="238E500E" w14:textId="33A88DD0" w:rsidR="00A721F4" w:rsidRPr="0044093E" w:rsidRDefault="00D37A23" w:rsidP="00E32A6C">
            <w:pPr>
              <w:spacing w:after="120"/>
              <w:rPr>
                <w:b/>
                <w:bCs/>
                <w:szCs w:val="24"/>
                <w:lang w:val="fr-FR"/>
              </w:rPr>
            </w:pPr>
            <w:r w:rsidRPr="0044093E">
              <w:rPr>
                <w:b/>
                <w:bCs/>
                <w:lang w:val="fr-FR"/>
              </w:rPr>
              <w:t>Suite à donner</w:t>
            </w:r>
            <w:r w:rsidR="00A721F4" w:rsidRPr="0044093E">
              <w:rPr>
                <w:b/>
                <w:bCs/>
                <w:lang w:val="fr-FR"/>
              </w:rPr>
              <w:t>:</w:t>
            </w:r>
          </w:p>
          <w:p w14:paraId="1032B5F3" w14:textId="7DB51B53" w:rsidR="005221A2" w:rsidRPr="0044093E" w:rsidRDefault="0095773D" w:rsidP="00E32A6C">
            <w:pPr>
              <w:spacing w:after="120"/>
              <w:rPr>
                <w:szCs w:val="24"/>
                <w:lang w:val="fr-FR"/>
              </w:rPr>
            </w:pPr>
            <w:r w:rsidRPr="0044093E">
              <w:rPr>
                <w:lang w:val="fr-FR"/>
              </w:rPr>
              <w:t xml:space="preserve">Le GCDT est invité à examiner le présent document et à approuver les propositions qu'il contient concernant les </w:t>
            </w:r>
            <w:r w:rsidR="00E32A6C" w:rsidRPr="0044093E">
              <w:rPr>
                <w:lang w:val="fr-FR"/>
              </w:rPr>
              <w:t>C</w:t>
            </w:r>
            <w:r w:rsidRPr="0044093E">
              <w:rPr>
                <w:lang w:val="fr-FR"/>
              </w:rPr>
              <w:t xml:space="preserve">ommissions d'études, les réunions interrégionales </w:t>
            </w:r>
            <w:r w:rsidR="00E32A6C" w:rsidRPr="0044093E">
              <w:rPr>
                <w:lang w:val="fr-FR"/>
              </w:rPr>
              <w:t>ainsi que</w:t>
            </w:r>
            <w:r w:rsidRPr="0044093E">
              <w:rPr>
                <w:lang w:val="fr-FR"/>
              </w:rPr>
              <w:t xml:space="preserve"> le GCDT et ses groupes de travail.</w:t>
            </w:r>
          </w:p>
          <w:p w14:paraId="4E7A67C4" w14:textId="318D14E2" w:rsidR="00A721F4" w:rsidRPr="0044093E" w:rsidRDefault="00A721F4" w:rsidP="00E32A6C">
            <w:pPr>
              <w:spacing w:after="120"/>
              <w:rPr>
                <w:b/>
                <w:bCs/>
                <w:szCs w:val="24"/>
                <w:lang w:val="fr-FR"/>
              </w:rPr>
            </w:pPr>
            <w:r w:rsidRPr="0044093E">
              <w:rPr>
                <w:b/>
                <w:bCs/>
                <w:szCs w:val="24"/>
                <w:lang w:val="fr-FR"/>
              </w:rPr>
              <w:t>R</w:t>
            </w:r>
            <w:r w:rsidR="00D37A23" w:rsidRPr="0044093E">
              <w:rPr>
                <w:b/>
                <w:bCs/>
                <w:szCs w:val="24"/>
                <w:lang w:val="fr-FR"/>
              </w:rPr>
              <w:t>é</w:t>
            </w:r>
            <w:r w:rsidRPr="0044093E">
              <w:rPr>
                <w:b/>
                <w:bCs/>
                <w:szCs w:val="24"/>
                <w:lang w:val="fr-FR"/>
              </w:rPr>
              <w:t>f</w:t>
            </w:r>
            <w:r w:rsidR="00D37A23" w:rsidRPr="0044093E">
              <w:rPr>
                <w:b/>
                <w:bCs/>
                <w:szCs w:val="24"/>
                <w:lang w:val="fr-FR"/>
              </w:rPr>
              <w:t>é</w:t>
            </w:r>
            <w:r w:rsidRPr="0044093E">
              <w:rPr>
                <w:b/>
                <w:bCs/>
                <w:szCs w:val="24"/>
                <w:lang w:val="fr-FR"/>
              </w:rPr>
              <w:t>rences:</w:t>
            </w:r>
          </w:p>
          <w:p w14:paraId="48EBB74C" w14:textId="4D765946" w:rsidR="00A721F4" w:rsidRPr="0044093E" w:rsidRDefault="009306C4" w:rsidP="00E32A6C">
            <w:pPr>
              <w:spacing w:after="120"/>
              <w:rPr>
                <w:szCs w:val="24"/>
                <w:lang w:val="fr-FR"/>
              </w:rPr>
            </w:pPr>
            <w:hyperlink r:id="rId10" w:history="1">
              <w:r w:rsidR="00CD3DC8" w:rsidRPr="0044093E">
                <w:rPr>
                  <w:rStyle w:val="Hyperlink"/>
                  <w:lang w:val="fr-FR"/>
                </w:rPr>
                <w:t>Lett</w:t>
              </w:r>
              <w:r w:rsidR="002C1EAD" w:rsidRPr="0044093E">
                <w:rPr>
                  <w:rStyle w:val="Hyperlink"/>
                  <w:lang w:val="fr-FR"/>
                </w:rPr>
                <w:t>re</w:t>
              </w:r>
              <w:r w:rsidR="00CD3DC8" w:rsidRPr="0044093E">
                <w:rPr>
                  <w:rStyle w:val="Hyperlink"/>
                  <w:lang w:val="fr-FR"/>
                </w:rPr>
                <w:t xml:space="preserve"> DM-21/1010</w:t>
              </w:r>
            </w:hyperlink>
          </w:p>
        </w:tc>
      </w:tr>
    </w:tbl>
    <w:p w14:paraId="5ED9C669" w14:textId="60F59439" w:rsidR="00AC6F14" w:rsidRPr="0044093E" w:rsidRDefault="00CD3DC8" w:rsidP="00E908E3">
      <w:pPr>
        <w:pStyle w:val="Headingb"/>
        <w:spacing w:before="240"/>
        <w:rPr>
          <w:lang w:val="fr-FR"/>
        </w:rPr>
      </w:pPr>
      <w:r w:rsidRPr="0044093E">
        <w:rPr>
          <w:lang w:val="fr-FR"/>
        </w:rPr>
        <w:t>Introduction</w:t>
      </w:r>
    </w:p>
    <w:p w14:paraId="4DAAE504" w14:textId="777F776D" w:rsidR="00923CF1" w:rsidRPr="0044093E" w:rsidRDefault="00CD3DC8" w:rsidP="002C1EAD">
      <w:pPr>
        <w:rPr>
          <w:lang w:val="fr-FR"/>
        </w:rPr>
      </w:pPr>
      <w:r w:rsidRPr="0044093E">
        <w:rPr>
          <w:lang w:val="fr-FR"/>
        </w:rPr>
        <w:t>À sa session de 2019, le Conseil de l'UIT a pris note avec satisfactio</w:t>
      </w:r>
      <w:r w:rsidR="008B2B25">
        <w:rPr>
          <w:lang w:val="fr-FR"/>
        </w:rPr>
        <w:t>n de l'invitation officielle du </w:t>
      </w:r>
      <w:r w:rsidRPr="0044093E">
        <w:rPr>
          <w:lang w:val="fr-FR"/>
        </w:rPr>
        <w:t>Gouvernement de l'Éthiopie en vue d'accueillir la CMDT-21 à Addis-Abeba du</w:t>
      </w:r>
      <w:r w:rsidR="008B2B25">
        <w:rPr>
          <w:lang w:val="fr-FR"/>
        </w:rPr>
        <w:t> </w:t>
      </w:r>
      <w:r w:rsidRPr="0044093E">
        <w:rPr>
          <w:lang w:val="fr-FR"/>
        </w:rPr>
        <w:t>8 au 19 novembre</w:t>
      </w:r>
      <w:r w:rsidR="003465CB" w:rsidRPr="0044093E">
        <w:rPr>
          <w:lang w:val="fr-FR"/>
        </w:rPr>
        <w:t> </w:t>
      </w:r>
      <w:r w:rsidRPr="0044093E">
        <w:rPr>
          <w:lang w:val="fr-FR"/>
        </w:rPr>
        <w:t>2021 et a approuvé le lieu précis et les dates exactes de cette Conférence.</w:t>
      </w:r>
    </w:p>
    <w:p w14:paraId="65358A9C" w14:textId="32EDF918" w:rsidR="00CD3DC8" w:rsidRPr="0044093E" w:rsidRDefault="00CD3DC8" w:rsidP="002C1EAD">
      <w:pPr>
        <w:rPr>
          <w:lang w:val="fr-FR"/>
        </w:rPr>
      </w:pPr>
      <w:r w:rsidRPr="0044093E">
        <w:rPr>
          <w:lang w:val="fr-FR"/>
        </w:rPr>
        <w:t xml:space="preserve">Lors de la première Réunion préparatoire interrégionale en vue de la CMDT-21 (IRM-1), l'Éthiopie a soumis une </w:t>
      </w:r>
      <w:hyperlink r:id="rId11" w:history="1">
        <w:r w:rsidRPr="0044093E">
          <w:rPr>
            <w:rStyle w:val="Hyperlink"/>
            <w:lang w:val="fr-FR"/>
          </w:rPr>
          <w:t>contribution</w:t>
        </w:r>
      </w:hyperlink>
      <w:r w:rsidRPr="0044093E">
        <w:rPr>
          <w:lang w:val="fr-FR"/>
        </w:rPr>
        <w:t xml:space="preserve"> dans laquelle sont présentés les quatre scénarios possibles envisagés par le pays hôte concernant la tenue de la Conférence dan</w:t>
      </w:r>
      <w:r w:rsidR="008B2B25">
        <w:rPr>
          <w:lang w:val="fr-FR"/>
        </w:rPr>
        <w:t>s le contexte de la pandémie de </w:t>
      </w:r>
      <w:r w:rsidRPr="0044093E">
        <w:rPr>
          <w:lang w:val="fr-FR"/>
        </w:rPr>
        <w:t>COVID</w:t>
      </w:r>
      <w:r w:rsidRPr="0044093E">
        <w:rPr>
          <w:lang w:val="fr-FR"/>
        </w:rPr>
        <w:noBreakHyphen/>
        <w:t xml:space="preserve">19. Le 12 avril 2021, l'Administration de l'Éthiopie a adressé une lettre au Secrétaire général (voir le </w:t>
      </w:r>
      <w:hyperlink r:id="rId12" w:history="1">
        <w:r w:rsidRPr="0044093E">
          <w:rPr>
            <w:rStyle w:val="Hyperlink"/>
            <w:lang w:val="fr-FR"/>
          </w:rPr>
          <w:t>Document 21/76</w:t>
        </w:r>
      </w:hyperlink>
      <w:r w:rsidRPr="0044093E">
        <w:rPr>
          <w:rStyle w:val="Hyperlink"/>
          <w:lang w:val="fr-FR"/>
        </w:rPr>
        <w:t xml:space="preserve"> </w:t>
      </w:r>
      <w:r w:rsidRPr="0044093E">
        <w:rPr>
          <w:lang w:val="fr-FR"/>
        </w:rPr>
        <w:t>du Conseil), en faisant observer que la situation sanitaire actuelle liée à la pandémie de COVID-19 ne permet pas de savoir si les restrictions de voyage seront levées d'ici à novembre et si tous les États Membres seront en mesure de participer sur un pied d'égalité. Compte tenu de cette incertitude, l'Éthiopie a proposé de reporter la CMDT-21 pour qu'elle se tienne du 6 au 15 juin 2022 et a demandé au Secrétaire général de consulter dès que possible les membres de l'UIT au sujet de ce report</w:t>
      </w:r>
      <w:r w:rsidR="002C1EAD" w:rsidRPr="0044093E">
        <w:rPr>
          <w:lang w:val="fr-FR"/>
        </w:rPr>
        <w:t xml:space="preserve"> (voir la Lettre DM-21/2010)</w:t>
      </w:r>
      <w:r w:rsidRPr="0044093E">
        <w:rPr>
          <w:lang w:val="fr-FR"/>
        </w:rPr>
        <w:t>.</w:t>
      </w:r>
    </w:p>
    <w:p w14:paraId="338B30A7" w14:textId="52AA2586" w:rsidR="00825D5A" w:rsidRPr="0044093E" w:rsidRDefault="00825D5A" w:rsidP="00E32A6C">
      <w:pPr>
        <w:rPr>
          <w:lang w:val="fr-FR"/>
        </w:rPr>
      </w:pPr>
      <w:r w:rsidRPr="0044093E">
        <w:rPr>
          <w:lang w:val="fr-FR"/>
        </w:rPr>
        <w:lastRenderedPageBreak/>
        <w:t xml:space="preserve">Par sa lettre circulaire </w:t>
      </w:r>
      <w:r w:rsidR="00E32A6C" w:rsidRPr="0044093E">
        <w:rPr>
          <w:lang w:val="fr-FR"/>
        </w:rPr>
        <w:t>datée</w:t>
      </w:r>
      <w:r w:rsidRPr="0044093E">
        <w:rPr>
          <w:lang w:val="fr-FR"/>
        </w:rPr>
        <w:t xml:space="preserve"> du 14 mai</w:t>
      </w:r>
      <w:r w:rsidR="00CD3DC8" w:rsidRPr="0044093E">
        <w:rPr>
          <w:lang w:val="fr-FR"/>
        </w:rPr>
        <w:t xml:space="preserve"> 2021 (</w:t>
      </w:r>
      <w:r w:rsidRPr="0044093E">
        <w:rPr>
          <w:lang w:val="fr-FR"/>
        </w:rPr>
        <w:t>voir la</w:t>
      </w:r>
      <w:r w:rsidR="00CD3DC8" w:rsidRPr="0044093E">
        <w:rPr>
          <w:lang w:val="fr-FR"/>
        </w:rPr>
        <w:t xml:space="preserve"> </w:t>
      </w:r>
      <w:hyperlink r:id="rId13" w:history="1">
        <w:r w:rsidR="00CD3DC8" w:rsidRPr="008B2B25">
          <w:rPr>
            <w:rStyle w:val="Hyperlink"/>
            <w:caps/>
            <w:lang w:val="fr-FR"/>
          </w:rPr>
          <w:t>l</w:t>
        </w:r>
        <w:r w:rsidR="00CD3DC8" w:rsidRPr="0044093E">
          <w:rPr>
            <w:rStyle w:val="Hyperlink"/>
            <w:lang w:val="fr-FR"/>
          </w:rPr>
          <w:t>ett</w:t>
        </w:r>
        <w:r w:rsidRPr="0044093E">
          <w:rPr>
            <w:rStyle w:val="Hyperlink"/>
            <w:lang w:val="fr-FR"/>
          </w:rPr>
          <w:t>re</w:t>
        </w:r>
        <w:r w:rsidR="00CD3DC8" w:rsidRPr="0044093E">
          <w:rPr>
            <w:rStyle w:val="Hyperlink"/>
            <w:lang w:val="fr-FR"/>
          </w:rPr>
          <w:t xml:space="preserve"> CL-21/19</w:t>
        </w:r>
      </w:hyperlink>
      <w:r w:rsidR="00CD3DC8" w:rsidRPr="0044093E">
        <w:rPr>
          <w:lang w:val="fr-FR"/>
        </w:rPr>
        <w:t xml:space="preserve">), </w:t>
      </w:r>
      <w:r w:rsidRPr="0044093E">
        <w:rPr>
          <w:lang w:val="fr-FR"/>
        </w:rPr>
        <w:t xml:space="preserve">le Secrétaire général a informé les États Membres que, sur la base de la consultation des États Membres du Conseil, le Conseil a </w:t>
      </w:r>
      <w:r w:rsidR="00E32A6C" w:rsidRPr="0044093E">
        <w:rPr>
          <w:lang w:val="fr-FR"/>
        </w:rPr>
        <w:t>accepté</w:t>
      </w:r>
      <w:r w:rsidRPr="0044093E">
        <w:rPr>
          <w:lang w:val="fr-FR"/>
        </w:rPr>
        <w:t xml:space="preserve"> la proposition de l'Éthiopie de reporter la CMDT-21 pour qu'elle se tienne du 6</w:t>
      </w:r>
      <w:r w:rsidR="003465CB" w:rsidRPr="0044093E">
        <w:rPr>
          <w:lang w:val="fr-FR"/>
        </w:rPr>
        <w:t> </w:t>
      </w:r>
      <w:r w:rsidRPr="0044093E">
        <w:rPr>
          <w:lang w:val="fr-FR"/>
        </w:rPr>
        <w:t>au 15 juin 2022</w:t>
      </w:r>
      <w:r w:rsidR="00E32A6C" w:rsidRPr="0044093E">
        <w:rPr>
          <w:lang w:val="fr-FR"/>
        </w:rPr>
        <w:t>,</w:t>
      </w:r>
      <w:r w:rsidRPr="0044093E">
        <w:rPr>
          <w:lang w:val="fr-FR"/>
        </w:rPr>
        <w:t xml:space="preserve"> et a lancé la consultation des États Membres conformément au numéro 42 de la Convention de l'UIT. La date limite pour répondre à cette consultation est fixée au </w:t>
      </w:r>
      <w:r w:rsidRPr="0044093E">
        <w:rPr>
          <w:b/>
          <w:bCs/>
          <w:lang w:val="fr-FR"/>
        </w:rPr>
        <w:t>22 juin 2021</w:t>
      </w:r>
      <w:r w:rsidRPr="0044093E">
        <w:rPr>
          <w:lang w:val="fr-FR"/>
        </w:rPr>
        <w:t>.</w:t>
      </w:r>
    </w:p>
    <w:p w14:paraId="5EF025C9" w14:textId="318CFEF3" w:rsidR="00825D5A" w:rsidRPr="0044093E" w:rsidRDefault="00825D5A" w:rsidP="00E32A6C">
      <w:pPr>
        <w:rPr>
          <w:lang w:val="fr-FR"/>
        </w:rPr>
      </w:pPr>
      <w:r w:rsidRPr="0044093E">
        <w:rPr>
          <w:lang w:val="fr-FR"/>
        </w:rPr>
        <w:t>Compte tenu de ce qui précède, le Secrétariat a élaboré le plan ci-après pour la continuité des travaux et le soumet pour examen au GCDT.</w:t>
      </w:r>
    </w:p>
    <w:p w14:paraId="77C23414" w14:textId="46234CF1" w:rsidR="00AD7498" w:rsidRPr="0044093E" w:rsidRDefault="00CD3DC8" w:rsidP="00E32A6C">
      <w:pPr>
        <w:pStyle w:val="Heading1"/>
        <w:rPr>
          <w:lang w:val="fr-FR"/>
        </w:rPr>
      </w:pPr>
      <w:r w:rsidRPr="0044093E">
        <w:rPr>
          <w:lang w:val="fr-FR"/>
        </w:rPr>
        <w:t>1</w:t>
      </w:r>
      <w:r w:rsidRPr="0044093E">
        <w:rPr>
          <w:lang w:val="fr-FR"/>
        </w:rPr>
        <w:tab/>
      </w:r>
      <w:r w:rsidR="00AD7498" w:rsidRPr="0044093E">
        <w:rPr>
          <w:lang w:val="fr-FR"/>
        </w:rPr>
        <w:t>Groupe consultatif pour le développement des télécommunications (GCDT) et bureau du GCDT</w:t>
      </w:r>
    </w:p>
    <w:p w14:paraId="7EB9D99B" w14:textId="0D4E7575" w:rsidR="00AD7498" w:rsidRPr="0044093E" w:rsidRDefault="00AD7498" w:rsidP="00E32A6C">
      <w:pPr>
        <w:rPr>
          <w:lang w:val="fr-FR"/>
        </w:rPr>
      </w:pPr>
      <w:r w:rsidRPr="0044093E">
        <w:rPr>
          <w:lang w:val="fr-FR"/>
        </w:rPr>
        <w:t>Conformément à la Résolution</w:t>
      </w:r>
      <w:r w:rsidR="00CD3DC8" w:rsidRPr="0044093E">
        <w:rPr>
          <w:lang w:val="fr-FR"/>
        </w:rPr>
        <w:t xml:space="preserve"> 61 (R</w:t>
      </w:r>
      <w:r w:rsidRPr="0044093E">
        <w:rPr>
          <w:lang w:val="fr-FR"/>
        </w:rPr>
        <w:t>é</w:t>
      </w:r>
      <w:r w:rsidR="00CD3DC8" w:rsidRPr="0044093E">
        <w:rPr>
          <w:lang w:val="fr-FR"/>
        </w:rPr>
        <w:t>v.Duba</w:t>
      </w:r>
      <w:r w:rsidRPr="0044093E">
        <w:rPr>
          <w:lang w:val="fr-FR"/>
        </w:rPr>
        <w:t>ï</w:t>
      </w:r>
      <w:r w:rsidR="00CD3DC8" w:rsidRPr="0044093E">
        <w:rPr>
          <w:lang w:val="fr-FR"/>
        </w:rPr>
        <w:t>, 2014)</w:t>
      </w:r>
      <w:r w:rsidRPr="0044093E">
        <w:rPr>
          <w:lang w:val="fr-FR"/>
        </w:rPr>
        <w:t xml:space="preserve"> de la CMDT</w:t>
      </w:r>
      <w:r w:rsidR="00CD3DC8" w:rsidRPr="0044093E">
        <w:rPr>
          <w:lang w:val="fr-FR"/>
        </w:rPr>
        <w:t xml:space="preserve">, </w:t>
      </w:r>
      <w:r w:rsidRPr="0044093E">
        <w:rPr>
          <w:lang w:val="fr-FR"/>
        </w:rPr>
        <w:t xml:space="preserve">les membres du bureau du GCDT sont nommés par la Conférence mondiale de développement des télécommunications. En conséquence, le mandat des membres actuels du bureau du GCDT </w:t>
      </w:r>
      <w:r w:rsidR="00E32A6C" w:rsidRPr="0044093E">
        <w:rPr>
          <w:lang w:val="fr-FR"/>
        </w:rPr>
        <w:t>sera</w:t>
      </w:r>
      <w:r w:rsidRPr="0044093E">
        <w:rPr>
          <w:lang w:val="fr-FR"/>
        </w:rPr>
        <w:t xml:space="preserve"> automatiquement</w:t>
      </w:r>
      <w:r w:rsidR="00E32A6C" w:rsidRPr="0044093E">
        <w:rPr>
          <w:lang w:val="fr-FR"/>
        </w:rPr>
        <w:t xml:space="preserve"> prolongé</w:t>
      </w:r>
      <w:r w:rsidRPr="0044093E">
        <w:rPr>
          <w:lang w:val="fr-FR"/>
        </w:rPr>
        <w:t xml:space="preserve"> jusqu'à ce que la CMDT-21 ait lieu, en juin 2022. Si l'un des membres du bureau n'était pas en mesure d'exercer </w:t>
      </w:r>
      <w:r w:rsidR="00E32A6C" w:rsidRPr="0044093E">
        <w:rPr>
          <w:lang w:val="fr-FR"/>
        </w:rPr>
        <w:t>s</w:t>
      </w:r>
      <w:r w:rsidRPr="0044093E">
        <w:rPr>
          <w:lang w:val="fr-FR"/>
        </w:rPr>
        <w:t>es fonctions jusqu'à cette date, il serait remplacé conformément au numéro 244 de la Convention.</w:t>
      </w:r>
    </w:p>
    <w:p w14:paraId="6DFFC56E" w14:textId="7AEC0E56" w:rsidR="00327ED5" w:rsidRPr="0044093E" w:rsidRDefault="00327ED5" w:rsidP="00E32A6C">
      <w:pPr>
        <w:rPr>
          <w:lang w:val="fr-FR"/>
        </w:rPr>
      </w:pPr>
      <w:r w:rsidRPr="0044093E">
        <w:rPr>
          <w:lang w:val="fr-FR"/>
        </w:rPr>
        <w:t xml:space="preserve">Afin de permettre la poursuite du processus préparatoire </w:t>
      </w:r>
      <w:r w:rsidR="00E32A6C" w:rsidRPr="0044093E">
        <w:rPr>
          <w:lang w:val="fr-FR"/>
        </w:rPr>
        <w:t xml:space="preserve">dans les mois qui viennent </w:t>
      </w:r>
      <w:r w:rsidRPr="0044093E">
        <w:rPr>
          <w:lang w:val="fr-FR"/>
        </w:rPr>
        <w:t xml:space="preserve">jusqu'à la tenue de la CMDT, il est proposé </w:t>
      </w:r>
      <w:r w:rsidR="00E32A6C" w:rsidRPr="0044093E">
        <w:rPr>
          <w:lang w:val="fr-FR"/>
        </w:rPr>
        <w:t>d'organiser</w:t>
      </w:r>
      <w:r w:rsidRPr="0044093E">
        <w:rPr>
          <w:lang w:val="fr-FR"/>
        </w:rPr>
        <w:t xml:space="preserve"> une réunion </w:t>
      </w:r>
      <w:r w:rsidR="00E32A6C" w:rsidRPr="0044093E">
        <w:rPr>
          <w:lang w:val="fr-FR"/>
        </w:rPr>
        <w:t>additionnelle</w:t>
      </w:r>
      <w:r w:rsidRPr="0044093E">
        <w:rPr>
          <w:lang w:val="fr-FR"/>
        </w:rPr>
        <w:t xml:space="preserve"> du GCDT dans l'intervalle correspondant aux dates prévues initialement pour la CMDT-21, </w:t>
      </w:r>
      <w:r w:rsidR="00E32A6C" w:rsidRPr="0044093E">
        <w:rPr>
          <w:lang w:val="fr-FR"/>
        </w:rPr>
        <w:t>en l'espèce</w:t>
      </w:r>
      <w:r w:rsidRPr="0044093E">
        <w:rPr>
          <w:lang w:val="fr-FR"/>
        </w:rPr>
        <w:t xml:space="preserve"> </w:t>
      </w:r>
      <w:r w:rsidR="00E32A6C" w:rsidRPr="0044093E">
        <w:rPr>
          <w:lang w:val="fr-FR"/>
        </w:rPr>
        <w:t>entre le</w:t>
      </w:r>
      <w:r w:rsidRPr="0044093E">
        <w:rPr>
          <w:lang w:val="fr-FR"/>
        </w:rPr>
        <w:t xml:space="preserve"> 8 </w:t>
      </w:r>
      <w:r w:rsidR="00E32A6C" w:rsidRPr="0044093E">
        <w:rPr>
          <w:lang w:val="fr-FR"/>
        </w:rPr>
        <w:t>et le</w:t>
      </w:r>
      <w:r w:rsidR="008B2B25">
        <w:rPr>
          <w:lang w:val="fr-FR"/>
        </w:rPr>
        <w:t> </w:t>
      </w:r>
      <w:r w:rsidRPr="0044093E">
        <w:rPr>
          <w:lang w:val="fr-FR"/>
        </w:rPr>
        <w:t>12</w:t>
      </w:r>
      <w:r w:rsidR="003465CB" w:rsidRPr="0044093E">
        <w:rPr>
          <w:lang w:val="fr-FR"/>
        </w:rPr>
        <w:t> </w:t>
      </w:r>
      <w:r w:rsidRPr="0044093E">
        <w:rPr>
          <w:lang w:val="fr-FR"/>
        </w:rPr>
        <w:t>novembre.</w:t>
      </w:r>
    </w:p>
    <w:p w14:paraId="6D8C0277" w14:textId="600224E5" w:rsidR="00CD3DC8" w:rsidRPr="0044093E" w:rsidRDefault="00CD3DC8" w:rsidP="00E32A6C">
      <w:pPr>
        <w:pStyle w:val="Headingb"/>
        <w:rPr>
          <w:lang w:val="fr-FR"/>
        </w:rPr>
      </w:pPr>
      <w:r w:rsidRPr="0044093E">
        <w:rPr>
          <w:lang w:val="fr-FR"/>
        </w:rPr>
        <w:t>Propos</w:t>
      </w:r>
      <w:r w:rsidR="00327ED5" w:rsidRPr="0044093E">
        <w:rPr>
          <w:lang w:val="fr-FR"/>
        </w:rPr>
        <w:t>ition soumise au GCDT</w:t>
      </w:r>
      <w:r w:rsidRPr="0044093E">
        <w:rPr>
          <w:lang w:val="fr-FR"/>
        </w:rPr>
        <w:t>:</w:t>
      </w:r>
    </w:p>
    <w:p w14:paraId="4F2DD80F" w14:textId="226BA1F2" w:rsidR="00327ED5" w:rsidRPr="0044093E" w:rsidRDefault="00CD3DC8" w:rsidP="00E32A6C">
      <w:pPr>
        <w:pStyle w:val="enumlev1"/>
        <w:spacing w:line="276" w:lineRule="auto"/>
        <w:rPr>
          <w:lang w:val="fr-FR"/>
        </w:rPr>
      </w:pPr>
      <w:r w:rsidRPr="0044093E">
        <w:rPr>
          <w:lang w:val="fr-FR"/>
        </w:rPr>
        <w:t>•</w:t>
      </w:r>
      <w:r w:rsidRPr="0044093E">
        <w:rPr>
          <w:lang w:val="fr-FR"/>
        </w:rPr>
        <w:tab/>
      </w:r>
      <w:r w:rsidR="00327ED5" w:rsidRPr="0044093E">
        <w:rPr>
          <w:lang w:val="fr-FR"/>
        </w:rPr>
        <w:t xml:space="preserve">Décider si une réunion </w:t>
      </w:r>
      <w:r w:rsidR="00E32A6C" w:rsidRPr="0044093E">
        <w:rPr>
          <w:lang w:val="fr-FR"/>
        </w:rPr>
        <w:t>additionnelle</w:t>
      </w:r>
      <w:r w:rsidR="00327ED5" w:rsidRPr="0044093E">
        <w:rPr>
          <w:lang w:val="fr-FR"/>
        </w:rPr>
        <w:t xml:space="preserve"> du GCDT </w:t>
      </w:r>
      <w:r w:rsidR="00E32A6C" w:rsidRPr="0044093E">
        <w:rPr>
          <w:lang w:val="fr-FR"/>
        </w:rPr>
        <w:t>sera</w:t>
      </w:r>
      <w:r w:rsidR="00327ED5" w:rsidRPr="0044093E">
        <w:rPr>
          <w:lang w:val="fr-FR"/>
        </w:rPr>
        <w:t xml:space="preserve"> organ</w:t>
      </w:r>
      <w:r w:rsidR="008B2B25">
        <w:rPr>
          <w:lang w:val="fr-FR"/>
        </w:rPr>
        <w:t>isée pendant la semaine du 8 au </w:t>
      </w:r>
      <w:r w:rsidR="00327ED5" w:rsidRPr="0044093E">
        <w:rPr>
          <w:lang w:val="fr-FR"/>
        </w:rPr>
        <w:t>12 novembre (nombre de jour</w:t>
      </w:r>
      <w:r w:rsidR="00E32A6C" w:rsidRPr="0044093E">
        <w:rPr>
          <w:lang w:val="fr-FR"/>
        </w:rPr>
        <w:t>s</w:t>
      </w:r>
      <w:r w:rsidR="00327ED5" w:rsidRPr="0044093E">
        <w:rPr>
          <w:lang w:val="fr-FR"/>
        </w:rPr>
        <w:t xml:space="preserve"> à déterminer).</w:t>
      </w:r>
    </w:p>
    <w:p w14:paraId="63DE2F1B" w14:textId="46D4FF3D" w:rsidR="00CD3DC8" w:rsidRPr="0044093E" w:rsidRDefault="00CD3DC8" w:rsidP="002836D2">
      <w:pPr>
        <w:pStyle w:val="Heading1"/>
        <w:rPr>
          <w:lang w:val="fr-FR"/>
        </w:rPr>
      </w:pPr>
      <w:r w:rsidRPr="0044093E">
        <w:rPr>
          <w:lang w:val="fr-FR"/>
        </w:rPr>
        <w:t>2</w:t>
      </w:r>
      <w:r w:rsidRPr="0044093E">
        <w:rPr>
          <w:lang w:val="fr-FR"/>
        </w:rPr>
        <w:tab/>
        <w:t xml:space="preserve">Questions </w:t>
      </w:r>
      <w:r w:rsidR="00327ED5" w:rsidRPr="0044093E">
        <w:rPr>
          <w:lang w:val="fr-FR"/>
        </w:rPr>
        <w:t xml:space="preserve">confiées aux </w:t>
      </w:r>
      <w:r w:rsidR="003465CB" w:rsidRPr="0044093E">
        <w:rPr>
          <w:lang w:val="fr-FR"/>
        </w:rPr>
        <w:t>c</w:t>
      </w:r>
      <w:r w:rsidR="00327ED5" w:rsidRPr="0044093E">
        <w:rPr>
          <w:lang w:val="fr-FR"/>
        </w:rPr>
        <w:t>ommissions d'études et équipes de direction</w:t>
      </w:r>
    </w:p>
    <w:p w14:paraId="01B22752" w14:textId="3DFC38F7" w:rsidR="002E2441" w:rsidRPr="0044093E" w:rsidRDefault="002E2441" w:rsidP="002836D2">
      <w:pPr>
        <w:rPr>
          <w:lang w:val="fr-FR"/>
        </w:rPr>
      </w:pPr>
      <w:r w:rsidRPr="0044093E">
        <w:rPr>
          <w:lang w:val="fr-FR"/>
        </w:rPr>
        <w:t xml:space="preserve">Conformément à la Résolution 61 (Rév.Dubaï, 2014) de la CMDT, les </w:t>
      </w:r>
      <w:r w:rsidR="006F41DD" w:rsidRPr="0044093E">
        <w:rPr>
          <w:lang w:val="fr-FR"/>
        </w:rPr>
        <w:t>P</w:t>
      </w:r>
      <w:r w:rsidRPr="0044093E">
        <w:rPr>
          <w:lang w:val="fr-FR"/>
        </w:rPr>
        <w:t xml:space="preserve">résidents et </w:t>
      </w:r>
      <w:r w:rsidR="006F41DD" w:rsidRPr="0044093E">
        <w:rPr>
          <w:lang w:val="fr-FR"/>
        </w:rPr>
        <w:t>V</w:t>
      </w:r>
      <w:r w:rsidRPr="0044093E">
        <w:rPr>
          <w:lang w:val="fr-FR"/>
        </w:rPr>
        <w:t>ice-</w:t>
      </w:r>
      <w:r w:rsidR="006F41DD" w:rsidRPr="0044093E">
        <w:rPr>
          <w:lang w:val="fr-FR"/>
        </w:rPr>
        <w:t>P</w:t>
      </w:r>
      <w:r w:rsidRPr="0044093E">
        <w:rPr>
          <w:lang w:val="fr-FR"/>
        </w:rPr>
        <w:t xml:space="preserve">résidents des </w:t>
      </w:r>
      <w:r w:rsidR="003465CB" w:rsidRPr="0044093E">
        <w:rPr>
          <w:lang w:val="fr-FR"/>
        </w:rPr>
        <w:t>c</w:t>
      </w:r>
      <w:r w:rsidRPr="0044093E">
        <w:rPr>
          <w:lang w:val="fr-FR"/>
        </w:rPr>
        <w:t xml:space="preserve">ommissions d'études sont nommés par la Conférence mondiale de développement des télécommunications. En conséquence, le mandat des </w:t>
      </w:r>
      <w:r w:rsidR="006F41DD" w:rsidRPr="0044093E">
        <w:rPr>
          <w:lang w:val="fr-FR"/>
        </w:rPr>
        <w:t xml:space="preserve">Présidents et Vice-Présidents </w:t>
      </w:r>
      <w:r w:rsidRPr="0044093E">
        <w:rPr>
          <w:lang w:val="fr-FR"/>
        </w:rPr>
        <w:t xml:space="preserve">des </w:t>
      </w:r>
      <w:r w:rsidR="003465CB" w:rsidRPr="0044093E">
        <w:rPr>
          <w:lang w:val="fr-FR"/>
        </w:rPr>
        <w:t>c</w:t>
      </w:r>
      <w:r w:rsidRPr="0044093E">
        <w:rPr>
          <w:lang w:val="fr-FR"/>
        </w:rPr>
        <w:t>ommissions d'études actuelles se</w:t>
      </w:r>
      <w:r w:rsidR="006F41DD" w:rsidRPr="0044093E">
        <w:rPr>
          <w:lang w:val="fr-FR"/>
        </w:rPr>
        <w:t>ra</w:t>
      </w:r>
      <w:r w:rsidRPr="0044093E">
        <w:rPr>
          <w:lang w:val="fr-FR"/>
        </w:rPr>
        <w:t xml:space="preserve"> automatiquement </w:t>
      </w:r>
      <w:r w:rsidR="006F41DD" w:rsidRPr="0044093E">
        <w:rPr>
          <w:lang w:val="fr-FR"/>
        </w:rPr>
        <w:t xml:space="preserve">prolongé </w:t>
      </w:r>
      <w:r w:rsidRPr="0044093E">
        <w:rPr>
          <w:lang w:val="fr-FR"/>
        </w:rPr>
        <w:t xml:space="preserve">jusqu'à ce que la CMDT-21 ait lieu, en juin 2022. Si l'un des </w:t>
      </w:r>
      <w:r w:rsidR="006F41DD" w:rsidRPr="0044093E">
        <w:rPr>
          <w:lang w:val="fr-FR"/>
        </w:rPr>
        <w:t xml:space="preserve">Présidents ou Vice-Présidents </w:t>
      </w:r>
      <w:r w:rsidRPr="0044093E">
        <w:rPr>
          <w:lang w:val="fr-FR"/>
        </w:rPr>
        <w:t xml:space="preserve">des </w:t>
      </w:r>
      <w:r w:rsidR="003465CB" w:rsidRPr="0044093E">
        <w:rPr>
          <w:lang w:val="fr-FR"/>
        </w:rPr>
        <w:t>c</w:t>
      </w:r>
      <w:r w:rsidRPr="0044093E">
        <w:rPr>
          <w:lang w:val="fr-FR"/>
        </w:rPr>
        <w:t xml:space="preserve">ommissions d'études n'était pas en mesure d'exercer </w:t>
      </w:r>
      <w:r w:rsidR="006F41DD" w:rsidRPr="0044093E">
        <w:rPr>
          <w:lang w:val="fr-FR"/>
        </w:rPr>
        <w:t>s</w:t>
      </w:r>
      <w:r w:rsidRPr="0044093E">
        <w:rPr>
          <w:lang w:val="fr-FR"/>
        </w:rPr>
        <w:t>es fonctions jusqu'à cette date, il serait remplacé conformément au numéro</w:t>
      </w:r>
      <w:r w:rsidR="003465CB" w:rsidRPr="0044093E">
        <w:rPr>
          <w:lang w:val="fr-FR"/>
        </w:rPr>
        <w:t> </w:t>
      </w:r>
      <w:r w:rsidRPr="0044093E">
        <w:rPr>
          <w:lang w:val="fr-FR"/>
        </w:rPr>
        <w:t>244 de la Convention.</w:t>
      </w:r>
    </w:p>
    <w:p w14:paraId="19997B8B" w14:textId="547B1A1A" w:rsidR="002E2441" w:rsidRPr="0044093E" w:rsidRDefault="002E2441" w:rsidP="002836D2">
      <w:pPr>
        <w:rPr>
          <w:lang w:val="fr-FR"/>
        </w:rPr>
      </w:pPr>
      <w:r w:rsidRPr="0044093E">
        <w:rPr>
          <w:lang w:val="fr-FR"/>
        </w:rPr>
        <w:t xml:space="preserve">La </w:t>
      </w:r>
      <w:r w:rsidR="00B36077" w:rsidRPr="0044093E">
        <w:rPr>
          <w:lang w:val="fr-FR"/>
        </w:rPr>
        <w:t xml:space="preserve">période d'études 2018-2021, qui est la </w:t>
      </w:r>
      <w:r w:rsidRPr="0044093E">
        <w:rPr>
          <w:lang w:val="fr-FR"/>
        </w:rPr>
        <w:t>septième de l'UIT-D</w:t>
      </w:r>
      <w:r w:rsidR="00B36077" w:rsidRPr="0044093E">
        <w:rPr>
          <w:lang w:val="fr-FR"/>
        </w:rPr>
        <w:t>,</w:t>
      </w:r>
      <w:r w:rsidRPr="0044093E">
        <w:rPr>
          <w:lang w:val="fr-FR"/>
        </w:rPr>
        <w:t xml:space="preserve"> s'achèvera en 2022.</w:t>
      </w:r>
    </w:p>
    <w:p w14:paraId="184ABCB5" w14:textId="0A34A1D0" w:rsidR="00CD3DC8" w:rsidRPr="0044093E" w:rsidRDefault="00B36077" w:rsidP="002836D2">
      <w:pPr>
        <w:rPr>
          <w:lang w:val="fr-FR"/>
        </w:rPr>
      </w:pPr>
      <w:r w:rsidRPr="0044093E">
        <w:rPr>
          <w:lang w:val="fr-FR"/>
        </w:rPr>
        <w:t xml:space="preserve">Les travaux sur les Questions confiées aux </w:t>
      </w:r>
      <w:r w:rsidR="003465CB" w:rsidRPr="0044093E">
        <w:rPr>
          <w:lang w:val="fr-FR"/>
        </w:rPr>
        <w:t>c</w:t>
      </w:r>
      <w:r w:rsidRPr="0044093E">
        <w:rPr>
          <w:lang w:val="fr-FR"/>
        </w:rPr>
        <w:t xml:space="preserve">ommissions d'études devraient se poursuivre avec des modifications apportées à leurs textes (soumissions à la réunion de mars 2021 et référence dans la partie 3 des Documents </w:t>
      </w:r>
      <w:hyperlink r:id="rId14" w:history="1">
        <w:r w:rsidR="00CD3DC8" w:rsidRPr="0044093E">
          <w:rPr>
            <w:rStyle w:val="Hyperlink"/>
            <w:lang w:val="fr-FR"/>
          </w:rPr>
          <w:t>TDAG-21/8</w:t>
        </w:r>
      </w:hyperlink>
      <w:r w:rsidR="00CD3DC8" w:rsidRPr="0044093E">
        <w:rPr>
          <w:lang w:val="fr-FR"/>
        </w:rPr>
        <w:t xml:space="preserve"> </w:t>
      </w:r>
      <w:r w:rsidRPr="0044093E">
        <w:rPr>
          <w:lang w:val="fr-FR"/>
        </w:rPr>
        <w:t>et</w:t>
      </w:r>
      <w:r w:rsidR="00CD3DC8" w:rsidRPr="0044093E">
        <w:rPr>
          <w:lang w:val="fr-FR"/>
        </w:rPr>
        <w:t xml:space="preserve"> </w:t>
      </w:r>
      <w:hyperlink r:id="rId15" w:history="1">
        <w:r w:rsidR="00CD3DC8" w:rsidRPr="0044093E">
          <w:rPr>
            <w:rStyle w:val="Hyperlink"/>
            <w:lang w:val="fr-FR"/>
          </w:rPr>
          <w:t>TDAG-21/9</w:t>
        </w:r>
      </w:hyperlink>
      <w:r w:rsidR="00027EA8" w:rsidRPr="0044093E">
        <w:rPr>
          <w:lang w:val="fr-FR"/>
        </w:rPr>
        <w:t>).</w:t>
      </w:r>
    </w:p>
    <w:p w14:paraId="4004E40C" w14:textId="1BAC177A" w:rsidR="00B36077" w:rsidRPr="0044093E" w:rsidRDefault="00B36077" w:rsidP="002836D2">
      <w:pPr>
        <w:rPr>
          <w:lang w:val="fr-FR"/>
        </w:rPr>
      </w:pPr>
      <w:r w:rsidRPr="0044093E">
        <w:rPr>
          <w:lang w:val="fr-FR"/>
        </w:rPr>
        <w:t xml:space="preserve">Les discussions et les décisions relatives à la </w:t>
      </w:r>
      <w:r w:rsidRPr="0044093E">
        <w:rPr>
          <w:b/>
          <w:bCs/>
          <w:lang w:val="fr-FR"/>
        </w:rPr>
        <w:t xml:space="preserve">structure </w:t>
      </w:r>
      <w:r w:rsidRPr="0044093E">
        <w:rPr>
          <w:lang w:val="fr-FR"/>
        </w:rPr>
        <w:t xml:space="preserve">des </w:t>
      </w:r>
      <w:r w:rsidR="003465CB" w:rsidRPr="0044093E">
        <w:rPr>
          <w:lang w:val="fr-FR"/>
        </w:rPr>
        <w:t>c</w:t>
      </w:r>
      <w:r w:rsidRPr="0044093E">
        <w:rPr>
          <w:lang w:val="fr-FR"/>
        </w:rPr>
        <w:t xml:space="preserve">ommissions d'études seront examinées à la prochaine CMDT grâce aux travaux en cours sur l'avenir des Questions et sur les méthodes de travail </w:t>
      </w:r>
      <w:r w:rsidR="002836D2" w:rsidRPr="0044093E">
        <w:rPr>
          <w:lang w:val="fr-FR"/>
        </w:rPr>
        <w:t>au sein</w:t>
      </w:r>
      <w:r w:rsidRPr="0044093E">
        <w:rPr>
          <w:lang w:val="fr-FR"/>
        </w:rPr>
        <w:t xml:space="preserve"> du GT-GCDT-RDTP.</w:t>
      </w:r>
    </w:p>
    <w:p w14:paraId="734EC06B" w14:textId="77777777" w:rsidR="003465CB" w:rsidRPr="0044093E" w:rsidRDefault="003465CB" w:rsidP="002836D2">
      <w:pPr>
        <w:rPr>
          <w:lang w:val="fr-FR"/>
        </w:rPr>
      </w:pPr>
      <w:r w:rsidRPr="0044093E">
        <w:rPr>
          <w:lang w:val="fr-FR"/>
        </w:rPr>
        <w:br w:type="page"/>
      </w:r>
    </w:p>
    <w:p w14:paraId="0493E75B" w14:textId="19692F78" w:rsidR="00B36077" w:rsidRPr="0044093E" w:rsidRDefault="00B36077" w:rsidP="002836D2">
      <w:pPr>
        <w:rPr>
          <w:lang w:val="fr-FR"/>
        </w:rPr>
      </w:pPr>
      <w:r w:rsidRPr="0044093E">
        <w:rPr>
          <w:lang w:val="fr-FR"/>
        </w:rPr>
        <w:lastRenderedPageBreak/>
        <w:t xml:space="preserve">Les </w:t>
      </w:r>
      <w:r w:rsidRPr="0044093E">
        <w:rPr>
          <w:b/>
          <w:bCs/>
          <w:lang w:val="fr-FR"/>
        </w:rPr>
        <w:t>mandats</w:t>
      </w:r>
      <w:r w:rsidRPr="0044093E">
        <w:rPr>
          <w:lang w:val="fr-FR"/>
        </w:rPr>
        <w:t xml:space="preserve"> des </w:t>
      </w:r>
      <w:r w:rsidR="003465CB" w:rsidRPr="0044093E">
        <w:rPr>
          <w:lang w:val="fr-FR"/>
        </w:rPr>
        <w:t>c</w:t>
      </w:r>
      <w:r w:rsidRPr="0044093E">
        <w:rPr>
          <w:lang w:val="fr-FR"/>
        </w:rPr>
        <w:t>ommissions d'études (mise à jour de la Résolution 2 (Rév.Buenos Aires, 2017) de la CMDT</w:t>
      </w:r>
      <w:r w:rsidR="002836D2" w:rsidRPr="0044093E">
        <w:rPr>
          <w:lang w:val="fr-FR"/>
        </w:rPr>
        <w:t>)</w:t>
      </w:r>
      <w:r w:rsidRPr="0044093E">
        <w:rPr>
          <w:lang w:val="fr-FR"/>
        </w:rPr>
        <w:t xml:space="preserve"> seront examinés à la prochaine CMDT, en juin 2022.</w:t>
      </w:r>
    </w:p>
    <w:p w14:paraId="26B1A338" w14:textId="229C317E" w:rsidR="00B36077" w:rsidRPr="0044093E" w:rsidRDefault="00B36077" w:rsidP="002836D2">
      <w:pPr>
        <w:rPr>
          <w:lang w:val="fr-FR"/>
        </w:rPr>
      </w:pPr>
      <w:r w:rsidRPr="0044093E">
        <w:rPr>
          <w:lang w:val="fr-FR"/>
        </w:rPr>
        <w:t xml:space="preserve">Chaque </w:t>
      </w:r>
      <w:r w:rsidR="003465CB" w:rsidRPr="0044093E">
        <w:rPr>
          <w:lang w:val="fr-FR"/>
        </w:rPr>
        <w:t>c</w:t>
      </w:r>
      <w:r w:rsidRPr="0044093E">
        <w:rPr>
          <w:lang w:val="fr-FR"/>
        </w:rPr>
        <w:t xml:space="preserve">ommission d'études tiendra une réunion additionnelle en octobre 2021 et </w:t>
      </w:r>
      <w:r w:rsidR="005C763D" w:rsidRPr="0044093E">
        <w:rPr>
          <w:lang w:val="fr-FR"/>
        </w:rPr>
        <w:t>continuera de faire avancer ses travaux conformément à la Résolution 1 (Rév.Buenos Aires, 2017) de la CMDT.</w:t>
      </w:r>
    </w:p>
    <w:p w14:paraId="07A69B8E" w14:textId="25089BC0" w:rsidR="00CD3DC8" w:rsidRPr="0044093E" w:rsidRDefault="00E32A6C" w:rsidP="00CD3DC8">
      <w:pPr>
        <w:pStyle w:val="Headingb"/>
        <w:rPr>
          <w:lang w:val="fr-FR"/>
        </w:rPr>
      </w:pPr>
      <w:r w:rsidRPr="0044093E">
        <w:rPr>
          <w:lang w:val="fr-FR"/>
        </w:rPr>
        <w:t>Proposition soumise au GCDT</w:t>
      </w:r>
      <w:r w:rsidR="00CD3DC8" w:rsidRPr="0044093E">
        <w:rPr>
          <w:lang w:val="fr-FR"/>
        </w:rPr>
        <w:t>:</w:t>
      </w:r>
    </w:p>
    <w:p w14:paraId="1DAA4292" w14:textId="74984231" w:rsidR="00CD3DC8" w:rsidRPr="0044093E" w:rsidRDefault="00CD3DC8" w:rsidP="002836D2">
      <w:pPr>
        <w:pStyle w:val="enumlev1"/>
        <w:rPr>
          <w:lang w:val="fr-FR"/>
        </w:rPr>
      </w:pPr>
      <w:r w:rsidRPr="0044093E">
        <w:rPr>
          <w:lang w:val="fr-FR"/>
        </w:rPr>
        <w:t>•</w:t>
      </w:r>
      <w:r w:rsidRPr="0044093E">
        <w:rPr>
          <w:lang w:val="fr-FR"/>
        </w:rPr>
        <w:tab/>
        <w:t>Appro</w:t>
      </w:r>
      <w:r w:rsidR="002836D2" w:rsidRPr="0044093E">
        <w:rPr>
          <w:lang w:val="fr-FR"/>
        </w:rPr>
        <w:t>u</w:t>
      </w:r>
      <w:r w:rsidRPr="0044093E">
        <w:rPr>
          <w:lang w:val="fr-FR"/>
        </w:rPr>
        <w:t>ve</w:t>
      </w:r>
      <w:r w:rsidR="002836D2" w:rsidRPr="0044093E">
        <w:rPr>
          <w:lang w:val="fr-FR"/>
        </w:rPr>
        <w:t xml:space="preserve">r les textes révisés des Questions confiées aux </w:t>
      </w:r>
      <w:r w:rsidR="003465CB" w:rsidRPr="0044093E">
        <w:rPr>
          <w:lang w:val="fr-FR"/>
        </w:rPr>
        <w:t>c</w:t>
      </w:r>
      <w:r w:rsidR="002836D2" w:rsidRPr="0044093E">
        <w:rPr>
          <w:lang w:val="fr-FR"/>
        </w:rPr>
        <w:t>ommissions d'études, comme indiqué dans les Documents</w:t>
      </w:r>
      <w:r w:rsidRPr="0044093E">
        <w:rPr>
          <w:lang w:val="fr-FR"/>
        </w:rPr>
        <w:t xml:space="preserve"> </w:t>
      </w:r>
      <w:hyperlink r:id="rId16" w:history="1">
        <w:r w:rsidRPr="0044093E">
          <w:rPr>
            <w:rStyle w:val="Hyperlink"/>
            <w:lang w:val="fr-FR"/>
          </w:rPr>
          <w:t>TDAG-21/8</w:t>
        </w:r>
      </w:hyperlink>
      <w:r w:rsidRPr="0044093E">
        <w:rPr>
          <w:lang w:val="fr-FR"/>
        </w:rPr>
        <w:t xml:space="preserve"> </w:t>
      </w:r>
      <w:r w:rsidR="002836D2" w:rsidRPr="0044093E">
        <w:rPr>
          <w:lang w:val="fr-FR"/>
        </w:rPr>
        <w:t>et</w:t>
      </w:r>
      <w:r w:rsidRPr="0044093E">
        <w:rPr>
          <w:lang w:val="fr-FR"/>
        </w:rPr>
        <w:t xml:space="preserve"> </w:t>
      </w:r>
      <w:hyperlink r:id="rId17" w:history="1">
        <w:r w:rsidRPr="0044093E">
          <w:rPr>
            <w:rStyle w:val="Hyperlink"/>
            <w:lang w:val="fr-FR"/>
          </w:rPr>
          <w:t>TDAG-21/9</w:t>
        </w:r>
      </w:hyperlink>
      <w:r w:rsidR="003465CB" w:rsidRPr="0044093E">
        <w:rPr>
          <w:lang w:val="fr-FR"/>
        </w:rPr>
        <w:t>.</w:t>
      </w:r>
    </w:p>
    <w:p w14:paraId="27C8A66B" w14:textId="138C1B2D" w:rsidR="00CD3DC8" w:rsidRPr="0044093E" w:rsidRDefault="00CD3DC8" w:rsidP="00CD3DC8">
      <w:pPr>
        <w:pStyle w:val="enumlev1"/>
        <w:rPr>
          <w:lang w:val="fr-FR"/>
        </w:rPr>
      </w:pPr>
      <w:r w:rsidRPr="0044093E">
        <w:rPr>
          <w:lang w:val="fr-FR"/>
        </w:rPr>
        <w:t>•</w:t>
      </w:r>
      <w:r w:rsidRPr="0044093E">
        <w:rPr>
          <w:lang w:val="fr-FR"/>
        </w:rPr>
        <w:tab/>
      </w:r>
      <w:r w:rsidR="002836D2" w:rsidRPr="0044093E">
        <w:rPr>
          <w:lang w:val="fr-FR"/>
        </w:rPr>
        <w:t>Approuver la tenue des réunions additionnelles comme suit:</w:t>
      </w:r>
    </w:p>
    <w:p w14:paraId="57A5265E" w14:textId="59525E91" w:rsidR="00CD3DC8" w:rsidRPr="0044093E" w:rsidRDefault="00CD3DC8" w:rsidP="00CD3DC8">
      <w:pPr>
        <w:pStyle w:val="enumlev2"/>
        <w:rPr>
          <w:lang w:val="fr-FR"/>
        </w:rPr>
      </w:pPr>
      <w:r w:rsidRPr="0044093E">
        <w:rPr>
          <w:lang w:val="fr-FR"/>
        </w:rPr>
        <w:t>–</w:t>
      </w:r>
      <w:r w:rsidRPr="0044093E">
        <w:rPr>
          <w:lang w:val="fr-FR"/>
        </w:rPr>
        <w:tab/>
      </w:r>
      <w:r w:rsidR="002836D2" w:rsidRPr="0044093E">
        <w:rPr>
          <w:lang w:val="fr-FR"/>
        </w:rPr>
        <w:t>Commission d'études</w:t>
      </w:r>
      <w:r w:rsidRPr="0044093E">
        <w:rPr>
          <w:lang w:val="fr-FR"/>
        </w:rPr>
        <w:t xml:space="preserve"> 1 – 4-8 octobre 2021</w:t>
      </w:r>
      <w:r w:rsidR="003465CB" w:rsidRPr="0044093E">
        <w:rPr>
          <w:lang w:val="fr-FR"/>
        </w:rPr>
        <w:t>.</w:t>
      </w:r>
    </w:p>
    <w:p w14:paraId="6020C806" w14:textId="427E303B" w:rsidR="00CD3DC8" w:rsidRPr="0044093E" w:rsidRDefault="00CD3DC8" w:rsidP="00CD3DC8">
      <w:pPr>
        <w:pStyle w:val="enumlev2"/>
        <w:rPr>
          <w:lang w:val="fr-FR"/>
        </w:rPr>
      </w:pPr>
      <w:r w:rsidRPr="0044093E">
        <w:rPr>
          <w:lang w:val="fr-FR"/>
        </w:rPr>
        <w:t>–</w:t>
      </w:r>
      <w:r w:rsidRPr="0044093E">
        <w:rPr>
          <w:lang w:val="fr-FR"/>
        </w:rPr>
        <w:tab/>
      </w:r>
      <w:r w:rsidR="002836D2" w:rsidRPr="0044093E">
        <w:rPr>
          <w:lang w:val="fr-FR"/>
        </w:rPr>
        <w:t xml:space="preserve">Commission d'études </w:t>
      </w:r>
      <w:r w:rsidRPr="0044093E">
        <w:rPr>
          <w:lang w:val="fr-FR"/>
        </w:rPr>
        <w:t>2 – 18-22 octobre 2021.</w:t>
      </w:r>
    </w:p>
    <w:p w14:paraId="1CF01909" w14:textId="507C6D2D" w:rsidR="00CD3DC8" w:rsidRPr="0044093E" w:rsidRDefault="00A64A64" w:rsidP="00294C39">
      <w:pPr>
        <w:pStyle w:val="Heading1"/>
        <w:rPr>
          <w:lang w:val="fr-FR"/>
        </w:rPr>
      </w:pPr>
      <w:r w:rsidRPr="0044093E">
        <w:rPr>
          <w:lang w:val="fr-FR"/>
        </w:rPr>
        <w:t>3</w:t>
      </w:r>
      <w:r w:rsidRPr="0044093E">
        <w:rPr>
          <w:lang w:val="fr-FR"/>
        </w:rPr>
        <w:tab/>
        <w:t>Groupe de travail du GCDT sur les Résolutions, la Déclaration et les priorités thématiques de la CMDT (</w:t>
      </w:r>
      <w:hyperlink r:id="rId18" w:history="1">
        <w:r w:rsidR="005875F1" w:rsidRPr="0044093E">
          <w:rPr>
            <w:rStyle w:val="Hyperlink"/>
            <w:lang w:val="fr-FR"/>
          </w:rPr>
          <w:t>GT-GCDT</w:t>
        </w:r>
        <w:r w:rsidRPr="0044093E">
          <w:rPr>
            <w:rStyle w:val="Hyperlink"/>
            <w:lang w:val="fr-FR"/>
          </w:rPr>
          <w:t>-RDTP</w:t>
        </w:r>
      </w:hyperlink>
      <w:r w:rsidRPr="0044093E">
        <w:rPr>
          <w:lang w:val="fr-FR"/>
        </w:rPr>
        <w:t>)</w:t>
      </w:r>
    </w:p>
    <w:p w14:paraId="7DDB8A3A" w14:textId="6146E4F7" w:rsidR="00A64A64" w:rsidRPr="0044093E" w:rsidRDefault="00294C39" w:rsidP="00D077BA">
      <w:pPr>
        <w:tabs>
          <w:tab w:val="clear" w:pos="794"/>
          <w:tab w:val="clear" w:pos="1191"/>
          <w:tab w:val="clear" w:pos="1588"/>
          <w:tab w:val="clear" w:pos="1985"/>
          <w:tab w:val="left" w:pos="567"/>
          <w:tab w:val="left" w:leader="hyphen" w:pos="1134"/>
          <w:tab w:val="left" w:pos="1701"/>
          <w:tab w:val="left" w:pos="2268"/>
        </w:tabs>
        <w:spacing w:line="259" w:lineRule="auto"/>
        <w:rPr>
          <w:rFonts w:eastAsiaTheme="minorEastAsia" w:cstheme="minorBidi"/>
          <w:lang w:val="fr-FR" w:eastAsia="zh-CN"/>
        </w:rPr>
      </w:pPr>
      <w:r w:rsidRPr="0044093E">
        <w:rPr>
          <w:rFonts w:eastAsiaTheme="minorEastAsia" w:cstheme="minorBidi"/>
          <w:lang w:val="fr-FR" w:eastAsia="zh-CN"/>
        </w:rPr>
        <w:t>Avec le report de la CMDT-21, ce Groupe de travail disposera d'un délai supplémentaire pour mener ses travaux et faire rapport à la prochaine réunion du GCDT en novembre 2021, si le GCDT décidait de tenir cette réunion.</w:t>
      </w:r>
    </w:p>
    <w:p w14:paraId="6A52C842" w14:textId="347848CE" w:rsidR="00A64A64" w:rsidRPr="0044093E" w:rsidRDefault="00E32A6C" w:rsidP="00A64A64">
      <w:pPr>
        <w:pStyle w:val="Headingb"/>
        <w:rPr>
          <w:rFonts w:ascii="Calibri" w:hAnsi="Calibri"/>
          <w:szCs w:val="24"/>
          <w:lang w:val="fr-FR"/>
        </w:rPr>
      </w:pPr>
      <w:r w:rsidRPr="0044093E">
        <w:rPr>
          <w:lang w:val="fr-FR"/>
        </w:rPr>
        <w:t>Proposition soumise au GCDT</w:t>
      </w:r>
      <w:r w:rsidR="00A64A64" w:rsidRPr="0044093E">
        <w:rPr>
          <w:rFonts w:eastAsiaTheme="minorEastAsia"/>
          <w:lang w:val="fr-FR"/>
        </w:rPr>
        <w:t>:</w:t>
      </w:r>
    </w:p>
    <w:p w14:paraId="0C5079F7" w14:textId="1AEA9BAA" w:rsidR="00A64A64" w:rsidRPr="0044093E" w:rsidRDefault="00A64A64" w:rsidP="00D077BA">
      <w:pPr>
        <w:pStyle w:val="enumlev1"/>
        <w:rPr>
          <w:rFonts w:eastAsiaTheme="minorEastAsia"/>
          <w:lang w:val="fr-FR"/>
        </w:rPr>
      </w:pPr>
      <w:r w:rsidRPr="0044093E">
        <w:rPr>
          <w:rFonts w:eastAsiaTheme="minorEastAsia"/>
          <w:lang w:val="fr-FR"/>
        </w:rPr>
        <w:t>•</w:t>
      </w:r>
      <w:r w:rsidRPr="0044093E">
        <w:rPr>
          <w:rFonts w:eastAsiaTheme="minorEastAsia"/>
          <w:lang w:val="fr-FR"/>
        </w:rPr>
        <w:tab/>
        <w:t>Invite</w:t>
      </w:r>
      <w:r w:rsidR="00D077BA" w:rsidRPr="0044093E">
        <w:rPr>
          <w:rFonts w:eastAsiaTheme="minorEastAsia"/>
          <w:lang w:val="fr-FR"/>
        </w:rPr>
        <w:t>r le Président du GT-GCDT-RDTP à convoquer de nouveau le groupe, selon les besoins, et à faire rapport à la prochaine réunion du GCDT.</w:t>
      </w:r>
    </w:p>
    <w:p w14:paraId="13A4F69D" w14:textId="1279DF9F" w:rsidR="00A64A64" w:rsidRPr="0044093E" w:rsidRDefault="00A64A64" w:rsidP="00D077BA">
      <w:pPr>
        <w:pStyle w:val="Heading1"/>
        <w:rPr>
          <w:rFonts w:eastAsiaTheme="minorEastAsia"/>
          <w:lang w:val="fr-FR"/>
        </w:rPr>
      </w:pPr>
      <w:r w:rsidRPr="0044093E">
        <w:rPr>
          <w:rFonts w:eastAsiaTheme="minorEastAsia"/>
          <w:lang w:val="fr-FR"/>
        </w:rPr>
        <w:t>4</w:t>
      </w:r>
      <w:r w:rsidRPr="0044093E">
        <w:rPr>
          <w:rFonts w:eastAsiaTheme="minorEastAsia"/>
          <w:lang w:val="fr-FR"/>
        </w:rPr>
        <w:tab/>
      </w:r>
      <w:r w:rsidR="008E451F" w:rsidRPr="0044093E">
        <w:rPr>
          <w:rFonts w:eastAsiaTheme="minorEastAsia"/>
          <w:lang w:val="fr-FR"/>
        </w:rPr>
        <w:t>Groupe de travail du GCDT chargé de la planification stratégique et opérationnelle (</w:t>
      </w:r>
      <w:hyperlink r:id="rId19" w:history="1">
        <w:r w:rsidR="008E451F" w:rsidRPr="0044093E">
          <w:rPr>
            <w:rStyle w:val="Hyperlink"/>
            <w:rFonts w:eastAsiaTheme="minorEastAsia"/>
            <w:lang w:val="fr-FR"/>
          </w:rPr>
          <w:t>GT</w:t>
        </w:r>
        <w:r w:rsidR="008E451F" w:rsidRPr="0044093E">
          <w:rPr>
            <w:rStyle w:val="Hyperlink"/>
            <w:rFonts w:eastAsiaTheme="minorEastAsia"/>
            <w:lang w:val="fr-FR"/>
          </w:rPr>
          <w:noBreakHyphen/>
          <w:t>GCDT-SOP</w:t>
        </w:r>
      </w:hyperlink>
      <w:r w:rsidR="008E451F" w:rsidRPr="0044093E">
        <w:rPr>
          <w:rFonts w:eastAsiaTheme="minorEastAsia"/>
          <w:lang w:val="fr-FR"/>
        </w:rPr>
        <w:t>)</w:t>
      </w:r>
    </w:p>
    <w:p w14:paraId="5D4F05F4" w14:textId="19491A79" w:rsidR="001B0C50" w:rsidRPr="0044093E" w:rsidRDefault="001B0C50" w:rsidP="008B2B25">
      <w:pPr>
        <w:tabs>
          <w:tab w:val="clear" w:pos="794"/>
          <w:tab w:val="clear" w:pos="1191"/>
          <w:tab w:val="clear" w:pos="1588"/>
          <w:tab w:val="clear" w:pos="1985"/>
          <w:tab w:val="left" w:pos="567"/>
          <w:tab w:val="left" w:leader="hyphen" w:pos="1134"/>
          <w:tab w:val="left" w:pos="1701"/>
          <w:tab w:val="left" w:pos="2268"/>
        </w:tabs>
        <w:spacing w:after="240"/>
        <w:rPr>
          <w:rFonts w:eastAsiaTheme="minorEastAsia" w:cstheme="minorBidi"/>
          <w:lang w:val="fr-FR" w:eastAsia="zh-CN"/>
        </w:rPr>
      </w:pPr>
      <w:r w:rsidRPr="0044093E">
        <w:rPr>
          <w:rFonts w:eastAsiaTheme="minorEastAsia" w:cstheme="minorBidi"/>
          <w:lang w:val="fr-FR" w:eastAsia="zh-CN"/>
        </w:rPr>
        <w:t xml:space="preserve">L'élaboration par les membres de l'UIT-D d'une contribution au processus de planification stratégique de l'UIT est </w:t>
      </w:r>
      <w:r w:rsidR="006A3AF8" w:rsidRPr="0044093E">
        <w:rPr>
          <w:rFonts w:eastAsiaTheme="minorEastAsia" w:cstheme="minorBidi"/>
          <w:lang w:val="fr-FR" w:eastAsia="zh-CN"/>
        </w:rPr>
        <w:t>une question revêtant une importance capitale pour les membres. L</w:t>
      </w:r>
      <w:r w:rsidR="00642856" w:rsidRPr="0044093E">
        <w:rPr>
          <w:rFonts w:eastAsiaTheme="minorEastAsia" w:cstheme="minorBidi"/>
          <w:lang w:val="fr-FR" w:eastAsia="zh-CN"/>
        </w:rPr>
        <w:t>a</w:t>
      </w:r>
      <w:r w:rsidR="006A3AF8" w:rsidRPr="0044093E">
        <w:rPr>
          <w:rFonts w:eastAsiaTheme="minorEastAsia" w:cstheme="minorBidi"/>
          <w:lang w:val="fr-FR" w:eastAsia="zh-CN"/>
        </w:rPr>
        <w:t xml:space="preserve"> </w:t>
      </w:r>
      <w:r w:rsidR="00642856" w:rsidRPr="0044093E">
        <w:rPr>
          <w:rFonts w:eastAsiaTheme="minorEastAsia" w:cstheme="minorBidi"/>
          <w:lang w:val="fr-FR" w:eastAsia="zh-CN"/>
        </w:rPr>
        <w:t>modification</w:t>
      </w:r>
      <w:r w:rsidR="006A3AF8" w:rsidRPr="0044093E">
        <w:rPr>
          <w:rFonts w:eastAsiaTheme="minorEastAsia" w:cstheme="minorBidi"/>
          <w:lang w:val="fr-FR" w:eastAsia="zh-CN"/>
        </w:rPr>
        <w:t xml:space="preserve"> des dates de la CMDT, par rapport aux dates fixées pour la PP, a des incidences sur la manière dont les membres participeront au niveau de l'UIT-D à l'élaboration du </w:t>
      </w:r>
      <w:r w:rsidR="00642856" w:rsidRPr="0044093E">
        <w:rPr>
          <w:rFonts w:eastAsiaTheme="minorEastAsia" w:cstheme="minorBidi"/>
          <w:lang w:val="fr-FR" w:eastAsia="zh-CN"/>
        </w:rPr>
        <w:t>P</w:t>
      </w:r>
      <w:r w:rsidR="006A3AF8" w:rsidRPr="0044093E">
        <w:rPr>
          <w:rFonts w:eastAsiaTheme="minorEastAsia" w:cstheme="minorBidi"/>
          <w:lang w:val="fr-FR" w:eastAsia="zh-CN"/>
        </w:rPr>
        <w:t>lan stratégique.</w:t>
      </w:r>
    </w:p>
    <w:p w14:paraId="24894FAD" w14:textId="03F10747" w:rsidR="00775390" w:rsidRPr="0044093E" w:rsidRDefault="000F6088" w:rsidP="000F6088">
      <w:pPr>
        <w:pStyle w:val="Figure"/>
        <w:rPr>
          <w:rFonts w:eastAsiaTheme="minorEastAsia" w:cstheme="minorBidi"/>
          <w:lang w:val="fr-FR" w:eastAsia="zh-CN"/>
        </w:rPr>
      </w:pPr>
      <w:r w:rsidRPr="0044093E">
        <w:rPr>
          <w:lang w:val="en-US"/>
        </w:rPr>
        <w:drawing>
          <wp:inline distT="0" distB="0" distL="0" distR="0" wp14:anchorId="41B8174B" wp14:editId="73CBB058">
            <wp:extent cx="6120765" cy="30181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765" cy="3018155"/>
                    </a:xfrm>
                    <a:prstGeom prst="rect">
                      <a:avLst/>
                    </a:prstGeom>
                  </pic:spPr>
                </pic:pic>
              </a:graphicData>
            </a:graphic>
          </wp:inline>
        </w:drawing>
      </w:r>
    </w:p>
    <w:p w14:paraId="68849B05" w14:textId="0780B41B" w:rsidR="008E451F" w:rsidRPr="0044093E" w:rsidRDefault="00625B5F" w:rsidP="00625B5F">
      <w:pPr>
        <w:rPr>
          <w:rFonts w:eastAsiaTheme="minorEastAsia" w:cstheme="minorBidi"/>
          <w:lang w:val="fr-FR"/>
        </w:rPr>
      </w:pPr>
      <w:r w:rsidRPr="0044093E">
        <w:rPr>
          <w:rFonts w:eastAsiaTheme="minorEastAsia" w:cstheme="minorBidi"/>
          <w:lang w:val="fr-FR"/>
        </w:rPr>
        <w:lastRenderedPageBreak/>
        <w:t>Le Secrétaire général</w:t>
      </w:r>
      <w:r w:rsidR="008E451F" w:rsidRPr="0044093E">
        <w:rPr>
          <w:rFonts w:eastAsiaTheme="minorEastAsia" w:cstheme="minorBidi"/>
          <w:lang w:val="fr-FR"/>
        </w:rPr>
        <w:t xml:space="preserve"> "</w:t>
      </w:r>
      <w:r w:rsidR="008E451F" w:rsidRPr="0044093E">
        <w:rPr>
          <w:rFonts w:eastAsiaTheme="minorEastAsia" w:cstheme="minorBidi"/>
          <w:i/>
          <w:iCs/>
          <w:lang w:val="fr-FR"/>
        </w:rPr>
        <w:t xml:space="preserve">prépare, avec l'assistance du Comité de coordination, et fournit aux </w:t>
      </w:r>
      <w:r w:rsidR="000F6088" w:rsidRPr="0044093E">
        <w:rPr>
          <w:rFonts w:eastAsiaTheme="minorEastAsia" w:cstheme="minorBidi"/>
          <w:i/>
          <w:iCs/>
          <w:lang w:val="fr-FR"/>
        </w:rPr>
        <w:t>États </w:t>
      </w:r>
      <w:r w:rsidR="008E451F" w:rsidRPr="0044093E">
        <w:rPr>
          <w:rFonts w:eastAsiaTheme="minorEastAsia" w:cstheme="minorBidi"/>
          <w:i/>
          <w:iCs/>
          <w:lang w:val="fr-FR"/>
        </w:rPr>
        <w:t>Membres et aux Membres des Secteurs les données concrètes éventuellement nécessaires à l'élaboration d'un rapport sur la politique et sur le plan stratégique de l'Union et coordonne la mise en œuvre dudit plan</w:t>
      </w:r>
      <w:r w:rsidR="008E451F" w:rsidRPr="0044093E">
        <w:rPr>
          <w:rFonts w:eastAsiaTheme="minorEastAsia" w:cstheme="minorBidi"/>
          <w:lang w:val="fr-FR"/>
        </w:rPr>
        <w:t>" (CS/</w:t>
      </w:r>
      <w:r w:rsidR="000F6088" w:rsidRPr="0044093E">
        <w:rPr>
          <w:rFonts w:eastAsiaTheme="minorEastAsia" w:cstheme="minorBidi"/>
          <w:lang w:val="fr-FR"/>
        </w:rPr>
        <w:t>A</w:t>
      </w:r>
      <w:r w:rsidR="008E451F" w:rsidRPr="0044093E">
        <w:rPr>
          <w:rFonts w:eastAsiaTheme="minorEastAsia" w:cstheme="minorBidi"/>
          <w:lang w:val="fr-FR"/>
        </w:rPr>
        <w:t>rt. 11</w:t>
      </w:r>
      <w:r w:rsidR="000F6088" w:rsidRPr="0044093E">
        <w:rPr>
          <w:rFonts w:eastAsiaTheme="minorEastAsia" w:cstheme="minorBidi"/>
          <w:lang w:val="fr-FR"/>
        </w:rPr>
        <w:t xml:space="preserve">, </w:t>
      </w:r>
      <w:r w:rsidR="008E451F" w:rsidRPr="0044093E">
        <w:rPr>
          <w:rFonts w:eastAsiaTheme="minorEastAsia" w:cstheme="minorBidi"/>
          <w:lang w:val="fr-FR"/>
        </w:rPr>
        <w:t>74A).</w:t>
      </w:r>
    </w:p>
    <w:p w14:paraId="0BE79090" w14:textId="562A10CD" w:rsidR="008E451F" w:rsidRPr="0044093E" w:rsidRDefault="00625B5F" w:rsidP="00625B5F">
      <w:pPr>
        <w:rPr>
          <w:lang w:val="fr-FR"/>
        </w:rPr>
      </w:pPr>
      <w:r w:rsidRPr="0044093E">
        <w:rPr>
          <w:lang w:val="fr-FR"/>
        </w:rPr>
        <w:t xml:space="preserve">La Conférence de plénipotentiaires établit le </w:t>
      </w:r>
      <w:r w:rsidR="008B2B25">
        <w:rPr>
          <w:lang w:val="fr-FR"/>
        </w:rPr>
        <w:t>P</w:t>
      </w:r>
      <w:r w:rsidRPr="0044093E">
        <w:rPr>
          <w:lang w:val="fr-FR"/>
        </w:rPr>
        <w:t xml:space="preserve">lan stratégique de l'Union, moyennant la révision de sa Résolution 71, et le Secrétaire général coordonne ensuite en conséquence </w:t>
      </w:r>
      <w:r w:rsidR="008E451F" w:rsidRPr="0044093E">
        <w:rPr>
          <w:lang w:val="fr-FR"/>
        </w:rPr>
        <w:t>la mise en œuvre du</w:t>
      </w:r>
      <w:r w:rsidRPr="0044093E">
        <w:rPr>
          <w:lang w:val="fr-FR"/>
        </w:rPr>
        <w:t xml:space="preserve"> nouveau</w:t>
      </w:r>
      <w:r w:rsidR="008E451F" w:rsidRPr="0044093E">
        <w:rPr>
          <w:lang w:val="fr-FR"/>
        </w:rPr>
        <w:t xml:space="preserve"> </w:t>
      </w:r>
      <w:r w:rsidR="008B2B25">
        <w:rPr>
          <w:lang w:val="fr-FR"/>
        </w:rPr>
        <w:t>P</w:t>
      </w:r>
      <w:r w:rsidR="008E451F" w:rsidRPr="0044093E">
        <w:rPr>
          <w:lang w:val="fr-FR"/>
        </w:rPr>
        <w:t>lan stratégique (CV/</w:t>
      </w:r>
      <w:r w:rsidR="000F6088" w:rsidRPr="0044093E">
        <w:rPr>
          <w:lang w:val="fr-FR"/>
        </w:rPr>
        <w:t>A</w:t>
      </w:r>
      <w:r w:rsidR="008E451F" w:rsidRPr="0044093E">
        <w:rPr>
          <w:lang w:val="fr-FR"/>
        </w:rPr>
        <w:t>rt.</w:t>
      </w:r>
      <w:r w:rsidR="000F6088" w:rsidRPr="0044093E">
        <w:rPr>
          <w:lang w:val="fr-FR"/>
        </w:rPr>
        <w:t xml:space="preserve"> </w:t>
      </w:r>
      <w:r w:rsidR="008E451F" w:rsidRPr="0044093E">
        <w:rPr>
          <w:lang w:val="fr-FR"/>
        </w:rPr>
        <w:t>5, 86A).</w:t>
      </w:r>
    </w:p>
    <w:p w14:paraId="748DFD4B" w14:textId="0AE6AB85" w:rsidR="008E451F" w:rsidRPr="0044093E" w:rsidRDefault="00625B5F" w:rsidP="000C72EA">
      <w:pPr>
        <w:spacing w:line="257" w:lineRule="auto"/>
        <w:rPr>
          <w:rFonts w:eastAsiaTheme="minorEastAsia" w:cstheme="minorBidi"/>
          <w:lang w:val="fr-FR"/>
        </w:rPr>
      </w:pPr>
      <w:r w:rsidRPr="0044093E">
        <w:rPr>
          <w:rFonts w:eastAsiaTheme="minorEastAsia" w:cstheme="minorBidi"/>
          <w:lang w:val="fr-FR"/>
        </w:rPr>
        <w:t xml:space="preserve">Conformément à la Constitution et à la Convention de l'UIT, la responsabilité d'approuver les </w:t>
      </w:r>
      <w:r w:rsidR="008B2B25">
        <w:rPr>
          <w:rFonts w:eastAsiaTheme="minorEastAsia" w:cstheme="minorBidi"/>
          <w:lang w:val="fr-FR"/>
        </w:rPr>
        <w:t>P</w:t>
      </w:r>
      <w:r w:rsidRPr="0044093E">
        <w:rPr>
          <w:rFonts w:eastAsiaTheme="minorEastAsia" w:cstheme="minorBidi"/>
          <w:lang w:val="fr-FR"/>
        </w:rPr>
        <w:t>lans stratégique et financier de l'UIT incombe à la seule Conférence de plénipotentiaires.</w:t>
      </w:r>
      <w:r w:rsidR="008E451F" w:rsidRPr="0044093E">
        <w:rPr>
          <w:rFonts w:eastAsiaTheme="minorEastAsia" w:cstheme="minorBidi"/>
          <w:lang w:val="fr-FR"/>
        </w:rPr>
        <w:t xml:space="preserve"> </w:t>
      </w:r>
    </w:p>
    <w:p w14:paraId="590F070B" w14:textId="45E386E1" w:rsidR="008E451F" w:rsidRPr="0044093E" w:rsidRDefault="000C72EA" w:rsidP="000C72EA">
      <w:pPr>
        <w:rPr>
          <w:rFonts w:eastAsiaTheme="minorEastAsia" w:cstheme="minorBidi"/>
          <w:lang w:val="fr-FR"/>
        </w:rPr>
      </w:pPr>
      <w:r w:rsidRPr="0044093E">
        <w:rPr>
          <w:rFonts w:eastAsiaTheme="minorEastAsia" w:cstheme="minorBidi"/>
          <w:lang w:val="fr-FR"/>
        </w:rPr>
        <w:t>Le Conseil</w:t>
      </w:r>
      <w:r w:rsidR="008E451F" w:rsidRPr="0044093E">
        <w:rPr>
          <w:rFonts w:eastAsiaTheme="minorEastAsia" w:cstheme="minorBidi"/>
          <w:lang w:val="fr-FR"/>
        </w:rPr>
        <w:t>, "</w:t>
      </w:r>
      <w:r w:rsidR="008E451F" w:rsidRPr="0044093E">
        <w:rPr>
          <w:rFonts w:eastAsiaTheme="minorEastAsia" w:cstheme="minorBidi"/>
          <w:i/>
          <w:iCs/>
          <w:lang w:val="fr-FR"/>
        </w:rPr>
        <w:t xml:space="preserve">au cours de l'avant-dernière session ordinaire du Conseil avant la Conférence de plénipotentiaires suivante, </w:t>
      </w:r>
      <w:r w:rsidR="008E451F" w:rsidRPr="0044093E">
        <w:rPr>
          <w:rFonts w:eastAsiaTheme="minorEastAsia" w:cstheme="minorBidi"/>
          <w:i/>
          <w:iCs/>
          <w:u w:val="single"/>
          <w:lang w:val="fr-FR"/>
        </w:rPr>
        <w:t xml:space="preserve">commence l'élaboration d'un projet de nouveau plan stratégique pour l'Union, en s'appuyant sur les contributions des </w:t>
      </w:r>
      <w:r w:rsidRPr="0044093E">
        <w:rPr>
          <w:rFonts w:eastAsiaTheme="minorEastAsia" w:cstheme="minorBidi"/>
          <w:i/>
          <w:iCs/>
          <w:u w:val="single"/>
          <w:lang w:val="fr-FR"/>
        </w:rPr>
        <w:t>États</w:t>
      </w:r>
      <w:r w:rsidR="008E451F" w:rsidRPr="0044093E">
        <w:rPr>
          <w:rFonts w:eastAsiaTheme="minorEastAsia" w:cstheme="minorBidi"/>
          <w:i/>
          <w:iCs/>
          <w:u w:val="single"/>
          <w:lang w:val="fr-FR"/>
        </w:rPr>
        <w:t xml:space="preserve"> Membres et des Membres des Secteurs, ainsi que celles des groupes consultatifs des Secteurs</w:t>
      </w:r>
      <w:r w:rsidR="008E451F" w:rsidRPr="0044093E">
        <w:rPr>
          <w:rFonts w:eastAsiaTheme="minorEastAsia" w:cstheme="minorBidi"/>
          <w:i/>
          <w:iCs/>
          <w:lang w:val="fr-FR"/>
        </w:rPr>
        <w:t xml:space="preserve">, et établit un projet de nouveau plan stratégique coordonné </w:t>
      </w:r>
      <w:r w:rsidR="008E451F" w:rsidRPr="0044093E">
        <w:rPr>
          <w:rFonts w:eastAsiaTheme="minorEastAsia" w:cstheme="minorBidi"/>
          <w:i/>
          <w:iCs/>
          <w:u w:val="single"/>
          <w:lang w:val="fr-FR"/>
        </w:rPr>
        <w:t>quatre mois au plus tard</w:t>
      </w:r>
      <w:r w:rsidR="008E451F" w:rsidRPr="0044093E">
        <w:rPr>
          <w:rFonts w:eastAsiaTheme="minorEastAsia" w:cstheme="minorBidi"/>
          <w:i/>
          <w:iCs/>
          <w:lang w:val="fr-FR"/>
        </w:rPr>
        <w:t xml:space="preserve"> avant la Conférence de plénipotentiaires</w:t>
      </w:r>
      <w:r w:rsidR="008E451F" w:rsidRPr="0044093E">
        <w:rPr>
          <w:rFonts w:eastAsiaTheme="minorEastAsia" w:cstheme="minorBidi"/>
          <w:lang w:val="fr-FR"/>
        </w:rPr>
        <w:t>" (CV/</w:t>
      </w:r>
      <w:r w:rsidR="000F6088" w:rsidRPr="0044093E">
        <w:rPr>
          <w:rFonts w:eastAsiaTheme="minorEastAsia" w:cstheme="minorBidi"/>
          <w:lang w:val="fr-FR"/>
        </w:rPr>
        <w:t>A</w:t>
      </w:r>
      <w:r w:rsidR="008E451F" w:rsidRPr="0044093E">
        <w:rPr>
          <w:rFonts w:eastAsiaTheme="minorEastAsia" w:cstheme="minorBidi"/>
          <w:lang w:val="fr-FR"/>
        </w:rPr>
        <w:t>rt. 4</w:t>
      </w:r>
      <w:r w:rsidR="000F6088" w:rsidRPr="0044093E">
        <w:rPr>
          <w:rFonts w:eastAsiaTheme="minorEastAsia" w:cstheme="minorBidi"/>
          <w:lang w:val="fr-FR"/>
        </w:rPr>
        <w:t xml:space="preserve">, </w:t>
      </w:r>
      <w:r w:rsidR="008E451F" w:rsidRPr="0044093E">
        <w:rPr>
          <w:rFonts w:eastAsiaTheme="minorEastAsia" w:cstheme="minorBidi"/>
          <w:lang w:val="fr-FR"/>
        </w:rPr>
        <w:t>62A).</w:t>
      </w:r>
    </w:p>
    <w:p w14:paraId="462EC8E7" w14:textId="5F3CF78F" w:rsidR="008E451F" w:rsidRPr="0044093E" w:rsidRDefault="008C3909" w:rsidP="008C3909">
      <w:pPr>
        <w:rPr>
          <w:lang w:val="fr-FR"/>
        </w:rPr>
      </w:pPr>
      <w:r w:rsidRPr="0044093E">
        <w:rPr>
          <w:lang w:val="fr-FR"/>
        </w:rPr>
        <w:t>L</w:t>
      </w:r>
      <w:r w:rsidR="00356A2C" w:rsidRPr="0044093E">
        <w:rPr>
          <w:lang w:val="fr-FR"/>
        </w:rPr>
        <w:t>a pratique suivie lors des cycles précédents</w:t>
      </w:r>
      <w:r w:rsidRPr="0044093E">
        <w:rPr>
          <w:lang w:val="fr-FR"/>
        </w:rPr>
        <w:t xml:space="preserve"> prévoyait l'établissement par</w:t>
      </w:r>
      <w:r w:rsidR="00356A2C" w:rsidRPr="0044093E">
        <w:rPr>
          <w:lang w:val="fr-FR"/>
        </w:rPr>
        <w:t xml:space="preserve"> le Conseil </w:t>
      </w:r>
      <w:r w:rsidRPr="0044093E">
        <w:rPr>
          <w:lang w:val="fr-FR"/>
        </w:rPr>
        <w:t>d'</w:t>
      </w:r>
      <w:r w:rsidR="00356A2C" w:rsidRPr="0044093E">
        <w:rPr>
          <w:lang w:val="fr-FR"/>
        </w:rPr>
        <w:t xml:space="preserve">un Groupe de travail du Conseil chargé d'élaborer le projet de </w:t>
      </w:r>
      <w:r w:rsidR="008B2B25">
        <w:rPr>
          <w:lang w:val="fr-FR"/>
        </w:rPr>
        <w:t>p</w:t>
      </w:r>
      <w:r w:rsidR="00356A2C" w:rsidRPr="0044093E">
        <w:rPr>
          <w:lang w:val="fr-FR"/>
        </w:rPr>
        <w:t xml:space="preserve">lan stratégique et le projet de </w:t>
      </w:r>
      <w:r w:rsidR="008B2B25">
        <w:rPr>
          <w:lang w:val="fr-FR"/>
        </w:rPr>
        <w:t>p</w:t>
      </w:r>
      <w:r w:rsidR="00356A2C" w:rsidRPr="0044093E">
        <w:rPr>
          <w:lang w:val="fr-FR"/>
        </w:rPr>
        <w:t>lan financier (voir la Rés. 1384 adoptée par le Conseil en 2017).</w:t>
      </w:r>
      <w:r w:rsidR="008E451F" w:rsidRPr="0044093E">
        <w:rPr>
          <w:lang w:val="fr-FR"/>
        </w:rPr>
        <w:t xml:space="preserve"> </w:t>
      </w:r>
      <w:r w:rsidR="00356A2C" w:rsidRPr="0044093E">
        <w:rPr>
          <w:lang w:val="fr-FR"/>
        </w:rPr>
        <w:t>L</w:t>
      </w:r>
      <w:r w:rsidR="008E451F" w:rsidRPr="0044093E">
        <w:rPr>
          <w:lang w:val="fr-FR"/>
        </w:rPr>
        <w:t xml:space="preserve">e Groupe de travail </w:t>
      </w:r>
      <w:r w:rsidR="00356A2C" w:rsidRPr="0044093E">
        <w:rPr>
          <w:lang w:val="fr-FR"/>
        </w:rPr>
        <w:t xml:space="preserve">chargé d'élaborer le projet de </w:t>
      </w:r>
      <w:r w:rsidR="008B2B25">
        <w:rPr>
          <w:lang w:val="fr-FR"/>
        </w:rPr>
        <w:t>p</w:t>
      </w:r>
      <w:r w:rsidR="00356A2C" w:rsidRPr="0044093E">
        <w:rPr>
          <w:lang w:val="fr-FR"/>
        </w:rPr>
        <w:t xml:space="preserve">lan stratégique et le projet de </w:t>
      </w:r>
      <w:r w:rsidR="008B2B25">
        <w:rPr>
          <w:lang w:val="fr-FR"/>
        </w:rPr>
        <w:t>p</w:t>
      </w:r>
      <w:r w:rsidR="00356A2C" w:rsidRPr="0044093E">
        <w:rPr>
          <w:lang w:val="fr-FR"/>
        </w:rPr>
        <w:t xml:space="preserve">lan financier </w:t>
      </w:r>
      <w:r w:rsidR="008E451F" w:rsidRPr="0044093E">
        <w:rPr>
          <w:lang w:val="fr-FR"/>
        </w:rPr>
        <w:t>(GTC-SFP)</w:t>
      </w:r>
      <w:r w:rsidR="00B87DEF" w:rsidRPr="0044093E">
        <w:rPr>
          <w:lang w:val="fr-FR"/>
        </w:rPr>
        <w:t xml:space="preserve"> était</w:t>
      </w:r>
      <w:r w:rsidR="008E451F" w:rsidRPr="0044093E">
        <w:rPr>
          <w:lang w:val="fr-FR"/>
        </w:rPr>
        <w:t xml:space="preserve"> ouvert à la participation des États</w:t>
      </w:r>
      <w:r w:rsidR="000F6088" w:rsidRPr="0044093E">
        <w:rPr>
          <w:lang w:val="fr-FR"/>
        </w:rPr>
        <w:t> </w:t>
      </w:r>
      <w:r w:rsidR="008E451F" w:rsidRPr="0044093E">
        <w:rPr>
          <w:lang w:val="fr-FR"/>
        </w:rPr>
        <w:t>Membres et</w:t>
      </w:r>
      <w:r w:rsidR="00B87DEF" w:rsidRPr="0044093E">
        <w:rPr>
          <w:lang w:val="fr-FR"/>
        </w:rPr>
        <w:t xml:space="preserve"> des Membres des Secteurs</w:t>
      </w:r>
      <w:r w:rsidR="008E451F" w:rsidRPr="0044093E">
        <w:rPr>
          <w:lang w:val="fr-FR"/>
        </w:rPr>
        <w:t xml:space="preserve"> lorsqu'il </w:t>
      </w:r>
      <w:r w:rsidR="00B87DEF" w:rsidRPr="0044093E">
        <w:rPr>
          <w:lang w:val="fr-FR"/>
        </w:rPr>
        <w:t>était</w:t>
      </w:r>
      <w:r w:rsidR="008E451F" w:rsidRPr="0044093E">
        <w:rPr>
          <w:lang w:val="fr-FR"/>
        </w:rPr>
        <w:t xml:space="preserve"> question du projet de </w:t>
      </w:r>
      <w:r w:rsidR="008B2B25">
        <w:rPr>
          <w:lang w:val="fr-FR"/>
        </w:rPr>
        <w:t>p</w:t>
      </w:r>
      <w:r w:rsidR="008E451F" w:rsidRPr="0044093E">
        <w:rPr>
          <w:lang w:val="fr-FR"/>
        </w:rPr>
        <w:t>lan stratégique.</w:t>
      </w:r>
      <w:r w:rsidRPr="0044093E">
        <w:rPr>
          <w:lang w:val="fr-FR"/>
        </w:rPr>
        <w:t xml:space="preserve"> En plus des contributions fournies par les États Membres, les Membres de Secteur et les Groupes consultatifs des Secteurs, il a également tenu compte des résultats de consultations publiques menées au sujet du cadre stratégique proposé.</w:t>
      </w:r>
    </w:p>
    <w:p w14:paraId="22FC5738" w14:textId="763F47F5" w:rsidR="004D792C" w:rsidRPr="0044093E" w:rsidRDefault="008C3909" w:rsidP="008C3909">
      <w:pPr>
        <w:spacing w:line="257" w:lineRule="auto"/>
        <w:rPr>
          <w:rFonts w:eastAsiaTheme="minorEastAsia" w:cstheme="minorBidi"/>
          <w:lang w:val="fr-FR"/>
        </w:rPr>
      </w:pPr>
      <w:r w:rsidRPr="0044093E">
        <w:rPr>
          <w:rFonts w:eastAsiaTheme="minorEastAsia" w:cstheme="minorBidi"/>
          <w:lang w:val="fr-FR"/>
        </w:rPr>
        <w:t>À sa dernière session ordinaire avant la PP, le Conseil examine et approuve le projet de nouveau plan stratégique (soumis par le GTC-SFP), et le projet de plan ainsi élaboré est transmis à la PP au moins quatre mois avant le début de la conférence.</w:t>
      </w:r>
    </w:p>
    <w:p w14:paraId="16C656DC" w14:textId="79DC942A" w:rsidR="008E451F" w:rsidRPr="0044093E" w:rsidRDefault="00B35B03" w:rsidP="008563B0">
      <w:pPr>
        <w:rPr>
          <w:rFonts w:eastAsiaTheme="minorEastAsia" w:cstheme="minorBidi"/>
          <w:lang w:val="fr-FR"/>
        </w:rPr>
      </w:pPr>
      <w:r w:rsidRPr="0044093E">
        <w:rPr>
          <w:rFonts w:eastAsiaTheme="minorEastAsia" w:cstheme="minorBidi"/>
          <w:lang w:val="fr-FR"/>
        </w:rPr>
        <w:t>Alors</w:t>
      </w:r>
      <w:r w:rsidR="008C3909" w:rsidRPr="0044093E">
        <w:rPr>
          <w:rFonts w:eastAsiaTheme="minorEastAsia" w:cstheme="minorBidi"/>
          <w:lang w:val="fr-FR"/>
        </w:rPr>
        <w:t xml:space="preserve"> que lors des cycles précédents, la CMDT a fourni des éléments avec des contribution</w:t>
      </w:r>
      <w:r w:rsidRPr="0044093E">
        <w:rPr>
          <w:rFonts w:eastAsiaTheme="minorEastAsia" w:cstheme="minorBidi"/>
          <w:lang w:val="fr-FR"/>
        </w:rPr>
        <w:t xml:space="preserve">s soumises au GTC-SFP pour qu'il en tienne compte lors de l'élaboration du Plan stratégique (comme indiqué dans la </w:t>
      </w:r>
      <w:hyperlink r:id="rId21" w:history="1">
        <w:r w:rsidRPr="0044093E">
          <w:rPr>
            <w:rStyle w:val="Hyperlink"/>
            <w:rFonts w:eastAsiaTheme="minorEastAsia" w:cstheme="minorBidi"/>
            <w:lang w:val="fr-FR"/>
          </w:rPr>
          <w:t>Résolution 1 (Rév.Buenos Aires, 2017) de la CMDT</w:t>
        </w:r>
      </w:hyperlink>
      <w:r w:rsidRPr="0044093E">
        <w:rPr>
          <w:rFonts w:eastAsiaTheme="minorEastAsia" w:cstheme="minorBidi"/>
          <w:lang w:val="fr-FR"/>
        </w:rPr>
        <w:t>), si la CMDT est reportée et a lieu aux dates proposées, c'est-à-dire après la session de 2022 du Conseil, elle sera dans l'impossibilité d'approuver la contribution au Plan stratég</w:t>
      </w:r>
      <w:r w:rsidR="00F1207C">
        <w:rPr>
          <w:rFonts w:eastAsiaTheme="minorEastAsia" w:cstheme="minorBidi"/>
          <w:lang w:val="fr-FR"/>
        </w:rPr>
        <w:t>ique à temps pour la session de </w:t>
      </w:r>
      <w:r w:rsidRPr="0044093E">
        <w:rPr>
          <w:rFonts w:eastAsiaTheme="minorEastAsia" w:cstheme="minorBidi"/>
          <w:lang w:val="fr-FR"/>
        </w:rPr>
        <w:t>2022 du Conseil.</w:t>
      </w:r>
    </w:p>
    <w:p w14:paraId="6C047FBF" w14:textId="064D2B85" w:rsidR="00232B7F" w:rsidRPr="0044093E" w:rsidRDefault="008563B0" w:rsidP="00232B7F">
      <w:pPr>
        <w:rPr>
          <w:lang w:val="fr-FR"/>
        </w:rPr>
      </w:pPr>
      <w:r w:rsidRPr="0044093E">
        <w:rPr>
          <w:lang w:val="fr-FR"/>
        </w:rPr>
        <w:t xml:space="preserve">Il est rappelé </w:t>
      </w:r>
      <w:r w:rsidR="00E67D73" w:rsidRPr="0044093E">
        <w:rPr>
          <w:lang w:val="fr-FR"/>
        </w:rPr>
        <w:t>aux participants à la réunion que</w:t>
      </w:r>
      <w:r w:rsidRPr="0044093E">
        <w:rPr>
          <w:lang w:val="fr-FR"/>
        </w:rPr>
        <w:t xml:space="preserve"> le GCDT</w:t>
      </w:r>
      <w:r w:rsidR="00E67D73" w:rsidRPr="0044093E">
        <w:rPr>
          <w:lang w:val="fr-FR"/>
        </w:rPr>
        <w:t>,</w:t>
      </w:r>
      <w:r w:rsidRPr="0044093E">
        <w:rPr>
          <w:lang w:val="fr-FR"/>
        </w:rPr>
        <w:t xml:space="preserve"> </w:t>
      </w:r>
      <w:r w:rsidR="00E67D73" w:rsidRPr="0044093E">
        <w:rPr>
          <w:lang w:val="fr-FR"/>
        </w:rPr>
        <w:t>à sa réunion du 16 juin 2020</w:t>
      </w:r>
      <w:r w:rsidR="00232B7F" w:rsidRPr="0044093E">
        <w:rPr>
          <w:lang w:val="fr-FR"/>
        </w:rPr>
        <w:t xml:space="preserve">, </w:t>
      </w:r>
      <w:r w:rsidRPr="0044093E">
        <w:rPr>
          <w:lang w:val="fr-FR"/>
        </w:rPr>
        <w:t xml:space="preserve">a créé le Groupe de travail du GCDT </w:t>
      </w:r>
      <w:r w:rsidR="00E67D73" w:rsidRPr="0044093E">
        <w:rPr>
          <w:lang w:val="fr-FR"/>
        </w:rPr>
        <w:t>chargé de la planification stratégique et opérationnelle (GTC</w:t>
      </w:r>
      <w:r w:rsidR="000F6088" w:rsidRPr="0044093E">
        <w:rPr>
          <w:lang w:val="fr-FR"/>
        </w:rPr>
        <w:noBreakHyphen/>
      </w:r>
      <w:r w:rsidR="00E67D73" w:rsidRPr="0044093E">
        <w:rPr>
          <w:lang w:val="fr-FR"/>
        </w:rPr>
        <w:t>GCDT</w:t>
      </w:r>
      <w:r w:rsidR="000F6088" w:rsidRPr="0044093E">
        <w:rPr>
          <w:lang w:val="fr-FR"/>
        </w:rPr>
        <w:noBreakHyphen/>
      </w:r>
      <w:r w:rsidR="00E67D73" w:rsidRPr="0044093E">
        <w:rPr>
          <w:lang w:val="fr-FR"/>
        </w:rPr>
        <w:t xml:space="preserve">SOP), c'est-à-dire de la contribution de l'UIT-D au Plan stratégique et au Plan opérationnel de l'UIT, qui a </w:t>
      </w:r>
      <w:r w:rsidR="004D792C" w:rsidRPr="0044093E">
        <w:rPr>
          <w:lang w:val="fr-FR"/>
        </w:rPr>
        <w:t>pour mission d'examiner l'état d'avancement de la mise en œuvre et les résultats du Plan stratégique approuvé par la Conférence de plénipotentiaires de 2018 et d'élaborer des propositions concernant le projet de nouvelle contribution de l'UIT-D au Plan stratégique pour la prochaine période (2024-2027)</w:t>
      </w:r>
      <w:r w:rsidR="00232B7F" w:rsidRPr="0044093E">
        <w:rPr>
          <w:lang w:val="fr-FR"/>
        </w:rPr>
        <w:t>.</w:t>
      </w:r>
    </w:p>
    <w:p w14:paraId="6CB73409" w14:textId="77777777" w:rsidR="000F6088" w:rsidRPr="0044093E" w:rsidRDefault="00232B7F" w:rsidP="00A667E4">
      <w:pPr>
        <w:rPr>
          <w:lang w:val="fr-FR"/>
        </w:rPr>
      </w:pPr>
      <w:r w:rsidRPr="0044093E">
        <w:rPr>
          <w:lang w:val="fr-FR"/>
        </w:rPr>
        <w:t>Après avoir examiné les questions relevant de son mandat, l</w:t>
      </w:r>
      <w:r w:rsidR="00147F0B" w:rsidRPr="0044093E">
        <w:rPr>
          <w:lang w:val="fr-FR"/>
        </w:rPr>
        <w:t>e GT-GCDT-SOP</w:t>
      </w:r>
      <w:r w:rsidRPr="0044093E">
        <w:rPr>
          <w:lang w:val="fr-FR"/>
        </w:rPr>
        <w:t xml:space="preserve">, dans le </w:t>
      </w:r>
      <w:hyperlink r:id="rId22" w:history="1">
        <w:r w:rsidRPr="0044093E">
          <w:rPr>
            <w:rStyle w:val="Hyperlink"/>
            <w:lang w:val="fr-FR"/>
          </w:rPr>
          <w:t>rapport qu'il a soumis au GCDT</w:t>
        </w:r>
      </w:hyperlink>
      <w:r w:rsidRPr="0044093E">
        <w:rPr>
          <w:lang w:val="fr-FR"/>
        </w:rPr>
        <w:t>,</w:t>
      </w:r>
      <w:r w:rsidR="00147F0B" w:rsidRPr="0044093E">
        <w:rPr>
          <w:lang w:val="fr-FR"/>
        </w:rPr>
        <w:t xml:space="preserve"> </w:t>
      </w:r>
      <w:r w:rsidRPr="0044093E">
        <w:rPr>
          <w:lang w:val="fr-FR"/>
        </w:rPr>
        <w:t>a recommandé</w:t>
      </w:r>
      <w:r w:rsidR="00147F0B" w:rsidRPr="0044093E">
        <w:rPr>
          <w:lang w:val="fr-FR"/>
        </w:rPr>
        <w:t xml:space="preserve"> </w:t>
      </w:r>
      <w:r w:rsidRPr="0044093E">
        <w:rPr>
          <w:lang w:val="fr-FR"/>
        </w:rPr>
        <w:t>au Groupe consu</w:t>
      </w:r>
      <w:r w:rsidR="00A667E4" w:rsidRPr="0044093E">
        <w:rPr>
          <w:lang w:val="fr-FR"/>
        </w:rPr>
        <w:t>l</w:t>
      </w:r>
      <w:r w:rsidRPr="0044093E">
        <w:rPr>
          <w:lang w:val="fr-FR"/>
        </w:rPr>
        <w:t>tatif</w:t>
      </w:r>
      <w:r w:rsidR="00147F0B" w:rsidRPr="0044093E">
        <w:rPr>
          <w:lang w:val="fr-FR"/>
        </w:rPr>
        <w:t xml:space="preserve"> d'approuver l'utilisation des</w:t>
      </w:r>
      <w:r w:rsidR="00A667E4" w:rsidRPr="0044093E">
        <w:rPr>
          <w:lang w:val="fr-FR"/>
        </w:rPr>
        <w:t xml:space="preserve"> quatre</w:t>
      </w:r>
      <w:r w:rsidR="000F6088" w:rsidRPr="0044093E">
        <w:rPr>
          <w:lang w:val="fr-FR"/>
        </w:rPr>
        <w:t> </w:t>
      </w:r>
      <w:r w:rsidR="00147F0B" w:rsidRPr="0044093E">
        <w:rPr>
          <w:lang w:val="fr-FR"/>
        </w:rPr>
        <w:t xml:space="preserve">priorités thématiques proposées par le GT-GCDT-RDTP comme </w:t>
      </w:r>
      <w:r w:rsidR="00A667E4" w:rsidRPr="0044093E">
        <w:rPr>
          <w:lang w:val="fr-FR"/>
        </w:rPr>
        <w:t>priorités stratégiques à faire figurer pour</w:t>
      </w:r>
      <w:r w:rsidR="00147F0B" w:rsidRPr="0044093E">
        <w:rPr>
          <w:lang w:val="fr-FR"/>
        </w:rPr>
        <w:t xml:space="preserve"> l'UIT-D </w:t>
      </w:r>
      <w:r w:rsidR="00A667E4" w:rsidRPr="0044093E">
        <w:rPr>
          <w:lang w:val="fr-FR"/>
        </w:rPr>
        <w:t>dans</w:t>
      </w:r>
      <w:r w:rsidR="00147F0B" w:rsidRPr="0044093E">
        <w:rPr>
          <w:lang w:val="fr-FR"/>
        </w:rPr>
        <w:t xml:space="preserve"> le </w:t>
      </w:r>
      <w:r w:rsidRPr="0044093E">
        <w:rPr>
          <w:lang w:val="fr-FR"/>
        </w:rPr>
        <w:t>nouveau</w:t>
      </w:r>
      <w:r w:rsidR="00147F0B" w:rsidRPr="0044093E">
        <w:rPr>
          <w:lang w:val="fr-FR"/>
        </w:rPr>
        <w:t xml:space="preserve"> Plan stratégique. </w:t>
      </w:r>
      <w:r w:rsidR="00A667E4" w:rsidRPr="0044093E">
        <w:rPr>
          <w:lang w:val="fr-FR"/>
        </w:rPr>
        <w:t xml:space="preserve">Le GCDT pourrait ensuite soumettre cette </w:t>
      </w:r>
      <w:r w:rsidR="000F6088" w:rsidRPr="0044093E">
        <w:rPr>
          <w:lang w:val="fr-FR"/>
        </w:rPr>
        <w:br w:type="page"/>
      </w:r>
    </w:p>
    <w:p w14:paraId="5FDF73B2" w14:textId="778DF64F" w:rsidR="004D792C" w:rsidRPr="0044093E" w:rsidRDefault="00A667E4" w:rsidP="00A667E4">
      <w:pPr>
        <w:rPr>
          <w:lang w:val="fr-FR"/>
        </w:rPr>
      </w:pPr>
      <w:r w:rsidRPr="0044093E">
        <w:rPr>
          <w:lang w:val="fr-FR"/>
        </w:rPr>
        <w:lastRenderedPageBreak/>
        <w:t>proposition à titre de contribution au GTC-SFP, qui commencera ses travaux sur le projet de Plan stratégique de l'UIT en juin 2021 et soumettra le projet définitif pour examen au Conseil en mars</w:t>
      </w:r>
      <w:r w:rsidR="000F6088" w:rsidRPr="0044093E">
        <w:rPr>
          <w:lang w:val="fr-FR"/>
        </w:rPr>
        <w:t> </w:t>
      </w:r>
      <w:r w:rsidRPr="0044093E">
        <w:rPr>
          <w:lang w:val="fr-FR"/>
        </w:rPr>
        <w:t>2022.</w:t>
      </w:r>
    </w:p>
    <w:p w14:paraId="2A512719" w14:textId="2B5C27C7" w:rsidR="00147F0B" w:rsidRPr="0044093E" w:rsidRDefault="00E32A6C" w:rsidP="00A667E4">
      <w:pPr>
        <w:pStyle w:val="Headingb"/>
        <w:rPr>
          <w:lang w:val="fr-FR"/>
        </w:rPr>
      </w:pPr>
      <w:r w:rsidRPr="0044093E">
        <w:rPr>
          <w:lang w:val="fr-FR"/>
        </w:rPr>
        <w:t>Proposition soumise au GCDT</w:t>
      </w:r>
      <w:r w:rsidR="00147F0B" w:rsidRPr="0044093E">
        <w:rPr>
          <w:lang w:val="fr-FR"/>
        </w:rPr>
        <w:t>:</w:t>
      </w:r>
    </w:p>
    <w:p w14:paraId="45FD55E7" w14:textId="5683638D" w:rsidR="00147F0B" w:rsidRPr="0044093E" w:rsidRDefault="00147F0B" w:rsidP="00A667E4">
      <w:pPr>
        <w:rPr>
          <w:lang w:val="fr-FR"/>
        </w:rPr>
      </w:pPr>
      <w:r w:rsidRPr="0044093E">
        <w:rPr>
          <w:lang w:val="fr-FR"/>
        </w:rPr>
        <w:t>Le GCDT d'approuver l'utilisation des priorités thématiques proposées par le GT-GCDT-RDTP comme Objectifs de l'UIT-D pour le prochain Plan stratégique de l'UIT, à savoir:</w:t>
      </w:r>
    </w:p>
    <w:p w14:paraId="22D557DC" w14:textId="77777777" w:rsidR="00147F0B" w:rsidRPr="0044093E" w:rsidRDefault="00147F0B" w:rsidP="00A667E4">
      <w:pPr>
        <w:pStyle w:val="enumlev1"/>
        <w:rPr>
          <w:lang w:val="fr-FR"/>
        </w:rPr>
      </w:pPr>
      <w:r w:rsidRPr="0044093E">
        <w:rPr>
          <w:lang w:val="fr-FR"/>
        </w:rPr>
        <w:t>a)</w:t>
      </w:r>
      <w:r w:rsidRPr="0044093E">
        <w:rPr>
          <w:lang w:val="fr-FR"/>
        </w:rPr>
        <w:tab/>
        <w:t>connectivité;</w:t>
      </w:r>
    </w:p>
    <w:p w14:paraId="6D985DB3" w14:textId="77777777" w:rsidR="00147F0B" w:rsidRPr="0044093E" w:rsidRDefault="00147F0B" w:rsidP="00A667E4">
      <w:pPr>
        <w:pStyle w:val="enumlev1"/>
        <w:rPr>
          <w:lang w:val="fr-FR"/>
        </w:rPr>
      </w:pPr>
      <w:r w:rsidRPr="0044093E">
        <w:rPr>
          <w:lang w:val="fr-FR"/>
        </w:rPr>
        <w:t>b)</w:t>
      </w:r>
      <w:r w:rsidRPr="0044093E">
        <w:rPr>
          <w:lang w:val="fr-FR"/>
        </w:rPr>
        <w:tab/>
        <w:t>transformation numérique;</w:t>
      </w:r>
    </w:p>
    <w:p w14:paraId="094F8083" w14:textId="77777777" w:rsidR="00147F0B" w:rsidRPr="0044093E" w:rsidRDefault="00147F0B" w:rsidP="00A667E4">
      <w:pPr>
        <w:pStyle w:val="enumlev1"/>
        <w:rPr>
          <w:lang w:val="fr-FR"/>
        </w:rPr>
      </w:pPr>
      <w:r w:rsidRPr="0044093E">
        <w:rPr>
          <w:lang w:val="fr-FR"/>
        </w:rPr>
        <w:t>c)</w:t>
      </w:r>
      <w:r w:rsidRPr="0044093E">
        <w:rPr>
          <w:lang w:val="fr-FR"/>
        </w:rPr>
        <w:tab/>
        <w:t>environnement propice; et</w:t>
      </w:r>
    </w:p>
    <w:p w14:paraId="1A08C1D3" w14:textId="56D458B5" w:rsidR="00147F0B" w:rsidRPr="0044093E" w:rsidRDefault="00147F0B" w:rsidP="00A667E4">
      <w:pPr>
        <w:pStyle w:val="enumlev1"/>
        <w:rPr>
          <w:lang w:val="fr-FR"/>
        </w:rPr>
      </w:pPr>
      <w:r w:rsidRPr="0044093E">
        <w:rPr>
          <w:lang w:val="fr-FR"/>
        </w:rPr>
        <w:t>d)</w:t>
      </w:r>
      <w:r w:rsidRPr="0044093E">
        <w:rPr>
          <w:lang w:val="fr-FR"/>
        </w:rPr>
        <w:tab/>
        <w:t>mobilisation des ressources et coopération internationale</w:t>
      </w:r>
      <w:r w:rsidR="000F6088" w:rsidRPr="0044093E">
        <w:rPr>
          <w:lang w:val="fr-FR"/>
        </w:rPr>
        <w:t>.</w:t>
      </w:r>
    </w:p>
    <w:p w14:paraId="1BF94641" w14:textId="7AB84A1E" w:rsidR="00147F0B" w:rsidRPr="0044093E" w:rsidRDefault="00147F0B" w:rsidP="00147F0B">
      <w:pPr>
        <w:pStyle w:val="Heading1"/>
        <w:rPr>
          <w:rFonts w:eastAsiaTheme="minorEastAsia"/>
          <w:lang w:val="fr-FR"/>
        </w:rPr>
      </w:pPr>
      <w:r w:rsidRPr="0044093E">
        <w:rPr>
          <w:lang w:val="fr-FR"/>
        </w:rPr>
        <w:t>5</w:t>
      </w:r>
      <w:r w:rsidRPr="0044093E">
        <w:rPr>
          <w:lang w:val="fr-FR"/>
        </w:rPr>
        <w:tab/>
      </w:r>
      <w:r w:rsidR="00A667E4" w:rsidRPr="0044093E">
        <w:rPr>
          <w:rFonts w:eastAsiaTheme="minorEastAsia"/>
          <w:lang w:val="fr-FR"/>
        </w:rPr>
        <w:t>Réunions interrégionales</w:t>
      </w:r>
      <w:r w:rsidRPr="0044093E">
        <w:rPr>
          <w:rFonts w:eastAsiaTheme="minorEastAsia"/>
          <w:lang w:val="fr-FR"/>
        </w:rPr>
        <w:t xml:space="preserve"> (IRM)</w:t>
      </w:r>
    </w:p>
    <w:p w14:paraId="7CA0034E" w14:textId="7AC63B8E" w:rsidR="00C95D60" w:rsidRPr="0044093E" w:rsidRDefault="008201FA" w:rsidP="00147F0B">
      <w:pPr>
        <w:tabs>
          <w:tab w:val="clear" w:pos="794"/>
          <w:tab w:val="clear" w:pos="1191"/>
          <w:tab w:val="clear" w:pos="1588"/>
          <w:tab w:val="clear" w:pos="1985"/>
          <w:tab w:val="left" w:pos="567"/>
          <w:tab w:val="left" w:leader="hyphen" w:pos="1134"/>
          <w:tab w:val="left" w:pos="1701"/>
          <w:tab w:val="left" w:pos="2268"/>
        </w:tabs>
        <w:rPr>
          <w:rFonts w:eastAsiaTheme="minorEastAsia" w:cstheme="minorBidi"/>
          <w:lang w:val="fr-FR" w:eastAsia="zh-CN"/>
        </w:rPr>
      </w:pPr>
      <w:r w:rsidRPr="0044093E">
        <w:rPr>
          <w:rFonts w:eastAsiaTheme="minorEastAsia" w:cstheme="minorBidi"/>
          <w:lang w:val="fr-FR" w:eastAsia="zh-CN"/>
        </w:rPr>
        <w:t>Les réunions préparatoires interrégionales ont été ajoutées au processus préparatoire des CMDT sur la base des discussions du GT</w:t>
      </w:r>
      <w:r w:rsidR="0044093E" w:rsidRPr="0044093E">
        <w:rPr>
          <w:rFonts w:eastAsiaTheme="minorEastAsia" w:cstheme="minorBidi"/>
          <w:lang w:val="fr-FR" w:eastAsia="zh-CN"/>
        </w:rPr>
        <w:t>-</w:t>
      </w:r>
      <w:r w:rsidRPr="0044093E">
        <w:rPr>
          <w:rFonts w:eastAsiaTheme="minorEastAsia" w:cstheme="minorBidi"/>
          <w:lang w:val="fr-FR" w:eastAsia="zh-CN"/>
        </w:rPr>
        <w:t>GCDT</w:t>
      </w:r>
      <w:r w:rsidR="0044093E" w:rsidRPr="0044093E">
        <w:rPr>
          <w:rFonts w:eastAsiaTheme="minorEastAsia" w:cstheme="minorBidi"/>
          <w:lang w:val="fr-FR" w:eastAsia="zh-CN"/>
        </w:rPr>
        <w:t>-</w:t>
      </w:r>
      <w:r w:rsidRPr="0044093E">
        <w:rPr>
          <w:rFonts w:eastAsiaTheme="minorEastAsia" w:cstheme="minorBidi"/>
          <w:lang w:val="fr-FR" w:eastAsia="zh-CN"/>
        </w:rPr>
        <w:t xml:space="preserve">Prep, afin d'offrir un cadre supplémentaire aux membres des différentes régions pour réfléchir et se consulter </w:t>
      </w:r>
      <w:r w:rsidR="00A96854" w:rsidRPr="0044093E">
        <w:rPr>
          <w:rFonts w:eastAsiaTheme="minorEastAsia" w:cstheme="minorBidi"/>
          <w:lang w:val="fr-FR" w:eastAsia="zh-CN"/>
        </w:rPr>
        <w:t>concernant</w:t>
      </w:r>
      <w:r w:rsidRPr="0044093E">
        <w:rPr>
          <w:rFonts w:eastAsiaTheme="minorEastAsia" w:cstheme="minorBidi"/>
          <w:lang w:val="fr-FR" w:eastAsia="zh-CN"/>
        </w:rPr>
        <w:t xml:space="preserve"> des questions d'importance dans le cadre des activités préparatoires en vue de la CMDT, facilitant ainsi l'obtention de consensus sur des questions clés avant la conférence. Il a été proposé de tenir trois réunions au total et, à ce jour, une réunion </w:t>
      </w:r>
      <w:r w:rsidR="00A96854" w:rsidRPr="0044093E">
        <w:rPr>
          <w:rFonts w:eastAsiaTheme="minorEastAsia" w:cstheme="minorBidi"/>
          <w:lang w:val="fr-FR" w:eastAsia="zh-CN"/>
        </w:rPr>
        <w:t>a eu</w:t>
      </w:r>
      <w:r w:rsidRPr="0044093E">
        <w:rPr>
          <w:rFonts w:eastAsiaTheme="minorEastAsia" w:cstheme="minorBidi"/>
          <w:lang w:val="fr-FR" w:eastAsia="zh-CN"/>
        </w:rPr>
        <w:t xml:space="preserve"> lieu le 11 mars 2021.</w:t>
      </w:r>
    </w:p>
    <w:p w14:paraId="39E246C2" w14:textId="1FE2C475" w:rsidR="00D32014" w:rsidRPr="0044093E" w:rsidRDefault="00C95D60" w:rsidP="00F1207C">
      <w:pPr>
        <w:tabs>
          <w:tab w:val="clear" w:pos="794"/>
          <w:tab w:val="clear" w:pos="1191"/>
          <w:tab w:val="clear" w:pos="1588"/>
          <w:tab w:val="clear" w:pos="1985"/>
          <w:tab w:val="left" w:pos="567"/>
          <w:tab w:val="left" w:leader="hyphen" w:pos="1134"/>
          <w:tab w:val="left" w:pos="1701"/>
          <w:tab w:val="left" w:pos="2268"/>
        </w:tabs>
        <w:spacing w:after="120"/>
        <w:rPr>
          <w:rFonts w:eastAsiaTheme="minorEastAsia" w:cstheme="minorBidi"/>
          <w:lang w:val="fr-FR" w:eastAsia="zh-CN"/>
        </w:rPr>
      </w:pPr>
      <w:r w:rsidRPr="0044093E">
        <w:rPr>
          <w:rFonts w:eastAsiaTheme="minorEastAsia" w:cstheme="minorBidi"/>
          <w:lang w:val="fr-FR" w:eastAsia="zh-CN"/>
        </w:rPr>
        <w:t>Il est proposé de tenir les deux dernières réunions, de deux jours chacune, comme suit:</w:t>
      </w:r>
    </w:p>
    <w:tbl>
      <w:tblPr>
        <w:tblStyle w:val="TableGrid"/>
        <w:tblW w:w="0" w:type="auto"/>
        <w:tblLook w:val="04A0" w:firstRow="1" w:lastRow="0" w:firstColumn="1" w:lastColumn="0" w:noHBand="0" w:noVBand="1"/>
      </w:tblPr>
      <w:tblGrid>
        <w:gridCol w:w="1833"/>
        <w:gridCol w:w="992"/>
        <w:gridCol w:w="6790"/>
      </w:tblGrid>
      <w:tr w:rsidR="00147F0B" w:rsidRPr="0044093E" w14:paraId="0A71DE85" w14:textId="77777777" w:rsidTr="00F1207C">
        <w:tc>
          <w:tcPr>
            <w:tcW w:w="1833" w:type="dxa"/>
            <w:tcBorders>
              <w:top w:val="single" w:sz="8" w:space="0" w:color="auto"/>
              <w:left w:val="single" w:sz="8" w:space="0" w:color="auto"/>
              <w:bottom w:val="single" w:sz="8" w:space="0" w:color="auto"/>
              <w:right w:val="single" w:sz="8" w:space="0" w:color="auto"/>
            </w:tcBorders>
          </w:tcPr>
          <w:p w14:paraId="497EA9D6" w14:textId="77777777" w:rsidR="00147F0B" w:rsidRPr="0044093E" w:rsidRDefault="00147F0B" w:rsidP="00147F0B">
            <w:pPr>
              <w:pStyle w:val="Tablehead"/>
              <w:jc w:val="left"/>
              <w:rPr>
                <w:rFonts w:eastAsiaTheme="minorEastAsia"/>
                <w:lang w:val="fr-FR"/>
              </w:rPr>
            </w:pPr>
            <w:r w:rsidRPr="0044093E">
              <w:rPr>
                <w:rFonts w:eastAsiaTheme="minorEastAsia"/>
                <w:lang w:val="fr-FR"/>
              </w:rPr>
              <w:t>Dates</w:t>
            </w:r>
          </w:p>
        </w:tc>
        <w:tc>
          <w:tcPr>
            <w:tcW w:w="992" w:type="dxa"/>
            <w:tcBorders>
              <w:top w:val="single" w:sz="8" w:space="0" w:color="auto"/>
              <w:left w:val="single" w:sz="8" w:space="0" w:color="auto"/>
              <w:bottom w:val="single" w:sz="8" w:space="0" w:color="auto"/>
              <w:right w:val="single" w:sz="8" w:space="0" w:color="auto"/>
            </w:tcBorders>
          </w:tcPr>
          <w:p w14:paraId="1B464B57" w14:textId="28276F1E" w:rsidR="00147F0B" w:rsidRPr="0044093E" w:rsidRDefault="00147F0B" w:rsidP="00147F0B">
            <w:pPr>
              <w:pStyle w:val="Tablehead"/>
              <w:jc w:val="left"/>
              <w:rPr>
                <w:rFonts w:eastAsiaTheme="minorEastAsia"/>
                <w:lang w:val="fr-FR"/>
              </w:rPr>
            </w:pPr>
            <w:r w:rsidRPr="0044093E">
              <w:rPr>
                <w:rFonts w:eastAsiaTheme="minorEastAsia"/>
                <w:lang w:val="fr-FR"/>
              </w:rPr>
              <w:t>Group</w:t>
            </w:r>
            <w:r w:rsidR="00C95D60" w:rsidRPr="0044093E">
              <w:rPr>
                <w:rFonts w:eastAsiaTheme="minorEastAsia"/>
                <w:lang w:val="fr-FR"/>
              </w:rPr>
              <w:t>e</w:t>
            </w:r>
          </w:p>
        </w:tc>
        <w:tc>
          <w:tcPr>
            <w:tcW w:w="6790" w:type="dxa"/>
            <w:tcBorders>
              <w:top w:val="single" w:sz="8" w:space="0" w:color="auto"/>
              <w:left w:val="single" w:sz="8" w:space="0" w:color="auto"/>
              <w:bottom w:val="single" w:sz="8" w:space="0" w:color="auto"/>
              <w:right w:val="single" w:sz="8" w:space="0" w:color="auto"/>
            </w:tcBorders>
          </w:tcPr>
          <w:p w14:paraId="72C4FEDA" w14:textId="4B1846E9" w:rsidR="00147F0B" w:rsidRPr="0044093E" w:rsidRDefault="00C95D60" w:rsidP="00147F0B">
            <w:pPr>
              <w:pStyle w:val="Tablehead"/>
              <w:jc w:val="left"/>
              <w:rPr>
                <w:rFonts w:eastAsiaTheme="minorEastAsia"/>
                <w:lang w:val="fr-FR"/>
              </w:rPr>
            </w:pPr>
            <w:r w:rsidRPr="0044093E">
              <w:rPr>
                <w:rFonts w:eastAsiaTheme="minorEastAsia"/>
                <w:lang w:val="fr-FR"/>
              </w:rPr>
              <w:t>Observation</w:t>
            </w:r>
          </w:p>
        </w:tc>
      </w:tr>
      <w:tr w:rsidR="00147F0B" w:rsidRPr="008B2B25" w14:paraId="6C32BC2F" w14:textId="77777777" w:rsidTr="00F1207C">
        <w:tc>
          <w:tcPr>
            <w:tcW w:w="1833" w:type="dxa"/>
            <w:tcBorders>
              <w:top w:val="single" w:sz="8" w:space="0" w:color="auto"/>
              <w:left w:val="single" w:sz="8" w:space="0" w:color="auto"/>
              <w:bottom w:val="single" w:sz="8" w:space="0" w:color="auto"/>
              <w:right w:val="single" w:sz="8" w:space="0" w:color="auto"/>
            </w:tcBorders>
          </w:tcPr>
          <w:p w14:paraId="4D724864" w14:textId="216C8402" w:rsidR="00147F0B" w:rsidRPr="0044093E" w:rsidRDefault="00147F0B" w:rsidP="00147F0B">
            <w:pPr>
              <w:pStyle w:val="Tabletext"/>
              <w:rPr>
                <w:rFonts w:eastAsiaTheme="minorEastAsia"/>
                <w:lang w:val="fr-FR"/>
              </w:rPr>
            </w:pPr>
            <w:r w:rsidRPr="0044093E">
              <w:rPr>
                <w:rFonts w:eastAsiaTheme="minorEastAsia"/>
                <w:lang w:val="fr-FR"/>
              </w:rPr>
              <w:t>16-17 septembre</w:t>
            </w:r>
          </w:p>
        </w:tc>
        <w:tc>
          <w:tcPr>
            <w:tcW w:w="992" w:type="dxa"/>
            <w:tcBorders>
              <w:top w:val="single" w:sz="8" w:space="0" w:color="auto"/>
              <w:left w:val="single" w:sz="8" w:space="0" w:color="auto"/>
              <w:bottom w:val="single" w:sz="8" w:space="0" w:color="auto"/>
              <w:right w:val="single" w:sz="8" w:space="0" w:color="auto"/>
            </w:tcBorders>
          </w:tcPr>
          <w:p w14:paraId="34500762" w14:textId="77777777" w:rsidR="00147F0B" w:rsidRPr="0044093E" w:rsidRDefault="00147F0B" w:rsidP="00147F0B">
            <w:pPr>
              <w:pStyle w:val="Tabletext"/>
              <w:rPr>
                <w:rFonts w:eastAsiaTheme="minorEastAsia"/>
                <w:lang w:val="fr-FR"/>
              </w:rPr>
            </w:pPr>
            <w:r w:rsidRPr="0044093E">
              <w:rPr>
                <w:rFonts w:eastAsiaTheme="minorEastAsia"/>
                <w:lang w:val="fr-FR"/>
              </w:rPr>
              <w:t>IRM-2</w:t>
            </w:r>
          </w:p>
        </w:tc>
        <w:tc>
          <w:tcPr>
            <w:tcW w:w="6790" w:type="dxa"/>
            <w:tcBorders>
              <w:top w:val="single" w:sz="8" w:space="0" w:color="auto"/>
              <w:left w:val="single" w:sz="8" w:space="0" w:color="auto"/>
              <w:bottom w:val="single" w:sz="8" w:space="0" w:color="auto"/>
              <w:right w:val="single" w:sz="8" w:space="0" w:color="auto"/>
            </w:tcBorders>
          </w:tcPr>
          <w:p w14:paraId="7D381962" w14:textId="2A43560B" w:rsidR="00147F0B" w:rsidRPr="0044093E" w:rsidRDefault="00147F0B" w:rsidP="00147F0B">
            <w:pPr>
              <w:pStyle w:val="Tabletext"/>
              <w:rPr>
                <w:rFonts w:eastAsiaTheme="minorEastAsia"/>
                <w:lang w:val="fr-FR"/>
              </w:rPr>
            </w:pPr>
            <w:r w:rsidRPr="0044093E">
              <w:rPr>
                <w:rFonts w:eastAsiaTheme="minorEastAsia"/>
                <w:lang w:val="fr-FR"/>
              </w:rPr>
              <w:t>Virtu</w:t>
            </w:r>
            <w:r w:rsidR="00C95D60" w:rsidRPr="0044093E">
              <w:rPr>
                <w:rFonts w:eastAsiaTheme="minorEastAsia"/>
                <w:lang w:val="fr-FR"/>
              </w:rPr>
              <w:t>elle</w:t>
            </w:r>
            <w:r w:rsidRPr="0044093E">
              <w:rPr>
                <w:rFonts w:eastAsiaTheme="minorEastAsia"/>
                <w:lang w:val="fr-FR"/>
              </w:rPr>
              <w:t xml:space="preserve"> – </w:t>
            </w:r>
            <w:r w:rsidR="00C95D60" w:rsidRPr="0044093E">
              <w:rPr>
                <w:rFonts w:eastAsiaTheme="minorEastAsia"/>
                <w:lang w:val="fr-FR"/>
              </w:rPr>
              <w:t>dates prévues précédemment pour la réunion</w:t>
            </w:r>
            <w:r w:rsidRPr="0044093E">
              <w:rPr>
                <w:rFonts w:eastAsiaTheme="minorEastAsia"/>
                <w:lang w:val="fr-FR"/>
              </w:rPr>
              <w:t xml:space="preserve"> IRM</w:t>
            </w:r>
            <w:r w:rsidR="0044093E" w:rsidRPr="0044093E">
              <w:rPr>
                <w:rFonts w:eastAsiaTheme="minorEastAsia"/>
                <w:lang w:val="fr-FR"/>
              </w:rPr>
              <w:noBreakHyphen/>
            </w:r>
            <w:r w:rsidRPr="0044093E">
              <w:rPr>
                <w:rFonts w:eastAsiaTheme="minorEastAsia"/>
                <w:lang w:val="fr-FR"/>
              </w:rPr>
              <w:t>3</w:t>
            </w:r>
          </w:p>
        </w:tc>
      </w:tr>
      <w:tr w:rsidR="00147F0B" w:rsidRPr="008B2B25" w14:paraId="27BE6735" w14:textId="77777777" w:rsidTr="00F1207C">
        <w:tc>
          <w:tcPr>
            <w:tcW w:w="1833" w:type="dxa"/>
            <w:tcBorders>
              <w:top w:val="single" w:sz="8" w:space="0" w:color="auto"/>
              <w:left w:val="single" w:sz="8" w:space="0" w:color="auto"/>
              <w:bottom w:val="single" w:sz="8" w:space="0" w:color="auto"/>
              <w:right w:val="single" w:sz="8" w:space="0" w:color="auto"/>
            </w:tcBorders>
          </w:tcPr>
          <w:p w14:paraId="716A5361" w14:textId="5CB49900" w:rsidR="00147F0B" w:rsidRPr="0044093E" w:rsidRDefault="00147F0B" w:rsidP="00147F0B">
            <w:pPr>
              <w:pStyle w:val="Tabletext"/>
              <w:rPr>
                <w:rFonts w:eastAsiaTheme="minorEastAsia"/>
                <w:lang w:val="fr-FR"/>
              </w:rPr>
            </w:pPr>
            <w:r w:rsidRPr="0044093E">
              <w:rPr>
                <w:rFonts w:eastAsiaTheme="minorEastAsia"/>
                <w:lang w:val="fr-FR"/>
              </w:rPr>
              <w:t>11-15 octobre</w:t>
            </w:r>
          </w:p>
        </w:tc>
        <w:tc>
          <w:tcPr>
            <w:tcW w:w="992" w:type="dxa"/>
            <w:tcBorders>
              <w:top w:val="single" w:sz="8" w:space="0" w:color="auto"/>
              <w:left w:val="single" w:sz="8" w:space="0" w:color="auto"/>
              <w:bottom w:val="single" w:sz="8" w:space="0" w:color="auto"/>
              <w:right w:val="single" w:sz="8" w:space="0" w:color="auto"/>
            </w:tcBorders>
          </w:tcPr>
          <w:p w14:paraId="170D9744" w14:textId="77777777" w:rsidR="00147F0B" w:rsidRPr="0044093E" w:rsidRDefault="00147F0B" w:rsidP="00147F0B">
            <w:pPr>
              <w:pStyle w:val="Tabletext"/>
              <w:rPr>
                <w:rFonts w:eastAsiaTheme="minorEastAsia"/>
                <w:lang w:val="fr-FR"/>
              </w:rPr>
            </w:pPr>
            <w:r w:rsidRPr="0044093E">
              <w:rPr>
                <w:rFonts w:eastAsiaTheme="minorEastAsia"/>
                <w:lang w:val="fr-FR"/>
              </w:rPr>
              <w:t>IRM-3</w:t>
            </w:r>
          </w:p>
        </w:tc>
        <w:tc>
          <w:tcPr>
            <w:tcW w:w="6790" w:type="dxa"/>
            <w:tcBorders>
              <w:top w:val="single" w:sz="8" w:space="0" w:color="auto"/>
              <w:left w:val="single" w:sz="8" w:space="0" w:color="auto"/>
              <w:bottom w:val="single" w:sz="8" w:space="0" w:color="auto"/>
              <w:right w:val="single" w:sz="8" w:space="0" w:color="auto"/>
            </w:tcBorders>
          </w:tcPr>
          <w:p w14:paraId="7F70DC3F" w14:textId="737AEBDA" w:rsidR="00147F0B" w:rsidRPr="0044093E" w:rsidRDefault="00C95D60" w:rsidP="00C95D60">
            <w:pPr>
              <w:pStyle w:val="Tabletext"/>
              <w:rPr>
                <w:rFonts w:eastAsiaTheme="minorEastAsia"/>
                <w:lang w:val="fr-FR"/>
              </w:rPr>
            </w:pPr>
            <w:r w:rsidRPr="0044093E">
              <w:rPr>
                <w:rFonts w:eastAsiaTheme="minorEastAsia"/>
                <w:lang w:val="fr-FR"/>
              </w:rPr>
              <w:t xml:space="preserve">Virtuelle </w:t>
            </w:r>
            <w:r w:rsidR="00147F0B" w:rsidRPr="0044093E">
              <w:rPr>
                <w:rFonts w:eastAsiaTheme="minorEastAsia"/>
                <w:lang w:val="fr-FR"/>
              </w:rPr>
              <w:t>–</w:t>
            </w:r>
            <w:r w:rsidR="0044093E" w:rsidRPr="0044093E">
              <w:rPr>
                <w:rFonts w:eastAsiaTheme="minorEastAsia"/>
                <w:lang w:val="fr-FR"/>
              </w:rPr>
              <w:t xml:space="preserve"> </w:t>
            </w:r>
            <w:r w:rsidRPr="0044093E">
              <w:rPr>
                <w:rFonts w:eastAsiaTheme="minorEastAsia"/>
                <w:lang w:val="fr-FR"/>
              </w:rPr>
              <w:t>deux jours au cours de cette semaine (d</w:t>
            </w:r>
            <w:r w:rsidR="0044093E" w:rsidRPr="0044093E">
              <w:rPr>
                <w:rFonts w:eastAsiaTheme="minorEastAsia"/>
                <w:lang w:val="fr-FR"/>
              </w:rPr>
              <w:t>ates</w:t>
            </w:r>
            <w:r w:rsidRPr="0044093E">
              <w:rPr>
                <w:rFonts w:eastAsiaTheme="minorEastAsia"/>
                <w:lang w:val="fr-FR"/>
              </w:rPr>
              <w:t xml:space="preserve"> actuelle</w:t>
            </w:r>
            <w:r w:rsidR="0044093E" w:rsidRPr="0044093E">
              <w:rPr>
                <w:rFonts w:eastAsiaTheme="minorEastAsia"/>
                <w:lang w:val="fr-FR"/>
              </w:rPr>
              <w:t>s</w:t>
            </w:r>
            <w:r w:rsidRPr="0044093E">
              <w:rPr>
                <w:rFonts w:eastAsiaTheme="minorEastAsia"/>
                <w:lang w:val="fr-FR"/>
              </w:rPr>
              <w:t xml:space="preserve"> de Telecom</w:t>
            </w:r>
            <w:r w:rsidR="00147F0B" w:rsidRPr="0044093E">
              <w:rPr>
                <w:rFonts w:eastAsiaTheme="minorEastAsia"/>
                <w:lang w:val="fr-FR"/>
              </w:rPr>
              <w:t>)</w:t>
            </w:r>
          </w:p>
        </w:tc>
      </w:tr>
    </w:tbl>
    <w:p w14:paraId="4E8A1BB8" w14:textId="35F1106B" w:rsidR="00147F0B" w:rsidRPr="0044093E" w:rsidRDefault="004A3B9C" w:rsidP="004A3B9C">
      <w:pPr>
        <w:tabs>
          <w:tab w:val="clear" w:pos="794"/>
          <w:tab w:val="clear" w:pos="1191"/>
          <w:tab w:val="clear" w:pos="1588"/>
          <w:tab w:val="clear" w:pos="1985"/>
          <w:tab w:val="left" w:pos="567"/>
          <w:tab w:val="left" w:leader="hyphen" w:pos="1134"/>
          <w:tab w:val="left" w:pos="1701"/>
          <w:tab w:val="left" w:pos="2268"/>
        </w:tabs>
        <w:rPr>
          <w:rFonts w:eastAsiaTheme="minorEastAsia" w:cstheme="minorBidi"/>
          <w:lang w:val="fr-FR" w:eastAsia="zh-CN"/>
        </w:rPr>
      </w:pPr>
      <w:r w:rsidRPr="0044093E">
        <w:rPr>
          <w:rFonts w:eastAsiaTheme="minorEastAsia" w:cstheme="minorBidi"/>
          <w:lang w:val="fr-FR" w:eastAsia="zh-CN"/>
        </w:rPr>
        <w:t>Compte tenu des coûts supplémentaires qu'entraînerait un allongement du processus préparatoire, le Secrétariat demande aux membres de faire connaître leurs besoins en matière d'interprétation pour les réunions IRM, qui auraient des incidences considérables sur la capacité de financer des réunions additionnelles.</w:t>
      </w:r>
    </w:p>
    <w:p w14:paraId="235635EA" w14:textId="77F8D64B" w:rsidR="00147F0B" w:rsidRPr="0044093E" w:rsidRDefault="00E32A6C" w:rsidP="00147F0B">
      <w:pPr>
        <w:pStyle w:val="Headingb"/>
        <w:rPr>
          <w:rFonts w:eastAsiaTheme="minorEastAsia"/>
          <w:lang w:val="fr-FR"/>
        </w:rPr>
      </w:pPr>
      <w:r w:rsidRPr="0044093E">
        <w:rPr>
          <w:lang w:val="fr-FR"/>
        </w:rPr>
        <w:t>Proposition soumise au GCDT</w:t>
      </w:r>
      <w:r w:rsidR="00147F0B" w:rsidRPr="0044093E">
        <w:rPr>
          <w:rFonts w:eastAsiaTheme="minorEastAsia"/>
          <w:lang w:val="fr-FR"/>
        </w:rPr>
        <w:t>:</w:t>
      </w:r>
    </w:p>
    <w:p w14:paraId="00BDC800" w14:textId="3391AF0F" w:rsidR="004A3B9C" w:rsidRPr="0044093E" w:rsidRDefault="00147F0B" w:rsidP="00147F0B">
      <w:pPr>
        <w:pStyle w:val="enumlev1"/>
        <w:rPr>
          <w:rFonts w:eastAsiaTheme="minorEastAsia"/>
          <w:lang w:val="fr-FR"/>
        </w:rPr>
      </w:pPr>
      <w:r w:rsidRPr="0044093E">
        <w:rPr>
          <w:rFonts w:eastAsiaTheme="minorEastAsia"/>
          <w:lang w:val="fr-FR"/>
        </w:rPr>
        <w:t>•</w:t>
      </w:r>
      <w:r w:rsidRPr="0044093E">
        <w:rPr>
          <w:rFonts w:eastAsiaTheme="minorEastAsia"/>
          <w:lang w:val="fr-FR"/>
        </w:rPr>
        <w:tab/>
      </w:r>
      <w:r w:rsidR="004A3B9C" w:rsidRPr="0044093E">
        <w:rPr>
          <w:rFonts w:eastAsiaTheme="minorEastAsia"/>
          <w:lang w:val="fr-FR"/>
        </w:rPr>
        <w:t>Prendre une décision concernant les dates des réunions IRM comme proposé ci-dessus</w:t>
      </w:r>
      <w:r w:rsidR="0044093E" w:rsidRPr="0044093E">
        <w:rPr>
          <w:rFonts w:eastAsiaTheme="minorEastAsia"/>
          <w:lang w:val="fr-FR"/>
        </w:rPr>
        <w:t>.</w:t>
      </w:r>
    </w:p>
    <w:p w14:paraId="2B89428B" w14:textId="4C5486CC" w:rsidR="004A3B9C" w:rsidRPr="0044093E" w:rsidRDefault="00147F0B" w:rsidP="00147F0B">
      <w:pPr>
        <w:pStyle w:val="enumlev1"/>
        <w:rPr>
          <w:rFonts w:eastAsiaTheme="minorEastAsia"/>
          <w:lang w:val="fr-FR"/>
        </w:rPr>
      </w:pPr>
      <w:r w:rsidRPr="0044093E">
        <w:rPr>
          <w:rFonts w:eastAsiaTheme="minorEastAsia"/>
          <w:lang w:val="fr-FR"/>
        </w:rPr>
        <w:t>•</w:t>
      </w:r>
      <w:r w:rsidRPr="0044093E">
        <w:rPr>
          <w:rFonts w:eastAsiaTheme="minorEastAsia"/>
          <w:lang w:val="fr-FR"/>
        </w:rPr>
        <w:tab/>
      </w:r>
      <w:r w:rsidR="004A3B9C" w:rsidRPr="0044093E">
        <w:rPr>
          <w:rFonts w:eastAsiaTheme="minorEastAsia"/>
          <w:lang w:val="fr-FR"/>
        </w:rPr>
        <w:t>Prendre une décision concernant les besoins d'interprétation à ces deux réunions IRM.</w:t>
      </w:r>
    </w:p>
    <w:p w14:paraId="4CC5FE68" w14:textId="3D7F71B2" w:rsidR="00147F0B" w:rsidRPr="0044093E" w:rsidRDefault="00147F0B" w:rsidP="00147F0B">
      <w:pPr>
        <w:pStyle w:val="Heading1"/>
        <w:rPr>
          <w:rFonts w:eastAsiaTheme="minorEastAsia"/>
          <w:lang w:val="fr-FR"/>
        </w:rPr>
      </w:pPr>
      <w:r w:rsidRPr="0044093E">
        <w:rPr>
          <w:rFonts w:eastAsiaTheme="minorEastAsia"/>
          <w:lang w:val="fr-FR"/>
        </w:rPr>
        <w:t>6</w:t>
      </w:r>
      <w:r w:rsidRPr="0044093E">
        <w:rPr>
          <w:rFonts w:eastAsiaTheme="minorEastAsia"/>
          <w:lang w:val="fr-FR"/>
        </w:rPr>
        <w:tab/>
        <w:t xml:space="preserve">Partner2Connect </w:t>
      </w:r>
      <w:r w:rsidR="004A3B9C" w:rsidRPr="0044093E">
        <w:rPr>
          <w:rFonts w:eastAsiaTheme="minorEastAsia"/>
          <w:lang w:val="fr-FR"/>
        </w:rPr>
        <w:t>au service du développement du numérique</w:t>
      </w:r>
    </w:p>
    <w:p w14:paraId="3AB6D50F" w14:textId="3A287FA0" w:rsidR="004A7545" w:rsidRPr="0044093E" w:rsidRDefault="004A7545" w:rsidP="00147F0B">
      <w:pPr>
        <w:tabs>
          <w:tab w:val="clear" w:pos="794"/>
          <w:tab w:val="clear" w:pos="1191"/>
          <w:tab w:val="clear" w:pos="1588"/>
          <w:tab w:val="clear" w:pos="1985"/>
          <w:tab w:val="left" w:pos="567"/>
          <w:tab w:val="left" w:leader="hyphen" w:pos="1134"/>
          <w:tab w:val="left" w:pos="1701"/>
          <w:tab w:val="left" w:pos="2268"/>
        </w:tabs>
        <w:overflowPunct/>
        <w:textAlignment w:val="auto"/>
        <w:rPr>
          <w:rFonts w:eastAsiaTheme="minorEastAsia" w:cstheme="minorBidi"/>
          <w:szCs w:val="24"/>
          <w:lang w:val="fr-FR"/>
        </w:rPr>
      </w:pPr>
      <w:r w:rsidRPr="0044093E">
        <w:rPr>
          <w:rFonts w:eastAsiaTheme="minorEastAsia" w:cstheme="minorBidi"/>
          <w:szCs w:val="24"/>
          <w:lang w:val="fr-FR"/>
        </w:rPr>
        <w:t xml:space="preserve">Le report de la CMDT permettra de mener des travaux préparatoires supplémentaires afin de faire en sorte que la manifestation P2C ait les retombées souhaitées et touche efficacement toutes les parties prenantes visées. En plus des différents appels lancés actuellement par les groupes de travail afin de faire avancer la définition </w:t>
      </w:r>
      <w:r w:rsidR="00D321CB" w:rsidRPr="0044093E">
        <w:rPr>
          <w:rFonts w:eastAsiaTheme="minorEastAsia" w:cstheme="minorBidi"/>
          <w:szCs w:val="24"/>
          <w:lang w:val="fr-FR"/>
        </w:rPr>
        <w:t>du programme organisé autour de domaines d'action</w:t>
      </w:r>
      <w:r w:rsidRPr="0044093E">
        <w:rPr>
          <w:rFonts w:eastAsiaTheme="minorEastAsia" w:cstheme="minorBidi"/>
          <w:szCs w:val="24"/>
          <w:lang w:val="fr-FR"/>
        </w:rPr>
        <w:t>, des manifestations préparatoires (virtuelle</w:t>
      </w:r>
      <w:r w:rsidR="00D321CB" w:rsidRPr="0044093E">
        <w:rPr>
          <w:rFonts w:eastAsiaTheme="minorEastAsia" w:cstheme="minorBidi"/>
          <w:szCs w:val="24"/>
          <w:lang w:val="fr-FR"/>
        </w:rPr>
        <w:t>s</w:t>
      </w:r>
      <w:r w:rsidRPr="0044093E">
        <w:rPr>
          <w:rFonts w:eastAsiaTheme="minorEastAsia" w:cstheme="minorBidi"/>
          <w:szCs w:val="24"/>
          <w:lang w:val="fr-FR"/>
        </w:rPr>
        <w:t xml:space="preserve"> et/ou physique</w:t>
      </w:r>
      <w:r w:rsidR="00D321CB" w:rsidRPr="0044093E">
        <w:rPr>
          <w:rFonts w:eastAsiaTheme="minorEastAsia" w:cstheme="minorBidi"/>
          <w:szCs w:val="24"/>
          <w:lang w:val="fr-FR"/>
        </w:rPr>
        <w:t>s</w:t>
      </w:r>
      <w:r w:rsidRPr="0044093E">
        <w:rPr>
          <w:rFonts w:eastAsiaTheme="minorEastAsia" w:cstheme="minorBidi"/>
          <w:szCs w:val="24"/>
          <w:lang w:val="fr-FR"/>
        </w:rPr>
        <w:t xml:space="preserve">) seront </w:t>
      </w:r>
      <w:r w:rsidR="00D321CB" w:rsidRPr="0044093E">
        <w:rPr>
          <w:rFonts w:eastAsiaTheme="minorEastAsia" w:cstheme="minorBidi"/>
          <w:szCs w:val="24"/>
          <w:lang w:val="fr-FR"/>
        </w:rPr>
        <w:t>prévues</w:t>
      </w:r>
      <w:r w:rsidRPr="0044093E">
        <w:rPr>
          <w:rFonts w:eastAsiaTheme="minorEastAsia" w:cstheme="minorBidi"/>
          <w:szCs w:val="24"/>
          <w:lang w:val="fr-FR"/>
        </w:rPr>
        <w:t xml:space="preserve"> lors des grandes manifestations des Nations </w:t>
      </w:r>
      <w:r w:rsidR="00D321CB" w:rsidRPr="0044093E">
        <w:rPr>
          <w:rFonts w:eastAsiaTheme="minorEastAsia" w:cstheme="minorBidi"/>
          <w:szCs w:val="24"/>
          <w:lang w:val="fr-FR"/>
        </w:rPr>
        <w:t>U</w:t>
      </w:r>
      <w:r w:rsidRPr="0044093E">
        <w:rPr>
          <w:rFonts w:eastAsiaTheme="minorEastAsia" w:cstheme="minorBidi"/>
          <w:szCs w:val="24"/>
          <w:lang w:val="fr-FR"/>
        </w:rPr>
        <w:t>nies (par exemple, FMPT</w:t>
      </w:r>
      <w:r w:rsidR="0044093E" w:rsidRPr="0044093E">
        <w:rPr>
          <w:rFonts w:eastAsiaTheme="minorEastAsia" w:cstheme="minorBidi"/>
          <w:szCs w:val="24"/>
          <w:lang w:val="fr-FR"/>
        </w:rPr>
        <w:t>-</w:t>
      </w:r>
      <w:r w:rsidRPr="0044093E">
        <w:rPr>
          <w:rFonts w:eastAsiaTheme="minorEastAsia" w:cstheme="minorBidi"/>
          <w:szCs w:val="24"/>
          <w:lang w:val="fr-FR"/>
        </w:rPr>
        <w:t>21,</w:t>
      </w:r>
      <w:r w:rsidRPr="0044093E">
        <w:rPr>
          <w:lang w:val="fr-FR"/>
        </w:rPr>
        <w:t xml:space="preserve"> </w:t>
      </w:r>
      <w:r w:rsidRPr="0044093E">
        <w:rPr>
          <w:rFonts w:eastAsiaTheme="minorEastAsia" w:cstheme="minorBidi"/>
          <w:szCs w:val="24"/>
          <w:lang w:val="fr-FR"/>
        </w:rPr>
        <w:t>cinquième Conférence des Nations</w:t>
      </w:r>
      <w:r w:rsidR="0044093E" w:rsidRPr="0044093E">
        <w:rPr>
          <w:rFonts w:eastAsiaTheme="minorEastAsia" w:cstheme="minorBidi"/>
          <w:szCs w:val="24"/>
          <w:lang w:val="fr-FR"/>
        </w:rPr>
        <w:t> </w:t>
      </w:r>
      <w:r w:rsidRPr="0044093E">
        <w:rPr>
          <w:rFonts w:eastAsiaTheme="minorEastAsia" w:cstheme="minorBidi"/>
          <w:szCs w:val="24"/>
          <w:lang w:val="fr-FR"/>
        </w:rPr>
        <w:t>Unies sur les pays les moins avancés) et d'événements de premier plan organisé</w:t>
      </w:r>
      <w:r w:rsidR="00D321CB" w:rsidRPr="0044093E">
        <w:rPr>
          <w:rFonts w:eastAsiaTheme="minorEastAsia" w:cstheme="minorBidi"/>
          <w:szCs w:val="24"/>
          <w:lang w:val="fr-FR"/>
        </w:rPr>
        <w:t>s</w:t>
      </w:r>
      <w:r w:rsidRPr="0044093E">
        <w:rPr>
          <w:rFonts w:eastAsiaTheme="minorEastAsia" w:cstheme="minorBidi"/>
          <w:szCs w:val="24"/>
          <w:lang w:val="fr-FR"/>
        </w:rPr>
        <w:t xml:space="preserve"> par le secteur privé pour maintenir la dynamique, la participation et la mobilisation </w:t>
      </w:r>
      <w:r w:rsidR="00D321CB" w:rsidRPr="0044093E">
        <w:rPr>
          <w:rFonts w:eastAsiaTheme="minorEastAsia" w:cstheme="minorBidi"/>
          <w:szCs w:val="24"/>
          <w:lang w:val="fr-FR"/>
        </w:rPr>
        <w:t>suscitée par</w:t>
      </w:r>
      <w:r w:rsidRPr="0044093E">
        <w:rPr>
          <w:rFonts w:eastAsiaTheme="minorEastAsia" w:cstheme="minorBidi"/>
          <w:szCs w:val="24"/>
          <w:lang w:val="fr-FR"/>
        </w:rPr>
        <w:t xml:space="preserve"> la manifestation P2C</w:t>
      </w:r>
      <w:r w:rsidR="00D321CB" w:rsidRPr="0044093E">
        <w:rPr>
          <w:rFonts w:eastAsiaTheme="minorEastAsia" w:cstheme="minorBidi"/>
          <w:szCs w:val="24"/>
          <w:lang w:val="fr-FR"/>
        </w:rPr>
        <w:t>.</w:t>
      </w:r>
    </w:p>
    <w:p w14:paraId="21359A39" w14:textId="3F1CC4C4" w:rsidR="00147F0B" w:rsidRPr="0044093E" w:rsidRDefault="00147F0B" w:rsidP="00147F0B">
      <w:pPr>
        <w:pStyle w:val="Heading1"/>
        <w:rPr>
          <w:rFonts w:eastAsiaTheme="minorEastAsia"/>
          <w:lang w:val="fr-FR"/>
        </w:rPr>
      </w:pPr>
      <w:r w:rsidRPr="0044093E">
        <w:rPr>
          <w:rFonts w:eastAsiaTheme="minorEastAsia"/>
          <w:lang w:val="fr-FR"/>
        </w:rPr>
        <w:lastRenderedPageBreak/>
        <w:t>7</w:t>
      </w:r>
      <w:r w:rsidRPr="0044093E">
        <w:rPr>
          <w:rFonts w:eastAsiaTheme="minorEastAsia"/>
          <w:lang w:val="fr-FR"/>
        </w:rPr>
        <w:tab/>
      </w:r>
      <w:r w:rsidR="00D321CB" w:rsidRPr="0044093E">
        <w:rPr>
          <w:rFonts w:eastAsiaTheme="minorEastAsia"/>
          <w:lang w:val="fr-FR"/>
        </w:rPr>
        <w:t>Sommet sur la jeunesse</w:t>
      </w:r>
    </w:p>
    <w:p w14:paraId="4595001D" w14:textId="510F65E5" w:rsidR="00D321CB" w:rsidRPr="0044093E" w:rsidRDefault="00D321CB" w:rsidP="00147F0B">
      <w:pPr>
        <w:overflowPunct/>
        <w:textAlignment w:val="auto"/>
        <w:rPr>
          <w:rFonts w:eastAsiaTheme="minorEastAsia" w:cstheme="minorBidi"/>
          <w:szCs w:val="24"/>
          <w:lang w:val="fr-FR"/>
        </w:rPr>
      </w:pPr>
      <w:r w:rsidRPr="0044093E">
        <w:rPr>
          <w:rFonts w:eastAsiaTheme="minorEastAsia" w:cstheme="minorBidi"/>
          <w:szCs w:val="24"/>
          <w:lang w:val="fr-FR"/>
        </w:rPr>
        <w:t>Il est toujours proposé de tenir le Sommet sur la jeunesse sur deux jours, juste avant la CMDT, et par conséquent, en cas de report de la CMDT, le Sommet devrait lui aussi être reporté à une date convenable avant le 6 juin 2022, en collaboration avec le pays hôte.</w:t>
      </w:r>
    </w:p>
    <w:p w14:paraId="273710AF" w14:textId="6AF5A550" w:rsidR="00147F0B" w:rsidRPr="0044093E" w:rsidRDefault="00147F0B" w:rsidP="00147F0B">
      <w:pPr>
        <w:pStyle w:val="Heading1"/>
        <w:rPr>
          <w:rFonts w:eastAsiaTheme="minorEastAsia"/>
          <w:lang w:val="fr-FR"/>
        </w:rPr>
      </w:pPr>
      <w:r w:rsidRPr="0044093E">
        <w:rPr>
          <w:rFonts w:eastAsiaTheme="minorEastAsia"/>
          <w:lang w:val="fr-FR"/>
        </w:rPr>
        <w:t>8</w:t>
      </w:r>
      <w:r w:rsidRPr="0044093E">
        <w:rPr>
          <w:rFonts w:eastAsiaTheme="minorEastAsia"/>
          <w:lang w:val="fr-FR"/>
        </w:rPr>
        <w:tab/>
      </w:r>
      <w:r w:rsidR="00D321CB" w:rsidRPr="0044093E">
        <w:rPr>
          <w:rFonts w:eastAsiaTheme="minorEastAsia"/>
          <w:lang w:val="fr-FR"/>
        </w:rPr>
        <w:t>En route pour Addis</w:t>
      </w:r>
    </w:p>
    <w:p w14:paraId="0687D70E" w14:textId="2213FD15" w:rsidR="00147F0B" w:rsidRPr="0044093E" w:rsidRDefault="00147F0B" w:rsidP="00D321CB">
      <w:pPr>
        <w:rPr>
          <w:rFonts w:eastAsiaTheme="minorEastAsia"/>
          <w:lang w:val="fr-FR"/>
        </w:rPr>
      </w:pPr>
      <w:r w:rsidRPr="0044093E">
        <w:rPr>
          <w:rFonts w:eastAsiaTheme="minorEastAsia"/>
          <w:lang w:val="fr-FR"/>
        </w:rPr>
        <w:t xml:space="preserve">Les manifestations de la série "En route pour Addis" se dérouleront tout au long de l'année 2021 </w:t>
      </w:r>
      <w:r w:rsidR="00D321CB" w:rsidRPr="0044093E">
        <w:rPr>
          <w:rFonts w:eastAsiaTheme="minorEastAsia"/>
          <w:lang w:val="fr-FR"/>
        </w:rPr>
        <w:t>et continueront en 2022 pour tirer</w:t>
      </w:r>
      <w:r w:rsidRPr="0044093E">
        <w:rPr>
          <w:rFonts w:eastAsiaTheme="minorEastAsia"/>
          <w:lang w:val="fr-FR"/>
        </w:rPr>
        <w:t xml:space="preserve"> parti des possibilités de mieux faire connaître la CMDT à l'échelle mondiale.</w:t>
      </w:r>
    </w:p>
    <w:p w14:paraId="2451E085" w14:textId="648CA634" w:rsidR="00147F0B" w:rsidRPr="0044093E" w:rsidRDefault="00147F0B" w:rsidP="00147F0B">
      <w:pPr>
        <w:pStyle w:val="Heading1"/>
        <w:rPr>
          <w:rFonts w:eastAsiaTheme="minorEastAsia"/>
          <w:lang w:val="fr-FR"/>
        </w:rPr>
      </w:pPr>
      <w:r w:rsidRPr="0044093E">
        <w:rPr>
          <w:rFonts w:eastAsiaTheme="minorEastAsia"/>
          <w:lang w:val="fr-FR"/>
        </w:rPr>
        <w:t>9</w:t>
      </w:r>
      <w:r w:rsidRPr="0044093E">
        <w:rPr>
          <w:rFonts w:eastAsiaTheme="minorEastAsia"/>
          <w:lang w:val="fr-FR"/>
        </w:rPr>
        <w:tab/>
        <w:t xml:space="preserve">Initiatives </w:t>
      </w:r>
      <w:r w:rsidR="00D321CB" w:rsidRPr="0044093E">
        <w:rPr>
          <w:rFonts w:eastAsiaTheme="minorEastAsia"/>
          <w:lang w:val="fr-FR"/>
        </w:rPr>
        <w:t>régionales et projets</w:t>
      </w:r>
    </w:p>
    <w:p w14:paraId="4AFE3A05" w14:textId="3D7A812D" w:rsidR="00D321CB" w:rsidRPr="0044093E" w:rsidRDefault="00D321CB" w:rsidP="00147F0B">
      <w:pPr>
        <w:rPr>
          <w:rFonts w:eastAsiaTheme="minorEastAsia" w:cstheme="minorBidi"/>
          <w:lang w:val="fr-FR"/>
        </w:rPr>
      </w:pPr>
      <w:r w:rsidRPr="0044093E">
        <w:rPr>
          <w:rFonts w:eastAsiaTheme="minorEastAsia" w:cstheme="minorBidi"/>
          <w:lang w:val="fr-FR"/>
        </w:rPr>
        <w:t>Les initiatives régionales de l'UIT pour la période 2018</w:t>
      </w:r>
      <w:r w:rsidR="0044093E" w:rsidRPr="0044093E">
        <w:rPr>
          <w:rFonts w:eastAsiaTheme="minorEastAsia" w:cstheme="minorBidi"/>
          <w:lang w:val="fr-FR"/>
        </w:rPr>
        <w:t>-</w:t>
      </w:r>
      <w:r w:rsidRPr="0044093E">
        <w:rPr>
          <w:rFonts w:eastAsiaTheme="minorEastAsia" w:cstheme="minorBidi"/>
          <w:lang w:val="fr-FR"/>
        </w:rPr>
        <w:t>2021 ont été adopté</w:t>
      </w:r>
      <w:r w:rsidR="00162071" w:rsidRPr="0044093E">
        <w:rPr>
          <w:rFonts w:eastAsiaTheme="minorEastAsia" w:cstheme="minorBidi"/>
          <w:lang w:val="fr-FR"/>
        </w:rPr>
        <w:t>e</w:t>
      </w:r>
      <w:r w:rsidRPr="0044093E">
        <w:rPr>
          <w:rFonts w:eastAsiaTheme="minorEastAsia" w:cstheme="minorBidi"/>
          <w:lang w:val="fr-FR"/>
        </w:rPr>
        <w:t>s à la Conférence mondiale de développement des télécommunications de l'UIT de 2017 (CMDT</w:t>
      </w:r>
      <w:r w:rsidR="0044093E" w:rsidRPr="0044093E">
        <w:rPr>
          <w:rFonts w:eastAsiaTheme="minorEastAsia" w:cstheme="minorBidi"/>
          <w:lang w:val="fr-FR"/>
        </w:rPr>
        <w:t>-</w:t>
      </w:r>
      <w:r w:rsidRPr="0044093E">
        <w:rPr>
          <w:rFonts w:eastAsiaTheme="minorEastAsia" w:cstheme="minorBidi"/>
          <w:lang w:val="fr-FR"/>
        </w:rPr>
        <w:t>17) afin de traiter différents domaines prioritaires des télécommunications/technologies de l'information et de la communication (TIC) pour répondre aux besoins des régions en matière de développement et leur mise en œuvre se poursuivra jusqu'à la prochaine CMDT.</w:t>
      </w:r>
    </w:p>
    <w:p w14:paraId="0543FB39" w14:textId="4F3A0397" w:rsidR="00147F0B" w:rsidRPr="0044093E" w:rsidRDefault="00D321CB" w:rsidP="00147F0B">
      <w:pPr>
        <w:rPr>
          <w:rFonts w:eastAsiaTheme="minorEastAsia" w:cstheme="minorBidi"/>
          <w:lang w:val="fr-FR"/>
        </w:rPr>
      </w:pPr>
      <w:r w:rsidRPr="0044093E">
        <w:rPr>
          <w:rFonts w:eastAsiaTheme="minorEastAsia" w:cstheme="minorBidi"/>
          <w:lang w:val="fr-FR"/>
        </w:rPr>
        <w:t>De même, le report de la CMDT</w:t>
      </w:r>
      <w:r w:rsidR="0044093E" w:rsidRPr="0044093E">
        <w:rPr>
          <w:rFonts w:eastAsiaTheme="minorEastAsia" w:cstheme="minorBidi"/>
          <w:lang w:val="fr-FR"/>
        </w:rPr>
        <w:t>-</w:t>
      </w:r>
      <w:r w:rsidRPr="0044093E">
        <w:rPr>
          <w:rFonts w:eastAsiaTheme="minorEastAsia" w:cstheme="minorBidi"/>
          <w:lang w:val="fr-FR"/>
        </w:rPr>
        <w:t>21 n'aura pas d'incidence</w:t>
      </w:r>
      <w:r w:rsidR="00162071" w:rsidRPr="0044093E">
        <w:rPr>
          <w:rFonts w:eastAsiaTheme="minorEastAsia" w:cstheme="minorBidi"/>
          <w:lang w:val="fr-FR"/>
        </w:rPr>
        <w:t>s</w:t>
      </w:r>
      <w:r w:rsidRPr="0044093E">
        <w:rPr>
          <w:rFonts w:eastAsiaTheme="minorEastAsia" w:cstheme="minorBidi"/>
          <w:lang w:val="fr-FR"/>
        </w:rPr>
        <w:t xml:space="preserve"> sur la mise en œuvre des projets de l'UIT, qui se poursuivra</w:t>
      </w:r>
      <w:r w:rsidR="00162071" w:rsidRPr="0044093E">
        <w:rPr>
          <w:rFonts w:eastAsiaTheme="minorEastAsia" w:cstheme="minorBidi"/>
          <w:lang w:val="fr-FR"/>
        </w:rPr>
        <w:t xml:space="preserve"> selon le champ d'application, le calendrier et les ressources de chaque projet.</w:t>
      </w:r>
    </w:p>
    <w:p w14:paraId="7E15F726" w14:textId="502E8CAD" w:rsidR="00147F0B" w:rsidRPr="0044093E" w:rsidRDefault="00147F0B" w:rsidP="00147F0B">
      <w:pPr>
        <w:pStyle w:val="Heading1"/>
        <w:rPr>
          <w:rFonts w:eastAsiaTheme="minorEastAsia"/>
          <w:lang w:val="fr-FR"/>
        </w:rPr>
      </w:pPr>
      <w:r w:rsidRPr="0044093E">
        <w:rPr>
          <w:rFonts w:eastAsiaTheme="minorEastAsia"/>
          <w:lang w:val="fr-FR"/>
        </w:rPr>
        <w:t>10</w:t>
      </w:r>
      <w:r w:rsidRPr="0044093E">
        <w:rPr>
          <w:rFonts w:eastAsiaTheme="minorEastAsia"/>
          <w:lang w:val="fr-FR"/>
        </w:rPr>
        <w:tab/>
      </w:r>
      <w:r w:rsidR="00162071" w:rsidRPr="0044093E">
        <w:rPr>
          <w:rFonts w:eastAsiaTheme="minorEastAsia"/>
          <w:lang w:val="fr-FR"/>
        </w:rPr>
        <w:t>Priorités thématiques du BDT</w:t>
      </w:r>
    </w:p>
    <w:p w14:paraId="2F1F1A4D" w14:textId="6537A85C" w:rsidR="00147F0B" w:rsidRPr="0044093E" w:rsidRDefault="00162071" w:rsidP="00147F0B">
      <w:pPr>
        <w:rPr>
          <w:rFonts w:eastAsiaTheme="minorEastAsia" w:cstheme="minorBidi"/>
          <w:szCs w:val="24"/>
          <w:lang w:val="fr-FR"/>
        </w:rPr>
      </w:pPr>
      <w:r w:rsidRPr="0044093E">
        <w:rPr>
          <w:rFonts w:eastAsiaTheme="minorEastAsia" w:cstheme="minorBidi"/>
          <w:szCs w:val="24"/>
          <w:lang w:val="fr-FR"/>
        </w:rPr>
        <w:t>Le report de la CMDT</w:t>
      </w:r>
      <w:r w:rsidR="0044093E" w:rsidRPr="0044093E">
        <w:rPr>
          <w:rFonts w:eastAsiaTheme="minorEastAsia" w:cstheme="minorBidi"/>
          <w:szCs w:val="24"/>
          <w:lang w:val="fr-FR"/>
        </w:rPr>
        <w:t>-</w:t>
      </w:r>
      <w:r w:rsidRPr="0044093E">
        <w:rPr>
          <w:rFonts w:eastAsiaTheme="minorEastAsia" w:cstheme="minorBidi"/>
          <w:szCs w:val="24"/>
          <w:lang w:val="fr-FR"/>
        </w:rPr>
        <w:t>21 n'aura pas d'incidences sur la mise en œuvre des priorités thématiques du BDT.</w:t>
      </w:r>
    </w:p>
    <w:p w14:paraId="54BEE1C3" w14:textId="77777777" w:rsidR="0044093E" w:rsidRPr="0044093E" w:rsidRDefault="0044093E" w:rsidP="0044093E">
      <w:pPr>
        <w:spacing w:before="360"/>
        <w:jc w:val="center"/>
        <w:rPr>
          <w:lang w:val="fr-FR"/>
        </w:rPr>
      </w:pPr>
      <w:bookmarkStart w:id="6" w:name="Proposal"/>
      <w:bookmarkEnd w:id="6"/>
      <w:r w:rsidRPr="0044093E">
        <w:rPr>
          <w:lang w:val="fr-FR"/>
        </w:rPr>
        <w:t>______________</w:t>
      </w:r>
    </w:p>
    <w:sectPr w:rsidR="0044093E" w:rsidRPr="0044093E" w:rsidSect="00473791">
      <w:headerReference w:type="default" r:id="rId23"/>
      <w:footerReference w:type="default" r:id="rId24"/>
      <w:footerReference w:type="first" r:id="rId2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43526" w14:textId="77777777" w:rsidR="00BD3B2E" w:rsidRDefault="00BD3B2E">
      <w:r>
        <w:separator/>
      </w:r>
    </w:p>
  </w:endnote>
  <w:endnote w:type="continuationSeparator" w:id="0">
    <w:p w14:paraId="6917FFC7" w14:textId="77777777" w:rsidR="00BD3B2E" w:rsidRDefault="00BD3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0681F" w14:textId="551A2C10" w:rsidR="00147F0B" w:rsidRDefault="00E908E3" w:rsidP="00147F0B">
    <w:pPr>
      <w:pStyle w:val="Footer"/>
    </w:pPr>
    <w:fldSimple w:instr=" FILENAME \p  \* MERGEFORMAT ">
      <w:r>
        <w:t>P:\FRA\ITU-D\CONF-D\TDAG21\000\010F.docx</w:t>
      </w:r>
    </w:fldSimple>
    <w:r w:rsidR="00147F0B">
      <w:t xml:space="preserve"> (485971)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CD3DC8" w:rsidRPr="008B2B25" w14:paraId="60D8084E" w14:textId="77777777" w:rsidTr="00CD3DC8">
      <w:tc>
        <w:tcPr>
          <w:tcW w:w="1526" w:type="dxa"/>
          <w:tcBorders>
            <w:top w:val="single" w:sz="4" w:space="0" w:color="000000"/>
          </w:tcBorders>
          <w:shd w:val="clear" w:color="auto" w:fill="auto"/>
        </w:tcPr>
        <w:p w14:paraId="754884C4" w14:textId="77777777" w:rsidR="00CD3DC8" w:rsidRPr="004D495C" w:rsidRDefault="00CD3DC8" w:rsidP="00CD3DC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A1A502E" w14:textId="74E5DAA4" w:rsidR="00CD3DC8" w:rsidRPr="004D495C" w:rsidRDefault="00CD3DC8" w:rsidP="00CD3DC8">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r w:rsidRPr="00EF7069">
            <w:rPr>
              <w:sz w:val="18"/>
              <w:szCs w:val="18"/>
            </w:rPr>
            <w:t>Organisation</w:t>
          </w:r>
          <w:r w:rsidRPr="004D495C">
            <w:rPr>
              <w:sz w:val="18"/>
              <w:szCs w:val="18"/>
              <w:lang w:val="en-US"/>
            </w:rPr>
            <w:t>/</w:t>
          </w:r>
          <w:r w:rsidRPr="00EF7069">
            <w:rPr>
              <w:sz w:val="18"/>
              <w:szCs w:val="18"/>
            </w:rPr>
            <w:t>Entité</w:t>
          </w:r>
          <w:r w:rsidRPr="004D495C">
            <w:rPr>
              <w:sz w:val="18"/>
              <w:szCs w:val="18"/>
              <w:lang w:val="en-US"/>
            </w:rPr>
            <w:t>:</w:t>
          </w:r>
        </w:p>
      </w:tc>
      <w:tc>
        <w:tcPr>
          <w:tcW w:w="5987" w:type="dxa"/>
          <w:tcBorders>
            <w:top w:val="single" w:sz="4" w:space="0" w:color="000000"/>
          </w:tcBorders>
        </w:tcPr>
        <w:p w14:paraId="55FFB4CE" w14:textId="41D9FC7D" w:rsidR="00CD3DC8" w:rsidRPr="00CD3DC8" w:rsidRDefault="00CD3DC8" w:rsidP="00CD3DC8">
          <w:pPr>
            <w:pStyle w:val="FirstFooter"/>
            <w:tabs>
              <w:tab w:val="left" w:pos="2302"/>
            </w:tabs>
            <w:rPr>
              <w:sz w:val="18"/>
              <w:szCs w:val="18"/>
            </w:rPr>
          </w:pPr>
          <w:r w:rsidRPr="0077685B">
            <w:rPr>
              <w:sz w:val="18"/>
              <w:szCs w:val="18"/>
            </w:rPr>
            <w:t>M. Stephen Bereaux, Adjoint à la Directrice, Bureau de développement des télécommunications</w:t>
          </w:r>
        </w:p>
      </w:tc>
      <w:bookmarkStart w:id="7" w:name="OrgName"/>
      <w:bookmarkEnd w:id="7"/>
    </w:tr>
    <w:tr w:rsidR="00CD3DC8" w:rsidRPr="004D495C" w14:paraId="0B563E22" w14:textId="77777777" w:rsidTr="00CD3DC8">
      <w:tc>
        <w:tcPr>
          <w:tcW w:w="1526" w:type="dxa"/>
          <w:shd w:val="clear" w:color="auto" w:fill="auto"/>
        </w:tcPr>
        <w:p w14:paraId="5AC383C8" w14:textId="77777777" w:rsidR="00CD3DC8" w:rsidRPr="00CD3DC8" w:rsidRDefault="00CD3DC8" w:rsidP="00CD3DC8">
          <w:pPr>
            <w:pStyle w:val="FirstFooter"/>
            <w:tabs>
              <w:tab w:val="left" w:pos="1559"/>
              <w:tab w:val="left" w:pos="3828"/>
            </w:tabs>
            <w:rPr>
              <w:sz w:val="20"/>
            </w:rPr>
          </w:pPr>
        </w:p>
      </w:tc>
      <w:tc>
        <w:tcPr>
          <w:tcW w:w="2410" w:type="dxa"/>
          <w:shd w:val="clear" w:color="auto" w:fill="auto"/>
        </w:tcPr>
        <w:p w14:paraId="19A37BA1" w14:textId="1907678E" w:rsidR="00CD3DC8" w:rsidRPr="004D495C" w:rsidRDefault="00CD3DC8" w:rsidP="00CD3DC8">
          <w:pPr>
            <w:pStyle w:val="FirstFooter"/>
            <w:tabs>
              <w:tab w:val="left" w:pos="2302"/>
            </w:tabs>
            <w:rPr>
              <w:sz w:val="18"/>
              <w:szCs w:val="18"/>
              <w:lang w:val="en-US"/>
            </w:rPr>
          </w:pPr>
          <w:r w:rsidRPr="009D3681">
            <w:rPr>
              <w:sz w:val="18"/>
              <w:szCs w:val="18"/>
            </w:rPr>
            <w:t>Numéro de téléphone:</w:t>
          </w:r>
        </w:p>
      </w:tc>
      <w:tc>
        <w:tcPr>
          <w:tcW w:w="5987" w:type="dxa"/>
        </w:tcPr>
        <w:p w14:paraId="1425C650" w14:textId="62B81C27" w:rsidR="00CD3DC8" w:rsidRPr="00AF7A97" w:rsidRDefault="00CD3DC8" w:rsidP="00CD3DC8">
          <w:pPr>
            <w:pStyle w:val="FirstFooter"/>
            <w:tabs>
              <w:tab w:val="left" w:pos="2302"/>
            </w:tabs>
            <w:rPr>
              <w:sz w:val="18"/>
              <w:szCs w:val="18"/>
              <w:lang w:val="en-US"/>
            </w:rPr>
          </w:pPr>
          <w:r w:rsidRPr="00523FA7">
            <w:rPr>
              <w:sz w:val="18"/>
              <w:szCs w:val="18"/>
              <w:lang w:val="en-US"/>
            </w:rPr>
            <w:t>+</w:t>
          </w:r>
          <w:r w:rsidRPr="00D934D7">
            <w:rPr>
              <w:sz w:val="18"/>
              <w:szCs w:val="18"/>
              <w:lang w:val="en-US"/>
            </w:rPr>
            <w:t>41 22 730 5131</w:t>
          </w:r>
        </w:p>
      </w:tc>
      <w:bookmarkStart w:id="8" w:name="PhoneNo"/>
      <w:bookmarkEnd w:id="8"/>
    </w:tr>
    <w:tr w:rsidR="00CD3DC8" w:rsidRPr="004D495C" w14:paraId="4F182B07" w14:textId="77777777" w:rsidTr="00CD3DC8">
      <w:tc>
        <w:tcPr>
          <w:tcW w:w="1526" w:type="dxa"/>
          <w:shd w:val="clear" w:color="auto" w:fill="auto"/>
        </w:tcPr>
        <w:p w14:paraId="069A5427" w14:textId="77777777" w:rsidR="00CD3DC8" w:rsidRPr="004D495C" w:rsidRDefault="00CD3DC8" w:rsidP="00CD3DC8">
          <w:pPr>
            <w:pStyle w:val="FirstFooter"/>
            <w:tabs>
              <w:tab w:val="left" w:pos="1559"/>
              <w:tab w:val="left" w:pos="3828"/>
            </w:tabs>
            <w:rPr>
              <w:sz w:val="20"/>
              <w:lang w:val="en-US"/>
            </w:rPr>
          </w:pPr>
        </w:p>
      </w:tc>
      <w:tc>
        <w:tcPr>
          <w:tcW w:w="2410" w:type="dxa"/>
          <w:shd w:val="clear" w:color="auto" w:fill="auto"/>
        </w:tcPr>
        <w:p w14:paraId="699B1FAD" w14:textId="0375578C" w:rsidR="00CD3DC8" w:rsidRPr="004D495C" w:rsidRDefault="00CD3DC8" w:rsidP="00CD3DC8">
          <w:pPr>
            <w:pStyle w:val="FirstFooter"/>
            <w:tabs>
              <w:tab w:val="left" w:pos="2302"/>
            </w:tabs>
            <w:rPr>
              <w:sz w:val="18"/>
              <w:szCs w:val="18"/>
              <w:lang w:val="en-US"/>
            </w:rPr>
          </w:pPr>
          <w:r w:rsidRPr="009D3681">
            <w:rPr>
              <w:sz w:val="18"/>
              <w:szCs w:val="18"/>
            </w:rPr>
            <w:t>Courriel:</w:t>
          </w:r>
        </w:p>
      </w:tc>
      <w:tc>
        <w:tcPr>
          <w:tcW w:w="5987" w:type="dxa"/>
        </w:tcPr>
        <w:p w14:paraId="0B8BABC2" w14:textId="4C1CEEB7" w:rsidR="00CD3DC8" w:rsidRPr="00AF7A97" w:rsidRDefault="009306C4" w:rsidP="00CD3DC8">
          <w:pPr>
            <w:pStyle w:val="FirstFooter"/>
            <w:tabs>
              <w:tab w:val="left" w:pos="2302"/>
            </w:tabs>
            <w:rPr>
              <w:sz w:val="18"/>
              <w:szCs w:val="18"/>
              <w:lang w:val="en-US"/>
            </w:rPr>
          </w:pPr>
          <w:hyperlink r:id="rId1" w:history="1">
            <w:r w:rsidR="00CD3DC8" w:rsidRPr="00D934D7">
              <w:rPr>
                <w:rStyle w:val="Hyperlink"/>
                <w:sz w:val="18"/>
                <w:szCs w:val="22"/>
              </w:rPr>
              <w:t>stephen.bereaux@itu.int</w:t>
            </w:r>
          </w:hyperlink>
          <w:r w:rsidR="00CD3DC8" w:rsidRPr="00D934D7">
            <w:rPr>
              <w:sz w:val="18"/>
              <w:szCs w:val="22"/>
            </w:rPr>
            <w:t xml:space="preserve"> </w:t>
          </w:r>
        </w:p>
      </w:tc>
      <w:bookmarkStart w:id="9" w:name="Email"/>
      <w:bookmarkEnd w:id="9"/>
    </w:tr>
  </w:tbl>
  <w:p w14:paraId="04CE603F" w14:textId="0C39F2D0" w:rsidR="00721657" w:rsidRPr="0059420B" w:rsidRDefault="009306C4" w:rsidP="008B2B25">
    <w:pPr>
      <w:pStyle w:val="Footer"/>
      <w:spacing w:before="120"/>
      <w:jc w:val="center"/>
      <w:rPr>
        <w:lang w:val="en-GB"/>
      </w:rPr>
    </w:pPr>
    <w:hyperlink r:id="rId2" w:history="1">
      <w:r w:rsidR="00D37A23">
        <w:rPr>
          <w:rStyle w:val="Hyperlink"/>
          <w:caps w:val="0"/>
          <w:noProof w:val="0"/>
          <w:sz w:val="18"/>
          <w:szCs w:val="18"/>
          <w:lang w:val="en-US"/>
        </w:rPr>
        <w:t>GCDT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98E26" w14:textId="77777777" w:rsidR="00BD3B2E" w:rsidRDefault="00BD3B2E">
      <w:r>
        <w:t>____________________</w:t>
      </w:r>
    </w:p>
  </w:footnote>
  <w:footnote w:type="continuationSeparator" w:id="0">
    <w:p w14:paraId="7CF26B87" w14:textId="77777777" w:rsidR="00BD3B2E" w:rsidRDefault="00BD3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52FD5" w14:textId="638DA9C2" w:rsidR="00A525CC" w:rsidRPr="006D271A" w:rsidRDefault="00A525CC" w:rsidP="002C3015">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7E515B">
      <w:rPr>
        <w:sz w:val="22"/>
        <w:szCs w:val="22"/>
        <w:lang w:val="de-CH"/>
      </w:rPr>
      <w:t>TDAG</w:t>
    </w:r>
    <w:r w:rsidR="003242AB" w:rsidRPr="007E515B">
      <w:rPr>
        <w:sz w:val="22"/>
        <w:szCs w:val="22"/>
        <w:lang w:val="de-CH"/>
      </w:rPr>
      <w:t>-</w:t>
    </w:r>
    <w:r w:rsidR="00923CF1" w:rsidRPr="007E515B">
      <w:rPr>
        <w:sz w:val="22"/>
        <w:szCs w:val="22"/>
        <w:lang w:val="de-CH"/>
      </w:rPr>
      <w:t>2</w:t>
    </w:r>
    <w:r w:rsidR="005221A2" w:rsidRPr="007E515B">
      <w:rPr>
        <w:sz w:val="22"/>
        <w:szCs w:val="22"/>
        <w:lang w:val="de-CH"/>
      </w:rPr>
      <w:t>1</w:t>
    </w:r>
    <w:r w:rsidRPr="007E515B">
      <w:rPr>
        <w:sz w:val="22"/>
        <w:szCs w:val="22"/>
        <w:lang w:val="de-CH"/>
      </w:rPr>
      <w:t>/</w:t>
    </w:r>
    <w:r w:rsidR="00CD3DC8">
      <w:rPr>
        <w:sz w:val="22"/>
        <w:szCs w:val="22"/>
        <w:lang w:val="de-CH"/>
      </w:rPr>
      <w:t>10</w:t>
    </w:r>
    <w:r w:rsidRPr="007E515B">
      <w:rPr>
        <w:sz w:val="22"/>
        <w:szCs w:val="22"/>
        <w:lang w:val="de-CH"/>
      </w:rPr>
      <w:t>-</w:t>
    </w:r>
    <w:r w:rsidR="00D52591" w:rsidRPr="007E515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908E3">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67D24"/>
    <w:multiLevelType w:val="multilevel"/>
    <w:tmpl w:val="2CF64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406FA9"/>
    <w:multiLevelType w:val="hybridMultilevel"/>
    <w:tmpl w:val="F708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FD6B5A"/>
    <w:multiLevelType w:val="hybridMultilevel"/>
    <w:tmpl w:val="61708640"/>
    <w:lvl w:ilvl="0" w:tplc="A6D6EFD8">
      <w:start w:val="1"/>
      <w:numFmt w:val="bullet"/>
      <w:lvlText w:val=""/>
      <w:lvlJc w:val="left"/>
      <w:pPr>
        <w:ind w:left="720" w:hanging="360"/>
      </w:pPr>
      <w:rPr>
        <w:rFonts w:ascii="Symbol" w:hAnsi="Symbol" w:hint="default"/>
      </w:rPr>
    </w:lvl>
    <w:lvl w:ilvl="1" w:tplc="CD142A22">
      <w:start w:val="1"/>
      <w:numFmt w:val="bullet"/>
      <w:lvlText w:val="o"/>
      <w:lvlJc w:val="left"/>
      <w:pPr>
        <w:ind w:left="1440" w:hanging="360"/>
      </w:pPr>
      <w:rPr>
        <w:rFonts w:ascii="Courier New" w:hAnsi="Courier New" w:hint="default"/>
      </w:rPr>
    </w:lvl>
    <w:lvl w:ilvl="2" w:tplc="AB08EB82">
      <w:start w:val="1"/>
      <w:numFmt w:val="bullet"/>
      <w:lvlText w:val=""/>
      <w:lvlJc w:val="left"/>
      <w:pPr>
        <w:ind w:left="2160" w:hanging="360"/>
      </w:pPr>
      <w:rPr>
        <w:rFonts w:ascii="Wingdings" w:hAnsi="Wingdings" w:hint="default"/>
      </w:rPr>
    </w:lvl>
    <w:lvl w:ilvl="3" w:tplc="8FF05734">
      <w:start w:val="1"/>
      <w:numFmt w:val="bullet"/>
      <w:lvlText w:val=""/>
      <w:lvlJc w:val="left"/>
      <w:pPr>
        <w:ind w:left="2880" w:hanging="360"/>
      </w:pPr>
      <w:rPr>
        <w:rFonts w:ascii="Symbol" w:hAnsi="Symbol" w:hint="default"/>
      </w:rPr>
    </w:lvl>
    <w:lvl w:ilvl="4" w:tplc="DCD0A4A0">
      <w:start w:val="1"/>
      <w:numFmt w:val="bullet"/>
      <w:lvlText w:val="o"/>
      <w:lvlJc w:val="left"/>
      <w:pPr>
        <w:ind w:left="3600" w:hanging="360"/>
      </w:pPr>
      <w:rPr>
        <w:rFonts w:ascii="Courier New" w:hAnsi="Courier New" w:hint="default"/>
      </w:rPr>
    </w:lvl>
    <w:lvl w:ilvl="5" w:tplc="F9CEDEA0">
      <w:start w:val="1"/>
      <w:numFmt w:val="bullet"/>
      <w:lvlText w:val=""/>
      <w:lvlJc w:val="left"/>
      <w:pPr>
        <w:ind w:left="4320" w:hanging="360"/>
      </w:pPr>
      <w:rPr>
        <w:rFonts w:ascii="Wingdings" w:hAnsi="Wingdings" w:hint="default"/>
      </w:rPr>
    </w:lvl>
    <w:lvl w:ilvl="6" w:tplc="2938BF3E">
      <w:start w:val="1"/>
      <w:numFmt w:val="bullet"/>
      <w:lvlText w:val=""/>
      <w:lvlJc w:val="left"/>
      <w:pPr>
        <w:ind w:left="5040" w:hanging="360"/>
      </w:pPr>
      <w:rPr>
        <w:rFonts w:ascii="Symbol" w:hAnsi="Symbol" w:hint="default"/>
      </w:rPr>
    </w:lvl>
    <w:lvl w:ilvl="7" w:tplc="2AF20B16">
      <w:start w:val="1"/>
      <w:numFmt w:val="bullet"/>
      <w:lvlText w:val="o"/>
      <w:lvlJc w:val="left"/>
      <w:pPr>
        <w:ind w:left="5760" w:hanging="360"/>
      </w:pPr>
      <w:rPr>
        <w:rFonts w:ascii="Courier New" w:hAnsi="Courier New" w:hint="default"/>
      </w:rPr>
    </w:lvl>
    <w:lvl w:ilvl="8" w:tplc="9BC6A158">
      <w:start w:val="1"/>
      <w:numFmt w:val="bullet"/>
      <w:lvlText w:val=""/>
      <w:lvlJc w:val="left"/>
      <w:pPr>
        <w:ind w:left="6480"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674464DB"/>
    <w:multiLevelType w:val="hybridMultilevel"/>
    <w:tmpl w:val="FD78970C"/>
    <w:lvl w:ilvl="0" w:tplc="3A5C4000">
      <w:start w:val="1"/>
      <w:numFmt w:val="bullet"/>
      <w:lvlText w:val=""/>
      <w:lvlJc w:val="left"/>
      <w:pPr>
        <w:ind w:left="720" w:hanging="360"/>
      </w:pPr>
      <w:rPr>
        <w:rFonts w:ascii="Symbol" w:hAnsi="Symbol" w:hint="default"/>
      </w:rPr>
    </w:lvl>
    <w:lvl w:ilvl="1" w:tplc="C35AC776">
      <w:start w:val="1"/>
      <w:numFmt w:val="bullet"/>
      <w:lvlText w:val="o"/>
      <w:lvlJc w:val="left"/>
      <w:pPr>
        <w:ind w:left="1440" w:hanging="360"/>
      </w:pPr>
      <w:rPr>
        <w:rFonts w:ascii="Courier New" w:hAnsi="Courier New" w:hint="default"/>
      </w:rPr>
    </w:lvl>
    <w:lvl w:ilvl="2" w:tplc="A97A4146">
      <w:start w:val="1"/>
      <w:numFmt w:val="bullet"/>
      <w:lvlText w:val=""/>
      <w:lvlJc w:val="left"/>
      <w:pPr>
        <w:ind w:left="2160" w:hanging="360"/>
      </w:pPr>
      <w:rPr>
        <w:rFonts w:ascii="Wingdings" w:hAnsi="Wingdings" w:hint="default"/>
      </w:rPr>
    </w:lvl>
    <w:lvl w:ilvl="3" w:tplc="9176E9D6">
      <w:start w:val="1"/>
      <w:numFmt w:val="bullet"/>
      <w:lvlText w:val=""/>
      <w:lvlJc w:val="left"/>
      <w:pPr>
        <w:ind w:left="2880" w:hanging="360"/>
      </w:pPr>
      <w:rPr>
        <w:rFonts w:ascii="Symbol" w:hAnsi="Symbol" w:hint="default"/>
      </w:rPr>
    </w:lvl>
    <w:lvl w:ilvl="4" w:tplc="5768B910">
      <w:start w:val="1"/>
      <w:numFmt w:val="bullet"/>
      <w:lvlText w:val="o"/>
      <w:lvlJc w:val="left"/>
      <w:pPr>
        <w:ind w:left="3600" w:hanging="360"/>
      </w:pPr>
      <w:rPr>
        <w:rFonts w:ascii="Courier New" w:hAnsi="Courier New" w:hint="default"/>
      </w:rPr>
    </w:lvl>
    <w:lvl w:ilvl="5" w:tplc="3F400780">
      <w:start w:val="1"/>
      <w:numFmt w:val="bullet"/>
      <w:lvlText w:val=""/>
      <w:lvlJc w:val="left"/>
      <w:pPr>
        <w:ind w:left="4320" w:hanging="360"/>
      </w:pPr>
      <w:rPr>
        <w:rFonts w:ascii="Wingdings" w:hAnsi="Wingdings" w:hint="default"/>
      </w:rPr>
    </w:lvl>
    <w:lvl w:ilvl="6" w:tplc="2CA28D10">
      <w:start w:val="1"/>
      <w:numFmt w:val="bullet"/>
      <w:lvlText w:val=""/>
      <w:lvlJc w:val="left"/>
      <w:pPr>
        <w:ind w:left="5040" w:hanging="360"/>
      </w:pPr>
      <w:rPr>
        <w:rFonts w:ascii="Symbol" w:hAnsi="Symbol" w:hint="default"/>
      </w:rPr>
    </w:lvl>
    <w:lvl w:ilvl="7" w:tplc="130E6FF4">
      <w:start w:val="1"/>
      <w:numFmt w:val="bullet"/>
      <w:lvlText w:val="o"/>
      <w:lvlJc w:val="left"/>
      <w:pPr>
        <w:ind w:left="5760" w:hanging="360"/>
      </w:pPr>
      <w:rPr>
        <w:rFonts w:ascii="Courier New" w:hAnsi="Courier New" w:hint="default"/>
      </w:rPr>
    </w:lvl>
    <w:lvl w:ilvl="8" w:tplc="496E5FC6">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025EA2C-25FA-46D6-9C97-85294BE4A0E0}"/>
    <w:docVar w:name="dgnword-eventsink" w:val="2417551789312"/>
  </w:docVars>
  <w:rsids>
    <w:rsidRoot w:val="00C63CFE"/>
    <w:rsid w:val="00002716"/>
    <w:rsid w:val="00005791"/>
    <w:rsid w:val="00010827"/>
    <w:rsid w:val="00015089"/>
    <w:rsid w:val="0002520B"/>
    <w:rsid w:val="00027EA8"/>
    <w:rsid w:val="00037A9E"/>
    <w:rsid w:val="00037F91"/>
    <w:rsid w:val="000534C9"/>
    <w:rsid w:val="000539F1"/>
    <w:rsid w:val="00054747"/>
    <w:rsid w:val="00055A2A"/>
    <w:rsid w:val="000615C1"/>
    <w:rsid w:val="00061675"/>
    <w:rsid w:val="000743AA"/>
    <w:rsid w:val="0009076F"/>
    <w:rsid w:val="0009225C"/>
    <w:rsid w:val="000A17C4"/>
    <w:rsid w:val="000A36A4"/>
    <w:rsid w:val="000B2352"/>
    <w:rsid w:val="000C72EA"/>
    <w:rsid w:val="000C7B84"/>
    <w:rsid w:val="000D261B"/>
    <w:rsid w:val="000D58A3"/>
    <w:rsid w:val="000E3ED4"/>
    <w:rsid w:val="000E3F9C"/>
    <w:rsid w:val="000E715B"/>
    <w:rsid w:val="000F1550"/>
    <w:rsid w:val="000F251B"/>
    <w:rsid w:val="000F5FE8"/>
    <w:rsid w:val="000F6088"/>
    <w:rsid w:val="000F6644"/>
    <w:rsid w:val="00100833"/>
    <w:rsid w:val="00102F72"/>
    <w:rsid w:val="00107E85"/>
    <w:rsid w:val="00113EE8"/>
    <w:rsid w:val="0011455A"/>
    <w:rsid w:val="00114A65"/>
    <w:rsid w:val="00133061"/>
    <w:rsid w:val="00141699"/>
    <w:rsid w:val="00147000"/>
    <w:rsid w:val="00147F0B"/>
    <w:rsid w:val="00162071"/>
    <w:rsid w:val="00163091"/>
    <w:rsid w:val="001645CB"/>
    <w:rsid w:val="00166305"/>
    <w:rsid w:val="00167545"/>
    <w:rsid w:val="001703C6"/>
    <w:rsid w:val="00173781"/>
    <w:rsid w:val="00175ADF"/>
    <w:rsid w:val="00175CAE"/>
    <w:rsid w:val="001828DB"/>
    <w:rsid w:val="001850FE"/>
    <w:rsid w:val="00185135"/>
    <w:rsid w:val="0019037C"/>
    <w:rsid w:val="001905A9"/>
    <w:rsid w:val="00191189"/>
    <w:rsid w:val="00191273"/>
    <w:rsid w:val="001942A7"/>
    <w:rsid w:val="0019587B"/>
    <w:rsid w:val="001A163D"/>
    <w:rsid w:val="001A441E"/>
    <w:rsid w:val="001A6733"/>
    <w:rsid w:val="001B0C50"/>
    <w:rsid w:val="001B357F"/>
    <w:rsid w:val="001C3444"/>
    <w:rsid w:val="001C3702"/>
    <w:rsid w:val="001C4656"/>
    <w:rsid w:val="001C46BC"/>
    <w:rsid w:val="001F23E6"/>
    <w:rsid w:val="001F4238"/>
    <w:rsid w:val="00200A38"/>
    <w:rsid w:val="00200A46"/>
    <w:rsid w:val="00205FFB"/>
    <w:rsid w:val="00211B6F"/>
    <w:rsid w:val="00217CC3"/>
    <w:rsid w:val="00220AB6"/>
    <w:rsid w:val="0022120F"/>
    <w:rsid w:val="0022754A"/>
    <w:rsid w:val="00232B7F"/>
    <w:rsid w:val="00236560"/>
    <w:rsid w:val="0023662E"/>
    <w:rsid w:val="00245D0F"/>
    <w:rsid w:val="002548C3"/>
    <w:rsid w:val="00256464"/>
    <w:rsid w:val="00257ACD"/>
    <w:rsid w:val="00262908"/>
    <w:rsid w:val="002650F4"/>
    <w:rsid w:val="002715FD"/>
    <w:rsid w:val="002770B1"/>
    <w:rsid w:val="002836D2"/>
    <w:rsid w:val="00285B33"/>
    <w:rsid w:val="00287A3C"/>
    <w:rsid w:val="00294C39"/>
    <w:rsid w:val="002A2FC6"/>
    <w:rsid w:val="002C1EAD"/>
    <w:rsid w:val="002C1EC7"/>
    <w:rsid w:val="002C248F"/>
    <w:rsid w:val="002C3015"/>
    <w:rsid w:val="002C4342"/>
    <w:rsid w:val="002C7EA3"/>
    <w:rsid w:val="002D20AE"/>
    <w:rsid w:val="002D6C61"/>
    <w:rsid w:val="002E2104"/>
    <w:rsid w:val="002E2441"/>
    <w:rsid w:val="002E2DAC"/>
    <w:rsid w:val="002E38ED"/>
    <w:rsid w:val="002E6963"/>
    <w:rsid w:val="002E6F8F"/>
    <w:rsid w:val="002F05D8"/>
    <w:rsid w:val="002F2DE0"/>
    <w:rsid w:val="002F5E25"/>
    <w:rsid w:val="0030353C"/>
    <w:rsid w:val="003125C3"/>
    <w:rsid w:val="00312AE6"/>
    <w:rsid w:val="00317D1A"/>
    <w:rsid w:val="003211FF"/>
    <w:rsid w:val="003242AB"/>
    <w:rsid w:val="00327247"/>
    <w:rsid w:val="00327A9D"/>
    <w:rsid w:val="00327ED5"/>
    <w:rsid w:val="0033130E"/>
    <w:rsid w:val="0033269C"/>
    <w:rsid w:val="00342A1A"/>
    <w:rsid w:val="003465CB"/>
    <w:rsid w:val="00351C79"/>
    <w:rsid w:val="0035516C"/>
    <w:rsid w:val="00355A4C"/>
    <w:rsid w:val="00356A2C"/>
    <w:rsid w:val="003604FB"/>
    <w:rsid w:val="00360B73"/>
    <w:rsid w:val="00380B71"/>
    <w:rsid w:val="0038365A"/>
    <w:rsid w:val="0038440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093E"/>
    <w:rsid w:val="0044411E"/>
    <w:rsid w:val="00453435"/>
    <w:rsid w:val="00460089"/>
    <w:rsid w:val="00466398"/>
    <w:rsid w:val="0047306D"/>
    <w:rsid w:val="00473791"/>
    <w:rsid w:val="00476E48"/>
    <w:rsid w:val="00481DE9"/>
    <w:rsid w:val="0049128B"/>
    <w:rsid w:val="00493B49"/>
    <w:rsid w:val="00495501"/>
    <w:rsid w:val="004A070A"/>
    <w:rsid w:val="004A320E"/>
    <w:rsid w:val="004A3B9C"/>
    <w:rsid w:val="004A4E9C"/>
    <w:rsid w:val="004A7545"/>
    <w:rsid w:val="004B1A3C"/>
    <w:rsid w:val="004C3BD6"/>
    <w:rsid w:val="004D0BAB"/>
    <w:rsid w:val="004D2CC3"/>
    <w:rsid w:val="004D35CB"/>
    <w:rsid w:val="004D792C"/>
    <w:rsid w:val="004D7DAB"/>
    <w:rsid w:val="004E20E5"/>
    <w:rsid w:val="004E64EA"/>
    <w:rsid w:val="004E7828"/>
    <w:rsid w:val="004F46AA"/>
    <w:rsid w:val="004F6A70"/>
    <w:rsid w:val="00500AD7"/>
    <w:rsid w:val="00502ABF"/>
    <w:rsid w:val="00504DB0"/>
    <w:rsid w:val="00507C35"/>
    <w:rsid w:val="00510735"/>
    <w:rsid w:val="00514D2F"/>
    <w:rsid w:val="005221A2"/>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875F1"/>
    <w:rsid w:val="00592518"/>
    <w:rsid w:val="00592E87"/>
    <w:rsid w:val="0059420B"/>
    <w:rsid w:val="00594C4D"/>
    <w:rsid w:val="005A33B0"/>
    <w:rsid w:val="005C2DC2"/>
    <w:rsid w:val="005C304A"/>
    <w:rsid w:val="005C3D69"/>
    <w:rsid w:val="005C763D"/>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B5F"/>
    <w:rsid w:val="00625FB8"/>
    <w:rsid w:val="006261BD"/>
    <w:rsid w:val="00635EDB"/>
    <w:rsid w:val="00642856"/>
    <w:rsid w:val="0064734E"/>
    <w:rsid w:val="00650137"/>
    <w:rsid w:val="006509D7"/>
    <w:rsid w:val="00651CE8"/>
    <w:rsid w:val="0065521B"/>
    <w:rsid w:val="00671EF6"/>
    <w:rsid w:val="0067205B"/>
    <w:rsid w:val="006748F8"/>
    <w:rsid w:val="00680489"/>
    <w:rsid w:val="00683C32"/>
    <w:rsid w:val="00690BB2"/>
    <w:rsid w:val="00693D09"/>
    <w:rsid w:val="006A098D"/>
    <w:rsid w:val="006A3AF8"/>
    <w:rsid w:val="006A6549"/>
    <w:rsid w:val="006A7710"/>
    <w:rsid w:val="006A7A61"/>
    <w:rsid w:val="006B1E59"/>
    <w:rsid w:val="006B2FFB"/>
    <w:rsid w:val="006C10A2"/>
    <w:rsid w:val="006C1F18"/>
    <w:rsid w:val="006D40D5"/>
    <w:rsid w:val="006F009A"/>
    <w:rsid w:val="006F3D93"/>
    <w:rsid w:val="006F41DD"/>
    <w:rsid w:val="007019B1"/>
    <w:rsid w:val="00702046"/>
    <w:rsid w:val="00705026"/>
    <w:rsid w:val="00721657"/>
    <w:rsid w:val="007279A8"/>
    <w:rsid w:val="00727B1A"/>
    <w:rsid w:val="00741337"/>
    <w:rsid w:val="00752258"/>
    <w:rsid w:val="007529E1"/>
    <w:rsid w:val="00762880"/>
    <w:rsid w:val="00762AD6"/>
    <w:rsid w:val="00762E02"/>
    <w:rsid w:val="00772290"/>
    <w:rsid w:val="00775390"/>
    <w:rsid w:val="00777265"/>
    <w:rsid w:val="007805E7"/>
    <w:rsid w:val="0078222A"/>
    <w:rsid w:val="00787D48"/>
    <w:rsid w:val="00795294"/>
    <w:rsid w:val="007A4E50"/>
    <w:rsid w:val="007B18A7"/>
    <w:rsid w:val="007B250E"/>
    <w:rsid w:val="007C27FC"/>
    <w:rsid w:val="007C51FF"/>
    <w:rsid w:val="007D50E4"/>
    <w:rsid w:val="007E2DC5"/>
    <w:rsid w:val="007E515B"/>
    <w:rsid w:val="007F1CC7"/>
    <w:rsid w:val="008027AC"/>
    <w:rsid w:val="008028CE"/>
    <w:rsid w:val="0080332E"/>
    <w:rsid w:val="008141E0"/>
    <w:rsid w:val="00816EE1"/>
    <w:rsid w:val="00816F88"/>
    <w:rsid w:val="008201FA"/>
    <w:rsid w:val="00821996"/>
    <w:rsid w:val="00822323"/>
    <w:rsid w:val="00825D5A"/>
    <w:rsid w:val="00827BC6"/>
    <w:rsid w:val="008300AD"/>
    <w:rsid w:val="00833024"/>
    <w:rsid w:val="008419B1"/>
    <w:rsid w:val="00844A56"/>
    <w:rsid w:val="00845B11"/>
    <w:rsid w:val="008517E0"/>
    <w:rsid w:val="00852081"/>
    <w:rsid w:val="008563B0"/>
    <w:rsid w:val="00872B6E"/>
    <w:rsid w:val="00874DFD"/>
    <w:rsid w:val="008802F9"/>
    <w:rsid w:val="00883086"/>
    <w:rsid w:val="008879FD"/>
    <w:rsid w:val="00894C37"/>
    <w:rsid w:val="008A00EA"/>
    <w:rsid w:val="008A3F93"/>
    <w:rsid w:val="008A6236"/>
    <w:rsid w:val="008A6E1C"/>
    <w:rsid w:val="008A72FD"/>
    <w:rsid w:val="008B2B25"/>
    <w:rsid w:val="008B2EDF"/>
    <w:rsid w:val="008B47C7"/>
    <w:rsid w:val="008B54CB"/>
    <w:rsid w:val="008B5A3D"/>
    <w:rsid w:val="008C3909"/>
    <w:rsid w:val="008C4010"/>
    <w:rsid w:val="008C4FDF"/>
    <w:rsid w:val="008C6B1F"/>
    <w:rsid w:val="008D5E4F"/>
    <w:rsid w:val="008E451F"/>
    <w:rsid w:val="008F14F5"/>
    <w:rsid w:val="008F71C1"/>
    <w:rsid w:val="00902D41"/>
    <w:rsid w:val="00902F49"/>
    <w:rsid w:val="00904230"/>
    <w:rsid w:val="00914004"/>
    <w:rsid w:val="00922EC1"/>
    <w:rsid w:val="00923CF1"/>
    <w:rsid w:val="009301F1"/>
    <w:rsid w:val="009306C4"/>
    <w:rsid w:val="009307DF"/>
    <w:rsid w:val="009359B8"/>
    <w:rsid w:val="00935FF0"/>
    <w:rsid w:val="009431F8"/>
    <w:rsid w:val="00947A35"/>
    <w:rsid w:val="0095773D"/>
    <w:rsid w:val="0096201B"/>
    <w:rsid w:val="00962081"/>
    <w:rsid w:val="00966CB5"/>
    <w:rsid w:val="00975786"/>
    <w:rsid w:val="00981CB7"/>
    <w:rsid w:val="00983E1F"/>
    <w:rsid w:val="00993F46"/>
    <w:rsid w:val="00997358"/>
    <w:rsid w:val="009A452B"/>
    <w:rsid w:val="009B008D"/>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4A64"/>
    <w:rsid w:val="00A667E4"/>
    <w:rsid w:val="00A705E8"/>
    <w:rsid w:val="00A721F4"/>
    <w:rsid w:val="00A72229"/>
    <w:rsid w:val="00A9392C"/>
    <w:rsid w:val="00A9462B"/>
    <w:rsid w:val="00A96854"/>
    <w:rsid w:val="00A97D59"/>
    <w:rsid w:val="00AA3E09"/>
    <w:rsid w:val="00AA4BEF"/>
    <w:rsid w:val="00AB1659"/>
    <w:rsid w:val="00AB4962"/>
    <w:rsid w:val="00AB734E"/>
    <w:rsid w:val="00AB740F"/>
    <w:rsid w:val="00AC6F14"/>
    <w:rsid w:val="00AC7221"/>
    <w:rsid w:val="00AD7498"/>
    <w:rsid w:val="00AE5961"/>
    <w:rsid w:val="00AE7A6E"/>
    <w:rsid w:val="00AF0745"/>
    <w:rsid w:val="00AF4971"/>
    <w:rsid w:val="00AF5276"/>
    <w:rsid w:val="00AF7C86"/>
    <w:rsid w:val="00B01046"/>
    <w:rsid w:val="00B27859"/>
    <w:rsid w:val="00B310F9"/>
    <w:rsid w:val="00B35B03"/>
    <w:rsid w:val="00B36077"/>
    <w:rsid w:val="00B37866"/>
    <w:rsid w:val="00B412FB"/>
    <w:rsid w:val="00B41A8B"/>
    <w:rsid w:val="00B4576B"/>
    <w:rsid w:val="00B46350"/>
    <w:rsid w:val="00B46DF3"/>
    <w:rsid w:val="00B620A9"/>
    <w:rsid w:val="00B648C7"/>
    <w:rsid w:val="00B66E8F"/>
    <w:rsid w:val="00B80157"/>
    <w:rsid w:val="00B83D5E"/>
    <w:rsid w:val="00B8460A"/>
    <w:rsid w:val="00B8650D"/>
    <w:rsid w:val="00B879B4"/>
    <w:rsid w:val="00B87DEF"/>
    <w:rsid w:val="00B90F07"/>
    <w:rsid w:val="00B97BB9"/>
    <w:rsid w:val="00BA0009"/>
    <w:rsid w:val="00BA5873"/>
    <w:rsid w:val="00BB1863"/>
    <w:rsid w:val="00BB25EE"/>
    <w:rsid w:val="00BB363A"/>
    <w:rsid w:val="00BC10A0"/>
    <w:rsid w:val="00BC7BA2"/>
    <w:rsid w:val="00BD3B2E"/>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3CFE"/>
    <w:rsid w:val="00C64AF3"/>
    <w:rsid w:val="00C66F4D"/>
    <w:rsid w:val="00C67BB5"/>
    <w:rsid w:val="00C72713"/>
    <w:rsid w:val="00C848EF"/>
    <w:rsid w:val="00C86600"/>
    <w:rsid w:val="00C87BCA"/>
    <w:rsid w:val="00C87EED"/>
    <w:rsid w:val="00C94506"/>
    <w:rsid w:val="00C954BC"/>
    <w:rsid w:val="00C95D60"/>
    <w:rsid w:val="00CA1F0B"/>
    <w:rsid w:val="00CA3C26"/>
    <w:rsid w:val="00CB110F"/>
    <w:rsid w:val="00CB2A2E"/>
    <w:rsid w:val="00CB338A"/>
    <w:rsid w:val="00CB79C5"/>
    <w:rsid w:val="00CC411F"/>
    <w:rsid w:val="00CC4B75"/>
    <w:rsid w:val="00CC732E"/>
    <w:rsid w:val="00CD2FCD"/>
    <w:rsid w:val="00CD3DC8"/>
    <w:rsid w:val="00CD7207"/>
    <w:rsid w:val="00CE0422"/>
    <w:rsid w:val="00CE0DBE"/>
    <w:rsid w:val="00CE5E4D"/>
    <w:rsid w:val="00CF02C4"/>
    <w:rsid w:val="00CF167F"/>
    <w:rsid w:val="00CF72E5"/>
    <w:rsid w:val="00D013EE"/>
    <w:rsid w:val="00D01F54"/>
    <w:rsid w:val="00D040F7"/>
    <w:rsid w:val="00D04A76"/>
    <w:rsid w:val="00D077BA"/>
    <w:rsid w:val="00D10FC7"/>
    <w:rsid w:val="00D1519F"/>
    <w:rsid w:val="00D20E99"/>
    <w:rsid w:val="00D21C83"/>
    <w:rsid w:val="00D32014"/>
    <w:rsid w:val="00D321CB"/>
    <w:rsid w:val="00D35BDD"/>
    <w:rsid w:val="00D37A23"/>
    <w:rsid w:val="00D52591"/>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2A6C"/>
    <w:rsid w:val="00E368F7"/>
    <w:rsid w:val="00E36EB8"/>
    <w:rsid w:val="00E37FB8"/>
    <w:rsid w:val="00E40B07"/>
    <w:rsid w:val="00E42326"/>
    <w:rsid w:val="00E42D3D"/>
    <w:rsid w:val="00E43544"/>
    <w:rsid w:val="00E44D89"/>
    <w:rsid w:val="00E477EA"/>
    <w:rsid w:val="00E55807"/>
    <w:rsid w:val="00E63B14"/>
    <w:rsid w:val="00E65CA0"/>
    <w:rsid w:val="00E67D73"/>
    <w:rsid w:val="00E70D9F"/>
    <w:rsid w:val="00E83810"/>
    <w:rsid w:val="00E86933"/>
    <w:rsid w:val="00E908E3"/>
    <w:rsid w:val="00E9605B"/>
    <w:rsid w:val="00E97298"/>
    <w:rsid w:val="00E97753"/>
    <w:rsid w:val="00EA0C51"/>
    <w:rsid w:val="00EA7DE7"/>
    <w:rsid w:val="00EB7A8A"/>
    <w:rsid w:val="00EC6FED"/>
    <w:rsid w:val="00EC7F3B"/>
    <w:rsid w:val="00ED5299"/>
    <w:rsid w:val="00EE3A64"/>
    <w:rsid w:val="00EE50E5"/>
    <w:rsid w:val="00EF01CF"/>
    <w:rsid w:val="00EF7069"/>
    <w:rsid w:val="00F03590"/>
    <w:rsid w:val="00F03622"/>
    <w:rsid w:val="00F077FD"/>
    <w:rsid w:val="00F1207C"/>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83459"/>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CC8F0F"/>
  <w15:docId w15:val="{95080E75-0703-404C-BBB9-7AA5E30E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customStyle="1" w:styleId="UnresolvedMention1">
    <w:name w:val="Unresolved Mention1"/>
    <w:basedOn w:val="DefaultParagraphFont"/>
    <w:uiPriority w:val="99"/>
    <w:semiHidden/>
    <w:unhideWhenUsed/>
    <w:rsid w:val="00CD3DC8"/>
    <w:rPr>
      <w:color w:val="605E5C"/>
      <w:shd w:val="clear" w:color="auto" w:fill="E1DFDD"/>
    </w:rPr>
  </w:style>
  <w:style w:type="paragraph" w:customStyle="1" w:styleId="Figure">
    <w:name w:val="Figure"/>
    <w:basedOn w:val="Normal"/>
    <w:rsid w:val="008E451F"/>
    <w:pPr>
      <w:spacing w:line="257" w:lineRule="auto"/>
    </w:pPr>
    <w:rPr>
      <w:noProof/>
      <w:color w:val="2B579A"/>
      <w:shd w:val="clear" w:color="auto" w:fill="E6E6E6"/>
    </w:rPr>
  </w:style>
  <w:style w:type="character" w:customStyle="1" w:styleId="ListParagraphChar">
    <w:name w:val="List Paragraph Char"/>
    <w:basedOn w:val="DefaultParagraphFont"/>
    <w:link w:val="ListParagraph"/>
    <w:uiPriority w:val="34"/>
    <w:locked/>
    <w:rsid w:val="00147F0B"/>
    <w:rPr>
      <w:rFonts w:asciiTheme="minorHAnsi" w:hAnsiTheme="minorHAnsi"/>
      <w:sz w:val="24"/>
      <w:lang w:val="en-GB" w:eastAsia="en-US"/>
    </w:rPr>
  </w:style>
  <w:style w:type="character" w:styleId="FollowedHyperlink">
    <w:name w:val="FollowedHyperlink"/>
    <w:basedOn w:val="DefaultParagraphFont"/>
    <w:semiHidden/>
    <w:unhideWhenUsed/>
    <w:rsid w:val="002C1E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87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21-SG-CIR-0019/en" TargetMode="External"/><Relationship Id="rId18" Type="http://schemas.openxmlformats.org/officeDocument/2006/relationships/hyperlink" Target="https://www.itu.int/fr/ITU-D/Conferences/TDAG/Pages/TDAG_WG_WTDC.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en/ITU-D/Conferences/WTDC/WTDC17/Documents/WTDC17_final_report_fr.pdf" TargetMode="External"/><Relationship Id="rId7" Type="http://schemas.openxmlformats.org/officeDocument/2006/relationships/endnotes" Target="endnotes.xml"/><Relationship Id="rId12" Type="http://schemas.openxmlformats.org/officeDocument/2006/relationships/hyperlink" Target="https://www.itu.int/md/S21-CL-C-0076/en" TargetMode="External"/><Relationship Id="rId17" Type="http://schemas.openxmlformats.org/officeDocument/2006/relationships/hyperlink" Target="https://www.itu.int/md/D18-TDAG28-C-0009/e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D18-TDAG28-C-0008/en"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RPMIRM-C-0021/e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D18-TDAG28-C-0009/en" TargetMode="External"/><Relationship Id="rId23" Type="http://schemas.openxmlformats.org/officeDocument/2006/relationships/header" Target="header1.xml"/><Relationship Id="rId10" Type="http://schemas.openxmlformats.org/officeDocument/2006/relationships/hyperlink" Target="https://www.itu.int/md/S21-DM-CIR-01010/en" TargetMode="External"/><Relationship Id="rId19" Type="http://schemas.openxmlformats.org/officeDocument/2006/relationships/hyperlink" Target="https://www.itu.int/fr/ITU-D/Conferences/TDAG/Pages/TDAG_WG_SOP.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8-TDAG28-C-0008/en" TargetMode="External"/><Relationship Id="rId22" Type="http://schemas.openxmlformats.org/officeDocument/2006/relationships/hyperlink" Target="https://www.itu.int/md/D18-TDAG28-C-0022/en"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DC351-1BF3-48B0-8161-8695B683C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2255</Words>
  <Characters>12859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French</dc:creator>
  <cp:lastModifiedBy>BDT-nd</cp:lastModifiedBy>
  <cp:revision>6</cp:revision>
  <cp:lastPrinted>2014-11-04T09:22:00Z</cp:lastPrinted>
  <dcterms:created xsi:type="dcterms:W3CDTF">2021-05-20T05:40:00Z</dcterms:created>
  <dcterms:modified xsi:type="dcterms:W3CDTF">2021-05-20T13:42:00Z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