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53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4253"/>
        <w:gridCol w:w="1134"/>
        <w:gridCol w:w="2091"/>
      </w:tblGrid>
      <w:tr w:rsidR="00C85582" w:rsidRPr="004E7861" w14:paraId="70A097D7" w14:textId="77777777" w:rsidTr="00C85582">
        <w:trPr>
          <w:cantSplit/>
          <w:trHeight w:val="1134"/>
        </w:trPr>
        <w:tc>
          <w:tcPr>
            <w:tcW w:w="2410" w:type="dxa"/>
            <w:tcBorders>
              <w:bottom w:val="single" w:sz="12" w:space="0" w:color="auto"/>
            </w:tcBorders>
          </w:tcPr>
          <w:p w14:paraId="2D17B6A7" w14:textId="77777777" w:rsidR="00C85582" w:rsidRDefault="00C85582" w:rsidP="00C85582">
            <w:pPr>
              <w:spacing w:after="120"/>
              <w:rPr>
                <w:b/>
                <w:bCs/>
                <w:sz w:val="32"/>
                <w:szCs w:val="32"/>
                <w:lang w:val="es-ES_tradnl"/>
              </w:rPr>
            </w:pPr>
            <w:r>
              <w:rPr>
                <w:noProof/>
              </w:rPr>
              <w:drawing>
                <wp:inline distT="0" distB="0" distL="0" distR="0" wp14:anchorId="416828BA" wp14:editId="53EF4980">
                  <wp:extent cx="1219200" cy="1036320"/>
                  <wp:effectExtent l="0" t="0" r="0" b="0"/>
                  <wp:docPr id="2" name="Picture 2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21"/>
                          <a:stretch/>
                        </pic:blipFill>
                        <pic:spPr bwMode="auto">
                          <a:xfrm>
                            <a:off x="0" y="0"/>
                            <a:ext cx="1219200" cy="1036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gridSpan w:val="2"/>
            <w:tcBorders>
              <w:bottom w:val="single" w:sz="12" w:space="0" w:color="auto"/>
            </w:tcBorders>
          </w:tcPr>
          <w:p w14:paraId="01C6EB8E" w14:textId="77777777" w:rsidR="00C85582" w:rsidRDefault="00C85582" w:rsidP="00C85582">
            <w:pPr>
              <w:spacing w:before="280" w:after="120"/>
              <w:rPr>
                <w:b/>
                <w:bCs/>
                <w:sz w:val="32"/>
                <w:szCs w:val="32"/>
                <w:lang w:val="es-ES_tradnl"/>
              </w:rPr>
            </w:pPr>
            <w:r w:rsidRPr="00F12690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Grupo Asesor de Desarrollo de las Telecomunicaciones (GADT</w:t>
            </w:r>
            <w:r w:rsidRPr="00F12690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14:paraId="4747539E" w14:textId="77777777" w:rsidR="00C85582" w:rsidRPr="00560C51" w:rsidRDefault="00C85582" w:rsidP="00AA076A">
            <w:pPr>
              <w:spacing w:before="100" w:after="120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656B29">
              <w:rPr>
                <w:b/>
                <w:bCs/>
                <w:sz w:val="26"/>
                <w:szCs w:val="26"/>
                <w:lang w:val="es-ES_tradnl"/>
              </w:rPr>
              <w:t>2</w:t>
            </w:r>
            <w:r>
              <w:rPr>
                <w:b/>
                <w:bCs/>
                <w:sz w:val="26"/>
                <w:szCs w:val="26"/>
                <w:lang w:val="es-ES_tradnl"/>
              </w:rPr>
              <w:t>8</w:t>
            </w:r>
            <w:r w:rsidRPr="00656B29">
              <w:rPr>
                <w:b/>
                <w:bCs/>
                <w:sz w:val="26"/>
                <w:szCs w:val="26"/>
                <w:lang w:val="es-ES_tradnl"/>
              </w:rPr>
              <w:t xml:space="preserve">ª reunión, </w:t>
            </w:r>
            <w:r>
              <w:rPr>
                <w:b/>
                <w:bCs/>
                <w:sz w:val="26"/>
                <w:szCs w:val="26"/>
                <w:lang w:val="es-ES_tradnl"/>
              </w:rPr>
              <w:t>Virtual</w:t>
            </w:r>
            <w:r w:rsidRPr="00656B29">
              <w:rPr>
                <w:b/>
                <w:bCs/>
                <w:sz w:val="26"/>
                <w:szCs w:val="26"/>
                <w:lang w:val="es-ES_tradnl"/>
              </w:rPr>
              <w:t xml:space="preserve">, </w:t>
            </w:r>
            <w:r>
              <w:rPr>
                <w:b/>
                <w:bCs/>
                <w:sz w:val="26"/>
                <w:szCs w:val="26"/>
                <w:lang w:val="es-ES_tradnl"/>
              </w:rPr>
              <w:t>2</w:t>
            </w:r>
            <w:r w:rsidR="00603CC6">
              <w:rPr>
                <w:b/>
                <w:bCs/>
                <w:sz w:val="26"/>
                <w:szCs w:val="26"/>
                <w:lang w:val="es-ES_tradnl"/>
              </w:rPr>
              <w:t>4</w:t>
            </w:r>
            <w:r w:rsidRPr="00656B29">
              <w:rPr>
                <w:b/>
                <w:bCs/>
                <w:sz w:val="26"/>
                <w:szCs w:val="26"/>
                <w:lang w:val="es-ES_tradnl"/>
              </w:rPr>
              <w:t>-</w:t>
            </w:r>
            <w:r>
              <w:rPr>
                <w:b/>
                <w:bCs/>
                <w:sz w:val="26"/>
                <w:szCs w:val="26"/>
                <w:lang w:val="es-ES_tradnl"/>
              </w:rPr>
              <w:t>28 de mayo de 2021</w:t>
            </w:r>
          </w:p>
        </w:tc>
        <w:tc>
          <w:tcPr>
            <w:tcW w:w="2091" w:type="dxa"/>
            <w:tcBorders>
              <w:bottom w:val="single" w:sz="12" w:space="0" w:color="auto"/>
            </w:tcBorders>
          </w:tcPr>
          <w:p w14:paraId="165FB49D" w14:textId="77777777" w:rsidR="00C85582" w:rsidRPr="00560C51" w:rsidRDefault="00C85582" w:rsidP="004E7861">
            <w:pPr>
              <w:spacing w:before="40" w:after="80"/>
              <w:ind w:right="142"/>
              <w:jc w:val="right"/>
              <w:rPr>
                <w:lang w:val="es-ES_tradnl"/>
              </w:rPr>
            </w:pPr>
            <w:r w:rsidRPr="008E52B1">
              <w:rPr>
                <w:noProof/>
                <w:color w:val="3399FF"/>
                <w:lang w:val="en-GB" w:eastAsia="en-GB"/>
              </w:rPr>
              <w:drawing>
                <wp:inline distT="0" distB="0" distL="0" distR="0" wp14:anchorId="1DE39CDA" wp14:editId="40051982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893" w:rsidRPr="004E7861" w14:paraId="299AA9FC" w14:textId="77777777" w:rsidTr="004B789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5BEE04C5" w14:textId="77777777" w:rsidR="004B7893" w:rsidRPr="00560C51" w:rsidRDefault="004B7893" w:rsidP="004B7893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225" w:type="dxa"/>
            <w:gridSpan w:val="2"/>
            <w:tcBorders>
              <w:top w:val="single" w:sz="12" w:space="0" w:color="auto"/>
            </w:tcBorders>
          </w:tcPr>
          <w:p w14:paraId="5539E889" w14:textId="77777777" w:rsidR="004B7893" w:rsidRPr="00560C51" w:rsidRDefault="004B7893" w:rsidP="004B7893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4B7893" w:rsidRPr="00560C51" w14:paraId="26C5FCAA" w14:textId="77777777" w:rsidTr="004B7893">
        <w:trPr>
          <w:cantSplit/>
        </w:trPr>
        <w:tc>
          <w:tcPr>
            <w:tcW w:w="6663" w:type="dxa"/>
            <w:gridSpan w:val="2"/>
          </w:tcPr>
          <w:p w14:paraId="2D77F6B3" w14:textId="77777777" w:rsidR="004B7893" w:rsidRPr="00560C51" w:rsidRDefault="004B7893" w:rsidP="004B7893">
            <w:pPr>
              <w:pStyle w:val="Committee"/>
              <w:spacing w:before="0"/>
              <w:rPr>
                <w:b w:val="0"/>
                <w:lang w:val="es-ES_tradnl"/>
              </w:rPr>
            </w:pPr>
          </w:p>
        </w:tc>
        <w:tc>
          <w:tcPr>
            <w:tcW w:w="3225" w:type="dxa"/>
            <w:gridSpan w:val="2"/>
          </w:tcPr>
          <w:p w14:paraId="6E3FF5CF" w14:textId="73DECCC8" w:rsidR="004B7893" w:rsidRPr="00560C51" w:rsidRDefault="005637B9" w:rsidP="00AA076A">
            <w:pPr>
              <w:spacing w:before="0"/>
              <w:rPr>
                <w:bCs/>
                <w:lang w:val="es-ES_tradnl"/>
              </w:rPr>
            </w:pPr>
            <w:r w:rsidRPr="00560C51">
              <w:rPr>
                <w:b/>
                <w:bCs/>
                <w:lang w:val="es-ES_tradnl"/>
              </w:rPr>
              <w:t xml:space="preserve">Documento </w:t>
            </w:r>
            <w:bookmarkStart w:id="0" w:name="DocRef1"/>
            <w:bookmarkEnd w:id="0"/>
            <w:r>
              <w:rPr>
                <w:b/>
                <w:bCs/>
                <w:lang w:val="es-ES_tradnl"/>
              </w:rPr>
              <w:t>TDAG</w:t>
            </w:r>
            <w:r w:rsidR="00602B27">
              <w:rPr>
                <w:b/>
                <w:bCs/>
                <w:lang w:val="es-ES_tradnl"/>
              </w:rPr>
              <w:t>-</w:t>
            </w:r>
            <w:r w:rsidR="00AA076A">
              <w:rPr>
                <w:b/>
                <w:bCs/>
                <w:lang w:val="es-ES_tradnl"/>
              </w:rPr>
              <w:t>2</w:t>
            </w:r>
            <w:r w:rsidR="00C85582">
              <w:rPr>
                <w:b/>
                <w:bCs/>
                <w:lang w:val="es-ES_tradnl"/>
              </w:rPr>
              <w:t>1</w:t>
            </w:r>
            <w:r w:rsidRPr="00560C51">
              <w:rPr>
                <w:b/>
                <w:bCs/>
                <w:lang w:val="es-ES_tradnl"/>
              </w:rPr>
              <w:t>/</w:t>
            </w:r>
            <w:bookmarkStart w:id="1" w:name="DocNo1"/>
            <w:bookmarkEnd w:id="1"/>
            <w:r w:rsidR="003138CE">
              <w:rPr>
                <w:b/>
                <w:bCs/>
                <w:lang w:val="es-ES_tradnl"/>
              </w:rPr>
              <w:t>7</w:t>
            </w:r>
            <w:r>
              <w:rPr>
                <w:b/>
                <w:bCs/>
                <w:lang w:val="es-ES_tradnl"/>
              </w:rPr>
              <w:t>-S</w:t>
            </w:r>
          </w:p>
        </w:tc>
      </w:tr>
      <w:tr w:rsidR="004B7893" w:rsidRPr="00560C51" w14:paraId="29768325" w14:textId="77777777" w:rsidTr="004B7893">
        <w:trPr>
          <w:cantSplit/>
        </w:trPr>
        <w:tc>
          <w:tcPr>
            <w:tcW w:w="6663" w:type="dxa"/>
            <w:gridSpan w:val="2"/>
          </w:tcPr>
          <w:p w14:paraId="147ABFFB" w14:textId="77777777" w:rsidR="004B7893" w:rsidRPr="00560C51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  <w:gridSpan w:val="2"/>
          </w:tcPr>
          <w:p w14:paraId="4423B8D4" w14:textId="30A5006F" w:rsidR="004B7893" w:rsidRPr="00360762" w:rsidRDefault="003138CE" w:rsidP="00AA076A">
            <w:pPr>
              <w:spacing w:before="0"/>
              <w:rPr>
                <w:b/>
                <w:lang w:val="es-ES_tradnl"/>
              </w:rPr>
            </w:pPr>
            <w:bookmarkStart w:id="2" w:name="CreationDate"/>
            <w:bookmarkEnd w:id="2"/>
            <w:r w:rsidRPr="003138CE">
              <w:rPr>
                <w:b/>
                <w:bCs/>
                <w:szCs w:val="28"/>
              </w:rPr>
              <w:t xml:space="preserve">13 de </w:t>
            </w:r>
            <w:r w:rsidRPr="0063640A">
              <w:rPr>
                <w:b/>
                <w:bCs/>
                <w:szCs w:val="28"/>
                <w:lang w:val="es-ES_tradnl"/>
              </w:rPr>
              <w:t>abril</w:t>
            </w:r>
            <w:r w:rsidRPr="003138CE">
              <w:rPr>
                <w:b/>
                <w:bCs/>
                <w:szCs w:val="28"/>
              </w:rPr>
              <w:t xml:space="preserve"> de 2021</w:t>
            </w:r>
          </w:p>
        </w:tc>
      </w:tr>
      <w:tr w:rsidR="004B7893" w:rsidRPr="00560C51" w14:paraId="09BD0723" w14:textId="77777777" w:rsidTr="004B7893">
        <w:trPr>
          <w:cantSplit/>
        </w:trPr>
        <w:tc>
          <w:tcPr>
            <w:tcW w:w="6663" w:type="dxa"/>
            <w:gridSpan w:val="2"/>
          </w:tcPr>
          <w:p w14:paraId="4291EC05" w14:textId="77777777" w:rsidR="004B7893" w:rsidRPr="00560C51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  <w:gridSpan w:val="2"/>
          </w:tcPr>
          <w:p w14:paraId="731863E4" w14:textId="78A29991" w:rsidR="004B7893" w:rsidRPr="007F1CC7" w:rsidRDefault="003138CE" w:rsidP="004B7893">
            <w:pPr>
              <w:spacing w:before="0"/>
              <w:rPr>
                <w:szCs w:val="24"/>
              </w:rPr>
            </w:pPr>
            <w:r w:rsidRPr="003138CE">
              <w:rPr>
                <w:b/>
                <w:lang w:val="es-ES_tradnl"/>
              </w:rPr>
              <w:t>Original: inglés</w:t>
            </w:r>
          </w:p>
        </w:tc>
      </w:tr>
      <w:tr w:rsidR="004B7893" w:rsidRPr="00560C51" w14:paraId="04ADAE69" w14:textId="77777777" w:rsidTr="004B7893">
        <w:trPr>
          <w:cantSplit/>
          <w:trHeight w:val="852"/>
        </w:trPr>
        <w:tc>
          <w:tcPr>
            <w:tcW w:w="9888" w:type="dxa"/>
            <w:gridSpan w:val="4"/>
          </w:tcPr>
          <w:p w14:paraId="33C76D02" w14:textId="138F59CD" w:rsidR="004B7893" w:rsidRPr="00700157" w:rsidRDefault="003138CE" w:rsidP="004B7893">
            <w:pPr>
              <w:pStyle w:val="Source"/>
              <w:rPr>
                <w:szCs w:val="28"/>
                <w:lang w:val="es-ES"/>
              </w:rPr>
            </w:pPr>
            <w:bookmarkStart w:id="3" w:name="Source"/>
            <w:bookmarkEnd w:id="3"/>
            <w:r w:rsidRPr="00700157">
              <w:rPr>
                <w:lang w:val="es-ES"/>
              </w:rPr>
              <w:t>Directora de la Oficina de Desarrollo de las Telecomunicaciones</w:t>
            </w:r>
          </w:p>
        </w:tc>
      </w:tr>
      <w:tr w:rsidR="004B7893" w:rsidRPr="00560C51" w14:paraId="65E049C2" w14:textId="77777777" w:rsidTr="004B7893">
        <w:trPr>
          <w:cantSplit/>
        </w:trPr>
        <w:tc>
          <w:tcPr>
            <w:tcW w:w="9888" w:type="dxa"/>
            <w:gridSpan w:val="4"/>
          </w:tcPr>
          <w:p w14:paraId="1608ACF7" w14:textId="1D1CD8C6" w:rsidR="004B7893" w:rsidRPr="00700157" w:rsidRDefault="0043454F" w:rsidP="004B7893">
            <w:pPr>
              <w:pStyle w:val="Title1"/>
              <w:rPr>
                <w:bCs/>
                <w:szCs w:val="28"/>
                <w:lang w:val="es-ES"/>
              </w:rPr>
            </w:pPr>
            <w:bookmarkStart w:id="4" w:name="Title"/>
            <w:bookmarkEnd w:id="4"/>
            <w:r w:rsidRPr="00700157">
              <w:rPr>
                <w:caps w:val="0"/>
                <w:lang w:val="es-ES"/>
              </w:rPr>
              <w:t xml:space="preserve">Asociaciones y movilización de recursos en el </w:t>
            </w:r>
            <w:r w:rsidR="003138CE" w:rsidRPr="00700157">
              <w:rPr>
                <w:lang w:val="es-ES"/>
              </w:rPr>
              <w:t>UIT-D</w:t>
            </w:r>
          </w:p>
        </w:tc>
      </w:tr>
      <w:tr w:rsidR="004B7893" w:rsidRPr="00560C51" w14:paraId="3F006394" w14:textId="77777777" w:rsidTr="004B7893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687A82FF" w14:textId="77777777" w:rsidR="004B7893" w:rsidRPr="00700157" w:rsidRDefault="004B7893" w:rsidP="00BC7208">
            <w:pPr>
              <w:rPr>
                <w:lang w:val="es-ES"/>
              </w:rPr>
            </w:pPr>
          </w:p>
        </w:tc>
      </w:tr>
      <w:tr w:rsidR="004B7893" w:rsidRPr="00560C51" w14:paraId="1C7538A8" w14:textId="77777777" w:rsidTr="004B7893">
        <w:trPr>
          <w:cantSplit/>
          <w:trHeight w:val="703"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F0AC" w14:textId="77777777" w:rsidR="004B7893" w:rsidRPr="00700157" w:rsidRDefault="004B7893" w:rsidP="004B7893">
            <w:pPr>
              <w:spacing w:before="240"/>
              <w:rPr>
                <w:b/>
                <w:bCs/>
                <w:lang w:val="es-ES"/>
              </w:rPr>
            </w:pPr>
            <w:r w:rsidRPr="00700157">
              <w:rPr>
                <w:b/>
                <w:bCs/>
                <w:lang w:val="es-ES"/>
              </w:rPr>
              <w:t>Resumen:</w:t>
            </w:r>
          </w:p>
          <w:p w14:paraId="4535AA09" w14:textId="3E9D42D0" w:rsidR="004B7893" w:rsidRPr="00700157" w:rsidRDefault="003138CE" w:rsidP="004B7893">
            <w:pPr>
              <w:rPr>
                <w:lang w:val="es-ES"/>
              </w:rPr>
            </w:pPr>
            <w:r w:rsidRPr="00700157">
              <w:rPr>
                <w:lang w:val="es-ES"/>
              </w:rPr>
              <w:t>La importancia que revisten las asociaciones y la movilización de recursos se puso de relieve en la Conferencia Mundial de Desarrollo de las Telecomunicaciones de 2017 (CMDT-17). En este documento se da cuenta de las asociaciones y actividades de movilización de recursos emprendidas en 2020 y en el primer trimestre de 2021.</w:t>
            </w:r>
          </w:p>
          <w:p w14:paraId="36C8F3E9" w14:textId="77777777" w:rsidR="004B7893" w:rsidRPr="00700157" w:rsidRDefault="004B7893" w:rsidP="004B7893">
            <w:pPr>
              <w:rPr>
                <w:b/>
                <w:bCs/>
                <w:lang w:val="es-ES"/>
              </w:rPr>
            </w:pPr>
            <w:r w:rsidRPr="00700157">
              <w:rPr>
                <w:b/>
                <w:bCs/>
                <w:lang w:val="es-ES"/>
              </w:rPr>
              <w:t xml:space="preserve">Acción solicitada: </w:t>
            </w:r>
          </w:p>
          <w:p w14:paraId="564206E9" w14:textId="132CA933" w:rsidR="004B7893" w:rsidRPr="00700157" w:rsidRDefault="003138CE" w:rsidP="004B7893">
            <w:pPr>
              <w:rPr>
                <w:lang w:val="es-ES"/>
              </w:rPr>
            </w:pPr>
            <w:r w:rsidRPr="00700157">
              <w:rPr>
                <w:lang w:val="es-ES"/>
              </w:rPr>
              <w:t>Se invita al GADT a tomar nota del presente documento y a formular los comentarios que estime convenientes.</w:t>
            </w:r>
          </w:p>
          <w:p w14:paraId="3E100D9C" w14:textId="77777777" w:rsidR="004B7893" w:rsidRPr="00700157" w:rsidRDefault="004B7893" w:rsidP="004B7893">
            <w:pPr>
              <w:rPr>
                <w:b/>
                <w:bCs/>
                <w:lang w:val="es-ES"/>
              </w:rPr>
            </w:pPr>
            <w:r w:rsidRPr="00700157">
              <w:rPr>
                <w:b/>
                <w:bCs/>
                <w:lang w:val="es-ES"/>
              </w:rPr>
              <w:t>Referencias:</w:t>
            </w:r>
          </w:p>
          <w:p w14:paraId="517074A4" w14:textId="77777777" w:rsidR="003138CE" w:rsidRPr="003138CE" w:rsidRDefault="003138CE" w:rsidP="003138CE">
            <w:pPr>
              <w:rPr>
                <w:lang w:val="es-ES"/>
              </w:rPr>
            </w:pPr>
            <w:r w:rsidRPr="003138CE">
              <w:rPr>
                <w:lang w:val="es-ES"/>
              </w:rPr>
              <w:t>Meta 5 de la UIT</w:t>
            </w:r>
          </w:p>
          <w:p w14:paraId="62378713" w14:textId="77777777" w:rsidR="003138CE" w:rsidRPr="003138CE" w:rsidRDefault="003138CE" w:rsidP="003138CE">
            <w:pPr>
              <w:rPr>
                <w:lang w:val="es-ES"/>
              </w:rPr>
            </w:pPr>
            <w:r w:rsidRPr="003138CE">
              <w:rPr>
                <w:lang w:val="es-ES"/>
              </w:rPr>
              <w:t>Plan de Acción de Buenos Aires, Sección 4.5 del Informe final de la CMDT-17</w:t>
            </w:r>
          </w:p>
          <w:p w14:paraId="08E6E1E8" w14:textId="5C3452EE" w:rsidR="004B7893" w:rsidRPr="00700157" w:rsidRDefault="003138CE" w:rsidP="003138CE">
            <w:pPr>
              <w:spacing w:after="120"/>
              <w:rPr>
                <w:lang w:val="es-ES"/>
              </w:rPr>
            </w:pPr>
            <w:r w:rsidRPr="00DD1EBA">
              <w:rPr>
                <w:lang w:val="es-ES"/>
              </w:rPr>
              <w:t>Resoluciones 17 (Rev. Buenos Aires, 2017)</w:t>
            </w:r>
            <w:r w:rsidRPr="00700157">
              <w:rPr>
                <w:lang w:val="es-ES"/>
              </w:rPr>
              <w:t xml:space="preserve"> y 71 (Rev. Buenos Aires, 2017) de la CMDT</w:t>
            </w:r>
          </w:p>
        </w:tc>
      </w:tr>
    </w:tbl>
    <w:p w14:paraId="2F23D739" w14:textId="77777777" w:rsidR="00AA076A" w:rsidRDefault="00AA076A" w:rsidP="00DA0A2B">
      <w:pPr>
        <w:rPr>
          <w:lang w:val="es-ES_tradnl"/>
        </w:rPr>
      </w:pPr>
      <w:r>
        <w:rPr>
          <w:lang w:val="es-ES_tradnl"/>
        </w:rPr>
        <w:br w:type="page"/>
      </w:r>
    </w:p>
    <w:p w14:paraId="486FA51D" w14:textId="77777777" w:rsidR="003138CE" w:rsidRPr="003138CE" w:rsidRDefault="003138CE" w:rsidP="00DA0A2B">
      <w:pPr>
        <w:pStyle w:val="Heading1"/>
        <w:rPr>
          <w:lang w:val="es-ES"/>
        </w:rPr>
      </w:pPr>
      <w:r w:rsidRPr="003138CE">
        <w:rPr>
          <w:lang w:val="es-ES"/>
        </w:rPr>
        <w:lastRenderedPageBreak/>
        <w:t>1</w:t>
      </w:r>
      <w:r w:rsidRPr="003138CE">
        <w:rPr>
          <w:lang w:val="es-ES"/>
        </w:rPr>
        <w:tab/>
        <w:t>Antecedentes</w:t>
      </w:r>
    </w:p>
    <w:p w14:paraId="7E1E1536" w14:textId="306CC5B2" w:rsidR="003138CE" w:rsidRPr="003138CE" w:rsidRDefault="003138CE" w:rsidP="003138CE">
      <w:pPr>
        <w:rPr>
          <w:lang w:val="es-ES"/>
        </w:rPr>
      </w:pPr>
      <w:r w:rsidRPr="003138CE">
        <w:rPr>
          <w:lang w:val="es-ES"/>
        </w:rPr>
        <w:t>En la Conferencia Mundial de Desarrollo de las Telecomunicaciones de 2017 (CMDT-17), se destacó el papel fundamental de las asociaciones y la movilización de recursos para apoyar la implementación del Plan de Acción de Buenos Aires, las líneas de acción de la CMSI y los Objetivos de Desarrollo Sostenible (ODS)</w:t>
      </w:r>
      <w:r w:rsidR="0063640A">
        <w:rPr>
          <w:lang w:val="es-ES"/>
        </w:rPr>
        <w:t>.</w:t>
      </w:r>
    </w:p>
    <w:p w14:paraId="6320A3FD" w14:textId="77777777" w:rsidR="003138CE" w:rsidRPr="003138CE" w:rsidRDefault="003138CE" w:rsidP="003138CE">
      <w:pPr>
        <w:rPr>
          <w:lang w:val="es-ES"/>
        </w:rPr>
      </w:pPr>
      <w:r w:rsidRPr="003138CE">
        <w:rPr>
          <w:lang w:val="es-ES"/>
        </w:rPr>
        <w:t>El Plan de Acción de la CMDT-17 indica que los programas y las iniciativas regionales deben llevarse a cabo, en la medida de lo posible, en asociación con una amplia gama de partes interesadas. En la Resolución 17 (Rev. Buenos Aires, 2017) de la CMDT se encarga a la BDT que siga concertando activamente asociaciones con los Estados Miembros, Miembros del Sector UIT-D, instituciones financieras y organizaciones internacionales a fin de patrocinar la ejecución de iniciativas regionales. Esta misma Resolución exhorta a las organizaciones/organismos internacionales de financiación, a proveedores de equipos y a operadores/proveedores de servicios a contribuir, de forma plena o parcial, a financiar las iniciativas regionales adoptadas.</w:t>
      </w:r>
    </w:p>
    <w:p w14:paraId="764005FC" w14:textId="77777777" w:rsidR="003138CE" w:rsidRPr="003138CE" w:rsidRDefault="003138CE" w:rsidP="00DA0A2B">
      <w:pPr>
        <w:pStyle w:val="Heading1"/>
        <w:rPr>
          <w:lang w:val="es-ES"/>
        </w:rPr>
      </w:pPr>
      <w:r w:rsidRPr="003138CE">
        <w:rPr>
          <w:lang w:val="es-ES"/>
        </w:rPr>
        <w:t>2</w:t>
      </w:r>
      <w:r w:rsidRPr="003138CE">
        <w:rPr>
          <w:lang w:val="es-ES"/>
        </w:rPr>
        <w:tab/>
        <w:t>Objetivo estratégico del UIT-D: asociaciones y movilización de recursos</w:t>
      </w:r>
    </w:p>
    <w:p w14:paraId="11329607" w14:textId="77777777" w:rsidR="003138CE" w:rsidRPr="003138CE" w:rsidRDefault="003138CE" w:rsidP="003138CE">
      <w:pPr>
        <w:rPr>
          <w:lang w:val="es-ES"/>
        </w:rPr>
      </w:pPr>
      <w:r w:rsidRPr="003138CE">
        <w:rPr>
          <w:lang w:val="es-ES"/>
        </w:rPr>
        <w:t>De acuerdo con los resultados de la CMDT-17, el objetivo es facilitar, desarrollar y reforzar la colaboración con el mayor número posible de socios tanto de países desarrollados como en desarrollo, a fin de aumentar la movilización de recursos para la ejecución de programas e iniciativas regionales para el desarrollo sostenible.</w:t>
      </w:r>
    </w:p>
    <w:p w14:paraId="5CB23939" w14:textId="77777777" w:rsidR="003138CE" w:rsidRPr="003138CE" w:rsidRDefault="003138CE" w:rsidP="00DA0A2B">
      <w:pPr>
        <w:pStyle w:val="Heading1"/>
        <w:rPr>
          <w:lang w:val="es-ES"/>
        </w:rPr>
      </w:pPr>
      <w:r w:rsidRPr="003138CE">
        <w:rPr>
          <w:lang w:val="es-ES"/>
        </w:rPr>
        <w:t>3</w:t>
      </w:r>
      <w:r w:rsidRPr="003138CE">
        <w:rPr>
          <w:lang w:val="es-ES"/>
        </w:rPr>
        <w:tab/>
        <w:t>Asociaciones y resultados de la movilización de recursos</w:t>
      </w:r>
    </w:p>
    <w:p w14:paraId="3C4A1FC4" w14:textId="151CC6E9" w:rsidR="003138CE" w:rsidRPr="003138CE" w:rsidRDefault="003138CE" w:rsidP="003138CE">
      <w:pPr>
        <w:rPr>
          <w:lang w:val="es-ES"/>
        </w:rPr>
      </w:pPr>
      <w:r w:rsidRPr="003138CE">
        <w:rPr>
          <w:lang w:val="es-ES"/>
        </w:rPr>
        <w:t xml:space="preserve">La conclusión de estos acuerdos ha sido posible gracias al apoyo y los esfuerzos combinados de los </w:t>
      </w:r>
      <w:r w:rsidR="0043454F">
        <w:rPr>
          <w:lang w:val="es-ES"/>
        </w:rPr>
        <w:t>m</w:t>
      </w:r>
      <w:r w:rsidRPr="003138CE">
        <w:rPr>
          <w:lang w:val="es-ES"/>
        </w:rPr>
        <w:t>iembros y los socios de la UIT, y también del personal de la Sede y sobre el terreno de la BDT.</w:t>
      </w:r>
    </w:p>
    <w:p w14:paraId="02B176CD" w14:textId="77777777" w:rsidR="003138CE" w:rsidRPr="003138CE" w:rsidRDefault="003138CE" w:rsidP="00DA0A2B">
      <w:pPr>
        <w:pStyle w:val="Heading2"/>
        <w:rPr>
          <w:lang w:val="es-ES"/>
        </w:rPr>
      </w:pPr>
      <w:r w:rsidRPr="0043454F">
        <w:rPr>
          <w:lang w:val="es-ES"/>
        </w:rPr>
        <w:t>3.1</w:t>
      </w:r>
      <w:r w:rsidRPr="0043454F">
        <w:rPr>
          <w:lang w:val="es-ES"/>
        </w:rPr>
        <w:tab/>
        <w:t>Acuerdos de asociación en el primer trimestre de 2021</w:t>
      </w:r>
    </w:p>
    <w:p w14:paraId="6D274CB8" w14:textId="787131AE" w:rsidR="003138CE" w:rsidRPr="003138CE" w:rsidRDefault="003138CE" w:rsidP="003138CE">
      <w:pPr>
        <w:rPr>
          <w:lang w:val="es-ES"/>
        </w:rPr>
      </w:pPr>
      <w:r w:rsidRPr="003138CE">
        <w:rPr>
          <w:lang w:val="es-ES"/>
        </w:rPr>
        <w:t xml:space="preserve">En el primer trimestre de 2021, la BDT firmó 19 acuerdos con socios, de los cuales 14 tienen contribuciones financieras que suman aproximadamente 6,4 millones USD. En el </w:t>
      </w:r>
      <w:hyperlink r:id="rId10" w:history="1">
        <w:r w:rsidRPr="003138CE">
          <w:rPr>
            <w:rStyle w:val="Hyperlink"/>
            <w:b/>
            <w:bCs/>
            <w:lang w:val="es-ES"/>
          </w:rPr>
          <w:t>Documento</w:t>
        </w:r>
        <w:r w:rsidR="00DA0A2B">
          <w:rPr>
            <w:rStyle w:val="Hyperlink"/>
            <w:b/>
            <w:bCs/>
            <w:lang w:val="es-ES"/>
          </w:rPr>
          <w:t> </w:t>
        </w:r>
        <w:r w:rsidRPr="003138CE">
          <w:rPr>
            <w:rStyle w:val="Hyperlink"/>
            <w:b/>
            <w:bCs/>
            <w:lang w:val="es-ES"/>
          </w:rPr>
          <w:t>INF/2</w:t>
        </w:r>
      </w:hyperlink>
      <w:r w:rsidRPr="003138CE">
        <w:rPr>
          <w:lang w:val="es-ES"/>
        </w:rPr>
        <w:t xml:space="preserve"> se encuentra la lista de estos acuerdos.</w:t>
      </w:r>
    </w:p>
    <w:p w14:paraId="17B71C2B" w14:textId="77777777" w:rsidR="003138CE" w:rsidRPr="003138CE" w:rsidRDefault="003138CE" w:rsidP="003138CE">
      <w:pPr>
        <w:rPr>
          <w:lang w:val="es-ES"/>
        </w:rPr>
      </w:pPr>
      <w:r w:rsidRPr="003138CE">
        <w:rPr>
          <w:lang w:val="es-ES"/>
        </w:rPr>
        <w:t>En el siguiente gráfico se muestra la composición de los acuerdos de financiación conjunta concluidos entre la BDT y sus socios.</w:t>
      </w:r>
    </w:p>
    <w:p w14:paraId="66C0689F" w14:textId="66220F4D" w:rsidR="003138CE" w:rsidRDefault="003138CE" w:rsidP="00C131AD">
      <w:pPr>
        <w:pStyle w:val="Figuretitle"/>
      </w:pPr>
      <w:r w:rsidRPr="003138CE">
        <w:t>Acuerdos de asociación firmados con contribución financiera (</w:t>
      </w:r>
      <w:r w:rsidR="00C131AD">
        <w:t>p</w:t>
      </w:r>
      <w:r w:rsidRPr="003138CE">
        <w:t>rimer trimestre de 2021)</w:t>
      </w:r>
    </w:p>
    <w:p w14:paraId="56F16BB9" w14:textId="0099B10D" w:rsidR="00B844AC" w:rsidRPr="00B844AC" w:rsidRDefault="00B844AC" w:rsidP="00B844AC">
      <w:pPr>
        <w:pStyle w:val="Figure"/>
      </w:pPr>
      <w:r>
        <w:rPr>
          <w:noProof/>
        </w:rPr>
        <w:drawing>
          <wp:inline distT="0" distB="0" distL="0" distR="0" wp14:anchorId="315325E9" wp14:editId="1FBC9E18">
            <wp:extent cx="3614400" cy="2314800"/>
            <wp:effectExtent l="0" t="0" r="571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400" cy="231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B8902C" w14:textId="050C50F5" w:rsidR="003138CE" w:rsidRDefault="003138CE" w:rsidP="00C131AD">
      <w:pPr>
        <w:pStyle w:val="Normalaftertitle"/>
        <w:rPr>
          <w:lang w:val="es-ES"/>
        </w:rPr>
      </w:pPr>
      <w:r w:rsidRPr="003138CE">
        <w:rPr>
          <w:lang w:val="es-ES"/>
        </w:rPr>
        <w:lastRenderedPageBreak/>
        <w:t>En el primer trimestre (T1) de 2021, los socios financieros de la BDT han sido principalmente Estados Miembros de la UIT y otras entidades gubernamentales, seguidos por organizaciones de las Naciones Unidas y entidades del sector privado como se indica a continuación:</w:t>
      </w:r>
    </w:p>
    <w:p w14:paraId="448A77EF" w14:textId="1CF00FCD" w:rsidR="00B844AC" w:rsidRPr="00B844AC" w:rsidRDefault="00B844AC" w:rsidP="00B844AC">
      <w:pPr>
        <w:pStyle w:val="Figure"/>
      </w:pPr>
      <w:r>
        <w:rPr>
          <w:noProof/>
        </w:rPr>
        <w:drawing>
          <wp:inline distT="0" distB="0" distL="0" distR="0" wp14:anchorId="0666762B" wp14:editId="4AE3D7FF">
            <wp:extent cx="5410800" cy="27864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800" cy="278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E29CD9" w14:textId="77777777" w:rsidR="003138CE" w:rsidRPr="003138CE" w:rsidRDefault="003138CE" w:rsidP="00DA0A2B">
      <w:pPr>
        <w:pStyle w:val="Normalaftertitle"/>
        <w:rPr>
          <w:lang w:val="es-ES"/>
        </w:rPr>
      </w:pPr>
      <w:r w:rsidRPr="003138CE">
        <w:rPr>
          <w:lang w:val="es-ES"/>
        </w:rPr>
        <w:t xml:space="preserve">Los tres socios financieros con las mayores contribuciones en el primer trimestre de 2021 fueron: </w:t>
      </w:r>
    </w:p>
    <w:p w14:paraId="6CA7DFA9" w14:textId="5D224AAA" w:rsidR="003138CE" w:rsidRPr="003138CE" w:rsidRDefault="00DA0A2B" w:rsidP="00DA0A2B">
      <w:pPr>
        <w:pStyle w:val="enumlev1"/>
        <w:rPr>
          <w:bCs/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="0063640A">
        <w:rPr>
          <w:bCs/>
          <w:lang w:val="es-ES"/>
        </w:rPr>
        <w:t>e</w:t>
      </w:r>
      <w:r w:rsidR="003138CE" w:rsidRPr="003138CE">
        <w:rPr>
          <w:lang w:val="es-ES"/>
        </w:rPr>
        <w:t xml:space="preserve">l </w:t>
      </w:r>
      <w:r w:rsidR="003138CE" w:rsidRPr="00DA0A2B">
        <w:rPr>
          <w:b/>
          <w:bCs/>
          <w:lang w:val="es-ES"/>
        </w:rPr>
        <w:t>Ministerio de Industria y Tecnología de la Información (MIIT) de la República Popular de China</w:t>
      </w:r>
      <w:r w:rsidR="003138CE" w:rsidRPr="003138CE">
        <w:rPr>
          <w:bCs/>
          <w:lang w:val="es-ES"/>
        </w:rPr>
        <w:t xml:space="preserve">, cuya contribución financiera ascendió aproximadamente a </w:t>
      </w:r>
      <w:r w:rsidR="003138CE" w:rsidRPr="0063640A">
        <w:rPr>
          <w:b/>
          <w:bCs/>
          <w:lang w:val="es-ES"/>
        </w:rPr>
        <w:t>1,8</w:t>
      </w:r>
      <w:r w:rsidR="0063640A">
        <w:rPr>
          <w:b/>
          <w:bCs/>
          <w:lang w:val="es-ES"/>
        </w:rPr>
        <w:t> </w:t>
      </w:r>
      <w:r w:rsidR="003138CE" w:rsidRPr="0063640A">
        <w:rPr>
          <w:b/>
          <w:bCs/>
          <w:lang w:val="es-ES"/>
        </w:rPr>
        <w:t>millones USD</w:t>
      </w:r>
      <w:r w:rsidR="0063640A">
        <w:rPr>
          <w:bCs/>
          <w:lang w:val="es-ES"/>
        </w:rPr>
        <w:t>;</w:t>
      </w:r>
    </w:p>
    <w:p w14:paraId="7F3C4463" w14:textId="53B5A94A" w:rsidR="003138CE" w:rsidRPr="003138CE" w:rsidRDefault="00DA0A2B" w:rsidP="00DA0A2B">
      <w:pPr>
        <w:pStyle w:val="enumlev1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="0063640A">
        <w:rPr>
          <w:lang w:val="es-ES"/>
        </w:rPr>
        <w:t>e</w:t>
      </w:r>
      <w:r>
        <w:rPr>
          <w:lang w:val="es-ES"/>
        </w:rPr>
        <w:t>l</w:t>
      </w:r>
      <w:r w:rsidR="003138CE" w:rsidRPr="003138CE">
        <w:rPr>
          <w:lang w:val="es-ES"/>
        </w:rPr>
        <w:t xml:space="preserve"> </w:t>
      </w:r>
      <w:r w:rsidR="003138CE" w:rsidRPr="003138CE">
        <w:rPr>
          <w:b/>
          <w:lang w:val="es-ES"/>
        </w:rPr>
        <w:t>Gobierno del Reino Unido de Gran Bretaña e Irlanda del Norte</w:t>
      </w:r>
      <w:r w:rsidR="003138CE" w:rsidRPr="003138CE">
        <w:rPr>
          <w:lang w:val="es-ES"/>
        </w:rPr>
        <w:t xml:space="preserve"> a través de la Oficina de Asuntos Exteriores, Commonwealth y Desarrollo del Reino Unido, cuya contribución financiera ascendió aproximadamente a </w:t>
      </w:r>
      <w:r w:rsidR="003138CE" w:rsidRPr="0063640A">
        <w:rPr>
          <w:b/>
          <w:bCs/>
          <w:lang w:val="es-ES"/>
        </w:rPr>
        <w:t>1,4</w:t>
      </w:r>
      <w:r w:rsidR="0063640A">
        <w:rPr>
          <w:b/>
          <w:bCs/>
          <w:lang w:val="es-ES"/>
        </w:rPr>
        <w:t> </w:t>
      </w:r>
      <w:r w:rsidR="003138CE" w:rsidRPr="0063640A">
        <w:rPr>
          <w:b/>
          <w:bCs/>
          <w:lang w:val="es-ES"/>
        </w:rPr>
        <w:t>millones USD</w:t>
      </w:r>
      <w:r w:rsidR="0063640A">
        <w:rPr>
          <w:lang w:val="es-ES"/>
        </w:rPr>
        <w:t>;</w:t>
      </w:r>
    </w:p>
    <w:p w14:paraId="46187CAE" w14:textId="687AE2D4" w:rsidR="003138CE" w:rsidRPr="003138CE" w:rsidRDefault="00DA0A2B" w:rsidP="00DA0A2B">
      <w:pPr>
        <w:pStyle w:val="enumlev1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="0063640A">
        <w:rPr>
          <w:lang w:val="es-ES"/>
        </w:rPr>
        <w:t>e</w:t>
      </w:r>
      <w:r w:rsidR="003138CE" w:rsidRPr="003138CE">
        <w:rPr>
          <w:lang w:val="es-ES"/>
        </w:rPr>
        <w:t xml:space="preserve">l </w:t>
      </w:r>
      <w:r w:rsidR="003138CE" w:rsidRPr="003138CE">
        <w:rPr>
          <w:b/>
          <w:lang w:val="es-ES"/>
        </w:rPr>
        <w:t>Centro de Ayuda Humanitaria y Socorro Rey Salman de Arabia Saudita</w:t>
      </w:r>
      <w:r w:rsidR="003138CE" w:rsidRPr="003138CE">
        <w:rPr>
          <w:lang w:val="es-ES"/>
        </w:rPr>
        <w:t xml:space="preserve">, cuya contribución financiera ascendió aproximadamente a </w:t>
      </w:r>
      <w:r w:rsidR="003138CE" w:rsidRPr="0063640A">
        <w:rPr>
          <w:b/>
          <w:bCs/>
          <w:lang w:val="es-ES"/>
        </w:rPr>
        <w:t>562</w:t>
      </w:r>
      <w:r w:rsidR="0063640A">
        <w:rPr>
          <w:b/>
          <w:bCs/>
          <w:lang w:val="es-ES"/>
        </w:rPr>
        <w:t> </w:t>
      </w:r>
      <w:r w:rsidR="003138CE" w:rsidRPr="0063640A">
        <w:rPr>
          <w:b/>
          <w:bCs/>
          <w:lang w:val="es-ES"/>
        </w:rPr>
        <w:t>500</w:t>
      </w:r>
      <w:r w:rsidR="0063640A">
        <w:rPr>
          <w:b/>
          <w:bCs/>
          <w:lang w:val="es-ES"/>
        </w:rPr>
        <w:t> </w:t>
      </w:r>
      <w:r w:rsidR="003138CE" w:rsidRPr="0063640A">
        <w:rPr>
          <w:b/>
          <w:bCs/>
          <w:lang w:val="es-ES"/>
        </w:rPr>
        <w:t>USD</w:t>
      </w:r>
      <w:r w:rsidR="003138CE" w:rsidRPr="003138CE">
        <w:rPr>
          <w:lang w:val="es-ES"/>
        </w:rPr>
        <w:t>.</w:t>
      </w:r>
    </w:p>
    <w:p w14:paraId="3473FCA6" w14:textId="05606B4E" w:rsidR="003138CE" w:rsidRDefault="003138CE" w:rsidP="003138CE">
      <w:pPr>
        <w:rPr>
          <w:lang w:val="es-ES"/>
        </w:rPr>
      </w:pPr>
      <w:r w:rsidRPr="003138CE">
        <w:rPr>
          <w:lang w:val="es-ES"/>
        </w:rPr>
        <w:t xml:space="preserve">Los siguientes gráficos muestran las asignaciones de las contribuciones financieras en los acuerdos firmados, por </w:t>
      </w:r>
      <w:r w:rsidR="0063640A">
        <w:rPr>
          <w:lang w:val="es-ES"/>
        </w:rPr>
        <w:t>r</w:t>
      </w:r>
      <w:r w:rsidRPr="003138CE">
        <w:rPr>
          <w:lang w:val="es-ES"/>
        </w:rPr>
        <w:t>egión y por prioridades temáticas.</w:t>
      </w:r>
    </w:p>
    <w:p w14:paraId="5F013C11" w14:textId="69645AEB" w:rsidR="0063640A" w:rsidRDefault="0063640A" w:rsidP="0063640A">
      <w:pPr>
        <w:pStyle w:val="Figure"/>
      </w:pPr>
      <w:r>
        <w:rPr>
          <w:noProof/>
        </w:rPr>
        <w:drawing>
          <wp:inline distT="0" distB="0" distL="0" distR="0" wp14:anchorId="00945808" wp14:editId="21E23DD6">
            <wp:extent cx="4777200" cy="2815200"/>
            <wp:effectExtent l="0" t="0" r="4445" b="444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200" cy="281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00CA67" w14:textId="2A4BD896" w:rsidR="00B844AC" w:rsidRPr="00B844AC" w:rsidRDefault="00B844AC" w:rsidP="00B844AC">
      <w:pPr>
        <w:pStyle w:val="Figure"/>
      </w:pPr>
      <w:r>
        <w:rPr>
          <w:noProof/>
        </w:rPr>
        <w:lastRenderedPageBreak/>
        <w:drawing>
          <wp:inline distT="0" distB="0" distL="0" distR="0" wp14:anchorId="0E3E65C7" wp14:editId="7F6AF94E">
            <wp:extent cx="5421600" cy="2498400"/>
            <wp:effectExtent l="0" t="0" r="825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600" cy="249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7F3F06" w14:textId="77777777" w:rsidR="003138CE" w:rsidRPr="003138CE" w:rsidRDefault="003138CE" w:rsidP="00DA0A2B">
      <w:pPr>
        <w:pStyle w:val="Heading2"/>
        <w:rPr>
          <w:lang w:val="es-ES"/>
        </w:rPr>
      </w:pPr>
      <w:r w:rsidRPr="003138CE">
        <w:rPr>
          <w:lang w:val="es-ES"/>
        </w:rPr>
        <w:t>3.2</w:t>
      </w:r>
      <w:r w:rsidRPr="003138CE">
        <w:rPr>
          <w:lang w:val="es-ES"/>
        </w:rPr>
        <w:tab/>
        <w:t>Acuerdos de asociación en 2020</w:t>
      </w:r>
    </w:p>
    <w:p w14:paraId="3EA19DA0" w14:textId="77777777" w:rsidR="003138CE" w:rsidRPr="003138CE" w:rsidRDefault="003138CE" w:rsidP="003138CE">
      <w:pPr>
        <w:rPr>
          <w:lang w:val="es-ES"/>
        </w:rPr>
      </w:pPr>
      <w:r w:rsidRPr="003138CE">
        <w:rPr>
          <w:lang w:val="es-ES"/>
        </w:rPr>
        <w:t xml:space="preserve">En 2021, la BDT firmó 43 acuerdos con socios, de los cuales 28 tuvieron contribuciones financieras que suman aproximadamente 15,2 millones USD. En el </w:t>
      </w:r>
      <w:hyperlink r:id="rId15" w:history="1">
        <w:r w:rsidRPr="003138CE">
          <w:rPr>
            <w:rStyle w:val="Hyperlink"/>
            <w:b/>
            <w:bCs/>
            <w:lang w:val="es-ES"/>
          </w:rPr>
          <w:t>Documento INF/2</w:t>
        </w:r>
      </w:hyperlink>
      <w:r w:rsidRPr="003138CE">
        <w:rPr>
          <w:lang w:val="es-ES"/>
        </w:rPr>
        <w:t xml:space="preserve"> se encuentra la lista de estos acuerdos.</w:t>
      </w:r>
    </w:p>
    <w:p w14:paraId="5928D1CC" w14:textId="4D5CDF98" w:rsidR="003138CE" w:rsidRPr="003138CE" w:rsidRDefault="003138CE" w:rsidP="003138CE">
      <w:pPr>
        <w:rPr>
          <w:lang w:val="es-ES"/>
        </w:rPr>
      </w:pPr>
      <w:r w:rsidRPr="003138CE">
        <w:rPr>
          <w:lang w:val="es-ES"/>
        </w:rPr>
        <w:t>El siguiente gráfico muestra la composición de los acuerdos de cofinanciación entre la BDT y sus socios en 2020.</w:t>
      </w:r>
    </w:p>
    <w:p w14:paraId="0E0574AD" w14:textId="0A2BCA28" w:rsidR="003138CE" w:rsidRDefault="003138CE" w:rsidP="00DD1EBA">
      <w:pPr>
        <w:pStyle w:val="Figuretitle"/>
      </w:pPr>
      <w:r w:rsidRPr="003138CE">
        <w:t>Acuerdos de asociación firmados con contribución financiera (2020)</w:t>
      </w:r>
    </w:p>
    <w:p w14:paraId="4CF714AE" w14:textId="7011B53D" w:rsidR="003427B8" w:rsidRPr="003427B8" w:rsidRDefault="003427B8" w:rsidP="003427B8">
      <w:pPr>
        <w:pStyle w:val="Figure"/>
      </w:pPr>
      <w:r>
        <w:rPr>
          <w:noProof/>
        </w:rPr>
        <w:drawing>
          <wp:inline distT="0" distB="0" distL="0" distR="0" wp14:anchorId="40FA5DD5" wp14:editId="1E319AF0">
            <wp:extent cx="4450715" cy="272542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715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C4D636" w14:textId="2BFE5144" w:rsidR="003138CE" w:rsidRDefault="003138CE" w:rsidP="00DA0A2B">
      <w:pPr>
        <w:pStyle w:val="Normalaftertitle"/>
        <w:rPr>
          <w:lang w:val="es-ES"/>
        </w:rPr>
      </w:pPr>
      <w:r w:rsidRPr="003138CE">
        <w:rPr>
          <w:lang w:val="es-ES"/>
        </w:rPr>
        <w:t>En 2020, los socios financieros de la BDT han sido principalmente Estados Miembros de la UIT y otras entidades gubernamentales, seguidos por organizaciones y asociaciones internacionales y regionales, entidades del sector privado, fundaciones e instituciones académicas.</w:t>
      </w:r>
    </w:p>
    <w:p w14:paraId="568069D4" w14:textId="6024C161" w:rsidR="00B844AC" w:rsidRPr="00B844AC" w:rsidRDefault="00B844AC" w:rsidP="00B844AC">
      <w:pPr>
        <w:pStyle w:val="Figure"/>
      </w:pPr>
      <w:r>
        <w:rPr>
          <w:noProof/>
        </w:rPr>
        <w:lastRenderedPageBreak/>
        <w:drawing>
          <wp:inline distT="0" distB="0" distL="0" distR="0" wp14:anchorId="01FCB5EC" wp14:editId="5CE1F0C4">
            <wp:extent cx="5425200" cy="2739600"/>
            <wp:effectExtent l="0" t="0" r="4445" b="381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200" cy="273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D30F9E" w14:textId="77777777" w:rsidR="003138CE" w:rsidRPr="003138CE" w:rsidRDefault="003138CE" w:rsidP="00DA0A2B">
      <w:pPr>
        <w:pStyle w:val="Normalaftertitle"/>
        <w:rPr>
          <w:lang w:val="es-ES"/>
        </w:rPr>
      </w:pPr>
      <w:r w:rsidRPr="003138CE">
        <w:rPr>
          <w:lang w:val="es-ES"/>
        </w:rPr>
        <w:t>Los tres socios financieros con las mayores contribuciones en el primer trimestre de 2020 fueron:</w:t>
      </w:r>
    </w:p>
    <w:p w14:paraId="150AEDA7" w14:textId="77777777" w:rsidR="003138CE" w:rsidRPr="003138CE" w:rsidRDefault="003138CE" w:rsidP="00DA0A2B">
      <w:pPr>
        <w:pStyle w:val="enumlev1"/>
        <w:rPr>
          <w:lang w:val="es-ES"/>
        </w:rPr>
      </w:pPr>
      <w:r w:rsidRPr="003138CE">
        <w:rPr>
          <w:lang w:val="es-ES"/>
        </w:rPr>
        <w:t>–</w:t>
      </w:r>
      <w:r w:rsidRPr="003138CE">
        <w:rPr>
          <w:lang w:val="es-ES"/>
        </w:rPr>
        <w:tab/>
        <w:t xml:space="preserve">la </w:t>
      </w:r>
      <w:r w:rsidRPr="003138CE">
        <w:rPr>
          <w:b/>
          <w:lang w:val="es-ES"/>
        </w:rPr>
        <w:t>Agencia Noruega de Cooperación para el Desarrollo (NORAD)</w:t>
      </w:r>
      <w:r w:rsidRPr="003138CE">
        <w:rPr>
          <w:lang w:val="es-ES"/>
        </w:rPr>
        <w:t xml:space="preserve">, cuya contribución financiera ascendió a </w:t>
      </w:r>
      <w:r w:rsidRPr="00C23060">
        <w:rPr>
          <w:b/>
          <w:bCs/>
          <w:lang w:val="es-ES"/>
        </w:rPr>
        <w:t>3,3 millones USD</w:t>
      </w:r>
      <w:r w:rsidRPr="003138CE">
        <w:rPr>
          <w:lang w:val="es-ES"/>
        </w:rPr>
        <w:t>;</w:t>
      </w:r>
    </w:p>
    <w:p w14:paraId="5F4BDD8F" w14:textId="77777777" w:rsidR="003138CE" w:rsidRPr="003138CE" w:rsidRDefault="003138CE" w:rsidP="00DA0A2B">
      <w:pPr>
        <w:pStyle w:val="enumlev1"/>
        <w:rPr>
          <w:lang w:val="es-ES"/>
        </w:rPr>
      </w:pPr>
      <w:r w:rsidRPr="003138CE">
        <w:rPr>
          <w:lang w:val="es-ES"/>
        </w:rPr>
        <w:t>–</w:t>
      </w:r>
      <w:r w:rsidRPr="003138CE">
        <w:rPr>
          <w:lang w:val="es-ES"/>
        </w:rPr>
        <w:tab/>
        <w:t xml:space="preserve">la </w:t>
      </w:r>
      <w:r w:rsidRPr="00C23060">
        <w:rPr>
          <w:b/>
          <w:bCs/>
          <w:lang w:val="es-ES"/>
        </w:rPr>
        <w:t>Agencia Nacional de Ciberseguridad (NCA) del Reino de Arabia Saudita</w:t>
      </w:r>
      <w:r w:rsidRPr="003138CE">
        <w:rPr>
          <w:lang w:val="es-ES"/>
        </w:rPr>
        <w:t xml:space="preserve">, cuya contribución financiera ascendió a </w:t>
      </w:r>
      <w:r w:rsidRPr="00C23060">
        <w:rPr>
          <w:b/>
          <w:bCs/>
          <w:lang w:val="es-ES"/>
        </w:rPr>
        <w:t>1,6 millones USD</w:t>
      </w:r>
      <w:r w:rsidRPr="003138CE">
        <w:rPr>
          <w:lang w:val="es-ES"/>
        </w:rPr>
        <w:t>;</w:t>
      </w:r>
    </w:p>
    <w:p w14:paraId="7C7F9222" w14:textId="77777777" w:rsidR="003138CE" w:rsidRPr="003138CE" w:rsidRDefault="003138CE" w:rsidP="00DA0A2B">
      <w:pPr>
        <w:pStyle w:val="enumlev1"/>
        <w:rPr>
          <w:lang w:val="es-ES"/>
        </w:rPr>
      </w:pPr>
      <w:r w:rsidRPr="003138CE">
        <w:rPr>
          <w:lang w:val="es-ES"/>
        </w:rPr>
        <w:t>–</w:t>
      </w:r>
      <w:r w:rsidRPr="003138CE">
        <w:rPr>
          <w:lang w:val="es-ES"/>
        </w:rPr>
        <w:tab/>
        <w:t xml:space="preserve">la </w:t>
      </w:r>
      <w:r w:rsidRPr="00DA0A2B">
        <w:rPr>
          <w:b/>
          <w:bCs/>
          <w:lang w:val="es-ES"/>
        </w:rPr>
        <w:t>Comisión de Tecnología de las Comunicaciones y la Información (CITC) del Reino de Arabia Saudita</w:t>
      </w:r>
      <w:r w:rsidRPr="003138CE">
        <w:rPr>
          <w:lang w:val="es-ES"/>
        </w:rPr>
        <w:t xml:space="preserve">, cuya contribución financiera ascendió a </w:t>
      </w:r>
      <w:r w:rsidRPr="00C23060">
        <w:rPr>
          <w:b/>
          <w:bCs/>
          <w:lang w:val="es-ES"/>
        </w:rPr>
        <w:t>1,45 millones USD</w:t>
      </w:r>
      <w:r w:rsidRPr="003138CE">
        <w:rPr>
          <w:lang w:val="es-ES"/>
        </w:rPr>
        <w:t>.</w:t>
      </w:r>
    </w:p>
    <w:p w14:paraId="451624BA" w14:textId="7E866325" w:rsidR="003138CE" w:rsidRDefault="003138CE" w:rsidP="003138CE">
      <w:pPr>
        <w:rPr>
          <w:lang w:val="es-ES"/>
        </w:rPr>
      </w:pPr>
      <w:r w:rsidRPr="003138CE">
        <w:rPr>
          <w:lang w:val="es-ES"/>
        </w:rPr>
        <w:t xml:space="preserve">Los siguientes gráficos muestran las asignaciones de las contribuciones financieras en los acuerdos firmados, por </w:t>
      </w:r>
      <w:r w:rsidR="0063640A">
        <w:rPr>
          <w:lang w:val="es-ES"/>
        </w:rPr>
        <w:t>r</w:t>
      </w:r>
      <w:r w:rsidRPr="003138CE">
        <w:rPr>
          <w:lang w:val="es-ES"/>
        </w:rPr>
        <w:t>egión y por prioridades temáticas.</w:t>
      </w:r>
    </w:p>
    <w:p w14:paraId="04967F93" w14:textId="19122E56" w:rsidR="00C23060" w:rsidRDefault="00C23060" w:rsidP="00C23060">
      <w:pPr>
        <w:pStyle w:val="Figure"/>
      </w:pPr>
      <w:r>
        <w:rPr>
          <w:noProof/>
        </w:rPr>
        <w:drawing>
          <wp:inline distT="0" distB="0" distL="0" distR="0" wp14:anchorId="174EBBA7" wp14:editId="698845E6">
            <wp:extent cx="5688000" cy="2905200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0" cy="290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666AE9" w14:textId="6277CEE1" w:rsidR="008D2189" w:rsidRPr="003138CE" w:rsidRDefault="008D2189" w:rsidP="00DD1EBA">
      <w:pPr>
        <w:pStyle w:val="Figure"/>
      </w:pPr>
      <w:r>
        <w:rPr>
          <w:noProof/>
        </w:rPr>
        <w:lastRenderedPageBreak/>
        <w:drawing>
          <wp:inline distT="0" distB="0" distL="0" distR="0" wp14:anchorId="44253A18" wp14:editId="62DE7CBF">
            <wp:extent cx="5414400" cy="28476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400" cy="284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49EE66" w14:textId="77777777" w:rsidR="003138CE" w:rsidRPr="003138CE" w:rsidRDefault="003138CE" w:rsidP="00DA0A2B">
      <w:pPr>
        <w:pStyle w:val="Heading1"/>
        <w:rPr>
          <w:lang w:val="es-ES"/>
        </w:rPr>
      </w:pPr>
      <w:r w:rsidRPr="003138CE">
        <w:rPr>
          <w:lang w:val="es-ES"/>
        </w:rPr>
        <w:t>4</w:t>
      </w:r>
      <w:r w:rsidRPr="003138CE">
        <w:rPr>
          <w:lang w:val="es-ES"/>
        </w:rPr>
        <w:tab/>
        <w:t>Acciones y resultados clave</w:t>
      </w:r>
    </w:p>
    <w:p w14:paraId="184BCC26" w14:textId="47B7A148" w:rsidR="003138CE" w:rsidRPr="003138CE" w:rsidRDefault="003138CE" w:rsidP="003138CE">
      <w:pPr>
        <w:rPr>
          <w:lang w:val="es-ES"/>
        </w:rPr>
      </w:pPr>
      <w:r w:rsidRPr="003138CE">
        <w:rPr>
          <w:lang w:val="es-ES"/>
        </w:rPr>
        <w:t>La BDT ha estado llevando a cabo una serie de acciones estratégicas que incluyen el desarrollo y la mejora de sus productos internos y servicios externos a fin de mejorar las asociaciones y la movilización de recursos, como:</w:t>
      </w:r>
    </w:p>
    <w:p w14:paraId="2EE3827B" w14:textId="0845D3DA" w:rsidR="003138CE" w:rsidRPr="003138CE" w:rsidRDefault="00DA0A2B" w:rsidP="00DA0A2B">
      <w:pPr>
        <w:pStyle w:val="enumlev1"/>
        <w:rPr>
          <w:lang w:val="es-ES"/>
        </w:rPr>
      </w:pPr>
      <w:r w:rsidRPr="00DA0A2B">
        <w:rPr>
          <w:bCs/>
          <w:lang w:val="es-ES"/>
        </w:rPr>
        <w:t>–</w:t>
      </w:r>
      <w:r w:rsidRPr="00DA0A2B">
        <w:rPr>
          <w:bCs/>
          <w:lang w:val="es-ES"/>
        </w:rPr>
        <w:tab/>
      </w:r>
      <w:r w:rsidR="003138CE" w:rsidRPr="003138CE">
        <w:rPr>
          <w:b/>
          <w:lang w:val="es-ES"/>
        </w:rPr>
        <w:t>Fortalecimiento de la movilización de recursos y la creación de asociaciones</w:t>
      </w:r>
      <w:r w:rsidR="003138CE" w:rsidRPr="00C23060">
        <w:rPr>
          <w:bCs/>
          <w:lang w:val="es-ES"/>
        </w:rPr>
        <w:t xml:space="preserve">: </w:t>
      </w:r>
      <w:r w:rsidR="003138CE" w:rsidRPr="003138CE">
        <w:rPr>
          <w:lang w:val="es-ES"/>
        </w:rPr>
        <w:t xml:space="preserve">una empresa de consultoría, contratada para ayudar a la BDT en la elaboración de una </w:t>
      </w:r>
      <w:r w:rsidR="003138CE" w:rsidRPr="00C23060">
        <w:rPr>
          <w:b/>
          <w:bCs/>
          <w:lang w:val="es-ES"/>
        </w:rPr>
        <w:t>nueva estrategia de movilización de recursos sólida y enfocada hacia el futuro y un plan de acción</w:t>
      </w:r>
      <w:r w:rsidR="003138CE" w:rsidRPr="003138CE">
        <w:rPr>
          <w:lang w:val="es-ES"/>
        </w:rPr>
        <w:t xml:space="preserve">, finalizó y entregó su trabajo a finales de 2020. La BDT elaboró posteriormente una estrategia combinada de asociaciones y movilización de recursos con el fin de armonizar </w:t>
      </w:r>
      <w:r w:rsidR="007A3CAE">
        <w:rPr>
          <w:lang w:val="es-ES"/>
        </w:rPr>
        <w:t xml:space="preserve">los </w:t>
      </w:r>
      <w:r w:rsidR="003138CE" w:rsidRPr="007A3CAE">
        <w:rPr>
          <w:lang w:val="es-ES"/>
        </w:rPr>
        <w:t>dos</w:t>
      </w:r>
      <w:r w:rsidR="003138CE" w:rsidRPr="003138CE">
        <w:rPr>
          <w:lang w:val="es-ES"/>
        </w:rPr>
        <w:t xml:space="preserve"> elementos de la recaudación de fondos, es decir</w:t>
      </w:r>
      <w:r w:rsidR="00C23060">
        <w:rPr>
          <w:lang w:val="es-ES"/>
        </w:rPr>
        <w:t>,</w:t>
      </w:r>
      <w:r w:rsidR="003138CE" w:rsidRPr="003138CE">
        <w:rPr>
          <w:lang w:val="es-ES"/>
        </w:rPr>
        <w:t xml:space="preserve"> las asociaciones y la movilización de recursos. La nueva estrategia ya está en fase de implementación.</w:t>
      </w:r>
    </w:p>
    <w:p w14:paraId="691176C2" w14:textId="7EED0BF1" w:rsidR="003138CE" w:rsidRPr="003138CE" w:rsidRDefault="00DA0A2B" w:rsidP="00B844AC">
      <w:pPr>
        <w:pStyle w:val="enumlev1"/>
        <w:keepNext/>
        <w:keepLines/>
        <w:rPr>
          <w:lang w:val="es-ES"/>
        </w:rPr>
      </w:pPr>
      <w:r w:rsidRPr="00DA0A2B">
        <w:rPr>
          <w:bCs/>
          <w:lang w:val="es-ES"/>
        </w:rPr>
        <w:t>–</w:t>
      </w:r>
      <w:r w:rsidRPr="00DA0A2B">
        <w:rPr>
          <w:bCs/>
          <w:lang w:val="es-ES"/>
        </w:rPr>
        <w:tab/>
      </w:r>
      <w:r w:rsidR="003138CE" w:rsidRPr="003138CE">
        <w:rPr>
          <w:b/>
          <w:lang w:val="es-ES"/>
        </w:rPr>
        <w:t>Mejora de los conocimientos del personal en material de movilización de recursos</w:t>
      </w:r>
      <w:r w:rsidR="003138CE" w:rsidRPr="003138CE">
        <w:rPr>
          <w:lang w:val="es-ES"/>
        </w:rPr>
        <w:t>: se organizó una formación sobre movilización de recursos que se impartió con éxito a través de los servicios de una consultoría de formación en movilización de recursos. La formación, basada en la estrategia de asociaciones y movilización de recursos de la BDT, se impartió a 91</w:t>
      </w:r>
      <w:r w:rsidR="00C23060">
        <w:rPr>
          <w:lang w:val="es-ES"/>
        </w:rPr>
        <w:t xml:space="preserve"> </w:t>
      </w:r>
      <w:r w:rsidR="003138CE" w:rsidRPr="003138CE">
        <w:rPr>
          <w:lang w:val="es-ES"/>
        </w:rPr>
        <w:t>funcionarios (78 de la BDT y 13 de otras oficinas). La formación proporcionó las bases de la movilización de recursos para personal sobre el terreno y de la Sede para que dispongan de las competencias necesarias para iniciar, gestionar y concluir asociaciones tanto financieras como no</w:t>
      </w:r>
      <w:r w:rsidR="004057B5">
        <w:rPr>
          <w:lang w:val="es-ES"/>
        </w:rPr>
        <w:t xml:space="preserve"> </w:t>
      </w:r>
      <w:r w:rsidR="003138CE" w:rsidRPr="003138CE">
        <w:rPr>
          <w:lang w:val="es-ES"/>
        </w:rPr>
        <w:t>financieras y acuerdos de movilización de recursos con partes interesadas.</w:t>
      </w:r>
    </w:p>
    <w:p w14:paraId="5E05D4A7" w14:textId="264695F2" w:rsidR="003138CE" w:rsidRPr="003138CE" w:rsidRDefault="00DA0A2B" w:rsidP="00DA0A2B">
      <w:pPr>
        <w:pStyle w:val="enumlev1"/>
        <w:rPr>
          <w:lang w:val="es-ES"/>
        </w:rPr>
      </w:pPr>
      <w:r w:rsidRPr="00DA0A2B">
        <w:rPr>
          <w:bCs/>
          <w:lang w:val="es-ES"/>
        </w:rPr>
        <w:t>–</w:t>
      </w:r>
      <w:r w:rsidRPr="00DA0A2B">
        <w:rPr>
          <w:bCs/>
          <w:lang w:val="es-ES"/>
        </w:rPr>
        <w:tab/>
      </w:r>
      <w:r w:rsidR="003138CE" w:rsidRPr="003138CE">
        <w:rPr>
          <w:b/>
          <w:lang w:val="es-ES"/>
        </w:rPr>
        <w:t>Mejora de las herramientas de investigación</w:t>
      </w:r>
      <w:r w:rsidR="003138CE" w:rsidRPr="003138CE">
        <w:rPr>
          <w:lang w:val="es-ES"/>
        </w:rPr>
        <w:t>: se han rediseñado completamente la base de datos de movilización de recursos y la base de datos de posibles socios financieros de la</w:t>
      </w:r>
      <w:r w:rsidR="004057B5">
        <w:rPr>
          <w:lang w:val="es-ES"/>
        </w:rPr>
        <w:t> </w:t>
      </w:r>
      <w:r w:rsidR="003138CE" w:rsidRPr="003138CE">
        <w:rPr>
          <w:lang w:val="es-ES"/>
        </w:rPr>
        <w:t>BDT. Las dos bases de datos proporcionan información sobre posibles socios financieros (organismos bilaterales, bancos de desarrollo, fundaciones, entre otros) incluidas sus prioridades temáticas y geográficas.</w:t>
      </w:r>
    </w:p>
    <w:p w14:paraId="20BC0541" w14:textId="21F915BE" w:rsidR="003138CE" w:rsidRPr="003138CE" w:rsidRDefault="00DA0A2B" w:rsidP="00394837">
      <w:pPr>
        <w:pStyle w:val="enumlev1"/>
        <w:keepNext/>
        <w:keepLines/>
        <w:rPr>
          <w:lang w:val="es-ES"/>
        </w:rPr>
      </w:pPr>
      <w:r w:rsidRPr="00DA0A2B">
        <w:rPr>
          <w:bCs/>
          <w:lang w:val="es-ES"/>
        </w:rPr>
        <w:lastRenderedPageBreak/>
        <w:t>–</w:t>
      </w:r>
      <w:r w:rsidRPr="00DA0A2B">
        <w:rPr>
          <w:bCs/>
          <w:lang w:val="es-ES"/>
        </w:rPr>
        <w:tab/>
      </w:r>
      <w:r w:rsidR="003138CE" w:rsidRPr="003138CE">
        <w:rPr>
          <w:b/>
          <w:lang w:val="es-ES"/>
        </w:rPr>
        <w:t>Aumento de la visibilidad</w:t>
      </w:r>
      <w:r w:rsidR="003138CE" w:rsidRPr="003138CE">
        <w:rPr>
          <w:lang w:val="es-ES"/>
        </w:rPr>
        <w:t>:</w:t>
      </w:r>
      <w:r w:rsidR="003138CE" w:rsidRPr="004057B5">
        <w:rPr>
          <w:bCs/>
          <w:lang w:val="es-ES"/>
        </w:rPr>
        <w:t xml:space="preserve"> </w:t>
      </w:r>
      <w:r w:rsidR="003138CE" w:rsidRPr="003138CE">
        <w:rPr>
          <w:lang w:val="es-ES"/>
        </w:rPr>
        <w:t xml:space="preserve">se ha creado y lanzado una nueva página web común para asociaciones y Miembros del UIT-D. La página promueve las asociaciones entre los Miembros del UIT-D y fomenta que los Miembros actuales se conviertan en socios. Se puede acceder a la página inicial común en este enlace </w:t>
      </w:r>
      <w:r w:rsidR="0063640A">
        <w:rPr>
          <w:lang w:val="es-ES"/>
        </w:rPr>
        <w:t>"</w:t>
      </w:r>
      <w:hyperlink r:id="rId20" w:history="1">
        <w:r w:rsidR="003138CE" w:rsidRPr="003138CE">
          <w:rPr>
            <w:rStyle w:val="Hyperlink"/>
            <w:bCs/>
            <w:lang w:val="es-ES"/>
          </w:rPr>
          <w:t>Miembros y Soci</w:t>
        </w:r>
        <w:r w:rsidR="003138CE" w:rsidRPr="003138CE">
          <w:rPr>
            <w:rStyle w:val="Hyperlink"/>
            <w:bCs/>
            <w:lang w:val="es-ES"/>
          </w:rPr>
          <w:t>o</w:t>
        </w:r>
        <w:r w:rsidR="003138CE" w:rsidRPr="003138CE">
          <w:rPr>
            <w:rStyle w:val="Hyperlink"/>
            <w:bCs/>
            <w:lang w:val="es-ES"/>
          </w:rPr>
          <w:t>s del UIT-D</w:t>
        </w:r>
      </w:hyperlink>
      <w:r w:rsidR="0063640A">
        <w:rPr>
          <w:lang w:val="es-ES"/>
        </w:rPr>
        <w:t>"</w:t>
      </w:r>
      <w:r w:rsidR="003138CE" w:rsidRPr="003138CE">
        <w:rPr>
          <w:lang w:val="es-ES"/>
        </w:rPr>
        <w:t>. La nueva página también ofrece mejor visibilidad para nuestros socios sobre el trabajo que se realiza y con ellos.</w:t>
      </w:r>
    </w:p>
    <w:p w14:paraId="68224862" w14:textId="77777777" w:rsidR="003138CE" w:rsidRPr="003138CE" w:rsidRDefault="003138CE" w:rsidP="00DA0A2B">
      <w:pPr>
        <w:pStyle w:val="Heading1"/>
        <w:rPr>
          <w:lang w:val="es-ES"/>
        </w:rPr>
      </w:pPr>
      <w:r w:rsidRPr="003138CE">
        <w:rPr>
          <w:lang w:val="es-ES"/>
        </w:rPr>
        <w:t>5</w:t>
      </w:r>
      <w:r w:rsidRPr="003138CE">
        <w:rPr>
          <w:lang w:val="es-ES"/>
        </w:rPr>
        <w:tab/>
        <w:t>Acciones y resultados clave</w:t>
      </w:r>
    </w:p>
    <w:p w14:paraId="063FB32B" w14:textId="28CEDA9E" w:rsidR="003138CE" w:rsidRPr="003138CE" w:rsidRDefault="003138CE" w:rsidP="003138CE">
      <w:pPr>
        <w:rPr>
          <w:lang w:val="es-ES"/>
        </w:rPr>
      </w:pPr>
      <w:r w:rsidRPr="003138CE">
        <w:rPr>
          <w:lang w:val="es-ES"/>
        </w:rPr>
        <w:t>Durante el periodo analizado, la BDT ha realizado unos avances notables en la negociación y establecimiento de nuevas asociaciones y acuerdos de movilización de recursos con un amplio grupo de socios. Los esfuerzos en curso están enfocados a la consolidación de los socios existentes y a atraer a nuevos socios diferentes que aporten más recursos para poder financiar proyectos a gran escala que tengan repercusión para el éxito de la implementación de los programas y las iniciativas regionales de la CMDT-17 a nivel mundial, regional y nacional.</w:t>
      </w:r>
    </w:p>
    <w:p w14:paraId="54C92ABF" w14:textId="77777777" w:rsidR="003138CE" w:rsidRPr="003138CE" w:rsidRDefault="003138CE" w:rsidP="003138CE">
      <w:pPr>
        <w:rPr>
          <w:lang w:val="es-ES"/>
        </w:rPr>
      </w:pPr>
    </w:p>
    <w:p w14:paraId="00954FEC" w14:textId="77777777" w:rsidR="000725A1" w:rsidRDefault="006E4AB3">
      <w:pPr>
        <w:jc w:val="center"/>
      </w:pPr>
      <w:r>
        <w:t>______________</w:t>
      </w:r>
    </w:p>
    <w:sectPr w:rsidR="000725A1" w:rsidSect="004B7893">
      <w:headerReference w:type="default" r:id="rId21"/>
      <w:footerReference w:type="default" r:id="rId22"/>
      <w:footerReference w:type="first" r:id="rId23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52547" w14:textId="77777777" w:rsidR="003138CE" w:rsidRDefault="003138CE" w:rsidP="0088106F">
      <w:r>
        <w:separator/>
      </w:r>
    </w:p>
  </w:endnote>
  <w:endnote w:type="continuationSeparator" w:id="0">
    <w:p w14:paraId="646B5581" w14:textId="77777777" w:rsidR="003138CE" w:rsidRDefault="003138CE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844EB" w14:textId="6CCB7C2E" w:rsidR="0088106F" w:rsidRPr="009A6FC4" w:rsidRDefault="00B844AC" w:rsidP="009A6FC4">
    <w:pPr>
      <w:pStyle w:val="Footer"/>
    </w:pPr>
    <w:fldSimple w:instr=" FILENAME \p  \* MERGEFORMAT ">
      <w:r w:rsidR="00DA0A2B">
        <w:t>P:\ESP\ITU-D\CONF-D\TDAG21\000\007S.docx</w:t>
      </w:r>
    </w:fldSimple>
    <w:r w:rsidR="00DA0A2B">
      <w:t xml:space="preserve"> (485968)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9D1BD4" w:rsidRPr="004D495C" w14:paraId="7B94F174" w14:textId="77777777" w:rsidTr="004E3CF5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14:paraId="57395225" w14:textId="77777777" w:rsidR="009D1BD4" w:rsidRPr="00700157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  <w:r w:rsidRPr="00700157">
            <w:rPr>
              <w:sz w:val="18"/>
              <w:szCs w:val="18"/>
              <w:lang w:val="es-ES_tradnl"/>
            </w:rPr>
            <w:t>Contacto: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14:paraId="4D113AE5" w14:textId="77777777" w:rsidR="009D1BD4" w:rsidRPr="00700157" w:rsidRDefault="009D1BD4" w:rsidP="009D1BD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r w:rsidRPr="00700157">
            <w:rPr>
              <w:sz w:val="18"/>
              <w:szCs w:val="18"/>
              <w:lang w:val="es-ES_tradnl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14:paraId="290D3AC9" w14:textId="5DD5F1FB" w:rsidR="009D1BD4" w:rsidRPr="00700157" w:rsidRDefault="003138CE" w:rsidP="003138CE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bookmarkStart w:id="5" w:name="OrgName"/>
          <w:bookmarkEnd w:id="5"/>
          <w:r w:rsidRPr="00700157">
            <w:rPr>
              <w:sz w:val="18"/>
              <w:szCs w:val="18"/>
              <w:lang w:val="es-ES_tradnl"/>
            </w:rPr>
            <w:t>Dr. Cosmas Zavazava, Jefe del Departamento de Asociaciones para el Desarrollo Digital, Oficina de Desarrollo de las Telecomunicaciones</w:t>
          </w:r>
        </w:p>
      </w:tc>
    </w:tr>
    <w:tr w:rsidR="009D1BD4" w:rsidRPr="004D495C" w14:paraId="0D29E81D" w14:textId="77777777" w:rsidTr="004E3CF5">
      <w:tc>
        <w:tcPr>
          <w:tcW w:w="1134" w:type="dxa"/>
          <w:shd w:val="clear" w:color="auto" w:fill="auto"/>
        </w:tcPr>
        <w:p w14:paraId="1BFFF770" w14:textId="77777777" w:rsidR="009D1BD4" w:rsidRPr="00700157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14:paraId="45C446C0" w14:textId="77777777" w:rsidR="009D1BD4" w:rsidRPr="00700157" w:rsidRDefault="009D1BD4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700157">
            <w:rPr>
              <w:sz w:val="18"/>
              <w:szCs w:val="18"/>
              <w:lang w:val="es-ES_tradnl"/>
            </w:rPr>
            <w:t>Teléfono:</w:t>
          </w:r>
        </w:p>
      </w:tc>
      <w:tc>
        <w:tcPr>
          <w:tcW w:w="6237" w:type="dxa"/>
          <w:shd w:val="clear" w:color="auto" w:fill="auto"/>
        </w:tcPr>
        <w:p w14:paraId="15DAFD08" w14:textId="7B093F10" w:rsidR="009D1BD4" w:rsidRPr="00050E06" w:rsidRDefault="003138CE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6" w:name="PhoneNo"/>
          <w:bookmarkEnd w:id="6"/>
          <w:r w:rsidRPr="003138CE">
            <w:rPr>
              <w:sz w:val="18"/>
              <w:szCs w:val="18"/>
              <w:lang w:val="en-US"/>
            </w:rPr>
            <w:t>+41 22 730 5447</w:t>
          </w:r>
        </w:p>
      </w:tc>
    </w:tr>
    <w:tr w:rsidR="009D1BD4" w:rsidRPr="004D495C" w14:paraId="0A7CAB7A" w14:textId="77777777" w:rsidTr="004E3CF5">
      <w:tc>
        <w:tcPr>
          <w:tcW w:w="1134" w:type="dxa"/>
          <w:shd w:val="clear" w:color="auto" w:fill="auto"/>
        </w:tcPr>
        <w:p w14:paraId="1BBA4999" w14:textId="77777777" w:rsidR="009D1BD4" w:rsidRPr="00700157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14:paraId="54A63ABD" w14:textId="77777777" w:rsidR="009D1BD4" w:rsidRPr="00700157" w:rsidRDefault="009D1BD4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700157">
            <w:rPr>
              <w:sz w:val="18"/>
              <w:szCs w:val="18"/>
              <w:lang w:val="es-ES_tradnl"/>
            </w:rPr>
            <w:t>Correo-e:</w:t>
          </w:r>
        </w:p>
      </w:tc>
      <w:bookmarkStart w:id="7" w:name="Email"/>
      <w:bookmarkEnd w:id="7"/>
      <w:tc>
        <w:tcPr>
          <w:tcW w:w="6237" w:type="dxa"/>
          <w:shd w:val="clear" w:color="auto" w:fill="auto"/>
        </w:tcPr>
        <w:p w14:paraId="08283B6E" w14:textId="2837AD49" w:rsidR="009D1BD4" w:rsidRPr="00050E06" w:rsidRDefault="003138CE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HYPERLINK "mailto:</w:instrText>
          </w:r>
          <w:r w:rsidRPr="003138CE">
            <w:rPr>
              <w:sz w:val="18"/>
              <w:szCs w:val="18"/>
              <w:lang w:val="en-US"/>
            </w:rPr>
            <w:instrText>cosmas.zavazava@itu.int</w:instrText>
          </w:r>
          <w:r>
            <w:rPr>
              <w:sz w:val="18"/>
              <w:szCs w:val="18"/>
              <w:lang w:val="en-US"/>
            </w:rPr>
            <w:instrText xml:space="preserve">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3221B9">
            <w:rPr>
              <w:rStyle w:val="Hyperlink"/>
              <w:sz w:val="18"/>
              <w:szCs w:val="18"/>
              <w:lang w:val="en-US"/>
            </w:rPr>
            <w:t>cosmas.zavazava@itu.int</w:t>
          </w:r>
          <w:r>
            <w:rPr>
              <w:sz w:val="18"/>
              <w:szCs w:val="18"/>
              <w:lang w:val="en-US"/>
            </w:rPr>
            <w:fldChar w:fldCharType="end"/>
          </w:r>
        </w:p>
      </w:tc>
    </w:tr>
  </w:tbl>
  <w:p w14:paraId="6C119BC9" w14:textId="77777777" w:rsidR="006E4AB3" w:rsidRPr="006E4AB3" w:rsidRDefault="00EC0456" w:rsidP="003138C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rFonts w:ascii="Calibri" w:hAnsi="Calibri"/>
        <w:caps/>
        <w:noProof/>
        <w:sz w:val="16"/>
      </w:rPr>
    </w:pPr>
    <w:hyperlink r:id="rId1" w:history="1">
      <w:r w:rsidR="00225D2E">
        <w:rPr>
          <w:rFonts w:ascii="Calibri" w:hAnsi="Calibri"/>
          <w:color w:val="0000FF"/>
          <w:sz w:val="18"/>
          <w:szCs w:val="18"/>
          <w:u w:val="single"/>
        </w:rPr>
        <w:t>GADT</w:t>
      </w:r>
    </w:hyperlink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4D045" w14:textId="77777777" w:rsidR="003138CE" w:rsidRDefault="003138CE" w:rsidP="0088106F">
      <w:r>
        <w:separator/>
      </w:r>
    </w:p>
  </w:footnote>
  <w:footnote w:type="continuationSeparator" w:id="0">
    <w:p w14:paraId="57A3CC54" w14:textId="77777777" w:rsidR="003138CE" w:rsidRDefault="003138CE" w:rsidP="00881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FE108" w14:textId="3BC09E21" w:rsidR="009A6FC4" w:rsidRPr="003138CE" w:rsidRDefault="009A6FC4" w:rsidP="003138CE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n-US"/>
      </w:rPr>
    </w:pPr>
    <w:r w:rsidRPr="00972BCD">
      <w:rPr>
        <w:sz w:val="22"/>
        <w:szCs w:val="22"/>
      </w:rPr>
      <w:tab/>
    </w:r>
    <w:r w:rsidRPr="003D4CFB">
      <w:rPr>
        <w:sz w:val="22"/>
        <w:szCs w:val="22"/>
        <w:lang w:val="en-US"/>
      </w:rPr>
      <w:t>TDAG</w:t>
    </w:r>
    <w:r w:rsidR="00602B27">
      <w:rPr>
        <w:sz w:val="22"/>
        <w:szCs w:val="22"/>
        <w:lang w:val="en-US"/>
      </w:rPr>
      <w:t>-</w:t>
    </w:r>
    <w:r w:rsidR="00AA076A">
      <w:rPr>
        <w:sz w:val="22"/>
        <w:szCs w:val="22"/>
        <w:lang w:val="en-US"/>
      </w:rPr>
      <w:t>2</w:t>
    </w:r>
    <w:r w:rsidR="00C85582">
      <w:rPr>
        <w:sz w:val="22"/>
        <w:szCs w:val="22"/>
        <w:lang w:val="en-US"/>
      </w:rPr>
      <w:t>1</w:t>
    </w:r>
    <w:r w:rsidRPr="003D4CFB">
      <w:rPr>
        <w:sz w:val="22"/>
        <w:szCs w:val="22"/>
        <w:lang w:val="en-US"/>
      </w:rPr>
      <w:t>/</w:t>
    </w:r>
    <w:r w:rsidR="003138CE">
      <w:rPr>
        <w:sz w:val="22"/>
        <w:szCs w:val="22"/>
        <w:lang w:val="en-US"/>
      </w:rPr>
      <w:t>7</w:t>
    </w:r>
    <w:r w:rsidRPr="003D4CFB">
      <w:rPr>
        <w:sz w:val="22"/>
        <w:szCs w:val="22"/>
        <w:lang w:val="en-US"/>
      </w:rPr>
      <w:t>-S</w:t>
    </w:r>
    <w:r w:rsidRPr="009A6FC4">
      <w:rPr>
        <w:sz w:val="22"/>
        <w:szCs w:val="22"/>
        <w:lang w:val="en-US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9A6FC4">
      <w:rPr>
        <w:sz w:val="22"/>
        <w:szCs w:val="22"/>
        <w:lang w:val="en-US"/>
      </w:rPr>
      <w:t xml:space="preserve"> </w:t>
    </w:r>
    <w:r w:rsidRPr="00972BCD">
      <w:rPr>
        <w:sz w:val="22"/>
        <w:szCs w:val="22"/>
      </w:rPr>
      <w:fldChar w:fldCharType="begin"/>
    </w:r>
    <w:r w:rsidRPr="009A6FC4">
      <w:rPr>
        <w:sz w:val="22"/>
        <w:szCs w:val="22"/>
        <w:lang w:val="en-US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86435F">
      <w:rPr>
        <w:noProof/>
        <w:sz w:val="22"/>
        <w:szCs w:val="22"/>
        <w:lang w:val="en-US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5CA9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8EA9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2CC50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2688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17007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F435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AA6D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0C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C6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7E2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3A14CF"/>
    <w:multiLevelType w:val="hybridMultilevel"/>
    <w:tmpl w:val="5520221C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C0318B"/>
    <w:multiLevelType w:val="hybridMultilevel"/>
    <w:tmpl w:val="A378D7DA"/>
    <w:lvl w:ilvl="0" w:tplc="B80E9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CE"/>
    <w:rsid w:val="000135AE"/>
    <w:rsid w:val="00033D49"/>
    <w:rsid w:val="000725A1"/>
    <w:rsid w:val="000C0AA7"/>
    <w:rsid w:val="000D3AE3"/>
    <w:rsid w:val="000E7A0A"/>
    <w:rsid w:val="00194CB2"/>
    <w:rsid w:val="00213302"/>
    <w:rsid w:val="00221C14"/>
    <w:rsid w:val="00225D2E"/>
    <w:rsid w:val="00241CB9"/>
    <w:rsid w:val="002A7FAB"/>
    <w:rsid w:val="002D4BE6"/>
    <w:rsid w:val="002D6772"/>
    <w:rsid w:val="00302736"/>
    <w:rsid w:val="003138CE"/>
    <w:rsid w:val="0033649F"/>
    <w:rsid w:val="003427B8"/>
    <w:rsid w:val="00356E99"/>
    <w:rsid w:val="00360762"/>
    <w:rsid w:val="00390391"/>
    <w:rsid w:val="00394837"/>
    <w:rsid w:val="003D4CFB"/>
    <w:rsid w:val="004057B5"/>
    <w:rsid w:val="0043454F"/>
    <w:rsid w:val="00482632"/>
    <w:rsid w:val="00492B9B"/>
    <w:rsid w:val="004B7893"/>
    <w:rsid w:val="004E7861"/>
    <w:rsid w:val="00535C50"/>
    <w:rsid w:val="005557A3"/>
    <w:rsid w:val="005637B9"/>
    <w:rsid w:val="005643DC"/>
    <w:rsid w:val="00602B27"/>
    <w:rsid w:val="00603CC6"/>
    <w:rsid w:val="006339E7"/>
    <w:rsid w:val="00635A62"/>
    <w:rsid w:val="0063640A"/>
    <w:rsid w:val="006E4AB3"/>
    <w:rsid w:val="006F39EB"/>
    <w:rsid w:val="00700157"/>
    <w:rsid w:val="007A3CAE"/>
    <w:rsid w:val="007C3061"/>
    <w:rsid w:val="007E471D"/>
    <w:rsid w:val="00835A77"/>
    <w:rsid w:val="0086435F"/>
    <w:rsid w:val="0088106F"/>
    <w:rsid w:val="008C1852"/>
    <w:rsid w:val="008D2189"/>
    <w:rsid w:val="008D789A"/>
    <w:rsid w:val="00917B12"/>
    <w:rsid w:val="009752D2"/>
    <w:rsid w:val="00991B13"/>
    <w:rsid w:val="009952F6"/>
    <w:rsid w:val="009A6FC4"/>
    <w:rsid w:val="009D1BD4"/>
    <w:rsid w:val="00A33516"/>
    <w:rsid w:val="00A87DD9"/>
    <w:rsid w:val="00AA076A"/>
    <w:rsid w:val="00AE1BA7"/>
    <w:rsid w:val="00AF563E"/>
    <w:rsid w:val="00B844AC"/>
    <w:rsid w:val="00BC7208"/>
    <w:rsid w:val="00C131AD"/>
    <w:rsid w:val="00C23060"/>
    <w:rsid w:val="00C85582"/>
    <w:rsid w:val="00D16175"/>
    <w:rsid w:val="00D372A5"/>
    <w:rsid w:val="00DA0A2B"/>
    <w:rsid w:val="00DD1EBA"/>
    <w:rsid w:val="00E17138"/>
    <w:rsid w:val="00E204A0"/>
    <w:rsid w:val="00E3519F"/>
    <w:rsid w:val="00E51C72"/>
    <w:rsid w:val="00E827C2"/>
    <w:rsid w:val="00EB6D19"/>
    <w:rsid w:val="00EC0456"/>
    <w:rsid w:val="00ED2681"/>
    <w:rsid w:val="00F01E28"/>
    <w:rsid w:val="00F12690"/>
    <w:rsid w:val="00FA67A2"/>
    <w:rsid w:val="00FD3A29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99B606"/>
  <w15:docId w15:val="{5E0BC812-DD2A-4AC1-B82C-E7B1CF9E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C131AD"/>
    <w:pPr>
      <w:spacing w:before="360"/>
    </w:pPr>
    <w:rPr>
      <w:lang w:val="es-ES_tradnl"/>
    </w:r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basedOn w:val="DefaultParagraphFont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991B13"/>
    <w:pPr>
      <w:spacing w:before="240" w:after="24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991B1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semiHidden/>
    <w:rsid w:val="006F39EB"/>
  </w:style>
  <w:style w:type="paragraph" w:styleId="TOC5">
    <w:name w:val="toc 5"/>
    <w:basedOn w:val="TOC4"/>
    <w:semiHidden/>
    <w:rsid w:val="006F39EB"/>
  </w:style>
  <w:style w:type="paragraph" w:styleId="TOC6">
    <w:name w:val="toc 6"/>
    <w:basedOn w:val="TOC4"/>
    <w:semiHidden/>
    <w:rsid w:val="006F39EB"/>
  </w:style>
  <w:style w:type="paragraph" w:styleId="TOC7">
    <w:name w:val="toc 7"/>
    <w:basedOn w:val="TOC4"/>
    <w:semiHidden/>
    <w:rsid w:val="006F39EB"/>
  </w:style>
  <w:style w:type="paragraph" w:styleId="TOC8">
    <w:name w:val="toc 8"/>
    <w:basedOn w:val="TOC4"/>
    <w:semiHidden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Proposal">
    <w:name w:val="Proposal"/>
    <w:basedOn w:val="Normal"/>
    <w:next w:val="Normal"/>
    <w:rsid w:val="006339E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138CE"/>
    <w:rPr>
      <w:color w:val="605E5C"/>
      <w:shd w:val="clear" w:color="auto" w:fill="E1DFDD"/>
    </w:rPr>
  </w:style>
  <w:style w:type="paragraph" w:customStyle="1" w:styleId="Figure">
    <w:name w:val="Figure"/>
    <w:basedOn w:val="Normal"/>
    <w:next w:val="Normal"/>
    <w:rsid w:val="00B844AC"/>
    <w:pPr>
      <w:spacing w:after="120"/>
      <w:jc w:val="center"/>
    </w:pPr>
    <w:rPr>
      <w:lang w:val="es-ES_tradnl"/>
    </w:rPr>
  </w:style>
  <w:style w:type="character" w:styleId="FollowedHyperlink">
    <w:name w:val="FollowedHyperlink"/>
    <w:basedOn w:val="DefaultParagraphFont"/>
    <w:uiPriority w:val="99"/>
    <w:semiHidden/>
    <w:unhideWhenUsed/>
    <w:rsid w:val="00DD1E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s://www.itu.int/es/ITU-D/MembersPartners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18-TDAG28-INF-0002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itu.int/md/D18-TDAG28-INF-0002/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PS_BDT-TDAG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9C874-755D-43CF-8490-437096F8F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PS_BDT-TDAG21.dotx</Template>
  <TotalTime>110</TotalTime>
  <Pages>7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Spanish83</dc:creator>
  <cp:keywords/>
  <dc:description/>
  <cp:lastModifiedBy>Spanish83</cp:lastModifiedBy>
  <cp:revision>6</cp:revision>
  <dcterms:created xsi:type="dcterms:W3CDTF">2021-04-29T14:21:00Z</dcterms:created>
  <dcterms:modified xsi:type="dcterms:W3CDTF">2021-04-30T07:34:00Z</dcterms:modified>
</cp:coreProperties>
</file>