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Ex2.xml" ContentType="application/vnd.ms-office.chartex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CF7CE9" w14:paraId="78E3A861" w14:textId="77777777" w:rsidTr="00C33388">
        <w:trPr>
          <w:trHeight w:val="1134"/>
        </w:trPr>
        <w:tc>
          <w:tcPr>
            <w:tcW w:w="2410" w:type="dxa"/>
          </w:tcPr>
          <w:p w14:paraId="2C64966F" w14:textId="77777777" w:rsidR="00FA6BDB" w:rsidRPr="00CF7CE9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F7CE9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336F77BD" wp14:editId="56515E5B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9EBFDE9" w14:textId="77777777" w:rsidR="00FA6BDB" w:rsidRPr="00CF7CE9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CF7CE9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CF7CE9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CF7CE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CF7CE9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CF7CE9">
              <w:rPr>
                <w:b/>
                <w:bCs/>
                <w:sz w:val="24"/>
                <w:szCs w:val="24"/>
              </w:rPr>
              <w:t>2</w:t>
            </w:r>
            <w:r w:rsidR="00C15500" w:rsidRPr="00CF7CE9">
              <w:rPr>
                <w:b/>
                <w:bCs/>
                <w:sz w:val="24"/>
                <w:szCs w:val="24"/>
              </w:rPr>
              <w:t>4</w:t>
            </w:r>
            <w:r w:rsidR="00DC354B" w:rsidRPr="00CF7CE9">
              <w:rPr>
                <w:b/>
                <w:bCs/>
                <w:sz w:val="24"/>
                <w:szCs w:val="24"/>
              </w:rPr>
              <w:t>−</w:t>
            </w:r>
            <w:r w:rsidRPr="00CF7CE9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CF7CE9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CF7CE9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D78A876" w14:textId="77777777" w:rsidR="00FA6BDB" w:rsidRPr="00CF7CE9" w:rsidRDefault="00FA6BDB" w:rsidP="00FA6BDB">
            <w:pPr>
              <w:widowControl w:val="0"/>
              <w:jc w:val="center"/>
            </w:pPr>
            <w:r w:rsidRPr="00CF7CE9">
              <w:drawing>
                <wp:inline distT="0" distB="0" distL="0" distR="0" wp14:anchorId="0A9DBAF4" wp14:editId="6019D9B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CF7CE9" w14:paraId="4F1436F3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0BF988F" w14:textId="77777777" w:rsidR="00CD34AE" w:rsidRPr="00CF7CE9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614C8196" w14:textId="77777777" w:rsidR="00CD34AE" w:rsidRPr="00CF7CE9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CF7CE9" w14:paraId="44871978" w14:textId="77777777" w:rsidTr="00CD34AE">
        <w:trPr>
          <w:trHeight w:val="300"/>
        </w:trPr>
        <w:tc>
          <w:tcPr>
            <w:tcW w:w="6662" w:type="dxa"/>
            <w:gridSpan w:val="2"/>
          </w:tcPr>
          <w:p w14:paraId="558CF1DA" w14:textId="77777777" w:rsidR="00CD34AE" w:rsidRPr="00CF7CE9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B270F6A" w14:textId="1FB79F2B" w:rsidR="00CD34AE" w:rsidRPr="00CF7CE9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F7CE9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CF7CE9">
              <w:rPr>
                <w:rFonts w:cstheme="minorHAnsi"/>
                <w:b/>
                <w:bCs/>
              </w:rPr>
              <w:t>TDAG</w:t>
            </w:r>
            <w:r w:rsidR="0040328D" w:rsidRPr="00CF7CE9">
              <w:rPr>
                <w:rFonts w:cstheme="minorHAnsi"/>
                <w:b/>
                <w:bCs/>
              </w:rPr>
              <w:t>-</w:t>
            </w:r>
            <w:r w:rsidR="002502FE" w:rsidRPr="00CF7CE9">
              <w:rPr>
                <w:rFonts w:cstheme="minorHAnsi"/>
                <w:b/>
                <w:bCs/>
              </w:rPr>
              <w:t>2</w:t>
            </w:r>
            <w:r w:rsidR="00FA6BDB" w:rsidRPr="00CF7CE9">
              <w:rPr>
                <w:rFonts w:cstheme="minorHAnsi"/>
                <w:b/>
                <w:bCs/>
              </w:rPr>
              <w:t>1</w:t>
            </w:r>
            <w:r w:rsidR="00631202" w:rsidRPr="00CF7CE9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386158" w:rsidRPr="00CF7CE9">
              <w:rPr>
                <w:rFonts w:cstheme="minorHAnsi"/>
                <w:b/>
                <w:bCs/>
              </w:rPr>
              <w:t>7</w:t>
            </w:r>
            <w:r w:rsidRPr="00CF7CE9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CF7CE9" w14:paraId="391E3522" w14:textId="77777777" w:rsidTr="00CD34AE">
        <w:trPr>
          <w:trHeight w:val="300"/>
        </w:trPr>
        <w:tc>
          <w:tcPr>
            <w:tcW w:w="6662" w:type="dxa"/>
            <w:gridSpan w:val="2"/>
          </w:tcPr>
          <w:p w14:paraId="0DE8E0C5" w14:textId="77777777" w:rsidR="00CD34AE" w:rsidRPr="00CF7CE9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A03A6AE" w14:textId="2E26B331" w:rsidR="00CD34AE" w:rsidRPr="00CF7CE9" w:rsidRDefault="00386158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CF7CE9">
              <w:rPr>
                <w:b/>
                <w:bCs/>
              </w:rPr>
              <w:t>13 апреля</w:t>
            </w:r>
            <w:r w:rsidR="00A73D91" w:rsidRPr="00CF7CE9">
              <w:rPr>
                <w:b/>
                <w:bCs/>
              </w:rPr>
              <w:t xml:space="preserve"> 20</w:t>
            </w:r>
            <w:r w:rsidR="002502FE" w:rsidRPr="00CF7CE9">
              <w:rPr>
                <w:b/>
                <w:bCs/>
              </w:rPr>
              <w:t>2</w:t>
            </w:r>
            <w:r w:rsidR="00FA6BDB" w:rsidRPr="00CF7CE9">
              <w:rPr>
                <w:b/>
                <w:bCs/>
              </w:rPr>
              <w:t>1</w:t>
            </w:r>
            <w:r w:rsidR="00A73D91" w:rsidRPr="00CF7CE9">
              <w:rPr>
                <w:b/>
                <w:bCs/>
              </w:rPr>
              <w:t xml:space="preserve"> года</w:t>
            </w:r>
          </w:p>
        </w:tc>
      </w:tr>
      <w:tr w:rsidR="00CD34AE" w:rsidRPr="00CF7CE9" w14:paraId="5510CAD6" w14:textId="77777777" w:rsidTr="00CD34AE">
        <w:trPr>
          <w:trHeight w:val="300"/>
        </w:trPr>
        <w:tc>
          <w:tcPr>
            <w:tcW w:w="6662" w:type="dxa"/>
            <w:gridSpan w:val="2"/>
          </w:tcPr>
          <w:p w14:paraId="56E91D9C" w14:textId="77777777" w:rsidR="00CD34AE" w:rsidRPr="00CF7CE9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821D5B8" w14:textId="77777777" w:rsidR="00CD34AE" w:rsidRPr="00CF7CE9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F7CE9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CF7CE9">
              <w:rPr>
                <w:rFonts w:cstheme="minorHAnsi"/>
                <w:b/>
                <w:bCs/>
              </w:rPr>
              <w:t xml:space="preserve"> </w:t>
            </w:r>
            <w:r w:rsidR="002363C5" w:rsidRPr="00CF7CE9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CF7CE9" w14:paraId="09FD866F" w14:textId="77777777" w:rsidTr="00CD34AE">
        <w:trPr>
          <w:trHeight w:val="850"/>
        </w:trPr>
        <w:tc>
          <w:tcPr>
            <w:tcW w:w="9923" w:type="dxa"/>
            <w:gridSpan w:val="4"/>
          </w:tcPr>
          <w:p w14:paraId="0042492A" w14:textId="2BBC4C84" w:rsidR="00CD34AE" w:rsidRPr="00CF7CE9" w:rsidRDefault="00386158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CF7CE9">
              <w:t>Директор Бюро развития электросвязи</w:t>
            </w:r>
          </w:p>
        </w:tc>
      </w:tr>
      <w:tr w:rsidR="00CD34AE" w:rsidRPr="00CF7CE9" w14:paraId="4F4DB9EC" w14:textId="77777777" w:rsidTr="00270876">
        <w:tc>
          <w:tcPr>
            <w:tcW w:w="9923" w:type="dxa"/>
            <w:gridSpan w:val="4"/>
          </w:tcPr>
          <w:p w14:paraId="5E1B1050" w14:textId="27FDBB2A" w:rsidR="00CD34AE" w:rsidRPr="00CF7CE9" w:rsidRDefault="00711F65" w:rsidP="00FA6BDB">
            <w:pPr>
              <w:pStyle w:val="Title1"/>
            </w:pPr>
            <w:bookmarkStart w:id="5" w:name="Title"/>
            <w:bookmarkEnd w:id="5"/>
            <w:r w:rsidRPr="00CF7CE9">
              <w:rPr>
                <w:bCs/>
                <w:sz w:val="28"/>
                <w:szCs w:val="22"/>
              </w:rPr>
              <w:t>Партнерские отношения и мобилизация ресурсов в МСЭ-D</w:t>
            </w:r>
          </w:p>
        </w:tc>
      </w:tr>
      <w:tr w:rsidR="00CD34AE" w:rsidRPr="00CF7CE9" w14:paraId="53715249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E280BA" w14:textId="77777777" w:rsidR="00CD34AE" w:rsidRPr="00CF7CE9" w:rsidRDefault="00CD34AE" w:rsidP="00CD34AE"/>
        </w:tc>
      </w:tr>
      <w:tr w:rsidR="00CD34AE" w:rsidRPr="00CF7CE9" w14:paraId="7BDA4CA4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7F5" w14:textId="77777777" w:rsidR="00CD34AE" w:rsidRPr="00CF7CE9" w:rsidRDefault="00CD34AE" w:rsidP="00B86DFA">
            <w:pPr>
              <w:spacing w:after="120"/>
              <w:rPr>
                <w:b/>
                <w:bCs/>
              </w:rPr>
            </w:pPr>
            <w:r w:rsidRPr="00CF7CE9">
              <w:rPr>
                <w:b/>
                <w:bCs/>
              </w:rPr>
              <w:t>Резюме</w:t>
            </w:r>
          </w:p>
          <w:p w14:paraId="56C858E3" w14:textId="0095C8F5" w:rsidR="00CD34AE" w:rsidRPr="00CF7CE9" w:rsidRDefault="00386158" w:rsidP="00B86DFA">
            <w:pPr>
              <w:spacing w:after="120"/>
            </w:pPr>
            <w:r w:rsidRPr="00CF7CE9">
              <w:rPr>
                <w:rFonts w:cs="Calibri"/>
              </w:rPr>
              <w:t xml:space="preserve">На Всемирной конференции по развитию электросвязи 2017 года (ВКРЭ-17) было особо отмечено значение партнерских отношений и мобилизации ресурсов. В настоящем документе представлен обзор деятельности по </w:t>
            </w:r>
            <w:r w:rsidR="00CB658B" w:rsidRPr="00CF7CE9">
              <w:rPr>
                <w:rFonts w:cs="Calibri"/>
              </w:rPr>
              <w:t>формированию</w:t>
            </w:r>
            <w:r w:rsidRPr="00CF7CE9">
              <w:rPr>
                <w:rFonts w:cs="Calibri"/>
              </w:rPr>
              <w:t xml:space="preserve"> партнерских отношений и мобилизации ресурсов, осуществленной в 2020 году </w:t>
            </w:r>
            <w:r w:rsidR="00CB658B" w:rsidRPr="00CF7CE9">
              <w:rPr>
                <w:rFonts w:cs="Calibri"/>
              </w:rPr>
              <w:t xml:space="preserve">и в первом квартале </w:t>
            </w:r>
            <w:r w:rsidRPr="00CF7CE9">
              <w:rPr>
                <w:rFonts w:cs="Calibri"/>
              </w:rPr>
              <w:t>2021</w:t>
            </w:r>
            <w:r w:rsidR="00CB658B" w:rsidRPr="00CF7CE9">
              <w:rPr>
                <w:rFonts w:cs="Calibri"/>
              </w:rPr>
              <w:t> года</w:t>
            </w:r>
            <w:r w:rsidRPr="00CF7CE9">
              <w:t>.</w:t>
            </w:r>
          </w:p>
          <w:p w14:paraId="5F06CFDC" w14:textId="77777777" w:rsidR="00CD34AE" w:rsidRPr="00CF7CE9" w:rsidRDefault="00CD34AE" w:rsidP="00B86DFA">
            <w:pPr>
              <w:spacing w:after="120"/>
              <w:rPr>
                <w:b/>
                <w:bCs/>
              </w:rPr>
            </w:pPr>
            <w:r w:rsidRPr="00CF7CE9">
              <w:rPr>
                <w:b/>
                <w:bCs/>
              </w:rPr>
              <w:t>Необходимые действия</w:t>
            </w:r>
          </w:p>
          <w:p w14:paraId="23610B22" w14:textId="1235A365" w:rsidR="00FA6BDB" w:rsidRPr="00CF7CE9" w:rsidRDefault="00386158" w:rsidP="00FA6BDB">
            <w:pPr>
              <w:spacing w:after="120"/>
            </w:pPr>
            <w:r w:rsidRPr="00CF7CE9">
              <w:t xml:space="preserve">КГРЭ предлагается принять </w:t>
            </w:r>
            <w:r w:rsidR="00CB658B" w:rsidRPr="00CF7CE9">
              <w:t xml:space="preserve">к сведению </w:t>
            </w:r>
            <w:r w:rsidRPr="00CF7CE9">
              <w:t xml:space="preserve">настоящий </w:t>
            </w:r>
            <w:r w:rsidR="007832FA" w:rsidRPr="00CF7CE9">
              <w:t>д</w:t>
            </w:r>
            <w:r w:rsidRPr="00CF7CE9">
              <w:t>окумент и по мере необходимости предоставить руководящие указания.</w:t>
            </w:r>
          </w:p>
          <w:p w14:paraId="5CF4D384" w14:textId="77777777" w:rsidR="00CD34AE" w:rsidRPr="00CF7CE9" w:rsidRDefault="00CD34AE" w:rsidP="00B86DFA">
            <w:pPr>
              <w:spacing w:after="120"/>
              <w:rPr>
                <w:b/>
                <w:bCs/>
              </w:rPr>
            </w:pPr>
            <w:r w:rsidRPr="00CF7CE9">
              <w:rPr>
                <w:b/>
                <w:bCs/>
              </w:rPr>
              <w:t>Справочные материалы</w:t>
            </w:r>
          </w:p>
          <w:p w14:paraId="26CDB4E5" w14:textId="77777777" w:rsidR="00386158" w:rsidRPr="00CF7CE9" w:rsidRDefault="00386158" w:rsidP="00386158">
            <w:pPr>
              <w:spacing w:after="120"/>
            </w:pPr>
            <w:r w:rsidRPr="00CF7CE9">
              <w:t>Цель 5 МСЭ</w:t>
            </w:r>
          </w:p>
          <w:p w14:paraId="3CA16CCA" w14:textId="77777777" w:rsidR="00386158" w:rsidRPr="00CF7CE9" w:rsidRDefault="00386158" w:rsidP="00386158">
            <w:pPr>
              <w:spacing w:after="120"/>
            </w:pPr>
            <w:r w:rsidRPr="00CF7CE9">
              <w:t>План действий Буэнос-Айреса, раздел 4.5 Заключительного отчета ВКРЭ-17</w:t>
            </w:r>
          </w:p>
          <w:p w14:paraId="376369B0" w14:textId="17D75E2F" w:rsidR="00CD34AE" w:rsidRPr="00CF7CE9" w:rsidRDefault="00386158" w:rsidP="00386158">
            <w:pPr>
              <w:spacing w:after="120"/>
            </w:pPr>
            <w:r w:rsidRPr="00CF7CE9">
              <w:t>Резолюция 17 (Пересм. Буэнос-Айрес, 2017 г.) и Резолюция 71 (Пересм. Буэнос-Айрес, 2017 г.) ВКРЭ</w:t>
            </w:r>
          </w:p>
        </w:tc>
      </w:tr>
    </w:tbl>
    <w:p w14:paraId="4825D27B" w14:textId="77777777" w:rsidR="002931FA" w:rsidRPr="00CF7CE9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CF7CE9">
        <w:br w:type="page"/>
      </w:r>
    </w:p>
    <w:p w14:paraId="219D4E99" w14:textId="77777777" w:rsidR="006A0093" w:rsidRPr="00CF7CE9" w:rsidRDefault="006A0093" w:rsidP="006A0093">
      <w:pPr>
        <w:pStyle w:val="Heading1"/>
      </w:pPr>
      <w:r w:rsidRPr="00CF7CE9">
        <w:lastRenderedPageBreak/>
        <w:t>1</w:t>
      </w:r>
      <w:r w:rsidRPr="00CF7CE9">
        <w:tab/>
        <w:t>Базовая информация</w:t>
      </w:r>
    </w:p>
    <w:p w14:paraId="3D6C2E26" w14:textId="1C4A8F8C" w:rsidR="00B05DFD" w:rsidRPr="00CF7CE9" w:rsidRDefault="00B05DFD" w:rsidP="006A0093">
      <w:r w:rsidRPr="00CF7CE9">
        <w:t xml:space="preserve">На Всемирной конференции по развитию электросвязи 2017 года (ВКРЭ-17) была особо отмечена </w:t>
      </w:r>
      <w:r w:rsidR="00CB658B" w:rsidRPr="00CF7CE9">
        <w:t>ключевая</w:t>
      </w:r>
      <w:r w:rsidRPr="00CF7CE9">
        <w:t xml:space="preserve"> роль партнерских отношений и мобилизации ресурсов для поддержки осуществления Плана действий Буэнос-Айреса, Направлений деятельности ВВУИО, а</w:t>
      </w:r>
      <w:r w:rsidR="007832FA" w:rsidRPr="00CF7CE9">
        <w:t xml:space="preserve"> </w:t>
      </w:r>
      <w:r w:rsidRPr="00CF7CE9">
        <w:t>также достижения Целей в области устойчивого развития (ЦУР).</w:t>
      </w:r>
    </w:p>
    <w:p w14:paraId="4440EF86" w14:textId="2964939F" w:rsidR="006A0093" w:rsidRPr="00CF7CE9" w:rsidRDefault="00CB658B" w:rsidP="006A0093">
      <w:r w:rsidRPr="00CF7CE9">
        <w:t>В Плане действий ВКРЭ-17 указано, что программы и региональные инициативы следует осуществлять по мере возможности в партнерстве с широким кругом заинтересованных сторон</w:t>
      </w:r>
      <w:r w:rsidR="008926E2" w:rsidRPr="00CF7CE9">
        <w:t xml:space="preserve">. </w:t>
      </w:r>
      <w:r w:rsidR="006A0093" w:rsidRPr="00CF7CE9">
        <w:t>В</w:t>
      </w:r>
      <w:r w:rsidRPr="00CF7CE9">
        <w:t> </w:t>
      </w:r>
      <w:r w:rsidR="006A0093" w:rsidRPr="00CF7CE9">
        <w:t>Резолюции</w:t>
      </w:r>
      <w:r w:rsidR="007832FA" w:rsidRPr="00CF7CE9">
        <w:t> </w:t>
      </w:r>
      <w:r w:rsidR="006A0093" w:rsidRPr="00CF7CE9">
        <w:t>17 (Пересм. Буэнос-Айрес, 2017</w:t>
      </w:r>
      <w:r w:rsidR="007832FA" w:rsidRPr="00CF7CE9">
        <w:t> </w:t>
      </w:r>
      <w:r w:rsidR="006A0093" w:rsidRPr="00CF7CE9">
        <w:t>г.) БРЭ поручено продолжать активно</w:t>
      </w:r>
      <w:r w:rsidR="00B82FA4" w:rsidRPr="00CF7CE9">
        <w:t>е создание</w:t>
      </w:r>
      <w:r w:rsidR="006A0093" w:rsidRPr="00CF7CE9">
        <w:t xml:space="preserve"> партнер</w:t>
      </w:r>
      <w:r w:rsidR="00B82FA4" w:rsidRPr="00CF7CE9">
        <w:t>ств</w:t>
      </w:r>
      <w:r w:rsidR="006A0093" w:rsidRPr="00CF7CE9">
        <w:t xml:space="preserve">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</w:t>
      </w:r>
      <w:r w:rsidRPr="00CF7CE9">
        <w:t>региональных</w:t>
      </w:r>
      <w:r w:rsidR="006A0093" w:rsidRPr="00CF7CE9">
        <w:t xml:space="preserve"> инициатив. Далее в </w:t>
      </w:r>
      <w:r w:rsidR="00B82FA4" w:rsidRPr="00CF7CE9">
        <w:t>Р</w:t>
      </w:r>
      <w:r w:rsidR="006A0093" w:rsidRPr="00CF7CE9">
        <w:t>езолюции содержится призыв к международным финансовым организациям/учреждениям, поставщикам оборудования и операторам/поставщикам услуг</w:t>
      </w:r>
      <w:r w:rsidR="00B82FA4" w:rsidRPr="00CF7CE9">
        <w:t xml:space="preserve"> участвовать</w:t>
      </w:r>
      <w:r w:rsidR="006A0093" w:rsidRPr="00CF7CE9">
        <w:t xml:space="preserve">, полностью или частично, </w:t>
      </w:r>
      <w:r w:rsidR="00B82FA4" w:rsidRPr="00CF7CE9">
        <w:t xml:space="preserve">в </w:t>
      </w:r>
      <w:r w:rsidR="006A0093" w:rsidRPr="00CF7CE9">
        <w:t>финансировани</w:t>
      </w:r>
      <w:r w:rsidR="00B82FA4" w:rsidRPr="00CF7CE9">
        <w:t>и этих</w:t>
      </w:r>
      <w:r w:rsidR="006A0093" w:rsidRPr="00CF7CE9">
        <w:t xml:space="preserve"> инициатив, </w:t>
      </w:r>
      <w:r w:rsidR="00B82FA4" w:rsidRPr="00CF7CE9">
        <w:t>одобренных</w:t>
      </w:r>
      <w:r w:rsidR="006A0093" w:rsidRPr="00CF7CE9">
        <w:t xml:space="preserve">. </w:t>
      </w:r>
    </w:p>
    <w:p w14:paraId="0A31B456" w14:textId="564D7A0E" w:rsidR="006A0093" w:rsidRPr="00CF7CE9" w:rsidRDefault="006A0093" w:rsidP="006A0093">
      <w:pPr>
        <w:pStyle w:val="Heading1"/>
      </w:pPr>
      <w:r w:rsidRPr="00CF7CE9">
        <w:t>2</w:t>
      </w:r>
      <w:r w:rsidRPr="00CF7CE9">
        <w:tab/>
        <w:t>Стратегическая задача развития партнерских отношений и мобилизации ресурсов в МСЭ-D</w:t>
      </w:r>
    </w:p>
    <w:p w14:paraId="2FDFF3C0" w14:textId="0326BADC" w:rsidR="006A0093" w:rsidRPr="00CF7CE9" w:rsidRDefault="006A0093" w:rsidP="006A0093">
      <w:r w:rsidRPr="00CF7CE9">
        <w:t xml:space="preserve">В </w:t>
      </w:r>
      <w:r w:rsidR="0056635F" w:rsidRPr="00CF7CE9">
        <w:t xml:space="preserve">соответствии с решениями ВКРЭ-17 </w:t>
      </w:r>
      <w:r w:rsidRPr="00CF7CE9">
        <w:t xml:space="preserve">задача заключается в содействии, развитии и укреплении сотрудничества с как можно более широким кругом партнеров как из развитых, так и из развивающихся стран в целях </w:t>
      </w:r>
      <w:r w:rsidR="007832FA" w:rsidRPr="00CF7CE9">
        <w:t>активизации</w:t>
      </w:r>
      <w:r w:rsidRPr="00CF7CE9">
        <w:t xml:space="preserve"> мобилизации ресурсов для осуществления программ и региональных инициатив в интересах устойчивого развития. </w:t>
      </w:r>
    </w:p>
    <w:p w14:paraId="3D96E28B" w14:textId="360E8F88" w:rsidR="006A0093" w:rsidRPr="00CF7CE9" w:rsidRDefault="006A0093" w:rsidP="006A0093">
      <w:pPr>
        <w:pStyle w:val="Heading1"/>
      </w:pPr>
      <w:r w:rsidRPr="00CF7CE9">
        <w:t>3</w:t>
      </w:r>
      <w:r w:rsidRPr="00CF7CE9">
        <w:tab/>
      </w:r>
      <w:r w:rsidR="007E094C" w:rsidRPr="00CF7CE9">
        <w:t>Партнерские отношения и р</w:t>
      </w:r>
      <w:r w:rsidRPr="00CF7CE9">
        <w:t xml:space="preserve">езультаты </w:t>
      </w:r>
      <w:r w:rsidR="007E094C" w:rsidRPr="00CF7CE9">
        <w:t>деятельности по</w:t>
      </w:r>
      <w:r w:rsidRPr="00CF7CE9">
        <w:t xml:space="preserve"> мобилизации ресурсов</w:t>
      </w:r>
    </w:p>
    <w:p w14:paraId="6F859745" w14:textId="35E7F231" w:rsidR="00A414A8" w:rsidRPr="00CF7CE9" w:rsidRDefault="00A414A8" w:rsidP="006A0093">
      <w:r w:rsidRPr="00CF7CE9">
        <w:t xml:space="preserve">Заключение соглашений стало возможным благодаря </w:t>
      </w:r>
      <w:r w:rsidR="007E094C" w:rsidRPr="00CF7CE9">
        <w:t>общим</w:t>
      </w:r>
      <w:r w:rsidR="00EA0A10" w:rsidRPr="00CF7CE9">
        <w:t xml:space="preserve"> </w:t>
      </w:r>
      <w:r w:rsidRPr="00CF7CE9">
        <w:t>усилиям членов и партнеров МСЭ, а также сотрудников БРЭ как на местах, так и в штаб-квартире.</w:t>
      </w:r>
    </w:p>
    <w:p w14:paraId="72779359" w14:textId="675F5A22" w:rsidR="00A414A8" w:rsidRPr="00CF7CE9" w:rsidRDefault="00A414A8" w:rsidP="00A414A8">
      <w:pPr>
        <w:pStyle w:val="Heading2"/>
      </w:pPr>
      <w:r w:rsidRPr="00CF7CE9">
        <w:t>3.1</w:t>
      </w:r>
      <w:r w:rsidRPr="00CF7CE9">
        <w:tab/>
      </w:r>
      <w:r w:rsidR="00EA0A10" w:rsidRPr="00CF7CE9">
        <w:t>Партнерские соглашения в первом квартале</w:t>
      </w:r>
      <w:r w:rsidRPr="00CF7CE9">
        <w:t xml:space="preserve"> 2021</w:t>
      </w:r>
      <w:r w:rsidR="00EA0A10" w:rsidRPr="00CF7CE9">
        <w:t> года</w:t>
      </w:r>
    </w:p>
    <w:p w14:paraId="705CBDFB" w14:textId="42B7B672" w:rsidR="00A414A8" w:rsidRPr="00CF7CE9" w:rsidRDefault="007F7045" w:rsidP="00A414A8">
      <w:r w:rsidRPr="00CF7CE9">
        <w:t>В первом квартале</w:t>
      </w:r>
      <w:r w:rsidR="00A414A8" w:rsidRPr="00CF7CE9">
        <w:t xml:space="preserve"> 2021</w:t>
      </w:r>
      <w:r w:rsidRPr="00CF7CE9">
        <w:t xml:space="preserve"> года БРЭ подписало </w:t>
      </w:r>
      <w:r w:rsidR="00A414A8" w:rsidRPr="00CF7CE9">
        <w:t>19</w:t>
      </w:r>
      <w:r w:rsidRPr="00CF7CE9">
        <w:t> соглашений с партнерами, из них</w:t>
      </w:r>
      <w:r w:rsidR="00A414A8" w:rsidRPr="00CF7CE9">
        <w:t xml:space="preserve"> 14 </w:t>
      </w:r>
      <w:r w:rsidR="001318DE" w:rsidRPr="00CF7CE9">
        <w:t>включают</w:t>
      </w:r>
      <w:r w:rsidRPr="00CF7CE9">
        <w:t xml:space="preserve"> финансовые взносы в сумме около </w:t>
      </w:r>
      <w:r w:rsidR="00A414A8" w:rsidRPr="00CF7CE9">
        <w:t>6</w:t>
      </w:r>
      <w:r w:rsidRPr="00CF7CE9">
        <w:t>,</w:t>
      </w:r>
      <w:r w:rsidR="00A414A8" w:rsidRPr="00CF7CE9">
        <w:t>4</w:t>
      </w:r>
      <w:r w:rsidRPr="00CF7CE9">
        <w:t> млн. долл. США</w:t>
      </w:r>
      <w:r w:rsidR="00A414A8" w:rsidRPr="00CF7CE9">
        <w:t xml:space="preserve">. </w:t>
      </w:r>
      <w:r w:rsidRPr="00CF7CE9">
        <w:t>Перечень этих соглашений содержится в</w:t>
      </w:r>
      <w:r w:rsidR="001C0930" w:rsidRPr="00CF7CE9">
        <w:t> </w:t>
      </w:r>
      <w:hyperlink r:id="rId10" w:history="1">
        <w:r w:rsidRPr="00CF7CE9">
          <w:rPr>
            <w:rStyle w:val="Hyperlink"/>
            <w:b/>
            <w:bCs/>
          </w:rPr>
          <w:t>Документе </w:t>
        </w:r>
        <w:proofErr w:type="spellStart"/>
        <w:r w:rsidR="00A414A8" w:rsidRPr="00CF7CE9">
          <w:rPr>
            <w:rStyle w:val="Hyperlink"/>
            <w:b/>
            <w:bCs/>
          </w:rPr>
          <w:t>INF</w:t>
        </w:r>
        <w:proofErr w:type="spellEnd"/>
        <w:r w:rsidR="00A414A8" w:rsidRPr="00CF7CE9">
          <w:rPr>
            <w:rStyle w:val="Hyperlink"/>
            <w:b/>
            <w:bCs/>
          </w:rPr>
          <w:t>/2</w:t>
        </w:r>
      </w:hyperlink>
      <w:r w:rsidR="00A414A8" w:rsidRPr="00CF7CE9">
        <w:t>.</w:t>
      </w:r>
    </w:p>
    <w:p w14:paraId="5EA1C999" w14:textId="407AE6D4" w:rsidR="006A0093" w:rsidRPr="00CF7CE9" w:rsidRDefault="006A0093" w:rsidP="006A0093">
      <w:r w:rsidRPr="00CF7CE9">
        <w:t>На приведенно</w:t>
      </w:r>
      <w:r w:rsidR="007C3E14" w:rsidRPr="00CF7CE9">
        <w:t>й</w:t>
      </w:r>
      <w:r w:rsidRPr="00CF7CE9">
        <w:t xml:space="preserve"> ниже </w:t>
      </w:r>
      <w:r w:rsidR="007C3E14" w:rsidRPr="00CF7CE9">
        <w:t>диаграмме</w:t>
      </w:r>
      <w:r w:rsidRPr="00CF7CE9">
        <w:t xml:space="preserve"> </w:t>
      </w:r>
      <w:r w:rsidR="00C96586" w:rsidRPr="00CF7CE9">
        <w:t>показан</w:t>
      </w:r>
      <w:r w:rsidR="00E60AD6" w:rsidRPr="00CF7CE9">
        <w:t>а структура</w:t>
      </w:r>
      <w:r w:rsidR="00C96586" w:rsidRPr="00CF7CE9">
        <w:t xml:space="preserve"> соглашений о совместном</w:t>
      </w:r>
      <w:r w:rsidRPr="00CF7CE9">
        <w:t xml:space="preserve"> финансировани</w:t>
      </w:r>
      <w:r w:rsidR="00C96586" w:rsidRPr="00CF7CE9">
        <w:t>и</w:t>
      </w:r>
      <w:r w:rsidRPr="00CF7CE9">
        <w:t xml:space="preserve"> между БРЭ и его партнерами</w:t>
      </w:r>
      <w:r w:rsidR="00C96586" w:rsidRPr="00CF7CE9">
        <w:t xml:space="preserve"> в первом квартале 2021 года</w:t>
      </w:r>
      <w:r w:rsidRPr="00CF7CE9">
        <w:t xml:space="preserve">. </w:t>
      </w:r>
    </w:p>
    <w:p w14:paraId="53A513F0" w14:textId="0A892CF3" w:rsidR="00DC4374" w:rsidRPr="00CF7CE9" w:rsidRDefault="00C96586" w:rsidP="002F6367">
      <w:pPr>
        <w:pStyle w:val="Figuretitle"/>
        <w:spacing w:after="120"/>
        <w:rPr>
          <w:lang w:val="ru-RU"/>
        </w:rPr>
      </w:pPr>
      <w:r w:rsidRPr="00CF7CE9">
        <w:rPr>
          <w:lang w:val="ru-RU"/>
        </w:rPr>
        <w:t>Партнерские соглашения с подписанными финансовыми взносами</w:t>
      </w:r>
      <w:r w:rsidRPr="00CF7CE9">
        <w:rPr>
          <w:lang w:val="ru-RU"/>
        </w:rPr>
        <w:br/>
      </w:r>
      <w:r w:rsidR="00DC4374" w:rsidRPr="00CF7CE9">
        <w:rPr>
          <w:lang w:val="ru-RU"/>
        </w:rPr>
        <w:t>(1</w:t>
      </w:r>
      <w:r w:rsidRPr="00CF7CE9">
        <w:rPr>
          <w:lang w:val="ru-RU"/>
        </w:rPr>
        <w:t xml:space="preserve"> квартал</w:t>
      </w:r>
      <w:r w:rsidR="00DC4374" w:rsidRPr="00CF7CE9">
        <w:rPr>
          <w:lang w:val="ru-RU"/>
        </w:rPr>
        <w:t xml:space="preserve"> 2021</w:t>
      </w:r>
      <w:r w:rsidRPr="00CF7CE9">
        <w:rPr>
          <w:lang w:val="ru-RU"/>
        </w:rPr>
        <w:t> г.</w:t>
      </w:r>
      <w:r w:rsidR="00DC4374" w:rsidRPr="00CF7CE9">
        <w:rPr>
          <w:lang w:val="ru-RU"/>
        </w:rPr>
        <w:t>)</w:t>
      </w:r>
    </w:p>
    <w:p w14:paraId="73E35C33" w14:textId="583B5B31" w:rsidR="00B101FB" w:rsidRPr="00CF7CE9" w:rsidRDefault="00B101FB" w:rsidP="002F6367">
      <w:pPr>
        <w:pStyle w:val="Figure"/>
        <w:keepNext w:val="0"/>
        <w:keepLines w:val="0"/>
        <w:spacing w:after="0"/>
        <w:rPr>
          <w:lang w:val="ru-RU"/>
        </w:rPr>
      </w:pPr>
      <w:r w:rsidRPr="00CF7CE9">
        <w:rPr>
          <w:lang w:val="ru-RU"/>
        </w:rPr>
        <w:drawing>
          <wp:inline distT="0" distB="0" distL="0" distR="0" wp14:anchorId="78264E59" wp14:editId="4AB9AC99">
            <wp:extent cx="4305300" cy="2295525"/>
            <wp:effectExtent l="0" t="0" r="0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5A61C04-B51A-4319-AD49-D7C736883B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690C8C" w14:textId="0DEB4268" w:rsidR="00DC4374" w:rsidRPr="00CF7CE9" w:rsidRDefault="00C96586" w:rsidP="00DC4374">
      <w:pPr>
        <w:spacing w:before="360" w:after="120"/>
      </w:pPr>
      <w:r w:rsidRPr="00CF7CE9">
        <w:lastRenderedPageBreak/>
        <w:t xml:space="preserve">В первом квартале </w:t>
      </w:r>
      <w:r w:rsidR="00DC4374" w:rsidRPr="00CF7CE9">
        <w:t>2021</w:t>
      </w:r>
      <w:r w:rsidRPr="00CF7CE9">
        <w:t xml:space="preserve"> года партнерами БРЭ по финансированию были, прежде всего, Государства – Члены МСЭ и другие государственные </w:t>
      </w:r>
      <w:r w:rsidR="00E60AD6" w:rsidRPr="00CF7CE9">
        <w:t>учреждения</w:t>
      </w:r>
      <w:r w:rsidR="00DC4374" w:rsidRPr="00CF7CE9">
        <w:t>,</w:t>
      </w:r>
      <w:r w:rsidRPr="00CF7CE9">
        <w:t xml:space="preserve"> далее следовали организации ООН и структуры частного сектора, как показано ниже</w:t>
      </w:r>
      <w:r w:rsidR="00DC4374" w:rsidRPr="00CF7CE9">
        <w:t>:</w:t>
      </w:r>
    </w:p>
    <w:p w14:paraId="1B8DED51" w14:textId="0804BBB4" w:rsidR="00CF7739" w:rsidRPr="00CF7CE9" w:rsidRDefault="00CF7739" w:rsidP="00CF7739">
      <w:pPr>
        <w:pStyle w:val="Normalaftertitle"/>
      </w:pPr>
      <w:r w:rsidRPr="00CF7CE9">
        <w:drawing>
          <wp:inline distT="0" distB="0" distL="0" distR="0" wp14:anchorId="38A1A289" wp14:editId="56ABDFC2">
            <wp:extent cx="6210300" cy="2943225"/>
            <wp:effectExtent l="0" t="0" r="0" b="9525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A06E3F62-B97D-4FB7-8F78-9881DD54E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E3DC03A" w14:textId="5BE0D7D2" w:rsidR="002F6367" w:rsidRPr="00CF7CE9" w:rsidRDefault="00BE234E" w:rsidP="002F6367">
      <w:pPr>
        <w:spacing w:before="240"/>
      </w:pPr>
      <w:r w:rsidRPr="00CF7CE9">
        <w:t>Тремя партнерами по финансированию с наибольшими финансовыми взносами в первом квартале</w:t>
      </w:r>
      <w:r w:rsidR="002F6367" w:rsidRPr="00CF7CE9">
        <w:t xml:space="preserve"> 2021</w:t>
      </w:r>
      <w:r w:rsidRPr="00CF7CE9">
        <w:t> года были</w:t>
      </w:r>
      <w:r w:rsidR="002F6367" w:rsidRPr="00CF7CE9">
        <w:t xml:space="preserve">: </w:t>
      </w:r>
    </w:p>
    <w:p w14:paraId="72042598" w14:textId="63AA5519" w:rsidR="002F6367" w:rsidRPr="00CF7CE9" w:rsidRDefault="002F6367" w:rsidP="002F6367">
      <w:pPr>
        <w:pStyle w:val="enumlev1"/>
        <w:rPr>
          <w:rFonts w:asciiTheme="minorHAnsi" w:hAnsiTheme="minorHAnsi" w:cstheme="minorHAnsi"/>
        </w:rPr>
      </w:pPr>
      <w:r w:rsidRPr="00CF7CE9">
        <w:rPr>
          <w:rFonts w:asciiTheme="minorHAnsi" w:hAnsiTheme="minorHAnsi" w:cstheme="minorHAnsi"/>
        </w:rPr>
        <w:t>−</w:t>
      </w:r>
      <w:r w:rsidRPr="00CF7CE9">
        <w:rPr>
          <w:rFonts w:asciiTheme="minorHAnsi" w:hAnsiTheme="minorHAnsi" w:cstheme="minorHAnsi"/>
        </w:rPr>
        <w:tab/>
      </w:r>
      <w:r w:rsidR="00BE234E" w:rsidRPr="00CF7CE9">
        <w:rPr>
          <w:rFonts w:asciiTheme="minorHAnsi" w:hAnsiTheme="minorHAnsi" w:cstheme="minorHAnsi"/>
          <w:b/>
          <w:bCs/>
        </w:rPr>
        <w:t>Министерство промышленности и информационных технологий (</w:t>
      </w:r>
      <w:proofErr w:type="spellStart"/>
      <w:r w:rsidR="00BE234E" w:rsidRPr="00CF7CE9">
        <w:rPr>
          <w:rFonts w:asciiTheme="minorHAnsi" w:hAnsiTheme="minorHAnsi" w:cstheme="minorHAnsi"/>
          <w:b/>
          <w:bCs/>
        </w:rPr>
        <w:t>MIIT</w:t>
      </w:r>
      <w:proofErr w:type="spellEnd"/>
      <w:r w:rsidR="00BE234E" w:rsidRPr="00CF7CE9">
        <w:rPr>
          <w:rFonts w:asciiTheme="minorHAnsi" w:hAnsiTheme="minorHAnsi" w:cstheme="minorHAnsi"/>
          <w:b/>
          <w:bCs/>
        </w:rPr>
        <w:t>) Китайской Народной Республики</w:t>
      </w:r>
      <w:r w:rsidRPr="00CF7CE9">
        <w:rPr>
          <w:rFonts w:asciiTheme="minorHAnsi" w:hAnsiTheme="minorHAnsi" w:cstheme="minorHAnsi"/>
        </w:rPr>
        <w:t xml:space="preserve">, </w:t>
      </w:r>
      <w:r w:rsidR="00BE234E" w:rsidRPr="00CF7CE9">
        <w:rPr>
          <w:rFonts w:asciiTheme="minorHAnsi" w:hAnsiTheme="minorHAnsi" w:cstheme="minorHAnsi"/>
        </w:rPr>
        <w:t>подписанный финансовый взнос: около</w:t>
      </w:r>
      <w:r w:rsidRPr="00CF7CE9">
        <w:rPr>
          <w:rFonts w:asciiTheme="minorHAnsi" w:hAnsiTheme="minorHAnsi" w:cstheme="minorHAnsi"/>
          <w:b/>
        </w:rPr>
        <w:t xml:space="preserve"> 1</w:t>
      </w:r>
      <w:r w:rsidR="00BE234E" w:rsidRPr="00CF7CE9">
        <w:rPr>
          <w:rFonts w:asciiTheme="minorHAnsi" w:hAnsiTheme="minorHAnsi" w:cstheme="minorHAnsi"/>
          <w:b/>
        </w:rPr>
        <w:t>,</w:t>
      </w:r>
      <w:r w:rsidRPr="00CF7CE9">
        <w:rPr>
          <w:rFonts w:asciiTheme="minorHAnsi" w:hAnsiTheme="minorHAnsi" w:cstheme="minorHAnsi"/>
          <w:b/>
        </w:rPr>
        <w:t>8</w:t>
      </w:r>
      <w:r w:rsidR="00BE234E" w:rsidRPr="00CF7CE9">
        <w:rPr>
          <w:rFonts w:asciiTheme="minorHAnsi" w:hAnsiTheme="minorHAnsi" w:cstheme="minorHAnsi"/>
          <w:b/>
        </w:rPr>
        <w:t> млн. долл. США</w:t>
      </w:r>
      <w:r w:rsidR="005307F0" w:rsidRPr="00CF7CE9">
        <w:rPr>
          <w:rFonts w:asciiTheme="minorHAnsi" w:hAnsiTheme="minorHAnsi" w:cstheme="minorHAnsi"/>
        </w:rPr>
        <w:t>;</w:t>
      </w:r>
    </w:p>
    <w:p w14:paraId="24231EB9" w14:textId="3F1B5CBC" w:rsidR="002F6367" w:rsidRPr="00CF7CE9" w:rsidRDefault="002F6367" w:rsidP="002F6367">
      <w:pPr>
        <w:pStyle w:val="enumlev1"/>
      </w:pPr>
      <w:r w:rsidRPr="00CF7CE9">
        <w:rPr>
          <w:rFonts w:asciiTheme="minorHAnsi" w:hAnsiTheme="minorHAnsi" w:cstheme="minorHAnsi"/>
        </w:rPr>
        <w:t>−</w:t>
      </w:r>
      <w:r w:rsidRPr="00CF7CE9">
        <w:rPr>
          <w:rFonts w:asciiTheme="minorHAnsi" w:hAnsiTheme="minorHAnsi" w:cstheme="minorHAnsi"/>
        </w:rPr>
        <w:tab/>
      </w:r>
      <w:r w:rsidR="00BE234E" w:rsidRPr="00CF7CE9">
        <w:rPr>
          <w:rFonts w:asciiTheme="minorHAnsi" w:hAnsiTheme="minorHAnsi" w:cstheme="minorHAnsi"/>
          <w:b/>
          <w:bCs/>
        </w:rPr>
        <w:t>правительство Соединенного К</w:t>
      </w:r>
      <w:r w:rsidR="008C562F" w:rsidRPr="00CF7CE9">
        <w:rPr>
          <w:rFonts w:asciiTheme="minorHAnsi" w:hAnsiTheme="minorHAnsi" w:cstheme="minorHAnsi"/>
          <w:b/>
          <w:bCs/>
        </w:rPr>
        <w:t>о</w:t>
      </w:r>
      <w:r w:rsidR="00BE234E" w:rsidRPr="00CF7CE9">
        <w:rPr>
          <w:rFonts w:asciiTheme="minorHAnsi" w:hAnsiTheme="minorHAnsi" w:cstheme="minorHAnsi"/>
          <w:b/>
          <w:bCs/>
        </w:rPr>
        <w:t>ролевства</w:t>
      </w:r>
      <w:r w:rsidR="00BE234E" w:rsidRPr="00CF7CE9">
        <w:rPr>
          <w:rFonts w:asciiTheme="minorHAnsi" w:hAnsiTheme="minorHAnsi" w:cstheme="minorHAnsi"/>
        </w:rPr>
        <w:t xml:space="preserve"> </w:t>
      </w:r>
      <w:r w:rsidR="008C562F" w:rsidRPr="00CF7CE9">
        <w:rPr>
          <w:rFonts w:asciiTheme="minorHAnsi" w:hAnsiTheme="minorHAnsi" w:cstheme="minorHAnsi"/>
          <w:b/>
          <w:bCs/>
        </w:rPr>
        <w:t>Великобритании и Северной Ирландии</w:t>
      </w:r>
      <w:r w:rsidR="008C562F" w:rsidRPr="00CF7CE9">
        <w:rPr>
          <w:rFonts w:asciiTheme="minorHAnsi" w:hAnsiTheme="minorHAnsi" w:cstheme="minorHAnsi"/>
        </w:rPr>
        <w:t xml:space="preserve">, действующее через Министерство иностранных дел, по делам Содружества и развития Соединенного Королевства, подписанный финансовый взнос: около </w:t>
      </w:r>
      <w:r w:rsidR="008C562F" w:rsidRPr="00CF7CE9">
        <w:rPr>
          <w:rFonts w:asciiTheme="minorHAnsi" w:hAnsiTheme="minorHAnsi" w:cstheme="minorHAnsi"/>
          <w:b/>
          <w:bCs/>
        </w:rPr>
        <w:t>1,4 млн. долл. США</w:t>
      </w:r>
      <w:r w:rsidR="005307F0" w:rsidRPr="00CF7CE9">
        <w:t>;</w:t>
      </w:r>
    </w:p>
    <w:p w14:paraId="725E6543" w14:textId="3677754C" w:rsidR="002F6367" w:rsidRPr="00CF7CE9" w:rsidRDefault="002F6367" w:rsidP="002F6367">
      <w:pPr>
        <w:pStyle w:val="enumlev1"/>
        <w:rPr>
          <w:rFonts w:asciiTheme="minorHAnsi" w:hAnsiTheme="minorHAnsi" w:cstheme="minorHAnsi"/>
        </w:rPr>
      </w:pPr>
      <w:r w:rsidRPr="00CF7CE9">
        <w:rPr>
          <w:rFonts w:asciiTheme="minorHAnsi" w:hAnsiTheme="minorHAnsi" w:cstheme="minorHAnsi"/>
        </w:rPr>
        <w:t>−</w:t>
      </w:r>
      <w:r w:rsidRPr="00CF7CE9">
        <w:rPr>
          <w:rFonts w:asciiTheme="minorHAnsi" w:hAnsiTheme="minorHAnsi" w:cstheme="minorHAnsi"/>
        </w:rPr>
        <w:tab/>
      </w:r>
      <w:r w:rsidR="008C562F" w:rsidRPr="00CF7CE9">
        <w:rPr>
          <w:rFonts w:asciiTheme="minorHAnsi" w:hAnsiTheme="minorHAnsi" w:cstheme="minorHAnsi"/>
          <w:b/>
          <w:bCs/>
        </w:rPr>
        <w:t>Центр гуманитарной помощи и гуманитарных операций им. короля Салмана Саудовск</w:t>
      </w:r>
      <w:r w:rsidR="00E60AD6" w:rsidRPr="00CF7CE9">
        <w:rPr>
          <w:rFonts w:asciiTheme="minorHAnsi" w:hAnsiTheme="minorHAnsi" w:cstheme="minorHAnsi"/>
          <w:b/>
          <w:bCs/>
        </w:rPr>
        <w:t>ой</w:t>
      </w:r>
      <w:r w:rsidR="008C562F" w:rsidRPr="00CF7CE9">
        <w:rPr>
          <w:rFonts w:asciiTheme="minorHAnsi" w:hAnsiTheme="minorHAnsi" w:cstheme="minorHAnsi"/>
          <w:b/>
          <w:bCs/>
        </w:rPr>
        <w:t xml:space="preserve"> Арави</w:t>
      </w:r>
      <w:r w:rsidR="00E60AD6" w:rsidRPr="00CF7CE9">
        <w:rPr>
          <w:rFonts w:asciiTheme="minorHAnsi" w:hAnsiTheme="minorHAnsi" w:cstheme="minorHAnsi"/>
          <w:b/>
          <w:bCs/>
        </w:rPr>
        <w:t>и</w:t>
      </w:r>
      <w:r w:rsidRPr="00CF7CE9">
        <w:rPr>
          <w:rFonts w:asciiTheme="minorHAnsi" w:hAnsiTheme="minorHAnsi" w:cstheme="minorHAnsi"/>
        </w:rPr>
        <w:t xml:space="preserve">, </w:t>
      </w:r>
      <w:r w:rsidR="008C562F" w:rsidRPr="00CF7CE9">
        <w:rPr>
          <w:rFonts w:asciiTheme="minorHAnsi" w:hAnsiTheme="minorHAnsi" w:cstheme="minorHAnsi"/>
        </w:rPr>
        <w:t xml:space="preserve">подписанный финансовый взнос: около </w:t>
      </w:r>
      <w:r w:rsidRPr="00CF7CE9">
        <w:rPr>
          <w:rFonts w:asciiTheme="minorHAnsi" w:hAnsiTheme="minorHAnsi" w:cstheme="minorHAnsi"/>
          <w:b/>
        </w:rPr>
        <w:t>562</w:t>
      </w:r>
      <w:r w:rsidR="008C562F" w:rsidRPr="00CF7CE9">
        <w:rPr>
          <w:rFonts w:asciiTheme="minorHAnsi" w:hAnsiTheme="minorHAnsi" w:cstheme="minorHAnsi"/>
          <w:b/>
        </w:rPr>
        <w:t> </w:t>
      </w:r>
      <w:r w:rsidRPr="00CF7CE9">
        <w:rPr>
          <w:rFonts w:asciiTheme="minorHAnsi" w:hAnsiTheme="minorHAnsi" w:cstheme="minorHAnsi"/>
          <w:b/>
        </w:rPr>
        <w:t>500</w:t>
      </w:r>
      <w:r w:rsidR="008C562F" w:rsidRPr="00CF7CE9">
        <w:rPr>
          <w:rFonts w:asciiTheme="minorHAnsi" w:hAnsiTheme="minorHAnsi" w:cstheme="minorHAnsi"/>
          <w:b/>
        </w:rPr>
        <w:t> </w:t>
      </w:r>
      <w:r w:rsidR="008C562F" w:rsidRPr="00CF7CE9">
        <w:rPr>
          <w:rFonts w:asciiTheme="minorHAnsi" w:hAnsiTheme="minorHAnsi" w:cstheme="minorHAnsi"/>
          <w:bCs/>
        </w:rPr>
        <w:t>долл. США</w:t>
      </w:r>
      <w:r w:rsidRPr="00CF7CE9">
        <w:rPr>
          <w:rFonts w:asciiTheme="minorHAnsi" w:hAnsiTheme="minorHAnsi" w:cstheme="minorHAnsi"/>
        </w:rPr>
        <w:t xml:space="preserve">. </w:t>
      </w:r>
    </w:p>
    <w:p w14:paraId="2A5FB52D" w14:textId="083EBB9D" w:rsidR="002F6367" w:rsidRPr="00CF7CE9" w:rsidRDefault="008C562F" w:rsidP="002F6367">
      <w:r w:rsidRPr="00CF7CE9">
        <w:t>На следующи</w:t>
      </w:r>
      <w:r w:rsidR="00E60AD6" w:rsidRPr="00CF7CE9">
        <w:t>х</w:t>
      </w:r>
      <w:r w:rsidRPr="00CF7CE9">
        <w:t xml:space="preserve"> </w:t>
      </w:r>
      <w:r w:rsidR="00E60AD6" w:rsidRPr="00CF7CE9">
        <w:t>диаграммах</w:t>
      </w:r>
      <w:r w:rsidRPr="00CF7CE9">
        <w:t xml:space="preserve"> показано распределение финансовых взносов, включенных в подписанные соглашения, в разбивке по регионам и тематическим приоритетам</w:t>
      </w:r>
      <w:r w:rsidR="002F6367" w:rsidRPr="00CF7CE9">
        <w:t xml:space="preserve">. </w:t>
      </w:r>
    </w:p>
    <w:p w14:paraId="4240057C" w14:textId="752D8461" w:rsidR="00DD31BF" w:rsidRPr="00CF7CE9" w:rsidRDefault="00DD31BF" w:rsidP="00CF7739">
      <w:pPr>
        <w:pStyle w:val="Figuretitle"/>
        <w:keepNext w:val="0"/>
        <w:rPr>
          <w:lang w:val="ru-RU"/>
        </w:rPr>
      </w:pPr>
      <w:r w:rsidRPr="00CF7CE9">
        <w:rPr>
          <w:lang w:val="ru-RU"/>
        </w:rPr>
        <w:drawing>
          <wp:inline distT="0" distB="0" distL="0" distR="0" wp14:anchorId="6E3C84EE" wp14:editId="49D2939A">
            <wp:extent cx="4434840" cy="2714625"/>
            <wp:effectExtent l="0" t="0" r="3810" b="95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2C5D5477-6AE3-472B-9EF5-0A01A1E3D3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C9009CC" w14:textId="557FD335" w:rsidR="00DD31BF" w:rsidRPr="00CF7CE9" w:rsidRDefault="00DD31BF" w:rsidP="00DD31BF">
      <w:pPr>
        <w:pStyle w:val="Figuretitle"/>
        <w:rPr>
          <w:lang w:val="ru-RU"/>
        </w:rPr>
      </w:pPr>
      <w:r w:rsidRPr="00CF7CE9">
        <w:rPr>
          <w:lang w:val="ru-RU"/>
        </w:rPr>
        <w:lastRenderedPageBreak/>
        <mc:AlternateContent>
          <mc:Choice Requires="cx2">
            <w:drawing>
              <wp:inline distT="0" distB="0" distL="0" distR="0" wp14:anchorId="4C15F4DB" wp14:editId="2E755636">
                <wp:extent cx="6120130" cy="2724785"/>
                <wp:effectExtent l="0" t="0" r="13970" b="18415"/>
                <wp:docPr id="8" name="Char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E91DEA-9178-4E1C-9BE2-83374F31F7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4"/>
                  </a:graphicData>
                </a:graphic>
              </wp:inline>
            </w:drawing>
          </mc:Choice>
          <mc:Fallback>
            <w:drawing>
              <wp:inline distT="0" distB="0" distL="0" distR="0" wp14:anchorId="4C15F4DB" wp14:editId="2E755636">
                <wp:extent cx="6120130" cy="2724785"/>
                <wp:effectExtent l="0" t="0" r="13970" b="18415"/>
                <wp:docPr id="8" name="Char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E91DEA-9178-4E1C-9BE2-83374F31F7BE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hart 8">
                          <a:extLst>
                            <a:ext uri="{FF2B5EF4-FFF2-40B4-BE49-F238E27FC236}">
                              <a16:creationId xmlns:a16="http://schemas.microsoft.com/office/drawing/2014/main" id="{9EE91DEA-9178-4E1C-9BE2-83374F31F7BE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272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C0D22C2" w14:textId="30541FBB" w:rsidR="006F4626" w:rsidRPr="00CF7CE9" w:rsidRDefault="006F4626" w:rsidP="006F4626">
      <w:pPr>
        <w:pStyle w:val="Heading2"/>
      </w:pPr>
      <w:r w:rsidRPr="00CF7CE9">
        <w:t>3.2</w:t>
      </w:r>
      <w:r w:rsidRPr="00CF7CE9">
        <w:tab/>
      </w:r>
      <w:r w:rsidR="001C0930" w:rsidRPr="00CF7CE9">
        <w:t>Партнерские соглашения в</w:t>
      </w:r>
      <w:r w:rsidRPr="00CF7CE9">
        <w:t xml:space="preserve"> 2020</w:t>
      </w:r>
      <w:r w:rsidR="001C0930" w:rsidRPr="00CF7CE9">
        <w:t xml:space="preserve"> году</w:t>
      </w:r>
    </w:p>
    <w:p w14:paraId="5EFB36BB" w14:textId="7509DF60" w:rsidR="006F4626" w:rsidRPr="00CF7CE9" w:rsidRDefault="001C0930" w:rsidP="006F4626">
      <w:r w:rsidRPr="00CF7CE9">
        <w:t>В</w:t>
      </w:r>
      <w:r w:rsidR="006F4626" w:rsidRPr="00CF7CE9">
        <w:t xml:space="preserve"> 2020</w:t>
      </w:r>
      <w:r w:rsidRPr="00CF7CE9">
        <w:t> году</w:t>
      </w:r>
      <w:r w:rsidR="006F4626" w:rsidRPr="00CF7CE9">
        <w:t xml:space="preserve"> </w:t>
      </w:r>
      <w:r w:rsidRPr="00CF7CE9">
        <w:t xml:space="preserve">БРЭ подписало </w:t>
      </w:r>
      <w:r w:rsidR="006F4626" w:rsidRPr="00CF7CE9">
        <w:t>43</w:t>
      </w:r>
      <w:r w:rsidRPr="00CF7CE9">
        <w:t xml:space="preserve"> соглашения с партнерами, из них 28 включают финансовые взносы в сумме около </w:t>
      </w:r>
      <w:r w:rsidR="006F4626" w:rsidRPr="00CF7CE9">
        <w:t>15</w:t>
      </w:r>
      <w:r w:rsidRPr="00CF7CE9">
        <w:t>,</w:t>
      </w:r>
      <w:r w:rsidR="006F4626" w:rsidRPr="00CF7CE9">
        <w:t>2</w:t>
      </w:r>
      <w:r w:rsidRPr="00CF7CE9">
        <w:t> млн. долл. США</w:t>
      </w:r>
      <w:r w:rsidR="006F4626" w:rsidRPr="00CF7CE9">
        <w:t xml:space="preserve">. </w:t>
      </w:r>
      <w:r w:rsidRPr="00CF7CE9">
        <w:t>Перечень этих соглашений содержится в </w:t>
      </w:r>
      <w:hyperlink r:id="rId16" w:history="1">
        <w:r w:rsidRPr="00CF7CE9">
          <w:rPr>
            <w:rStyle w:val="Hyperlink"/>
            <w:b/>
            <w:bCs/>
            <w:szCs w:val="24"/>
          </w:rPr>
          <w:t>Документе </w:t>
        </w:r>
        <w:proofErr w:type="spellStart"/>
        <w:r w:rsidR="006F4626" w:rsidRPr="00CF7CE9">
          <w:rPr>
            <w:rStyle w:val="Hyperlink"/>
            <w:b/>
            <w:bCs/>
            <w:szCs w:val="24"/>
          </w:rPr>
          <w:t>NF</w:t>
        </w:r>
        <w:proofErr w:type="spellEnd"/>
        <w:r w:rsidR="006F4626" w:rsidRPr="00CF7CE9">
          <w:rPr>
            <w:rStyle w:val="Hyperlink"/>
            <w:b/>
            <w:bCs/>
            <w:szCs w:val="24"/>
          </w:rPr>
          <w:t>/2</w:t>
        </w:r>
      </w:hyperlink>
      <w:r w:rsidR="006F4626" w:rsidRPr="00CF7CE9">
        <w:t>.</w:t>
      </w:r>
    </w:p>
    <w:p w14:paraId="2C798DA3" w14:textId="0D770A31" w:rsidR="006F4626" w:rsidRPr="00CF7CE9" w:rsidRDefault="007C3E14" w:rsidP="0048757D">
      <w:r w:rsidRPr="00CF7CE9">
        <w:t>На приведенной ниже диаграмме показан</w:t>
      </w:r>
      <w:r w:rsidR="00E60AD6" w:rsidRPr="00CF7CE9">
        <w:t>а структура</w:t>
      </w:r>
      <w:r w:rsidRPr="00CF7CE9">
        <w:t xml:space="preserve"> соглашений о совместном финансировании между БРЭ и его партнерами в 2020 году</w:t>
      </w:r>
      <w:r w:rsidR="006F4626" w:rsidRPr="00CF7CE9">
        <w:t xml:space="preserve">. </w:t>
      </w:r>
    </w:p>
    <w:p w14:paraId="533EFB5B" w14:textId="1B5B74A6" w:rsidR="006F4626" w:rsidRPr="00CF7CE9" w:rsidRDefault="007C3E14" w:rsidP="00454762">
      <w:pPr>
        <w:pStyle w:val="Figuretitle"/>
        <w:rPr>
          <w:lang w:val="ru-RU"/>
        </w:rPr>
      </w:pPr>
      <w:r w:rsidRPr="00CF7CE9">
        <w:rPr>
          <w:lang w:val="ru-RU"/>
        </w:rPr>
        <w:t>Партнерские соглашения с подписанными финансовыми взносами (2020 г.)</w:t>
      </w:r>
    </w:p>
    <w:p w14:paraId="704DF4A7" w14:textId="3D256DCF" w:rsidR="007E6988" w:rsidRPr="00CF7CE9" w:rsidRDefault="006F4626" w:rsidP="006F4626">
      <w:pPr>
        <w:pStyle w:val="Figure"/>
        <w:rPr>
          <w:lang w:val="ru-RU"/>
        </w:rPr>
      </w:pPr>
      <w:r w:rsidRPr="00CF7CE9">
        <w:rPr>
          <w:lang w:val="ru-RU"/>
        </w:rPr>
        <w:drawing>
          <wp:inline distT="0" distB="0" distL="0" distR="0" wp14:anchorId="5FF277BD" wp14:editId="4CE95923">
            <wp:extent cx="4411662" cy="2713038"/>
            <wp:effectExtent l="0" t="0" r="8255" b="1143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323B70BB-FE27-4226-B218-918A705A5E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3B0D961" w14:textId="2A82FF81" w:rsidR="007E6988" w:rsidRPr="00CF7CE9" w:rsidRDefault="007C3E14" w:rsidP="0048757D">
      <w:pPr>
        <w:spacing w:before="240" w:after="240"/>
      </w:pPr>
      <w:r w:rsidRPr="00CF7CE9">
        <w:t>В</w:t>
      </w:r>
      <w:r w:rsidR="006F4626" w:rsidRPr="00CF7CE9">
        <w:t xml:space="preserve"> 2020</w:t>
      </w:r>
      <w:r w:rsidRPr="00CF7CE9">
        <w:t> году основными</w:t>
      </w:r>
      <w:r w:rsidR="006F4626" w:rsidRPr="00CF7CE9">
        <w:t xml:space="preserve"> </w:t>
      </w:r>
      <w:r w:rsidRPr="00CF7CE9">
        <w:t xml:space="preserve">партнерами БРЭ по финансированию были, прежде всего, Государства – Члены МСЭ и другие государственные </w:t>
      </w:r>
      <w:r w:rsidR="00E60AD6" w:rsidRPr="00CF7CE9">
        <w:t>учреждения</w:t>
      </w:r>
      <w:r w:rsidRPr="00CF7CE9">
        <w:t>, далее следовали международные и региональные организации и ассоциации, структуры частного сектора, организации ООН, фонды и академические организации</w:t>
      </w:r>
      <w:r w:rsidR="006F4626" w:rsidRPr="00CF7CE9">
        <w:t>.</w:t>
      </w:r>
    </w:p>
    <w:p w14:paraId="3B7290C5" w14:textId="348817B2" w:rsidR="00CF7CE9" w:rsidRPr="00CF7CE9" w:rsidRDefault="00CF7CE9" w:rsidP="00CF7CE9">
      <w:pPr>
        <w:pStyle w:val="Normalaftertitle"/>
      </w:pPr>
      <w:r w:rsidRPr="00CF7CE9">
        <w:lastRenderedPageBreak/>
        <w:drawing>
          <wp:inline distT="0" distB="0" distL="0" distR="0" wp14:anchorId="6401DD61" wp14:editId="3696CAA6">
            <wp:extent cx="6075363" cy="2778125"/>
            <wp:effectExtent l="0" t="0" r="1905" b="317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93BB1FB0-4F0F-40EC-9B4A-273C871208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71F926" w14:textId="686C3DFE" w:rsidR="006F4626" w:rsidRPr="00CF7CE9" w:rsidRDefault="000E2033" w:rsidP="0048757D">
      <w:pPr>
        <w:spacing w:before="240"/>
      </w:pPr>
      <w:r w:rsidRPr="00CF7CE9">
        <w:t>Тремя партнерами по финансированию с наибольшими финансовыми взносами в 2020 году были:</w:t>
      </w:r>
      <w:r w:rsidR="006F4626" w:rsidRPr="00CF7CE9">
        <w:t xml:space="preserve"> </w:t>
      </w:r>
    </w:p>
    <w:p w14:paraId="6D6FFE65" w14:textId="4D49AB05" w:rsidR="006F4626" w:rsidRPr="00CF7CE9" w:rsidRDefault="0048757D" w:rsidP="0048757D">
      <w:pPr>
        <w:pStyle w:val="enumlev1"/>
        <w:rPr>
          <w:rFonts w:asciiTheme="minorHAnsi" w:hAnsiTheme="minorHAnsi" w:cstheme="minorHAnsi"/>
        </w:rPr>
      </w:pPr>
      <w:r w:rsidRPr="00CF7CE9">
        <w:rPr>
          <w:rFonts w:asciiTheme="minorHAnsi" w:hAnsiTheme="minorHAnsi" w:cstheme="minorHAnsi"/>
        </w:rPr>
        <w:t>−</w:t>
      </w:r>
      <w:r w:rsidRPr="00CF7CE9">
        <w:rPr>
          <w:rFonts w:asciiTheme="minorHAnsi" w:hAnsiTheme="minorHAnsi" w:cstheme="minorHAnsi"/>
        </w:rPr>
        <w:tab/>
      </w:r>
      <w:r w:rsidR="000E2033" w:rsidRPr="00CF7CE9">
        <w:rPr>
          <w:rFonts w:asciiTheme="minorHAnsi" w:hAnsiTheme="minorHAnsi" w:cstheme="minorHAnsi"/>
          <w:b/>
        </w:rPr>
        <w:t xml:space="preserve">Норвежское агентство по сотрудничеству в целях развития </w:t>
      </w:r>
      <w:r w:rsidR="006F4626" w:rsidRPr="00CF7CE9">
        <w:rPr>
          <w:rFonts w:asciiTheme="minorHAnsi" w:hAnsiTheme="minorHAnsi" w:cstheme="minorHAnsi"/>
          <w:b/>
        </w:rPr>
        <w:t>(</w:t>
      </w:r>
      <w:proofErr w:type="spellStart"/>
      <w:r w:rsidR="006F4626" w:rsidRPr="00CF7CE9">
        <w:rPr>
          <w:rFonts w:asciiTheme="minorHAnsi" w:hAnsiTheme="minorHAnsi" w:cstheme="minorHAnsi"/>
          <w:b/>
        </w:rPr>
        <w:t>NORAD</w:t>
      </w:r>
      <w:proofErr w:type="spellEnd"/>
      <w:r w:rsidR="006F4626" w:rsidRPr="00CF7CE9">
        <w:rPr>
          <w:rFonts w:asciiTheme="minorHAnsi" w:hAnsiTheme="minorHAnsi" w:cstheme="minorHAnsi"/>
        </w:rPr>
        <w:t xml:space="preserve">), </w:t>
      </w:r>
      <w:r w:rsidR="000E2033" w:rsidRPr="00CF7CE9">
        <w:rPr>
          <w:rFonts w:asciiTheme="minorHAnsi" w:hAnsiTheme="minorHAnsi" w:cstheme="minorHAnsi"/>
        </w:rPr>
        <w:t>подписанный финансовый взнос:</w:t>
      </w:r>
      <w:r w:rsidR="006F4626" w:rsidRPr="00CF7CE9">
        <w:rPr>
          <w:rFonts w:asciiTheme="minorHAnsi" w:hAnsiTheme="minorHAnsi" w:cstheme="minorHAnsi"/>
          <w:b/>
        </w:rPr>
        <w:t xml:space="preserve"> 3</w:t>
      </w:r>
      <w:r w:rsidR="0077058D" w:rsidRPr="00CF7CE9">
        <w:rPr>
          <w:rFonts w:asciiTheme="minorHAnsi" w:hAnsiTheme="minorHAnsi" w:cstheme="minorHAnsi"/>
          <w:b/>
        </w:rPr>
        <w:t>,</w:t>
      </w:r>
      <w:r w:rsidR="006F4626" w:rsidRPr="00CF7CE9">
        <w:rPr>
          <w:rFonts w:asciiTheme="minorHAnsi" w:hAnsiTheme="minorHAnsi" w:cstheme="minorHAnsi"/>
          <w:b/>
        </w:rPr>
        <w:t>3</w:t>
      </w:r>
      <w:r w:rsidR="0077058D" w:rsidRPr="00CF7CE9">
        <w:rPr>
          <w:rFonts w:asciiTheme="minorHAnsi" w:hAnsiTheme="minorHAnsi" w:cstheme="minorHAnsi"/>
          <w:b/>
        </w:rPr>
        <w:t> </w:t>
      </w:r>
      <w:r w:rsidR="000E2033" w:rsidRPr="00CF7CE9">
        <w:rPr>
          <w:rFonts w:asciiTheme="minorHAnsi" w:hAnsiTheme="minorHAnsi" w:cstheme="minorHAnsi"/>
          <w:b/>
        </w:rPr>
        <w:t>млн. долл. США</w:t>
      </w:r>
      <w:r w:rsidR="005307F0" w:rsidRPr="00CF7CE9">
        <w:rPr>
          <w:rFonts w:asciiTheme="minorHAnsi" w:hAnsiTheme="minorHAnsi" w:cstheme="minorHAnsi"/>
        </w:rPr>
        <w:t>;</w:t>
      </w:r>
    </w:p>
    <w:p w14:paraId="7C7F4F7D" w14:textId="5466E727" w:rsidR="006F4626" w:rsidRPr="00CF7CE9" w:rsidRDefault="0048757D" w:rsidP="0048757D">
      <w:pPr>
        <w:pStyle w:val="enumlev1"/>
        <w:rPr>
          <w:rFonts w:asciiTheme="minorHAnsi" w:hAnsiTheme="minorHAnsi" w:cstheme="minorHAnsi"/>
        </w:rPr>
      </w:pPr>
      <w:r w:rsidRPr="00CF7CE9">
        <w:rPr>
          <w:rFonts w:asciiTheme="minorHAnsi" w:hAnsiTheme="minorHAnsi" w:cstheme="minorHAnsi"/>
        </w:rPr>
        <w:t>−</w:t>
      </w:r>
      <w:r w:rsidRPr="00CF7CE9">
        <w:rPr>
          <w:rFonts w:asciiTheme="minorHAnsi" w:hAnsiTheme="minorHAnsi" w:cstheme="minorHAnsi"/>
        </w:rPr>
        <w:tab/>
      </w:r>
      <w:r w:rsidR="0077058D" w:rsidRPr="00CF7CE9">
        <w:rPr>
          <w:rStyle w:val="normaltextrun"/>
          <w:rFonts w:asciiTheme="minorHAnsi" w:hAnsiTheme="minorHAnsi" w:cstheme="minorHAnsi"/>
          <w:b/>
          <w:color w:val="000000"/>
        </w:rPr>
        <w:t xml:space="preserve">Национальное управление кибербезопасности </w:t>
      </w:r>
      <w:r w:rsidR="006F4626" w:rsidRPr="00CF7CE9">
        <w:rPr>
          <w:rStyle w:val="normaltextrun"/>
          <w:rFonts w:asciiTheme="minorHAnsi" w:hAnsiTheme="minorHAnsi" w:cstheme="minorHAnsi"/>
          <w:b/>
          <w:color w:val="000000"/>
        </w:rPr>
        <w:t>(</w:t>
      </w:r>
      <w:proofErr w:type="spellStart"/>
      <w:r w:rsidR="006F4626" w:rsidRPr="00CF7CE9">
        <w:rPr>
          <w:rStyle w:val="normaltextrun"/>
          <w:rFonts w:asciiTheme="minorHAnsi" w:hAnsiTheme="minorHAnsi" w:cstheme="minorHAnsi"/>
          <w:b/>
          <w:color w:val="000000"/>
        </w:rPr>
        <w:t>NCA</w:t>
      </w:r>
      <w:proofErr w:type="spellEnd"/>
      <w:r w:rsidR="006F4626" w:rsidRPr="00CF7CE9">
        <w:rPr>
          <w:rStyle w:val="normaltextrun"/>
          <w:rFonts w:asciiTheme="minorHAnsi" w:hAnsiTheme="minorHAnsi" w:cstheme="minorHAnsi"/>
          <w:b/>
          <w:color w:val="000000"/>
        </w:rPr>
        <w:t>)</w:t>
      </w:r>
      <w:r w:rsidR="006F4626" w:rsidRPr="00CF7CE9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77058D" w:rsidRPr="00CF7CE9">
        <w:rPr>
          <w:rStyle w:val="normaltextrun"/>
          <w:rFonts w:asciiTheme="minorHAnsi" w:hAnsiTheme="minorHAnsi" w:cstheme="minorHAnsi"/>
          <w:b/>
          <w:color w:val="000000"/>
        </w:rPr>
        <w:t>Саудовской Аравии</w:t>
      </w:r>
      <w:r w:rsidR="006F4626" w:rsidRPr="00CF7CE9">
        <w:rPr>
          <w:rFonts w:asciiTheme="minorHAnsi" w:hAnsiTheme="minorHAnsi" w:cstheme="minorHAnsi"/>
        </w:rPr>
        <w:t xml:space="preserve">, </w:t>
      </w:r>
      <w:r w:rsidR="000E2033" w:rsidRPr="00CF7CE9">
        <w:rPr>
          <w:rFonts w:asciiTheme="minorHAnsi" w:hAnsiTheme="minorHAnsi" w:cstheme="minorHAnsi"/>
        </w:rPr>
        <w:t>подписанный финансовый взнос:</w:t>
      </w:r>
      <w:r w:rsidR="006F4626" w:rsidRPr="00CF7CE9">
        <w:rPr>
          <w:rFonts w:asciiTheme="minorHAnsi" w:hAnsiTheme="minorHAnsi" w:cstheme="minorHAnsi"/>
          <w:b/>
        </w:rPr>
        <w:t xml:space="preserve"> 1</w:t>
      </w:r>
      <w:r w:rsidR="0077058D" w:rsidRPr="00CF7CE9">
        <w:rPr>
          <w:rFonts w:asciiTheme="minorHAnsi" w:hAnsiTheme="minorHAnsi" w:cstheme="minorHAnsi"/>
          <w:b/>
        </w:rPr>
        <w:t>,</w:t>
      </w:r>
      <w:r w:rsidR="006F4626" w:rsidRPr="00CF7CE9">
        <w:rPr>
          <w:rFonts w:asciiTheme="minorHAnsi" w:hAnsiTheme="minorHAnsi" w:cstheme="minorHAnsi"/>
          <w:b/>
        </w:rPr>
        <w:t>6</w:t>
      </w:r>
      <w:r w:rsidR="0077058D" w:rsidRPr="00CF7CE9">
        <w:rPr>
          <w:rFonts w:asciiTheme="minorHAnsi" w:hAnsiTheme="minorHAnsi" w:cstheme="minorHAnsi"/>
          <w:b/>
        </w:rPr>
        <w:t> </w:t>
      </w:r>
      <w:r w:rsidR="000E2033" w:rsidRPr="00CF7CE9">
        <w:rPr>
          <w:rFonts w:asciiTheme="minorHAnsi" w:hAnsiTheme="minorHAnsi" w:cstheme="minorHAnsi"/>
          <w:b/>
        </w:rPr>
        <w:t>млн. долл. США</w:t>
      </w:r>
      <w:r w:rsidR="005307F0" w:rsidRPr="00CF7CE9">
        <w:rPr>
          <w:rFonts w:asciiTheme="minorHAnsi" w:hAnsiTheme="minorHAnsi" w:cstheme="minorHAnsi"/>
        </w:rPr>
        <w:t>;</w:t>
      </w:r>
    </w:p>
    <w:p w14:paraId="3B1976B5" w14:textId="4305702B" w:rsidR="006F4626" w:rsidRPr="00CF7CE9" w:rsidRDefault="0048757D" w:rsidP="0048757D">
      <w:pPr>
        <w:pStyle w:val="enumlev1"/>
      </w:pPr>
      <w:r w:rsidRPr="00CF7CE9">
        <w:t>−</w:t>
      </w:r>
      <w:r w:rsidRPr="00CF7CE9">
        <w:tab/>
      </w:r>
      <w:r w:rsidR="0077058D" w:rsidRPr="00CF7CE9">
        <w:rPr>
          <w:rStyle w:val="normaltextrun"/>
          <w:rFonts w:asciiTheme="minorHAnsi" w:eastAsia="SimHei" w:hAnsiTheme="minorHAnsi" w:cstheme="minorHAnsi"/>
          <w:b/>
        </w:rPr>
        <w:t xml:space="preserve">Комиссии по связи и информационным технологиям </w:t>
      </w:r>
      <w:r w:rsidR="006F4626" w:rsidRPr="00CF7CE9">
        <w:rPr>
          <w:rStyle w:val="normaltextrun"/>
          <w:rFonts w:asciiTheme="minorHAnsi" w:eastAsia="SimHei" w:hAnsiTheme="minorHAnsi" w:cstheme="minorHAnsi"/>
          <w:b/>
        </w:rPr>
        <w:t>(</w:t>
      </w:r>
      <w:proofErr w:type="spellStart"/>
      <w:r w:rsidR="006F4626" w:rsidRPr="00CF7CE9">
        <w:rPr>
          <w:rStyle w:val="normaltextrun"/>
          <w:rFonts w:asciiTheme="minorHAnsi" w:eastAsia="SimHei" w:hAnsiTheme="minorHAnsi" w:cstheme="minorHAnsi"/>
          <w:b/>
        </w:rPr>
        <w:t>CITC</w:t>
      </w:r>
      <w:proofErr w:type="spellEnd"/>
      <w:r w:rsidR="006F4626" w:rsidRPr="00CF7CE9">
        <w:rPr>
          <w:rStyle w:val="normaltextrun"/>
          <w:rFonts w:asciiTheme="minorHAnsi" w:eastAsia="SimHei" w:hAnsiTheme="minorHAnsi" w:cstheme="minorHAnsi"/>
          <w:b/>
        </w:rPr>
        <w:t>)</w:t>
      </w:r>
      <w:r w:rsidR="006F4626" w:rsidRPr="00CF7CE9">
        <w:rPr>
          <w:b/>
          <w:bCs/>
        </w:rPr>
        <w:t xml:space="preserve"> </w:t>
      </w:r>
      <w:r w:rsidR="0077058D" w:rsidRPr="00CF7CE9">
        <w:rPr>
          <w:b/>
          <w:bCs/>
        </w:rPr>
        <w:t>Саудовск</w:t>
      </w:r>
      <w:r w:rsidR="00E60AD6" w:rsidRPr="00CF7CE9">
        <w:rPr>
          <w:b/>
          <w:bCs/>
        </w:rPr>
        <w:t>ой</w:t>
      </w:r>
      <w:r w:rsidR="0077058D" w:rsidRPr="00CF7CE9">
        <w:rPr>
          <w:b/>
          <w:bCs/>
        </w:rPr>
        <w:t xml:space="preserve"> Арави</w:t>
      </w:r>
      <w:r w:rsidR="00E60AD6" w:rsidRPr="00CF7CE9">
        <w:rPr>
          <w:b/>
          <w:bCs/>
        </w:rPr>
        <w:t>и</w:t>
      </w:r>
      <w:r w:rsidR="006F4626" w:rsidRPr="00CF7CE9">
        <w:t xml:space="preserve">, </w:t>
      </w:r>
      <w:r w:rsidR="000E2033" w:rsidRPr="00CF7CE9">
        <w:t>подписанный финансовый взнос:</w:t>
      </w:r>
      <w:r w:rsidR="006F4626" w:rsidRPr="00CF7CE9">
        <w:rPr>
          <w:bCs/>
        </w:rPr>
        <w:t xml:space="preserve"> </w:t>
      </w:r>
      <w:r w:rsidR="006F4626" w:rsidRPr="00CF7CE9">
        <w:rPr>
          <w:b/>
        </w:rPr>
        <w:t>1</w:t>
      </w:r>
      <w:r w:rsidR="0077058D" w:rsidRPr="00CF7CE9">
        <w:rPr>
          <w:b/>
        </w:rPr>
        <w:t>,</w:t>
      </w:r>
      <w:r w:rsidR="006F4626" w:rsidRPr="00CF7CE9">
        <w:rPr>
          <w:b/>
        </w:rPr>
        <w:t>45</w:t>
      </w:r>
      <w:r w:rsidR="0077058D" w:rsidRPr="00CF7CE9">
        <w:rPr>
          <w:b/>
        </w:rPr>
        <w:t> </w:t>
      </w:r>
      <w:r w:rsidR="000E2033" w:rsidRPr="00CF7CE9">
        <w:rPr>
          <w:b/>
        </w:rPr>
        <w:t>млн. долл. США</w:t>
      </w:r>
      <w:r w:rsidR="006F4626" w:rsidRPr="00CF7CE9">
        <w:rPr>
          <w:bCs/>
        </w:rPr>
        <w:t>.</w:t>
      </w:r>
    </w:p>
    <w:p w14:paraId="5AEBC0D0" w14:textId="4A27D386" w:rsidR="006F4626" w:rsidRPr="00CF7CE9" w:rsidRDefault="00C6194D" w:rsidP="005307F0">
      <w:r w:rsidRPr="00CF7CE9">
        <w:t>На следующ</w:t>
      </w:r>
      <w:r w:rsidR="00E60AD6" w:rsidRPr="00CF7CE9">
        <w:t>их диаграммах</w:t>
      </w:r>
      <w:r w:rsidRPr="00CF7CE9">
        <w:t xml:space="preserve"> показан</w:t>
      </w:r>
      <w:r w:rsidR="00E60AD6" w:rsidRPr="00CF7CE9">
        <w:t>ы</w:t>
      </w:r>
      <w:r w:rsidRPr="00CF7CE9">
        <w:t xml:space="preserve"> финансовы</w:t>
      </w:r>
      <w:r w:rsidR="00E60AD6" w:rsidRPr="00CF7CE9">
        <w:t>е</w:t>
      </w:r>
      <w:r w:rsidRPr="00CF7CE9">
        <w:t xml:space="preserve"> взнос</w:t>
      </w:r>
      <w:r w:rsidR="00E60AD6" w:rsidRPr="00CF7CE9">
        <w:t>ы</w:t>
      </w:r>
      <w:r w:rsidRPr="00CF7CE9">
        <w:t>, включенны</w:t>
      </w:r>
      <w:r w:rsidR="00E60AD6" w:rsidRPr="00CF7CE9">
        <w:t>е</w:t>
      </w:r>
      <w:r w:rsidRPr="00CF7CE9">
        <w:t xml:space="preserve"> в подписанные соглашения, в разбивке по регионам и тематическим приоритетам.</w:t>
      </w:r>
      <w:r w:rsidR="006F4626" w:rsidRPr="00CF7CE9">
        <w:t xml:space="preserve"> </w:t>
      </w:r>
    </w:p>
    <w:p w14:paraId="2280C088" w14:textId="45C28CC3" w:rsidR="002D5D4C" w:rsidRPr="00CF7CE9" w:rsidRDefault="002D5D4C" w:rsidP="00CF7739">
      <w:pPr>
        <w:pStyle w:val="Figuretitle"/>
        <w:keepNext w:val="0"/>
        <w:rPr>
          <w:lang w:val="ru-RU"/>
        </w:rPr>
      </w:pPr>
      <w:r w:rsidRPr="00CF7CE9">
        <w:rPr>
          <w:lang w:val="ru-RU"/>
        </w:rPr>
        <w:drawing>
          <wp:inline distT="0" distB="0" distL="0" distR="0" wp14:anchorId="539EF8F1" wp14:editId="2EB050F1">
            <wp:extent cx="6013450" cy="3009900"/>
            <wp:effectExtent l="0" t="0" r="635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D0E09FC7-E9EE-4009-9C07-6D412824F6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C1576E5" w14:textId="4AD39055" w:rsidR="002D5D4C" w:rsidRPr="00CF7CE9" w:rsidRDefault="002D5D4C" w:rsidP="002D5D4C">
      <w:pPr>
        <w:pStyle w:val="Figuretitle"/>
        <w:rPr>
          <w:lang w:val="ru-RU"/>
        </w:rPr>
      </w:pPr>
      <w:r w:rsidRPr="00CF7CE9">
        <w:rPr>
          <w:lang w:val="ru-RU"/>
        </w:rPr>
        <w:lastRenderedPageBreak/>
        <mc:AlternateContent>
          <mc:Choice Requires="cx2">
            <w:drawing>
              <wp:inline distT="0" distB="0" distL="0" distR="0" wp14:anchorId="3154E7FE" wp14:editId="3D1DECB7">
                <wp:extent cx="6032500" cy="2854325"/>
                <wp:effectExtent l="0" t="0" r="6350" b="3175"/>
                <wp:docPr id="11" name="Char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2543D3-06F6-47F2-BCB3-60698F64F3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0"/>
                  </a:graphicData>
                </a:graphic>
              </wp:inline>
            </w:drawing>
          </mc:Choice>
          <mc:Fallback>
            <w:drawing>
              <wp:inline distT="0" distB="0" distL="0" distR="0" wp14:anchorId="3154E7FE" wp14:editId="3D1DECB7">
                <wp:extent cx="6032500" cy="2854325"/>
                <wp:effectExtent l="0" t="0" r="6350" b="3175"/>
                <wp:docPr id="11" name="Char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2543D3-06F6-47F2-BCB3-60698F64F30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hart 11">
                          <a:extLst>
                            <a:ext uri="{FF2B5EF4-FFF2-40B4-BE49-F238E27FC236}">
                              <a16:creationId xmlns:a16="http://schemas.microsoft.com/office/drawing/2014/main" id="{A82543D3-06F6-47F2-BCB3-60698F64F30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2500" cy="285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4DFF3EE" w14:textId="113443F9" w:rsidR="006F4626" w:rsidRPr="00CF7CE9" w:rsidRDefault="005307F0" w:rsidP="005307F0">
      <w:pPr>
        <w:pStyle w:val="Heading1"/>
      </w:pPr>
      <w:r w:rsidRPr="00CF7CE9">
        <w:t>4</w:t>
      </w:r>
      <w:r w:rsidRPr="00CF7CE9">
        <w:tab/>
      </w:r>
      <w:r w:rsidR="00995395" w:rsidRPr="00CF7CE9">
        <w:t>Основные действия и конечные результаты</w:t>
      </w:r>
    </w:p>
    <w:p w14:paraId="5E9DB99E" w14:textId="3E26780E" w:rsidR="006F4626" w:rsidRPr="00CF7CE9" w:rsidRDefault="00844FEA" w:rsidP="005307F0">
      <w:r w:rsidRPr="00CF7CE9">
        <w:t xml:space="preserve">БРЭ </w:t>
      </w:r>
      <w:r w:rsidR="00EF4BA4" w:rsidRPr="00CF7CE9">
        <w:t>осуществляло</w:t>
      </w:r>
      <w:r w:rsidRPr="00CF7CE9">
        <w:t xml:space="preserve"> ряд стратегических </w:t>
      </w:r>
      <w:r w:rsidR="00424009" w:rsidRPr="00CF7CE9">
        <w:t>действий</w:t>
      </w:r>
      <w:r w:rsidRPr="00CF7CE9">
        <w:t>, включая разработку и усовершенствование своих внутренних продуктов и внешних услуг, в целях укрепления партнерских отношений и более активной мобилизации ресурсов, которые описаны ниже.</w:t>
      </w:r>
    </w:p>
    <w:p w14:paraId="63E6B92A" w14:textId="00FACC46" w:rsidR="006F4626" w:rsidRPr="00CF7CE9" w:rsidRDefault="005307F0" w:rsidP="005307F0">
      <w:pPr>
        <w:pStyle w:val="enumlev1"/>
      </w:pPr>
      <w:r w:rsidRPr="00CF7CE9">
        <w:t>−</w:t>
      </w:r>
      <w:r w:rsidRPr="00CF7CE9">
        <w:tab/>
      </w:r>
      <w:r w:rsidR="00844FEA" w:rsidRPr="00CF7CE9">
        <w:rPr>
          <w:b/>
          <w:bCs/>
        </w:rPr>
        <w:t xml:space="preserve">Активизация мобилизации ресурсов </w:t>
      </w:r>
      <w:r w:rsidR="009319BE" w:rsidRPr="00CF7CE9">
        <w:rPr>
          <w:b/>
          <w:bCs/>
        </w:rPr>
        <w:t>и налаживания партнерских отношений</w:t>
      </w:r>
      <w:r w:rsidR="006F4626" w:rsidRPr="00CF7CE9">
        <w:t xml:space="preserve">: </w:t>
      </w:r>
      <w:r w:rsidR="009319BE" w:rsidRPr="00CF7CE9">
        <w:t xml:space="preserve">консалтинговая фирма, нанятая в помощь БРЭ для разработки </w:t>
      </w:r>
      <w:r w:rsidR="009319BE" w:rsidRPr="00CF7CE9">
        <w:rPr>
          <w:b/>
          <w:bCs/>
        </w:rPr>
        <w:t>новой надежной перспективной стратегии и плана по мобилизации ресурсов</w:t>
      </w:r>
      <w:r w:rsidR="009319BE" w:rsidRPr="00CF7CE9">
        <w:t>,</w:t>
      </w:r>
      <w:r w:rsidR="006F4626" w:rsidRPr="00CF7CE9">
        <w:t xml:space="preserve"> </w:t>
      </w:r>
      <w:r w:rsidR="009319BE" w:rsidRPr="00CF7CE9">
        <w:t xml:space="preserve">завершила свою работу и представила результаты в конце </w:t>
      </w:r>
      <w:r w:rsidR="006F4626" w:rsidRPr="00CF7CE9">
        <w:t>2020</w:t>
      </w:r>
      <w:r w:rsidR="009319BE" w:rsidRPr="00CF7CE9">
        <w:t> года</w:t>
      </w:r>
      <w:r w:rsidR="006F4626" w:rsidRPr="00CF7CE9">
        <w:t xml:space="preserve">. </w:t>
      </w:r>
      <w:r w:rsidR="0003361F" w:rsidRPr="00CF7CE9">
        <w:t>Далее БРЭ разработало комплексную стратегию в области партнерских отношений и мобилизации ресурсов</w:t>
      </w:r>
      <w:r w:rsidR="00E804E4" w:rsidRPr="00CF7CE9">
        <w:t>, направленную на согласование двух элементов сбора средств, то есть партнерских отношений и мобилизации ресурсов</w:t>
      </w:r>
      <w:r w:rsidR="006F4626" w:rsidRPr="00CF7CE9">
        <w:t xml:space="preserve">. </w:t>
      </w:r>
      <w:r w:rsidR="00E804E4" w:rsidRPr="00CF7CE9">
        <w:t>Новая стратегия уже находится на этапе реализации</w:t>
      </w:r>
      <w:r w:rsidR="006F4626" w:rsidRPr="00CF7CE9">
        <w:t xml:space="preserve">. </w:t>
      </w:r>
    </w:p>
    <w:p w14:paraId="255A6723" w14:textId="4C981E3A" w:rsidR="006F4626" w:rsidRPr="00CF7CE9" w:rsidRDefault="005307F0" w:rsidP="005307F0">
      <w:pPr>
        <w:pStyle w:val="enumlev1"/>
        <w:rPr>
          <w:rFonts w:asciiTheme="minorHAnsi" w:eastAsiaTheme="minorEastAsia" w:hAnsiTheme="minorHAnsi" w:cstheme="minorBidi"/>
        </w:rPr>
      </w:pPr>
      <w:r w:rsidRPr="00CF7CE9">
        <w:t>−</w:t>
      </w:r>
      <w:r w:rsidRPr="00CF7CE9">
        <w:tab/>
      </w:r>
      <w:r w:rsidR="00E804E4" w:rsidRPr="00CF7CE9">
        <w:rPr>
          <w:b/>
          <w:bCs/>
        </w:rPr>
        <w:t>Повышение квалификации персонала в области мобилизации ресурсов</w:t>
      </w:r>
      <w:r w:rsidR="006F4626" w:rsidRPr="00CF7CE9">
        <w:rPr>
          <w:rFonts w:asciiTheme="minorHAnsi" w:hAnsiTheme="minorHAnsi" w:cstheme="minorBidi"/>
        </w:rPr>
        <w:t xml:space="preserve">: </w:t>
      </w:r>
      <w:r w:rsidR="00E804E4" w:rsidRPr="00CF7CE9">
        <w:rPr>
          <w:rFonts w:asciiTheme="minorHAnsi" w:hAnsiTheme="minorHAnsi" w:cstheme="minorBidi"/>
        </w:rPr>
        <w:t xml:space="preserve">организована и успешно проведена виртуальная учеба по вопросам мобилизации ресурсов в форме услуг </w:t>
      </w:r>
      <w:r w:rsidR="00EF4BA4" w:rsidRPr="00CF7CE9">
        <w:rPr>
          <w:rFonts w:asciiTheme="minorHAnsi" w:hAnsiTheme="minorHAnsi" w:cstheme="minorBidi"/>
        </w:rPr>
        <w:t xml:space="preserve">консультантов </w:t>
      </w:r>
      <w:r w:rsidR="00E804E4" w:rsidRPr="00CF7CE9">
        <w:rPr>
          <w:rFonts w:asciiTheme="minorHAnsi" w:hAnsiTheme="minorHAnsi" w:cstheme="minorBidi"/>
        </w:rPr>
        <w:t>по обучению мобилизации ресурсов</w:t>
      </w:r>
      <w:r w:rsidR="006F4626" w:rsidRPr="00CF7CE9">
        <w:rPr>
          <w:rFonts w:asciiTheme="minorHAnsi" w:hAnsiTheme="minorHAnsi" w:cstheme="minorBidi"/>
          <w:bCs/>
        </w:rPr>
        <w:t xml:space="preserve">. </w:t>
      </w:r>
      <w:r w:rsidR="009124EC" w:rsidRPr="00CF7CE9">
        <w:rPr>
          <w:rFonts w:asciiTheme="minorHAnsi" w:hAnsiTheme="minorHAnsi" w:cstheme="minorBidi"/>
          <w:bCs/>
        </w:rPr>
        <w:t xml:space="preserve">Обучение, в основе которого лежала стратегия БРЭ в области </w:t>
      </w:r>
      <w:r w:rsidR="009124EC" w:rsidRPr="00CF7CE9">
        <w:t xml:space="preserve">партнерских отношений и мобилизации ресурсов, прошли </w:t>
      </w:r>
      <w:r w:rsidR="006F4626" w:rsidRPr="00CF7CE9">
        <w:rPr>
          <w:rFonts w:asciiTheme="minorHAnsi" w:eastAsiaTheme="minorEastAsia" w:hAnsiTheme="minorHAnsi" w:cstheme="minorBidi"/>
        </w:rPr>
        <w:t>91</w:t>
      </w:r>
      <w:r w:rsidR="009124EC" w:rsidRPr="00CF7CE9">
        <w:rPr>
          <w:rFonts w:asciiTheme="minorHAnsi" w:eastAsiaTheme="minorEastAsia" w:hAnsiTheme="minorHAnsi" w:cstheme="minorBidi"/>
        </w:rPr>
        <w:t> сотрудник</w:t>
      </w:r>
      <w:r w:rsidR="006F4626" w:rsidRPr="00CF7CE9">
        <w:rPr>
          <w:rFonts w:asciiTheme="minorHAnsi" w:eastAsiaTheme="minorEastAsia" w:hAnsiTheme="minorHAnsi" w:cstheme="minorBidi"/>
        </w:rPr>
        <w:t xml:space="preserve"> (78</w:t>
      </w:r>
      <w:r w:rsidR="009124EC" w:rsidRPr="00CF7CE9">
        <w:rPr>
          <w:rFonts w:asciiTheme="minorHAnsi" w:eastAsiaTheme="minorEastAsia" w:hAnsiTheme="minorHAnsi" w:cstheme="minorBidi"/>
        </w:rPr>
        <w:t xml:space="preserve"> из БРЭ и </w:t>
      </w:r>
      <w:r w:rsidR="006F4626" w:rsidRPr="00CF7CE9">
        <w:rPr>
          <w:rFonts w:asciiTheme="minorHAnsi" w:eastAsiaTheme="minorEastAsia" w:hAnsiTheme="minorHAnsi" w:cstheme="minorBidi"/>
        </w:rPr>
        <w:t xml:space="preserve">13 </w:t>
      </w:r>
      <w:r w:rsidR="009124EC" w:rsidRPr="00CF7CE9">
        <w:rPr>
          <w:rFonts w:asciiTheme="minorHAnsi" w:eastAsiaTheme="minorEastAsia" w:hAnsiTheme="minorHAnsi" w:cstheme="minorBidi"/>
        </w:rPr>
        <w:t>из других Бюро</w:t>
      </w:r>
      <w:r w:rsidR="006F4626" w:rsidRPr="00CF7CE9">
        <w:rPr>
          <w:rFonts w:asciiTheme="minorHAnsi" w:eastAsiaTheme="minorEastAsia" w:hAnsiTheme="minorHAnsi" w:cstheme="minorBidi"/>
        </w:rPr>
        <w:t xml:space="preserve">). </w:t>
      </w:r>
      <w:r w:rsidR="009124EC" w:rsidRPr="00CF7CE9">
        <w:rPr>
          <w:rFonts w:asciiTheme="minorHAnsi" w:eastAsiaTheme="minorEastAsia" w:hAnsiTheme="minorHAnsi" w:cstheme="minorBidi"/>
        </w:rPr>
        <w:t xml:space="preserve">Прошедшим учебный курс сотрудникам местных отделений и штаб-квартиры были представлены основы мобилизации ресурсов, для того чтобы </w:t>
      </w:r>
      <w:r w:rsidR="00424009" w:rsidRPr="00CF7CE9">
        <w:rPr>
          <w:rFonts w:asciiTheme="minorHAnsi" w:eastAsiaTheme="minorEastAsia" w:hAnsiTheme="minorHAnsi" w:cstheme="minorBidi"/>
        </w:rPr>
        <w:t>они</w:t>
      </w:r>
      <w:r w:rsidR="009124EC" w:rsidRPr="00CF7CE9">
        <w:rPr>
          <w:rFonts w:asciiTheme="minorHAnsi" w:eastAsiaTheme="minorEastAsia" w:hAnsiTheme="minorHAnsi" w:cstheme="minorBidi"/>
        </w:rPr>
        <w:t xml:space="preserve"> овладели навыками, необходимыми для </w:t>
      </w:r>
      <w:r w:rsidR="00EF4BA4" w:rsidRPr="00CF7CE9">
        <w:rPr>
          <w:rFonts w:asciiTheme="minorHAnsi" w:eastAsiaTheme="minorEastAsia" w:hAnsiTheme="minorHAnsi" w:cstheme="minorBidi"/>
        </w:rPr>
        <w:t>построения</w:t>
      </w:r>
      <w:r w:rsidR="009124EC" w:rsidRPr="00CF7CE9">
        <w:rPr>
          <w:rFonts w:asciiTheme="minorHAnsi" w:eastAsiaTheme="minorEastAsia" w:hAnsiTheme="minorHAnsi" w:cstheme="minorBidi"/>
        </w:rPr>
        <w:t xml:space="preserve">, управления и </w:t>
      </w:r>
      <w:r w:rsidR="00D86631" w:rsidRPr="00CF7CE9">
        <w:rPr>
          <w:rFonts w:asciiTheme="minorHAnsi" w:eastAsiaTheme="minorEastAsia" w:hAnsiTheme="minorHAnsi" w:cstheme="minorBidi"/>
        </w:rPr>
        <w:t xml:space="preserve">заключения </w:t>
      </w:r>
      <w:r w:rsidR="000160ED" w:rsidRPr="00CF7CE9">
        <w:rPr>
          <w:rFonts w:asciiTheme="minorHAnsi" w:eastAsiaTheme="minorEastAsia" w:hAnsiTheme="minorHAnsi" w:cstheme="minorBidi"/>
        </w:rPr>
        <w:t xml:space="preserve">с заинтересованными сторонами </w:t>
      </w:r>
      <w:r w:rsidR="00EF4BA4" w:rsidRPr="00CF7CE9">
        <w:rPr>
          <w:rFonts w:asciiTheme="minorHAnsi" w:eastAsiaTheme="minorEastAsia" w:hAnsiTheme="minorHAnsi" w:cstheme="minorBidi"/>
        </w:rPr>
        <w:t>партнерских отношений</w:t>
      </w:r>
      <w:r w:rsidR="00D86631" w:rsidRPr="00CF7CE9">
        <w:rPr>
          <w:rFonts w:asciiTheme="minorHAnsi" w:eastAsiaTheme="minorEastAsia" w:hAnsiTheme="minorHAnsi" w:cstheme="minorBidi"/>
        </w:rPr>
        <w:t>,</w:t>
      </w:r>
      <w:r w:rsidR="00EF4BA4" w:rsidRPr="00CF7CE9">
        <w:rPr>
          <w:rFonts w:asciiTheme="minorHAnsi" w:eastAsiaTheme="minorEastAsia" w:hAnsiTheme="minorHAnsi" w:cstheme="minorBidi"/>
        </w:rPr>
        <w:t xml:space="preserve"> </w:t>
      </w:r>
      <w:r w:rsidR="00D86631" w:rsidRPr="00CF7CE9">
        <w:rPr>
          <w:rFonts w:asciiTheme="minorHAnsi" w:eastAsiaTheme="minorEastAsia" w:hAnsiTheme="minorHAnsi" w:cstheme="minorBidi"/>
        </w:rPr>
        <w:t xml:space="preserve">как финансовых, так и нефинансовых, </w:t>
      </w:r>
      <w:r w:rsidR="00EF4BA4" w:rsidRPr="00CF7CE9">
        <w:rPr>
          <w:rFonts w:asciiTheme="minorHAnsi" w:eastAsiaTheme="minorEastAsia" w:hAnsiTheme="minorHAnsi" w:cstheme="minorBidi"/>
        </w:rPr>
        <w:t xml:space="preserve">и </w:t>
      </w:r>
      <w:r w:rsidR="009124EC" w:rsidRPr="00CF7CE9">
        <w:rPr>
          <w:rFonts w:asciiTheme="minorHAnsi" w:eastAsiaTheme="minorEastAsia" w:hAnsiTheme="minorHAnsi" w:cstheme="minorBidi"/>
        </w:rPr>
        <w:t xml:space="preserve">соглашений о </w:t>
      </w:r>
      <w:r w:rsidR="000160ED" w:rsidRPr="00CF7CE9">
        <w:rPr>
          <w:rFonts w:asciiTheme="minorHAnsi" w:eastAsiaTheme="minorEastAsia" w:hAnsiTheme="minorHAnsi" w:cstheme="minorBidi"/>
        </w:rPr>
        <w:t>мобилизации ресурсов</w:t>
      </w:r>
      <w:r w:rsidR="006F4626" w:rsidRPr="00CF7CE9">
        <w:rPr>
          <w:rFonts w:asciiTheme="minorHAnsi" w:eastAsiaTheme="minorEastAsia" w:hAnsiTheme="minorHAnsi" w:cstheme="minorBidi"/>
        </w:rPr>
        <w:t xml:space="preserve">. </w:t>
      </w:r>
    </w:p>
    <w:p w14:paraId="18336C41" w14:textId="02CC861E" w:rsidR="006F4626" w:rsidRPr="00CF7CE9" w:rsidRDefault="005307F0" w:rsidP="005307F0">
      <w:pPr>
        <w:pStyle w:val="enumlev1"/>
        <w:rPr>
          <w:rFonts w:asciiTheme="minorHAnsi" w:hAnsiTheme="minorHAnsi" w:cstheme="minorHAnsi"/>
        </w:rPr>
      </w:pPr>
      <w:r w:rsidRPr="00CF7CE9">
        <w:t>−</w:t>
      </w:r>
      <w:r w:rsidRPr="00CF7CE9">
        <w:tab/>
      </w:r>
      <w:r w:rsidR="00EF4BA4" w:rsidRPr="00CF7CE9">
        <w:rPr>
          <w:b/>
          <w:bCs/>
        </w:rPr>
        <w:t xml:space="preserve">Совершенствование инструментов </w:t>
      </w:r>
      <w:r w:rsidR="00EF4BA4" w:rsidRPr="00CF7CE9">
        <w:rPr>
          <w:rFonts w:asciiTheme="minorHAnsi" w:hAnsiTheme="minorHAnsi" w:cstheme="minorHAnsi"/>
          <w:b/>
        </w:rPr>
        <w:t>исследования</w:t>
      </w:r>
      <w:r w:rsidR="006F4626" w:rsidRPr="00CF7CE9">
        <w:rPr>
          <w:rFonts w:asciiTheme="minorHAnsi" w:hAnsiTheme="minorHAnsi" w:cstheme="minorHAnsi"/>
        </w:rPr>
        <w:t xml:space="preserve">: </w:t>
      </w:r>
      <w:r w:rsidR="00D86631" w:rsidRPr="00CF7CE9">
        <w:rPr>
          <w:rFonts w:asciiTheme="minorHAnsi" w:hAnsiTheme="minorHAnsi" w:cstheme="minorHAnsi"/>
        </w:rPr>
        <w:t xml:space="preserve">полностью перестроены база данных БРЭ о мобилизации ресурсов и база данных БРЭ </w:t>
      </w:r>
      <w:r w:rsidR="00D83BFA" w:rsidRPr="00CF7CE9">
        <w:rPr>
          <w:rFonts w:asciiTheme="minorHAnsi" w:hAnsiTheme="minorHAnsi" w:cstheme="minorHAnsi"/>
        </w:rPr>
        <w:t>о потенциальных партнерах по финансированию</w:t>
      </w:r>
      <w:r w:rsidR="006F4626" w:rsidRPr="00CF7CE9">
        <w:rPr>
          <w:rFonts w:asciiTheme="minorHAnsi" w:hAnsiTheme="minorHAnsi" w:cstheme="minorHAnsi"/>
        </w:rPr>
        <w:t xml:space="preserve">. </w:t>
      </w:r>
      <w:r w:rsidR="00D83BFA" w:rsidRPr="00CF7CE9">
        <w:rPr>
          <w:rFonts w:asciiTheme="minorHAnsi" w:hAnsiTheme="minorHAnsi" w:cstheme="minorHAnsi"/>
        </w:rPr>
        <w:t xml:space="preserve">Эти две базы данных </w:t>
      </w:r>
      <w:r w:rsidR="00D03A28" w:rsidRPr="00CF7CE9">
        <w:rPr>
          <w:rFonts w:asciiTheme="minorHAnsi" w:hAnsiTheme="minorHAnsi" w:cstheme="minorHAnsi"/>
        </w:rPr>
        <w:t xml:space="preserve">обеспечивают информацию о потенциальных партнерах по финансированию </w:t>
      </w:r>
      <w:r w:rsidR="006F4626" w:rsidRPr="00CF7CE9">
        <w:rPr>
          <w:rFonts w:asciiTheme="minorHAnsi" w:hAnsiTheme="minorHAnsi" w:cstheme="minorHAnsi"/>
        </w:rPr>
        <w:t>(</w:t>
      </w:r>
      <w:r w:rsidR="00D03A28" w:rsidRPr="00CF7CE9">
        <w:rPr>
          <w:rFonts w:asciiTheme="minorHAnsi" w:hAnsiTheme="minorHAnsi" w:cstheme="minorHAnsi"/>
        </w:rPr>
        <w:t>двусторонние учреждения, банки развития, фонды и т. д.</w:t>
      </w:r>
      <w:r w:rsidR="006F4626" w:rsidRPr="00CF7CE9">
        <w:rPr>
          <w:rFonts w:asciiTheme="minorHAnsi" w:hAnsiTheme="minorHAnsi" w:cstheme="minorHAnsi"/>
        </w:rPr>
        <w:t>)</w:t>
      </w:r>
      <w:r w:rsidR="00D03A28" w:rsidRPr="00CF7CE9">
        <w:rPr>
          <w:rFonts w:asciiTheme="minorHAnsi" w:hAnsiTheme="minorHAnsi" w:cstheme="minorHAnsi"/>
        </w:rPr>
        <w:t>, включая их тематические и географические приоритеты</w:t>
      </w:r>
      <w:r w:rsidR="006F4626" w:rsidRPr="00CF7CE9">
        <w:rPr>
          <w:rFonts w:asciiTheme="minorHAnsi" w:hAnsiTheme="minorHAnsi" w:cstheme="minorHAnsi"/>
        </w:rPr>
        <w:t xml:space="preserve">. </w:t>
      </w:r>
    </w:p>
    <w:p w14:paraId="07CCB87B" w14:textId="04B9C4E7" w:rsidR="006F4626" w:rsidRPr="00CF7CE9" w:rsidRDefault="005307F0" w:rsidP="005307F0">
      <w:pPr>
        <w:pStyle w:val="enumlev1"/>
        <w:rPr>
          <w:rFonts w:asciiTheme="minorHAnsi" w:hAnsiTheme="minorHAnsi" w:cstheme="minorHAnsi"/>
        </w:rPr>
      </w:pPr>
      <w:r w:rsidRPr="00CF7CE9">
        <w:t>−</w:t>
      </w:r>
      <w:r w:rsidRPr="00CF7CE9">
        <w:tab/>
      </w:r>
      <w:r w:rsidR="00EE3207" w:rsidRPr="00CF7CE9">
        <w:rPr>
          <w:rFonts w:asciiTheme="minorHAnsi" w:hAnsiTheme="minorHAnsi" w:cstheme="minorHAnsi"/>
          <w:b/>
        </w:rPr>
        <w:t>Повышение осведомленности</w:t>
      </w:r>
      <w:r w:rsidR="006F4626" w:rsidRPr="00CF7CE9">
        <w:rPr>
          <w:rFonts w:asciiTheme="minorHAnsi" w:hAnsiTheme="minorHAnsi" w:cstheme="minorHAnsi"/>
        </w:rPr>
        <w:t>:</w:t>
      </w:r>
      <w:r w:rsidR="006F4626" w:rsidRPr="00CF7CE9">
        <w:rPr>
          <w:rFonts w:asciiTheme="minorHAnsi" w:hAnsiTheme="minorHAnsi" w:cstheme="minorHAnsi"/>
          <w:bCs/>
        </w:rPr>
        <w:t xml:space="preserve"> </w:t>
      </w:r>
      <w:r w:rsidR="00EE3207" w:rsidRPr="00CF7CE9">
        <w:rPr>
          <w:rFonts w:asciiTheme="minorHAnsi" w:hAnsiTheme="minorHAnsi" w:cstheme="minorHAnsi"/>
        </w:rPr>
        <w:t>создана и запущена новая общая веб-страница, посвященная партнерским отношениям и Членам МСЭ-D</w:t>
      </w:r>
      <w:r w:rsidR="006F4626" w:rsidRPr="00CF7CE9">
        <w:rPr>
          <w:rFonts w:asciiTheme="minorHAnsi" w:hAnsiTheme="minorHAnsi" w:cstheme="minorHAnsi"/>
        </w:rPr>
        <w:t>.</w:t>
      </w:r>
      <w:r w:rsidR="006F4626" w:rsidRPr="00CF7CE9">
        <w:rPr>
          <w:rFonts w:asciiTheme="minorHAnsi" w:hAnsiTheme="minorHAnsi" w:cstheme="minorHAnsi"/>
          <w:bCs/>
        </w:rPr>
        <w:t xml:space="preserve"> </w:t>
      </w:r>
      <w:r w:rsidR="00EE3207" w:rsidRPr="00CF7CE9">
        <w:rPr>
          <w:rFonts w:asciiTheme="minorHAnsi" w:hAnsiTheme="minorHAnsi" w:cstheme="minorHAnsi"/>
          <w:bCs/>
        </w:rPr>
        <w:t>Эта страница создана</w:t>
      </w:r>
      <w:r w:rsidR="00424009" w:rsidRPr="00CF7CE9">
        <w:rPr>
          <w:rFonts w:asciiTheme="minorHAnsi" w:hAnsiTheme="minorHAnsi" w:cstheme="minorHAnsi"/>
          <w:bCs/>
        </w:rPr>
        <w:t>,</w:t>
      </w:r>
      <w:r w:rsidR="00EE3207" w:rsidRPr="00CF7CE9">
        <w:rPr>
          <w:rFonts w:asciiTheme="minorHAnsi" w:hAnsiTheme="minorHAnsi" w:cstheme="minorHAnsi"/>
          <w:bCs/>
        </w:rPr>
        <w:t xml:space="preserve"> для того чтобы содействовать развитию партнерских отношений среди членов МСЭ</w:t>
      </w:r>
      <w:r w:rsidR="006F4626" w:rsidRPr="00CF7CE9">
        <w:rPr>
          <w:rFonts w:asciiTheme="minorHAnsi" w:hAnsiTheme="minorHAnsi" w:cstheme="minorHAnsi"/>
        </w:rPr>
        <w:t xml:space="preserve">-D </w:t>
      </w:r>
      <w:r w:rsidR="00EE3207" w:rsidRPr="00CF7CE9">
        <w:rPr>
          <w:rFonts w:asciiTheme="minorHAnsi" w:hAnsiTheme="minorHAnsi" w:cstheme="minorHAnsi"/>
        </w:rPr>
        <w:t>и призывать действующих членов становиться партнерами</w:t>
      </w:r>
      <w:r w:rsidR="006F4626" w:rsidRPr="00CF7CE9">
        <w:rPr>
          <w:rFonts w:asciiTheme="minorHAnsi" w:hAnsiTheme="minorHAnsi" w:cstheme="minorHAnsi"/>
        </w:rPr>
        <w:t>.</w:t>
      </w:r>
      <w:r w:rsidR="006F4626" w:rsidRPr="00CF7CE9">
        <w:rPr>
          <w:rFonts w:asciiTheme="minorHAnsi" w:hAnsiTheme="minorHAnsi" w:cstheme="minorHAnsi"/>
          <w:bCs/>
        </w:rPr>
        <w:t xml:space="preserve"> </w:t>
      </w:r>
      <w:r w:rsidR="00EE3207" w:rsidRPr="00CF7CE9">
        <w:rPr>
          <w:rFonts w:asciiTheme="minorHAnsi" w:hAnsiTheme="minorHAnsi" w:cstheme="minorHAnsi"/>
        </w:rPr>
        <w:t>Общая домашняя страница доступна здесь:</w:t>
      </w:r>
      <w:r w:rsidR="006F4626" w:rsidRPr="00CF7CE9">
        <w:rPr>
          <w:rFonts w:asciiTheme="minorHAnsi" w:hAnsiTheme="minorHAnsi" w:cstheme="minorHAnsi"/>
        </w:rPr>
        <w:t xml:space="preserve"> </w:t>
      </w:r>
      <w:r w:rsidRPr="00CF7CE9">
        <w:rPr>
          <w:rFonts w:asciiTheme="minorHAnsi" w:hAnsiTheme="minorHAnsi" w:cstheme="minorHAnsi"/>
        </w:rPr>
        <w:t>"</w:t>
      </w:r>
      <w:hyperlink r:id="rId22" w:history="1">
        <w:r w:rsidR="00EE3207" w:rsidRPr="00CF7CE9">
          <w:rPr>
            <w:rStyle w:val="Hyperlink"/>
            <w:rFonts w:asciiTheme="minorHAnsi" w:hAnsiTheme="minorHAnsi" w:cstheme="minorHAnsi"/>
          </w:rPr>
          <w:t>Стать Членом МСЭ</w:t>
        </w:r>
        <w:r w:rsidR="006F4626" w:rsidRPr="00CF7CE9">
          <w:rPr>
            <w:rStyle w:val="Hyperlink"/>
            <w:rFonts w:asciiTheme="minorHAnsi" w:hAnsiTheme="minorHAnsi" w:cstheme="minorHAnsi"/>
          </w:rPr>
          <w:t>-D</w:t>
        </w:r>
      </w:hyperlink>
      <w:r w:rsidRPr="00CF7CE9">
        <w:rPr>
          <w:rFonts w:asciiTheme="minorHAnsi" w:hAnsiTheme="minorHAnsi" w:cstheme="minorHAnsi"/>
        </w:rPr>
        <w:t>"</w:t>
      </w:r>
      <w:r w:rsidR="006F4626" w:rsidRPr="00CF7CE9">
        <w:rPr>
          <w:rFonts w:asciiTheme="minorHAnsi" w:hAnsiTheme="minorHAnsi" w:cstheme="minorHAnsi"/>
        </w:rPr>
        <w:t xml:space="preserve">. </w:t>
      </w:r>
      <w:r w:rsidR="00EE3207" w:rsidRPr="00CF7CE9">
        <w:rPr>
          <w:rFonts w:asciiTheme="minorHAnsi" w:hAnsiTheme="minorHAnsi" w:cstheme="minorHAnsi"/>
        </w:rPr>
        <w:t xml:space="preserve">Новая домашняя страницы обеспечивает также </w:t>
      </w:r>
      <w:r w:rsidR="005E74F5" w:rsidRPr="00CF7CE9">
        <w:rPr>
          <w:rFonts w:asciiTheme="minorHAnsi" w:hAnsiTheme="minorHAnsi" w:cstheme="minorHAnsi"/>
        </w:rPr>
        <w:t>повышение осведомленности наших партнеров о работе, которую выполняем</w:t>
      </w:r>
      <w:r w:rsidR="006F4626" w:rsidRPr="00CF7CE9">
        <w:rPr>
          <w:rFonts w:asciiTheme="minorHAnsi" w:hAnsiTheme="minorHAnsi" w:cstheme="minorHAnsi"/>
        </w:rPr>
        <w:t xml:space="preserve"> </w:t>
      </w:r>
      <w:r w:rsidR="005E74F5" w:rsidRPr="00CF7CE9">
        <w:rPr>
          <w:rFonts w:asciiTheme="minorHAnsi" w:hAnsiTheme="minorHAnsi" w:cstheme="minorHAnsi"/>
        </w:rPr>
        <w:t>мы и вместе с ними</w:t>
      </w:r>
      <w:r w:rsidR="006F4626" w:rsidRPr="00CF7CE9">
        <w:rPr>
          <w:rFonts w:asciiTheme="minorHAnsi" w:hAnsiTheme="minorHAnsi" w:cstheme="minorHAnsi"/>
        </w:rPr>
        <w:t xml:space="preserve">. </w:t>
      </w:r>
    </w:p>
    <w:p w14:paraId="53CE095E" w14:textId="4548E38A" w:rsidR="006F4626" w:rsidRPr="00CF7CE9" w:rsidRDefault="006F4626" w:rsidP="006F4626">
      <w:pPr>
        <w:pStyle w:val="Heading1"/>
      </w:pPr>
      <w:r w:rsidRPr="00CF7CE9">
        <w:lastRenderedPageBreak/>
        <w:t>5</w:t>
      </w:r>
      <w:r w:rsidRPr="00CF7CE9">
        <w:tab/>
      </w:r>
      <w:r w:rsidR="00A96DD1" w:rsidRPr="00CF7CE9">
        <w:rPr>
          <w:rFonts w:cs="Calibri"/>
        </w:rPr>
        <w:t>Дальнейшие действия</w:t>
      </w:r>
    </w:p>
    <w:p w14:paraId="224A4E51" w14:textId="37DC114E" w:rsidR="006F4626" w:rsidRPr="00CF7CE9" w:rsidRDefault="00A96DD1" w:rsidP="00995395">
      <w:r w:rsidRPr="00CF7CE9">
        <w:t xml:space="preserve">За отчетный период БРЭ добилось значительного прогресса в переговорах и </w:t>
      </w:r>
      <w:r w:rsidR="00424009" w:rsidRPr="00CF7CE9">
        <w:t>заключении</w:t>
      </w:r>
      <w:r w:rsidRPr="00CF7CE9">
        <w:t xml:space="preserve"> новых </w:t>
      </w:r>
      <w:r w:rsidR="00424009" w:rsidRPr="00CF7CE9">
        <w:t xml:space="preserve">соглашений о </w:t>
      </w:r>
      <w:r w:rsidRPr="00CF7CE9">
        <w:t>партнерских отношени</w:t>
      </w:r>
      <w:r w:rsidR="00424009" w:rsidRPr="00CF7CE9">
        <w:t>ях</w:t>
      </w:r>
      <w:r w:rsidRPr="00CF7CE9">
        <w:t xml:space="preserve"> и мобилизации ресурсов с </w:t>
      </w:r>
      <w:r w:rsidR="00424009" w:rsidRPr="00CF7CE9">
        <w:t>широким кругом</w:t>
      </w:r>
      <w:r w:rsidRPr="00CF7CE9">
        <w:t xml:space="preserve"> партнер</w:t>
      </w:r>
      <w:r w:rsidR="00424009" w:rsidRPr="00CF7CE9">
        <w:t>ов</w:t>
      </w:r>
      <w:r w:rsidR="006F4626" w:rsidRPr="00CF7CE9">
        <w:t xml:space="preserve">. </w:t>
      </w:r>
      <w:r w:rsidRPr="00CF7CE9">
        <w:t xml:space="preserve">Постоянно проводимая деятельность направлена на </w:t>
      </w:r>
      <w:r w:rsidR="00424009" w:rsidRPr="00CF7CE9">
        <w:t>укрепление отношений с</w:t>
      </w:r>
      <w:r w:rsidRPr="00CF7CE9">
        <w:t xml:space="preserve"> существующи</w:t>
      </w:r>
      <w:r w:rsidR="00424009" w:rsidRPr="00CF7CE9">
        <w:t>ми</w:t>
      </w:r>
      <w:r w:rsidRPr="00CF7CE9">
        <w:t xml:space="preserve"> партнер</w:t>
      </w:r>
      <w:r w:rsidR="00424009" w:rsidRPr="00CF7CE9">
        <w:t>ами</w:t>
      </w:r>
      <w:r w:rsidRPr="00CF7CE9">
        <w:t xml:space="preserve"> и привлечение новых </w:t>
      </w:r>
      <w:r w:rsidR="00424009" w:rsidRPr="00CF7CE9">
        <w:t xml:space="preserve">и </w:t>
      </w:r>
      <w:r w:rsidRPr="00CF7CE9">
        <w:t xml:space="preserve">разнообразных партнеров, которые приносят больше ресурсов </w:t>
      </w:r>
      <w:r w:rsidR="00424009" w:rsidRPr="00CF7CE9">
        <w:t>с целью</w:t>
      </w:r>
      <w:r w:rsidR="00995395" w:rsidRPr="00CF7CE9">
        <w:t xml:space="preserve"> финансирования крупномасштабных </w:t>
      </w:r>
      <w:r w:rsidRPr="00CF7CE9">
        <w:t xml:space="preserve">и результативных </w:t>
      </w:r>
      <w:r w:rsidR="00995395" w:rsidRPr="00CF7CE9">
        <w:t xml:space="preserve">проектов </w:t>
      </w:r>
      <w:r w:rsidRPr="00CF7CE9">
        <w:t xml:space="preserve">для успешного осуществления </w:t>
      </w:r>
      <w:r w:rsidR="00995395" w:rsidRPr="00CF7CE9">
        <w:t>программ и региональных инициатив ВКРЭ-17 и ВКРЭ-21 на глобальном, региональном и национальном уровнях</w:t>
      </w:r>
      <w:r w:rsidR="006F4626" w:rsidRPr="00CF7CE9">
        <w:t>.</w:t>
      </w:r>
    </w:p>
    <w:p w14:paraId="5596EA1B" w14:textId="77777777" w:rsidR="00995395" w:rsidRPr="00CF7CE9" w:rsidRDefault="00995395" w:rsidP="00995395">
      <w:pPr>
        <w:spacing w:before="720"/>
        <w:jc w:val="center"/>
      </w:pPr>
      <w:r w:rsidRPr="00CF7CE9">
        <w:t>______________</w:t>
      </w:r>
    </w:p>
    <w:sectPr w:rsidR="00995395" w:rsidRPr="00CF7CE9" w:rsidSect="002502FE">
      <w:headerReference w:type="default" r:id="rId23"/>
      <w:footerReference w:type="default" r:id="rId24"/>
      <w:footerReference w:type="first" r:id="rId25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C24A" w14:textId="77777777" w:rsidR="009124EC" w:rsidRDefault="009124EC" w:rsidP="00E54FD2">
      <w:pPr>
        <w:spacing w:before="0"/>
      </w:pPr>
      <w:r>
        <w:separator/>
      </w:r>
    </w:p>
  </w:endnote>
  <w:endnote w:type="continuationSeparator" w:id="0">
    <w:p w14:paraId="25126C2D" w14:textId="77777777" w:rsidR="009124EC" w:rsidRDefault="009124E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67D9" w14:textId="3FBFB6A5" w:rsidR="009124EC" w:rsidRPr="00386158" w:rsidRDefault="009124EC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P:\RUS\ITU-D\CONF-D\TDAG21\000\007R.docx</w:t>
    </w:r>
    <w:r>
      <w:fldChar w:fldCharType="end"/>
    </w:r>
    <w:r>
      <w:t xml:space="preserve"> (</w:t>
    </w:r>
    <w:r w:rsidRPr="00386158">
      <w:t>485968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9124EC" w:rsidRPr="004D495C" w14:paraId="447C18A0" w14:textId="77777777" w:rsidTr="009124E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66941C" w14:textId="77777777" w:rsidR="009124EC" w:rsidRPr="004D495C" w:rsidRDefault="009124EC" w:rsidP="0038615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C4CBB2F" w14:textId="77777777" w:rsidR="009124EC" w:rsidRPr="00EB2F10" w:rsidRDefault="009124EC" w:rsidP="00386158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6B5B8B7" w14:textId="1A31DDE7" w:rsidR="009124EC" w:rsidRPr="00711F65" w:rsidRDefault="008F0260" w:rsidP="0038615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386158">
            <w:rPr>
              <w:sz w:val="18"/>
              <w:szCs w:val="18"/>
            </w:rPr>
            <w:t>д</w:t>
          </w:r>
          <w:r w:rsidR="009124EC" w:rsidRPr="00386158">
            <w:rPr>
              <w:sz w:val="18"/>
              <w:szCs w:val="18"/>
            </w:rPr>
            <w:t xml:space="preserve">-р Космас Завазава (Dr Cosmas Zavazava), руководитель Департамента партнерств в целях цифрового развития </w:t>
          </w:r>
          <w:r w:rsidR="009124EC">
            <w:rPr>
              <w:sz w:val="18"/>
              <w:szCs w:val="18"/>
            </w:rPr>
            <w:br/>
          </w:r>
          <w:r w:rsidR="009124EC" w:rsidRPr="00386158">
            <w:rPr>
              <w:sz w:val="18"/>
              <w:szCs w:val="18"/>
            </w:rPr>
            <w:t>Бюро развития электросвязи</w:t>
          </w:r>
        </w:p>
      </w:tc>
    </w:tr>
    <w:tr w:rsidR="009124EC" w:rsidRPr="004D495C" w14:paraId="255C1D9A" w14:textId="77777777" w:rsidTr="009124EC">
      <w:tc>
        <w:tcPr>
          <w:tcW w:w="1418" w:type="dxa"/>
          <w:shd w:val="clear" w:color="auto" w:fill="auto"/>
        </w:tcPr>
        <w:p w14:paraId="67C98B4A" w14:textId="77777777" w:rsidR="009124EC" w:rsidRPr="00711F65" w:rsidRDefault="009124EC" w:rsidP="0038615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39F17591" w14:textId="77777777" w:rsidR="009124EC" w:rsidRPr="00EB2F10" w:rsidRDefault="009124EC" w:rsidP="00386158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F3813CA" w14:textId="728B7457" w:rsidR="009124EC" w:rsidRPr="00386158" w:rsidRDefault="009124EC" w:rsidP="0038615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86158">
            <w:rPr>
              <w:sz w:val="18"/>
              <w:szCs w:val="18"/>
            </w:rPr>
            <w:t>+41 22 730 5447</w:t>
          </w:r>
        </w:p>
      </w:tc>
    </w:tr>
    <w:tr w:rsidR="009124EC" w:rsidRPr="004D495C" w14:paraId="79E91D8F" w14:textId="77777777" w:rsidTr="009124EC">
      <w:tc>
        <w:tcPr>
          <w:tcW w:w="1418" w:type="dxa"/>
          <w:shd w:val="clear" w:color="auto" w:fill="auto"/>
        </w:tcPr>
        <w:p w14:paraId="59E8621A" w14:textId="77777777" w:rsidR="009124EC" w:rsidRPr="004D495C" w:rsidRDefault="009124EC" w:rsidP="0038615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3087263" w14:textId="77777777" w:rsidR="009124EC" w:rsidRPr="00EB2F10" w:rsidRDefault="009124EC" w:rsidP="0038615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36190BDE" w14:textId="210C583B" w:rsidR="009124EC" w:rsidRPr="00386158" w:rsidRDefault="00CF7CE9" w:rsidP="0038615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9124EC" w:rsidRPr="004B1295">
              <w:rPr>
                <w:rStyle w:val="Hyperlink"/>
                <w:sz w:val="18"/>
                <w:szCs w:val="18"/>
              </w:rPr>
              <w:t>cosmas.zavazava@itu.int</w:t>
            </w:r>
          </w:hyperlink>
        </w:p>
      </w:tc>
    </w:tr>
  </w:tbl>
  <w:p w14:paraId="082B66FD" w14:textId="77777777" w:rsidR="009124EC" w:rsidRPr="006E4AB3" w:rsidRDefault="00CF7CE9" w:rsidP="008F026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9124EC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085C" w14:textId="77777777" w:rsidR="009124EC" w:rsidRDefault="009124EC" w:rsidP="00E54FD2">
      <w:pPr>
        <w:spacing w:before="0"/>
      </w:pPr>
      <w:r>
        <w:separator/>
      </w:r>
    </w:p>
  </w:footnote>
  <w:footnote w:type="continuationSeparator" w:id="0">
    <w:p w14:paraId="66FEE3EB" w14:textId="77777777" w:rsidR="009124EC" w:rsidRDefault="009124EC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5EEA" w14:textId="2CABB8A1" w:rsidR="009124EC" w:rsidRPr="00701E31" w:rsidRDefault="009124EC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t>7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3F327E"/>
    <w:multiLevelType w:val="hybridMultilevel"/>
    <w:tmpl w:val="ABAC5C8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01F6"/>
    <w:rsid w:val="000160ED"/>
    <w:rsid w:val="0003361F"/>
    <w:rsid w:val="000A0390"/>
    <w:rsid w:val="000B2B09"/>
    <w:rsid w:val="000E2033"/>
    <w:rsid w:val="001014C4"/>
    <w:rsid w:val="00107E03"/>
    <w:rsid w:val="0011100E"/>
    <w:rsid w:val="00111662"/>
    <w:rsid w:val="00115B40"/>
    <w:rsid w:val="001318DE"/>
    <w:rsid w:val="00134D3C"/>
    <w:rsid w:val="001530FB"/>
    <w:rsid w:val="00191479"/>
    <w:rsid w:val="00197305"/>
    <w:rsid w:val="001C0930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2D5D4C"/>
    <w:rsid w:val="002F6367"/>
    <w:rsid w:val="00316454"/>
    <w:rsid w:val="003275D3"/>
    <w:rsid w:val="00366978"/>
    <w:rsid w:val="00386158"/>
    <w:rsid w:val="003A294B"/>
    <w:rsid w:val="003C6E83"/>
    <w:rsid w:val="003E6E87"/>
    <w:rsid w:val="003F4D77"/>
    <w:rsid w:val="0040328D"/>
    <w:rsid w:val="004143D5"/>
    <w:rsid w:val="00422053"/>
    <w:rsid w:val="00424009"/>
    <w:rsid w:val="00424A45"/>
    <w:rsid w:val="00454762"/>
    <w:rsid w:val="004713B8"/>
    <w:rsid w:val="0048757D"/>
    <w:rsid w:val="00492029"/>
    <w:rsid w:val="00492670"/>
    <w:rsid w:val="004D0E96"/>
    <w:rsid w:val="004E4490"/>
    <w:rsid w:val="005307F0"/>
    <w:rsid w:val="0056635F"/>
    <w:rsid w:val="005773D4"/>
    <w:rsid w:val="005A09F6"/>
    <w:rsid w:val="005C0551"/>
    <w:rsid w:val="005D4DF3"/>
    <w:rsid w:val="005E006A"/>
    <w:rsid w:val="005E74F5"/>
    <w:rsid w:val="006224CA"/>
    <w:rsid w:val="006246BC"/>
    <w:rsid w:val="00631202"/>
    <w:rsid w:val="00653EAA"/>
    <w:rsid w:val="00655923"/>
    <w:rsid w:val="00694764"/>
    <w:rsid w:val="006A0093"/>
    <w:rsid w:val="006F4626"/>
    <w:rsid w:val="006F5E91"/>
    <w:rsid w:val="00701E31"/>
    <w:rsid w:val="00711F65"/>
    <w:rsid w:val="0077058D"/>
    <w:rsid w:val="007832FA"/>
    <w:rsid w:val="007C3E14"/>
    <w:rsid w:val="007E094C"/>
    <w:rsid w:val="007E6988"/>
    <w:rsid w:val="007E6B3A"/>
    <w:rsid w:val="007F7045"/>
    <w:rsid w:val="008112E9"/>
    <w:rsid w:val="00844FEA"/>
    <w:rsid w:val="00875722"/>
    <w:rsid w:val="008926E2"/>
    <w:rsid w:val="008C562F"/>
    <w:rsid w:val="008C576E"/>
    <w:rsid w:val="008F0260"/>
    <w:rsid w:val="009124EC"/>
    <w:rsid w:val="009135B4"/>
    <w:rsid w:val="00916B10"/>
    <w:rsid w:val="009319BE"/>
    <w:rsid w:val="00933E0E"/>
    <w:rsid w:val="00965DE3"/>
    <w:rsid w:val="00995395"/>
    <w:rsid w:val="009C5B8E"/>
    <w:rsid w:val="00A30897"/>
    <w:rsid w:val="00A414A8"/>
    <w:rsid w:val="00A44602"/>
    <w:rsid w:val="00A64F9D"/>
    <w:rsid w:val="00A73D91"/>
    <w:rsid w:val="00A96DD1"/>
    <w:rsid w:val="00AA06CD"/>
    <w:rsid w:val="00AA42F8"/>
    <w:rsid w:val="00AC2E0E"/>
    <w:rsid w:val="00AC6023"/>
    <w:rsid w:val="00AE0BB7"/>
    <w:rsid w:val="00AE1BA7"/>
    <w:rsid w:val="00B05DFD"/>
    <w:rsid w:val="00B101FB"/>
    <w:rsid w:val="00B222FE"/>
    <w:rsid w:val="00B24169"/>
    <w:rsid w:val="00B52E6E"/>
    <w:rsid w:val="00B56B8B"/>
    <w:rsid w:val="00B726C0"/>
    <w:rsid w:val="00B75868"/>
    <w:rsid w:val="00B82FA4"/>
    <w:rsid w:val="00B86DFA"/>
    <w:rsid w:val="00B9410B"/>
    <w:rsid w:val="00B961EF"/>
    <w:rsid w:val="00BD2C91"/>
    <w:rsid w:val="00BD7A1A"/>
    <w:rsid w:val="00BE234E"/>
    <w:rsid w:val="00BE6523"/>
    <w:rsid w:val="00C03A3E"/>
    <w:rsid w:val="00C15500"/>
    <w:rsid w:val="00C3333A"/>
    <w:rsid w:val="00C33388"/>
    <w:rsid w:val="00C6194D"/>
    <w:rsid w:val="00C62E82"/>
    <w:rsid w:val="00C71A6F"/>
    <w:rsid w:val="00C84CCD"/>
    <w:rsid w:val="00C96586"/>
    <w:rsid w:val="00CB658B"/>
    <w:rsid w:val="00CD1F3E"/>
    <w:rsid w:val="00CD34AE"/>
    <w:rsid w:val="00CE37A1"/>
    <w:rsid w:val="00CE5E7B"/>
    <w:rsid w:val="00CF7739"/>
    <w:rsid w:val="00CF7CE9"/>
    <w:rsid w:val="00D03A28"/>
    <w:rsid w:val="00D16175"/>
    <w:rsid w:val="00D712FE"/>
    <w:rsid w:val="00D76C5A"/>
    <w:rsid w:val="00D83BFA"/>
    <w:rsid w:val="00D86631"/>
    <w:rsid w:val="00D923CD"/>
    <w:rsid w:val="00D93FCC"/>
    <w:rsid w:val="00DA4610"/>
    <w:rsid w:val="00DC354B"/>
    <w:rsid w:val="00DC4374"/>
    <w:rsid w:val="00DD19E1"/>
    <w:rsid w:val="00DD31BF"/>
    <w:rsid w:val="00DD5D8C"/>
    <w:rsid w:val="00E06A7D"/>
    <w:rsid w:val="00E30170"/>
    <w:rsid w:val="00E54FD2"/>
    <w:rsid w:val="00E60AD6"/>
    <w:rsid w:val="00E804E4"/>
    <w:rsid w:val="00E82D31"/>
    <w:rsid w:val="00EA0A10"/>
    <w:rsid w:val="00EE153D"/>
    <w:rsid w:val="00EE3207"/>
    <w:rsid w:val="00EF4BA4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7F612D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A09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A09F6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6158"/>
    <w:rPr>
      <w:color w:val="605E5C"/>
      <w:shd w:val="clear" w:color="auto" w:fill="E1DFDD"/>
    </w:rPr>
  </w:style>
  <w:style w:type="paragraph" w:customStyle="1" w:styleId="BDTcontributionH1">
    <w:name w:val="BDT_contributionH1"/>
    <w:basedOn w:val="Normal"/>
    <w:next w:val="Normal"/>
    <w:rsid w:val="006A0093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6A0093"/>
    <w:pPr>
      <w:spacing w:before="120" w:after="120" w:line="240" w:lineRule="auto"/>
    </w:pPr>
    <w:rPr>
      <w:rFonts w:ascii="Calibri" w:eastAsia="SimSun" w:hAnsi="Calibri" w:cs="Simplified Arabic"/>
      <w:szCs w:val="19"/>
      <w:lang w:val="ru-RU" w:eastAsia="en-US"/>
    </w:rPr>
  </w:style>
  <w:style w:type="character" w:customStyle="1" w:styleId="CEONormalChar">
    <w:name w:val="CEO_Normal Char"/>
    <w:basedOn w:val="DefaultParagraphFont"/>
    <w:link w:val="CEONormal"/>
    <w:locked/>
    <w:rsid w:val="006A0093"/>
    <w:rPr>
      <w:rFonts w:ascii="Calibri" w:eastAsia="SimSun" w:hAnsi="Calibri" w:cs="Simplified Arabic"/>
      <w:szCs w:val="19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00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A0093"/>
    <w:rPr>
      <w:rFonts w:ascii="Verdana" w:eastAsia="SimHei" w:hAnsi="Verdana" w:cs="Simplified Arabic"/>
      <w:bCs/>
      <w:sz w:val="19"/>
      <w:szCs w:val="28"/>
      <w:lang w:val="ru-RU"/>
    </w:rPr>
  </w:style>
  <w:style w:type="paragraph" w:customStyle="1" w:styleId="Default">
    <w:name w:val="Default"/>
    <w:rsid w:val="006A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FigureNo">
    <w:name w:val="Figure_No"/>
    <w:basedOn w:val="Normal"/>
    <w:next w:val="Normal"/>
    <w:rsid w:val="00DC4374"/>
    <w:pPr>
      <w:keepNext/>
      <w:keepLines/>
      <w:spacing w:before="240" w:after="120"/>
      <w:jc w:val="center"/>
    </w:pPr>
    <w:rPr>
      <w:caps/>
      <w:szCs w:val="20"/>
      <w:lang w:val="en-GB"/>
    </w:rPr>
  </w:style>
  <w:style w:type="paragraph" w:customStyle="1" w:styleId="Figuretitle">
    <w:name w:val="Figure_title"/>
    <w:basedOn w:val="Tabletitle"/>
    <w:next w:val="Normalaftertitle"/>
    <w:rsid w:val="00DC4374"/>
    <w:pPr>
      <w:tabs>
        <w:tab w:val="clear" w:pos="2948"/>
        <w:tab w:val="clear" w:pos="4082"/>
      </w:tabs>
      <w:spacing w:before="240" w:after="240"/>
    </w:pPr>
    <w:rPr>
      <w:szCs w:val="20"/>
      <w:lang w:val="en-GB"/>
    </w:rPr>
  </w:style>
  <w:style w:type="paragraph" w:customStyle="1" w:styleId="Figure">
    <w:name w:val="Figure"/>
    <w:basedOn w:val="Normal"/>
    <w:next w:val="Figuretitle"/>
    <w:rsid w:val="00DC4374"/>
    <w:pPr>
      <w:keepNext/>
      <w:keepLines/>
      <w:spacing w:after="120"/>
      <w:jc w:val="center"/>
    </w:pPr>
    <w:rPr>
      <w:szCs w:val="20"/>
      <w:lang w:val="en-GB"/>
    </w:rPr>
  </w:style>
  <w:style w:type="paragraph" w:customStyle="1" w:styleId="CEOParagraph1">
    <w:name w:val="CEO_Paragraph1."/>
    <w:basedOn w:val="Normal"/>
    <w:rsid w:val="006F4626"/>
    <w:pPr>
      <w:keepNext/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eastAsiaTheme="minorHAnsi"/>
      <w:b/>
      <w:bCs/>
      <w:lang w:val="en-US"/>
    </w:rPr>
  </w:style>
  <w:style w:type="character" w:customStyle="1" w:styleId="normaltextrun">
    <w:name w:val="normaltextrun"/>
    <w:basedOn w:val="DefaultParagraphFont"/>
    <w:rsid w:val="006F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INF-0002/" TargetMode="External"/><Relationship Id="rId20" Type="http://schemas.microsoft.com/office/2014/relationships/chartEx" Target="charts/chartEx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s://www.itu.int/md/D18-TDAG28-INF-0002/" TargetMode="Externa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4/relationships/chartEx" Target="charts/chartEx1.xml"/><Relationship Id="rId22" Type="http://schemas.openxmlformats.org/officeDocument/2006/relationships/hyperlink" Target="https://www.itu.int/en/ITU-D/MembersPartners/Pages/default.aspx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USERS\K\komissar\OLGA\Excel+JPG\07-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ue\DFS\USERS\K\komissar\OLGA\Excel+JPG\07-1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ITU-D\CONF-D\TDAG21\000\007R_figur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\\blue\dfs\pool\RUS\ITU-D\CONF-D\TDAG21\000\007R_figures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\\blue\dfs\pool\RUS\ITU-D\CONF-D\TDAG21\000\007R_figu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25268432355047E-2"/>
          <c:y val="6.5648851415696929E-2"/>
          <c:w val="0.88042973037461236"/>
          <c:h val="0.73118992869254174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AFC-43D8-A4F2-DBC69851F048}"/>
              </c:ext>
            </c:extLst>
          </c:dPt>
          <c:dPt>
            <c:idx val="1"/>
            <c:bubble3D val="0"/>
            <c:explosion val="1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AFC-43D8-A4F2-DBC69851F04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526E76E-0538-48E7-8FAF-EE554798E751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AFC-43D8-A4F2-DBC69851F04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41E0D76-C9CC-4109-A167-38C37F62305F}" type="VALUE">
                      <a:rPr lang="en-US"/>
                      <a:pPr/>
                      <a:t>[VALUE]</a:t>
                    </a:fld>
                    <a:endParaRPr lang="en-GB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AFC-43D8-A4F2-DBC69851F0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'[07-1.xlsx]Sheet1'!$A$9:$A$10</c:f>
              <c:strCache>
                <c:ptCount val="2"/>
                <c:pt idx="0">
                  <c:v>Доля финансирования от МСЭ</c:v>
                </c:pt>
                <c:pt idx="1">
                  <c:v>Доля финансирования от партнеров</c:v>
                </c:pt>
              </c:strCache>
            </c:strRef>
          </c:cat>
          <c:val>
            <c:numRef>
              <c:f>'[07-1.xlsx]Sheet1'!$B$9:$B$10</c:f>
              <c:numCache>
                <c:formatCode>0%</c:formatCode>
                <c:ptCount val="2"/>
                <c:pt idx="0">
                  <c:v>0.24</c:v>
                </c:pt>
                <c:pt idx="1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FC-43D8-A4F2-DBC69851F04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155007066424388E-2"/>
          <c:y val="0.84565546744379372"/>
          <c:w val="0.95703361599030878"/>
          <c:h val="8.6737316362276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rgbClr val="000000"/>
                </a:solidFill>
                <a:effectLst/>
              </a:rPr>
              <a:t>Подписанные финансовые взносы партнеров в разбивке по типам </a:t>
            </a:r>
            <a:br>
              <a:rPr lang="ru-RU" sz="1100" b="1" i="0" baseline="0">
                <a:solidFill>
                  <a:srgbClr val="000000"/>
                </a:solidFill>
                <a:effectLst/>
              </a:rPr>
            </a:br>
            <a:r>
              <a:rPr lang="ru-RU" sz="1100" b="1" i="0" baseline="0">
                <a:solidFill>
                  <a:srgbClr val="000000"/>
                </a:solidFill>
                <a:effectLst/>
              </a:rPr>
              <a:t>(1 квартал 2021 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Sheet1!$B$22</c:f>
              <c:strCache>
                <c:ptCount val="1"/>
                <c:pt idx="0">
                  <c:v>Partners' signed financial contributions per type (Q1 2021)</c:v>
                </c:pt>
              </c:strCache>
            </c:strRef>
          </c:tx>
          <c:spPr>
            <a:solidFill>
              <a:schemeClr val="accent1"/>
            </a:solidFill>
            <a:ln w="152400" cap="sq">
              <a:solidFill>
                <a:schemeClr val="accent1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Sheet1!$A$23:$A$27</c:f>
              <c:strCache>
                <c:ptCount val="5"/>
                <c:pt idx="0">
                  <c:v>Государства – Члены МСЭ и другие государственные организации</c:v>
                </c:pt>
                <c:pt idx="1">
                  <c:v>Организации ООН</c:v>
                </c:pt>
                <c:pt idx="2">
                  <c:v>Академические организации</c:v>
                </c:pt>
                <c:pt idx="3">
                  <c:v>Структуры частного сектора</c:v>
                </c:pt>
                <c:pt idx="4">
                  <c:v>Другие организации</c:v>
                </c:pt>
              </c:strCache>
            </c:strRef>
          </c:cat>
          <c:val>
            <c:numRef>
              <c:f>Sheet1!$B$23:$B$27</c:f>
              <c:numCache>
                <c:formatCode>0.0%</c:formatCode>
                <c:ptCount val="5"/>
                <c:pt idx="0">
                  <c:v>0.66100000000000003</c:v>
                </c:pt>
                <c:pt idx="1">
                  <c:v>0.15</c:v>
                </c:pt>
                <c:pt idx="2">
                  <c:v>2E-3</c:v>
                </c:pt>
                <c:pt idx="3">
                  <c:v>4.1000000000000002E-2</c:v>
                </c:pt>
                <c:pt idx="4">
                  <c:v>0.14699999999999999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B1-4B67-BF93-8B7F4E8135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7470224"/>
        <c:axId val="237476464"/>
      </c:barChart>
      <c:catAx>
        <c:axId val="237470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476464"/>
        <c:crosses val="autoZero"/>
        <c:auto val="1"/>
        <c:lblAlgn val="ctr"/>
        <c:lblOffset val="100"/>
        <c:noMultiLvlLbl val="0"/>
      </c:catAx>
      <c:valAx>
        <c:axId val="2374764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3747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spc="0" baseline="0">
                <a:solidFill>
                  <a:srgbClr val="000000"/>
                </a:solidFill>
                <a:effectLst/>
              </a:rPr>
              <a:t>Подписанные финансовые взносы в разбивке по регионам</a:t>
            </a:r>
            <a:r>
              <a:rPr lang="en-US" sz="1100" b="1" i="0" kern="1200" spc="0" baseline="0">
                <a:solidFill>
                  <a:srgbClr val="000000"/>
                </a:solidFill>
                <a:effectLst/>
              </a:rPr>
              <a:t> (1</a:t>
            </a:r>
            <a:r>
              <a:rPr lang="ru-RU" sz="1100" b="1" i="0" kern="1200" spc="0" baseline="0">
                <a:solidFill>
                  <a:srgbClr val="000000"/>
                </a:solidFill>
                <a:effectLst/>
              </a:rPr>
              <a:t> квартал</a:t>
            </a:r>
            <a:r>
              <a:rPr lang="en-US" sz="1100" b="1" i="0" kern="1200" spc="0" baseline="0">
                <a:solidFill>
                  <a:srgbClr val="000000"/>
                </a:solidFill>
                <a:effectLst/>
              </a:rPr>
              <a:t> 2021</a:t>
            </a:r>
            <a:r>
              <a:rPr lang="ru-RU" sz="1100" b="1" i="0" kern="1200" spc="0" baseline="0">
                <a:solidFill>
                  <a:srgbClr val="000000"/>
                </a:solidFill>
                <a:effectLst/>
              </a:rPr>
              <a:t> г.</a:t>
            </a:r>
            <a:r>
              <a:rPr lang="en-US" sz="1100" b="1" i="0" kern="1200" spc="0" baseline="0">
                <a:solidFill>
                  <a:srgbClr val="000000"/>
                </a:solidFill>
                <a:effectLst/>
              </a:rPr>
              <a:t>)</a:t>
            </a:r>
            <a:endParaRPr lang="ru-RU" sz="1100" b="1" i="0" kern="1200" spc="0" baseline="0">
              <a:solidFill>
                <a:srgbClr val="000000"/>
              </a:solidFill>
              <a:effectLst/>
            </a:endParaRPr>
          </a:p>
        </c:rich>
      </c:tx>
      <c:layout>
        <c:manualLayout>
          <c:xMode val="edge"/>
          <c:yMode val="edge"/>
          <c:x val="0.1258818897637795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Sheet1!$B$39</c:f>
              <c:strCache>
                <c:ptCount val="1"/>
                <c:pt idx="0">
                  <c:v>Signed financial contributions per regions (Q1 2021)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17F-4CCB-8920-D94A9AC2CA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17F-4CCB-8920-D94A9AC2CA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17F-4CCB-8920-D94A9AC2CA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17F-4CCB-8920-D94A9AC2CA0C}"/>
              </c:ext>
            </c:extLst>
          </c:dPt>
          <c:dLbls>
            <c:dLbl>
              <c:idx val="0"/>
              <c:layout>
                <c:manualLayout>
                  <c:x val="0.1249999999999999"/>
                  <c:y val="-6.46651270207853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7F-4CCB-8920-D94A9AC2CA0C}"/>
                </c:ext>
              </c:extLst>
            </c:dLbl>
            <c:dLbl>
              <c:idx val="1"/>
              <c:layout>
                <c:manualLayout>
                  <c:x val="0.19722222222222222"/>
                  <c:y val="-1.84757505773672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7F-4CCB-8920-D94A9AC2CA0C}"/>
                </c:ext>
              </c:extLst>
            </c:dLbl>
            <c:dLbl>
              <c:idx val="2"/>
              <c:layout>
                <c:manualLayout>
                  <c:x val="0.10809668427451412"/>
                  <c:y val="0.103529052316442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7F-4CCB-8920-D94A9AC2CA0C}"/>
                </c:ext>
              </c:extLst>
            </c:dLbl>
            <c:dLbl>
              <c:idx val="3"/>
              <c:layout>
                <c:manualLayout>
                  <c:x val="-0.13333333333333333"/>
                  <c:y val="-0.254041570438799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7F-4CCB-8920-D94A9AC2CA0C}"/>
                </c:ext>
              </c:extLst>
            </c:dLbl>
            <c:spPr>
              <a:noFill/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Sheet1!$A$40:$A$43</c:f>
              <c:strCache>
                <c:ptCount val="4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Европа</c:v>
                </c:pt>
                <c:pt idx="3">
                  <c:v>Несколько регионов</c:v>
                </c:pt>
              </c:strCache>
            </c:strRef>
          </c:cat>
          <c:val>
            <c:numRef>
              <c:f>Sheet1!$B$40:$B$43</c:f>
              <c:numCache>
                <c:formatCode>0.0%</c:formatCode>
                <c:ptCount val="4"/>
                <c:pt idx="0">
                  <c:v>0.32700000000000001</c:v>
                </c:pt>
                <c:pt idx="1">
                  <c:v>9.0999999999999998E-2</c:v>
                </c:pt>
                <c:pt idx="2">
                  <c:v>2E-3</c:v>
                </c:pt>
                <c:pt idx="3">
                  <c:v>0.57899999999999996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17F-4CCB-8920-D94A9AC2C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861111111111111"/>
          <c:y val="0.16411630994162682"/>
          <c:w val="0.7583333333333333"/>
          <c:h val="0.72257569420450618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8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EF9-4221-BF29-44226D524A7D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EF9-4221-BF29-44226D524A7D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E64A065-4409-4304-8308-219C319749DC}" type="CATEGORYNAME">
                      <a:rPr lang="ru-RU" sz="900"/>
                      <a:pPr>
                        <a:defRPr sz="900" b="1" i="0" u="none" strike="noStrike" kern="1200" spc="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ru-RU" sz="900" baseline="0"/>
                      <a:t> </a:t>
                    </a:r>
                    <a:fld id="{1C1A18B0-AEF1-4D0E-8BB7-4CBD5EA5E8A4}" type="VALUE">
                      <a:rPr lang="ru-RU" sz="900" baseline="0"/>
                      <a:pPr>
                        <a:defRPr sz="900" b="1" i="0" u="none" strike="noStrike" kern="1200" spc="0" baseline="0">
                          <a:solidFill>
                            <a:schemeClr val="accen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ru-RU" sz="9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3208567908427019"/>
                      <c:h val="0.16832883600224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EF9-4221-BF29-44226D524A7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704A546-4A1F-44BA-8705-74C46F20A48E}" type="CATEGORYNAME">
                      <a:rPr lang="ru-RU" sz="900"/>
                      <a:pPr/>
                      <a:t>[CATEGORY NAME]</a:t>
                    </a:fld>
                    <a:r>
                      <a:rPr lang="ru-RU" sz="900"/>
                      <a:t> </a:t>
                    </a:r>
                    <a:fld id="{8F527B8D-B08B-4C2F-ADD1-0D85A4BB4180}" type="VALUE">
                      <a:rPr lang="ru-RU" sz="900" baseline="0"/>
                      <a:pPr/>
                      <a:t>[VALUE]</a:t>
                    </a:fld>
                    <a:endParaRPr lang="ru-RU" sz="90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481203578500435"/>
                      <c:h val="0.219756554307116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EF9-4221-BF29-44226D524A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'[07-1.xlsx]Sheet1'!$A$75:$A$76</c:f>
              <c:strCache>
                <c:ptCount val="2"/>
                <c:pt idx="0">
                  <c:v>Доля финансирования от МСЭ</c:v>
                </c:pt>
                <c:pt idx="1">
                  <c:v>Доля финансирования от партнеров</c:v>
                </c:pt>
              </c:strCache>
            </c:strRef>
          </c:cat>
          <c:val>
            <c:numRef>
              <c:f>'[07-1.xlsx]Sheet1'!$B$75:$B$76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F9-4221-BF29-44226D524A7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solidFill>
                  <a:srgbClr val="000000"/>
                </a:solidFill>
                <a:effectLst/>
              </a:rPr>
              <a:t>Подписанные финансовые взносы партнеров в разбивке по типам (2020 г.)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Sheet1!$B$93</c:f>
              <c:strCache>
                <c:ptCount val="1"/>
                <c:pt idx="0">
                  <c:v>Partners' signed contributons per type (in 2020)</c:v>
                </c:pt>
              </c:strCache>
            </c:strRef>
          </c:tx>
          <c:spPr>
            <a:solidFill>
              <a:schemeClr val="accent1"/>
            </a:solidFill>
            <a:ln w="152400" cap="sq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Sheet1!$A$94:$A$99</c:f>
              <c:strCache>
                <c:ptCount val="6"/>
                <c:pt idx="0">
                  <c:v>Государства – Члены МСЭ и другие государственные учреждения</c:v>
                </c:pt>
                <c:pt idx="1">
                  <c:v>Фонды</c:v>
                </c:pt>
                <c:pt idx="2">
                  <c:v>Организации ООН</c:v>
                </c:pt>
                <c:pt idx="3">
                  <c:v>Международные и региональные организации и ассоциации</c:v>
                </c:pt>
                <c:pt idx="4">
                  <c:v>Академические организации</c:v>
                </c:pt>
                <c:pt idx="5">
                  <c:v>Структуры частного сектора</c:v>
                </c:pt>
              </c:strCache>
            </c:strRef>
          </c:cat>
          <c:val>
            <c:numRef>
              <c:f>Sheet1!$B$94:$B$99</c:f>
              <c:numCache>
                <c:formatCode>0.0%</c:formatCode>
                <c:ptCount val="6"/>
                <c:pt idx="0">
                  <c:v>0.79</c:v>
                </c:pt>
                <c:pt idx="1">
                  <c:v>3.3000000000000002E-2</c:v>
                </c:pt>
                <c:pt idx="2">
                  <c:v>0.05</c:v>
                </c:pt>
                <c:pt idx="3">
                  <c:v>7.3999999999999996E-2</c:v>
                </c:pt>
                <c:pt idx="4">
                  <c:v>2E-3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A-4C22-B81D-2B1CF987152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93802656"/>
        <c:axId val="693794752"/>
      </c:barChart>
      <c:catAx>
        <c:axId val="693802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3794752"/>
        <c:crosses val="autoZero"/>
        <c:auto val="1"/>
        <c:lblAlgn val="ctr"/>
        <c:lblOffset val="100"/>
        <c:noMultiLvlLbl val="0"/>
      </c:catAx>
      <c:valAx>
        <c:axId val="6937947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69380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kern="1200" spc="0" baseline="0">
                <a:solidFill>
                  <a:sysClr val="windowText" lastClr="000000"/>
                </a:solidFill>
                <a:effectLst/>
              </a:rPr>
              <a:t>Подписанные финансовые взносы в разбивке по регионам</a:t>
            </a:r>
            <a:r>
              <a:rPr lang="en-US" sz="1100" b="1" i="0" kern="1200" spc="0" baseline="0">
                <a:solidFill>
                  <a:sysClr val="windowText" lastClr="000000"/>
                </a:solidFill>
                <a:effectLst/>
              </a:rPr>
              <a:t> </a:t>
            </a:r>
            <a:r>
              <a:rPr lang="en-GB" sz="1100" b="1" i="0" kern="1200" spc="0" baseline="0">
                <a:solidFill>
                  <a:sysClr val="windowText" lastClr="000000"/>
                </a:solidFill>
                <a:effectLst/>
              </a:rPr>
              <a:t>(2020</a:t>
            </a:r>
            <a:r>
              <a:rPr lang="ru-RU" sz="1100" b="1" i="0" kern="1200" spc="0" baseline="0">
                <a:solidFill>
                  <a:sysClr val="windowText" lastClr="000000"/>
                </a:solidFill>
                <a:effectLst/>
              </a:rPr>
              <a:t> г.</a:t>
            </a:r>
            <a:r>
              <a:rPr lang="en-GB" sz="1100" b="1" i="0" kern="1200" spc="0" baseline="0">
                <a:solidFill>
                  <a:sysClr val="windowText" lastClr="000000"/>
                </a:solidFill>
                <a:effectLst/>
              </a:rPr>
              <a:t>)</a:t>
            </a:r>
            <a:endParaRPr lang="ru-RU" sz="1100" b="1" i="0" kern="1200" spc="0" baseline="0">
              <a:solidFill>
                <a:sysClr val="windowText" lastClr="000000"/>
              </a:solidFill>
              <a:effectLst/>
            </a:endParaRPr>
          </a:p>
          <a:p>
            <a:pPr>
              <a:defRPr sz="1200" b="1"/>
            </a:pPr>
            <a:endParaRPr lang="en-US" sz="1200" b="1"/>
          </a:p>
        </c:rich>
      </c:tx>
      <c:layout>
        <c:manualLayout>
          <c:xMode val="edge"/>
          <c:yMode val="edge"/>
          <c:x val="0.17171618124993854"/>
          <c:y val="1.45915146682614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5185093481390628"/>
          <c:y val="0.17766703212731319"/>
          <c:w val="0.35446898219332651"/>
          <c:h val="0.72633033468466823"/>
        </c:manualLayout>
      </c:layout>
      <c:doughnutChart>
        <c:varyColors val="1"/>
        <c:ser>
          <c:idx val="0"/>
          <c:order val="0"/>
          <c:tx>
            <c:strRef>
              <c:f>Sheet1!$B$116</c:f>
              <c:strCache>
                <c:ptCount val="1"/>
                <c:pt idx="0">
                  <c:v>Signed financial contributions per regions (in 2020)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6C-4946-849D-C6006A822D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6C-4946-849D-C6006A822D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6C-4946-849D-C6006A822D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6C-4946-849D-C6006A822D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6C-4946-849D-C6006A822D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6C-4946-849D-C6006A822D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B6C-4946-849D-C6006A822DE2}"/>
              </c:ext>
            </c:extLst>
          </c:dPt>
          <c:dLbls>
            <c:dLbl>
              <c:idx val="0"/>
              <c:layout>
                <c:manualLayout>
                  <c:x val="9.8425196850393699E-3"/>
                  <c:y val="-7.020220445977470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6C-4946-849D-C6006A822DE2}"/>
                </c:ext>
              </c:extLst>
            </c:dLbl>
            <c:dLbl>
              <c:idx val="1"/>
              <c:layout>
                <c:manualLayout>
                  <c:x val="4.7244094488188976E-2"/>
                  <c:y val="-5.49408556641714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6C-4946-849D-C6006A822DE2}"/>
                </c:ext>
              </c:extLst>
            </c:dLbl>
            <c:dLbl>
              <c:idx val="2"/>
              <c:layout>
                <c:manualLayout>
                  <c:x val="8.070866141732283E-2"/>
                  <c:y val="6.104539518241221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6C-4946-849D-C6006A822DE2}"/>
                </c:ext>
              </c:extLst>
            </c:dLbl>
            <c:dLbl>
              <c:idx val="3"/>
              <c:layout>
                <c:manualLayout>
                  <c:x val="4.1338582677165281E-2"/>
                  <c:y val="5.18885859050508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6C-4946-849D-C6006A822DE2}"/>
                </c:ext>
              </c:extLst>
            </c:dLbl>
            <c:dLbl>
              <c:idx val="4"/>
              <c:layout>
                <c:manualLayout>
                  <c:x val="3.1496062992125914E-2"/>
                  <c:y val="8.546355325537788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6C-4946-849D-C6006A822DE2}"/>
                </c:ext>
              </c:extLst>
            </c:dLbl>
            <c:dLbl>
              <c:idx val="5"/>
              <c:layout>
                <c:manualLayout>
                  <c:x val="-1.1811023622047244E-2"/>
                  <c:y val="6.71499347006540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6C-4946-849D-C6006A822DE2}"/>
                </c:ext>
              </c:extLst>
            </c:dLbl>
            <c:dLbl>
              <c:idx val="6"/>
              <c:layout>
                <c:manualLayout>
                  <c:x val="-6.8897637795275621E-2"/>
                  <c:y val="-3.35749673503270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6C-4946-849D-C6006A822D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Sheet1!$A$117:$A$123</c:f>
              <c:strCache>
                <c:ptCount val="7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СНГ</c:v>
                </c:pt>
                <c:pt idx="5">
                  <c:v>Европа</c:v>
                </c:pt>
                <c:pt idx="6">
                  <c:v>Несколько регионов</c:v>
                </c:pt>
              </c:strCache>
            </c:strRef>
          </c:cat>
          <c:val>
            <c:numRef>
              <c:f>Sheet1!$B$117:$B$123</c:f>
              <c:numCache>
                <c:formatCode>0%</c:formatCode>
                <c:ptCount val="7"/>
                <c:pt idx="0">
                  <c:v>6.3E-2</c:v>
                </c:pt>
                <c:pt idx="1">
                  <c:v>3.2000000000000001E-2</c:v>
                </c:pt>
                <c:pt idx="2">
                  <c:v>0.27500000000000002</c:v>
                </c:pt>
                <c:pt idx="3">
                  <c:v>0.08</c:v>
                </c:pt>
                <c:pt idx="4">
                  <c:v>2.7E-2</c:v>
                </c:pt>
                <c:pt idx="5">
                  <c:v>6.5000000000000002E-2</c:v>
                </c:pt>
                <c:pt idx="6">
                  <c:v>0.46400000000000002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B6C-4946-849D-C6006A822D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653772870227954E-2"/>
          <c:y val="0.18542514753037731"/>
          <c:w val="0.39260593519104575"/>
          <c:h val="0.690602013355925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Sheet1!$A$55:$A$59</cx:f>
        <cx:lvl ptCount="5">
          <cx:pt idx="0">Охват цифровыми технологиями</cx:pt>
          <cx:pt idx="1">Цифровые услуги и приложения</cx:pt>
          <cx:pt idx="2">Окружающая среда</cx:pt>
          <cx:pt idx="3">Несколько тематик</cx:pt>
          <cx:pt idx="4">Сетевая и цифровая инфраструктура</cx:pt>
        </cx:lvl>
      </cx:strDim>
      <cx:numDim type="val">
        <cx:f>Sheet1!$B$55:$B$59</cx:f>
        <cx:lvl ptCount="5" formatCode="0%">
          <cx:pt idx="0">0.33000000000000002</cx:pt>
          <cx:pt idx="1">0.029999999999999999</cx:pt>
          <cx:pt idx="2">0.070000000000000007</cx:pt>
          <cx:pt idx="3">0.47999999999999998</cx:pt>
          <cx:pt idx="4">0.089999999999999997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 fontAlgn="base">
              <a:spcBef>
                <a:spcPts val="0"/>
              </a:spcBef>
              <a:spcAft>
                <a:spcPts val="0"/>
              </a:spcAft>
            </a:pPr>
            <a:r>
              <a:rPr lang="ru-RU" sz="1100" b="1" i="0" baseline="0">
                <a:effectLst/>
                <a:latin typeface="+mn-lt"/>
              </a:rPr>
              <a:t>Подписанные финансовые взносы в разбивке по тематическим приоритетам</a:t>
            </a:r>
            <a:r>
              <a:rPr lang="en-US" sz="1100" b="1" i="0" baseline="0">
                <a:effectLst/>
                <a:latin typeface="+mn-lt"/>
              </a:rPr>
              <a:t> </a:t>
            </a:r>
            <a:br>
              <a:rPr lang="ru-RU" sz="1100" b="1" i="0" baseline="0">
                <a:effectLst/>
                <a:latin typeface="+mn-lt"/>
              </a:rPr>
            </a:br>
            <a:r>
              <a:rPr lang="en-US" sz="1100" b="1" i="0" baseline="0">
                <a:effectLst/>
                <a:latin typeface="+mn-lt"/>
              </a:rPr>
              <a:t>(1</a:t>
            </a:r>
            <a:r>
              <a:rPr lang="ru-RU" sz="1100" b="1" i="0" baseline="0">
                <a:effectLst/>
                <a:latin typeface="+mn-lt"/>
              </a:rPr>
              <a:t> квартал</a:t>
            </a:r>
            <a:r>
              <a:rPr lang="en-US" sz="1100" b="1" i="0" baseline="0">
                <a:effectLst/>
                <a:latin typeface="+mn-lt"/>
              </a:rPr>
              <a:t> 2021</a:t>
            </a:r>
            <a:r>
              <a:rPr lang="ru-RU" sz="1100" b="1" i="0" baseline="0">
                <a:effectLst/>
                <a:latin typeface="+mn-lt"/>
              </a:rPr>
              <a:t> г.</a:t>
            </a:r>
            <a:r>
              <a:rPr lang="en-US" sz="1100" b="1" i="0" baseline="0">
                <a:effectLst/>
                <a:latin typeface="+mn-lt"/>
              </a:rPr>
              <a:t>)</a:t>
            </a:r>
            <a:endParaRPr lang="ru-RU" sz="1100" b="1" i="0" baseline="0">
              <a:effectLst/>
              <a:latin typeface="+mn-lt"/>
            </a:endParaRPr>
          </a:p>
        </cx:rich>
      </cx:tx>
    </cx:title>
    <cx:plotArea>
      <cx:plotAreaRegion>
        <cx:series layoutId="funnel" uniqueId="{AD2AE017-C899-4B95-AB1C-15B2C778768E}">
          <cx:tx>
            <cx:txData>
              <cx:f>Sheet1!$B$54</cx:f>
              <cx:v>Signed financial contributions per thematic priorities (Q1 2021)</cx:v>
            </cx:txData>
          </cx:tx>
          <cx:dataLabels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>
                <a:solidFill>
                  <a:sysClr val="windowText" lastClr="000000"/>
                </a:solidFill>
              </a:defRPr>
            </a:pPr>
            <a:endParaRPr lang="en-US" sz="900" b="0" i="0" u="none" strike="noStrike" baseline="0">
              <a:solidFill>
                <a:sysClr val="windowText" lastClr="000000"/>
              </a:solidFill>
              <a:latin typeface="Calibri"/>
            </a:endParaRPr>
          </a:p>
        </cx:txPr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Sheet1!$A$135:$A$142</cx:f>
        <cx:lvl ptCount="8">
          <cx:pt idx="0">Сетевая и цифровая инфраструктура</cx:pt>
          <cx:pt idx="1">Несколько тематик</cx:pt>
          <cx:pt idx="2">Окружающая среда</cx:pt>
          <cx:pt idx="3">Цифровые услуги и приложения</cx:pt>
          <cx:pt idx="4">Цифровые инновации</cx:pt>
          <cx:pt idx="5">Охват цифровыми технологиями</cx:pt>
          <cx:pt idx="6">Кибербезопасность</cx:pt>
          <cx:pt idx="7">Развитие потенциала</cx:pt>
        </cx:lvl>
      </cx:strDim>
      <cx:numDim type="val">
        <cx:f>Sheet1!$B$135:$B$142</cx:f>
        <cx:lvl ptCount="8" formatCode="0%">
          <cx:pt idx="0">0.20000000000000001</cx:pt>
          <cx:pt idx="1">0.059999999999999998</cx:pt>
          <cx:pt idx="2">0.01</cx:pt>
          <cx:pt idx="3">0.10000000000000001</cx:pt>
          <cx:pt idx="4">0.02</cx:pt>
          <cx:pt idx="5">0.12</cx:pt>
          <cx:pt idx="6">0.20999999999999999</cx:pt>
          <cx:pt idx="7">0.28000000000000003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 fontAlgn="base">
              <a:spcBef>
                <a:spcPts val="0"/>
              </a:spcBef>
              <a:spcAft>
                <a:spcPts val="0"/>
              </a:spcAft>
            </a:pPr>
            <a:r>
              <a:rPr lang="ru-RU" sz="1100" b="1" i="0" baseline="0">
                <a:solidFill>
                  <a:sysClr val="windowText" lastClr="00000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Подписанные финансовые взносы в разбивке по тематическим приоритетам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 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 </a:t>
            </a:r>
            <a:br>
              <a:rPr lang="ru-RU" sz="1100" b="1" i="0" baseline="0">
                <a:solidFill>
                  <a:sysClr val="windowText" lastClr="00000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</a:br>
            <a:r>
              <a:rPr lang="en-US" sz="1100" b="1" i="0" baseline="0">
                <a:solidFill>
                  <a:sysClr val="windowText" lastClr="00000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(2020</a:t>
            </a:r>
            <a:r>
              <a:rPr lang="ru-RU" sz="1100" b="1" i="0" baseline="0">
                <a:solidFill>
                  <a:sysClr val="windowText" lastClr="00000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 г.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)</a:t>
            </a:r>
            <a:endParaRPr lang="ru-RU" sz="1100" b="1" i="0" baseline="0">
              <a:solidFill>
                <a:sysClr val="windowText" lastClr="000000"/>
              </a:solidFill>
              <a:effectLst/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endParaRPr>
          </a:p>
        </cx:rich>
      </cx:tx>
    </cx:title>
    <cx:plotArea>
      <cx:plotAreaRegion>
        <cx:series layoutId="funnel" uniqueId="{E187F628-C97E-42AD-BA1D-3AFA95D7DEAB}">
          <cx:tx>
            <cx:txData>
              <cx:f>Sheet1!$B$134</cx:f>
              <cx:v>Signed financial contributions per thematic priorities (in 2020)</cx:v>
            </cx:txData>
          </cx:tx>
          <cx:dataLabels>
            <cx:visibility seriesName="0" categoryName="0" value="1"/>
            <cx:separator>, </cx:separator>
          </cx:dataLabels>
          <cx:dataId val="0"/>
        </cx:series>
      </cx:plotAreaRegion>
      <cx:axis id="0">
        <cx:catScaling gapWidth="0.0599999987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>
                <a:solidFill>
                  <a:sysClr val="windowText" lastClr="000000"/>
                </a:solidFill>
              </a:defRPr>
            </a:pPr>
            <a:endParaRPr lang="en-US" sz="900" b="0" i="0" u="none" strike="noStrike" baseline="0">
              <a:solidFill>
                <a:sysClr val="windowText" lastClr="000000"/>
              </a:solidFill>
              <a:latin typeface="Calibri"/>
            </a:endParaRPr>
          </a:p>
        </cx:txPr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6298-74E9-4427-928D-1486E565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4</cp:revision>
  <cp:lastPrinted>2015-03-02T13:42:00Z</cp:lastPrinted>
  <dcterms:created xsi:type="dcterms:W3CDTF">2021-05-10T07:10:00Z</dcterms:created>
  <dcterms:modified xsi:type="dcterms:W3CDTF">2021-05-10T08:41:00Z</dcterms:modified>
</cp:coreProperties>
</file>