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Ex1.xml" ContentType="application/vnd.ms-office.chartex+xml"/>
  <Override PartName="/word/charts/chartEx2.xml" ContentType="application/vnd.ms-office.chartex+xml"/>
  <Override PartName="/word/charts/colors40.xml" ContentType="application/vnd.ms-office.chartcolorstyle+xml"/>
  <Override PartName="/word/charts/style40.xml" ContentType="application/vnd.ms-office.chartstyle+xml"/>
  <Override PartName="/word/charts/colors8.xml" ContentType="application/vnd.ms-office.chartcolorstyle+xml"/>
  <Override PartName="/word/charts/style8.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467D2C" w14:paraId="1C20896F" w14:textId="77777777" w:rsidTr="005221A2">
        <w:trPr>
          <w:cantSplit/>
          <w:trHeight w:val="1134"/>
        </w:trPr>
        <w:tc>
          <w:tcPr>
            <w:tcW w:w="2268" w:type="dxa"/>
          </w:tcPr>
          <w:p w14:paraId="45C5ED40" w14:textId="1F9903B0" w:rsidR="005221A2" w:rsidRPr="00467D2C" w:rsidRDefault="005221A2" w:rsidP="00084EE1">
            <w:pPr>
              <w:tabs>
                <w:tab w:val="clear" w:pos="1191"/>
                <w:tab w:val="clear" w:pos="1588"/>
                <w:tab w:val="clear" w:pos="1985"/>
              </w:tabs>
              <w:spacing w:after="120"/>
              <w:ind w:left="34"/>
              <w:rPr>
                <w:b/>
                <w:bCs/>
                <w:sz w:val="32"/>
                <w:szCs w:val="32"/>
                <w:lang w:val="fr-FR"/>
              </w:rPr>
            </w:pPr>
            <w:r w:rsidRPr="00467D2C">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467D2C" w:rsidRDefault="005221A2" w:rsidP="00084EE1">
            <w:pPr>
              <w:tabs>
                <w:tab w:val="clear" w:pos="1191"/>
                <w:tab w:val="clear" w:pos="1588"/>
                <w:tab w:val="clear" w:pos="1985"/>
              </w:tabs>
              <w:spacing w:before="280" w:after="120"/>
              <w:ind w:left="34"/>
              <w:rPr>
                <w:b/>
                <w:bCs/>
                <w:sz w:val="32"/>
                <w:szCs w:val="32"/>
                <w:lang w:val="fr-FR"/>
              </w:rPr>
            </w:pPr>
            <w:r w:rsidRPr="00467D2C">
              <w:rPr>
                <w:b/>
                <w:bCs/>
                <w:sz w:val="32"/>
                <w:szCs w:val="32"/>
                <w:lang w:val="fr-FR"/>
              </w:rPr>
              <w:t xml:space="preserve">Groupe consultatif pour le développement </w:t>
            </w:r>
            <w:r w:rsidRPr="00467D2C">
              <w:rPr>
                <w:b/>
                <w:bCs/>
                <w:sz w:val="32"/>
                <w:szCs w:val="32"/>
                <w:lang w:val="fr-FR"/>
              </w:rPr>
              <w:br/>
              <w:t>des télécommunications (GCDT)</w:t>
            </w:r>
          </w:p>
          <w:p w14:paraId="3DFE313D" w14:textId="3622BC23" w:rsidR="005221A2" w:rsidRPr="00467D2C" w:rsidRDefault="005221A2" w:rsidP="00084EE1">
            <w:pPr>
              <w:tabs>
                <w:tab w:val="clear" w:pos="1191"/>
                <w:tab w:val="clear" w:pos="1588"/>
                <w:tab w:val="clear" w:pos="1985"/>
              </w:tabs>
              <w:spacing w:before="100" w:after="120"/>
              <w:ind w:left="34"/>
              <w:rPr>
                <w:rFonts w:ascii="Verdana" w:hAnsi="Verdana"/>
                <w:sz w:val="28"/>
                <w:szCs w:val="28"/>
                <w:lang w:val="fr-FR"/>
              </w:rPr>
            </w:pPr>
            <w:r w:rsidRPr="00467D2C">
              <w:rPr>
                <w:b/>
                <w:bCs/>
                <w:sz w:val="26"/>
                <w:szCs w:val="26"/>
                <w:lang w:val="fr-FR"/>
              </w:rPr>
              <w:t>28ème réunion, virtuelle, 2</w:t>
            </w:r>
            <w:r w:rsidR="00191189" w:rsidRPr="00467D2C">
              <w:rPr>
                <w:b/>
                <w:bCs/>
                <w:sz w:val="26"/>
                <w:szCs w:val="26"/>
                <w:lang w:val="fr-FR"/>
              </w:rPr>
              <w:t>4</w:t>
            </w:r>
            <w:r w:rsidRPr="00467D2C">
              <w:rPr>
                <w:b/>
                <w:bCs/>
                <w:sz w:val="26"/>
                <w:szCs w:val="26"/>
                <w:lang w:val="fr-FR"/>
              </w:rPr>
              <w:t>-28 mai 2021</w:t>
            </w:r>
          </w:p>
        </w:tc>
        <w:tc>
          <w:tcPr>
            <w:tcW w:w="1524" w:type="dxa"/>
          </w:tcPr>
          <w:p w14:paraId="5BB3CF32" w14:textId="2BFBE1BC" w:rsidR="005221A2" w:rsidRPr="00467D2C" w:rsidRDefault="002E38ED" w:rsidP="00084EE1">
            <w:pPr>
              <w:spacing w:before="240"/>
              <w:ind w:right="142"/>
              <w:jc w:val="right"/>
              <w:rPr>
                <w:lang w:val="fr-FR"/>
              </w:rPr>
            </w:pPr>
            <w:r w:rsidRPr="00467D2C">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67D2C" w14:paraId="27F9265D" w14:textId="77777777" w:rsidTr="005221A2">
        <w:trPr>
          <w:cantSplit/>
        </w:trPr>
        <w:tc>
          <w:tcPr>
            <w:tcW w:w="6379" w:type="dxa"/>
            <w:gridSpan w:val="2"/>
            <w:tcBorders>
              <w:top w:val="single" w:sz="12" w:space="0" w:color="auto"/>
            </w:tcBorders>
          </w:tcPr>
          <w:p w14:paraId="274519C1" w14:textId="77777777" w:rsidR="00683C32" w:rsidRPr="00467D2C" w:rsidRDefault="00683C32" w:rsidP="00084EE1">
            <w:pPr>
              <w:spacing w:before="0"/>
              <w:rPr>
                <w:rFonts w:cs="Arial"/>
                <w:b/>
                <w:bCs/>
                <w:sz w:val="20"/>
                <w:lang w:val="fr-FR"/>
              </w:rPr>
            </w:pPr>
          </w:p>
        </w:tc>
        <w:tc>
          <w:tcPr>
            <w:tcW w:w="3509" w:type="dxa"/>
            <w:gridSpan w:val="2"/>
            <w:tcBorders>
              <w:top w:val="single" w:sz="12" w:space="0" w:color="auto"/>
            </w:tcBorders>
          </w:tcPr>
          <w:p w14:paraId="20F9BDF5" w14:textId="77777777" w:rsidR="00683C32" w:rsidRPr="00467D2C" w:rsidRDefault="00683C32" w:rsidP="00084EE1">
            <w:pPr>
              <w:spacing w:before="0"/>
              <w:rPr>
                <w:b/>
                <w:bCs/>
                <w:sz w:val="20"/>
                <w:lang w:val="fr-FR"/>
              </w:rPr>
            </w:pPr>
          </w:p>
        </w:tc>
      </w:tr>
      <w:tr w:rsidR="00683C32" w:rsidRPr="00467D2C" w14:paraId="46C2A819" w14:textId="77777777" w:rsidTr="005221A2">
        <w:trPr>
          <w:cantSplit/>
        </w:trPr>
        <w:tc>
          <w:tcPr>
            <w:tcW w:w="6379" w:type="dxa"/>
            <w:gridSpan w:val="2"/>
          </w:tcPr>
          <w:p w14:paraId="1C4186C5" w14:textId="77777777" w:rsidR="00683C32" w:rsidRPr="00467D2C" w:rsidRDefault="00683C32" w:rsidP="00084EE1">
            <w:pPr>
              <w:pStyle w:val="Committee"/>
              <w:spacing w:before="0"/>
              <w:rPr>
                <w:b w:val="0"/>
                <w:szCs w:val="24"/>
                <w:lang w:val="fr-FR"/>
              </w:rPr>
            </w:pPr>
          </w:p>
        </w:tc>
        <w:tc>
          <w:tcPr>
            <w:tcW w:w="3509" w:type="dxa"/>
            <w:gridSpan w:val="2"/>
          </w:tcPr>
          <w:p w14:paraId="18DBE3E6" w14:textId="6EC1F615" w:rsidR="00683C32" w:rsidRPr="00467D2C" w:rsidRDefault="0096201B" w:rsidP="00084EE1">
            <w:pPr>
              <w:spacing w:before="0"/>
              <w:jc w:val="both"/>
              <w:rPr>
                <w:bCs/>
                <w:szCs w:val="24"/>
                <w:lang w:val="fr-FR"/>
              </w:rPr>
            </w:pPr>
            <w:r w:rsidRPr="00467D2C">
              <w:rPr>
                <w:b/>
                <w:bCs/>
                <w:lang w:val="fr-FR"/>
              </w:rPr>
              <w:t xml:space="preserve">Document </w:t>
            </w:r>
            <w:bookmarkStart w:id="0" w:name="DocRef1"/>
            <w:bookmarkEnd w:id="0"/>
            <w:r w:rsidRPr="00467D2C">
              <w:rPr>
                <w:b/>
                <w:bCs/>
                <w:lang w:val="fr-FR"/>
              </w:rPr>
              <w:t>TDAG</w:t>
            </w:r>
            <w:r w:rsidR="003242AB" w:rsidRPr="00467D2C">
              <w:rPr>
                <w:b/>
                <w:bCs/>
                <w:lang w:val="fr-FR"/>
              </w:rPr>
              <w:t>-</w:t>
            </w:r>
            <w:r w:rsidR="00B648C7" w:rsidRPr="00467D2C">
              <w:rPr>
                <w:b/>
                <w:bCs/>
                <w:lang w:val="fr-FR"/>
              </w:rPr>
              <w:t>2</w:t>
            </w:r>
            <w:bookmarkStart w:id="1" w:name="DocNo1"/>
            <w:bookmarkEnd w:id="1"/>
            <w:r w:rsidR="005221A2" w:rsidRPr="00467D2C">
              <w:rPr>
                <w:b/>
                <w:bCs/>
                <w:lang w:val="fr-FR"/>
              </w:rPr>
              <w:t>1</w:t>
            </w:r>
            <w:r w:rsidR="0009076F" w:rsidRPr="00467D2C">
              <w:rPr>
                <w:b/>
                <w:bCs/>
                <w:lang w:val="fr-FR"/>
              </w:rPr>
              <w:t>/</w:t>
            </w:r>
            <w:r w:rsidR="00AB674D" w:rsidRPr="00467D2C">
              <w:rPr>
                <w:b/>
                <w:bCs/>
                <w:lang w:val="fr-FR"/>
              </w:rPr>
              <w:t>7</w:t>
            </w:r>
            <w:r w:rsidRPr="00467D2C">
              <w:rPr>
                <w:b/>
                <w:bCs/>
                <w:lang w:val="fr-FR"/>
              </w:rPr>
              <w:t>-</w:t>
            </w:r>
            <w:r w:rsidR="00D37A23" w:rsidRPr="00467D2C">
              <w:rPr>
                <w:b/>
                <w:bCs/>
                <w:lang w:val="fr-FR"/>
              </w:rPr>
              <w:t>F</w:t>
            </w:r>
          </w:p>
        </w:tc>
      </w:tr>
      <w:tr w:rsidR="00683C32" w:rsidRPr="00467D2C" w14:paraId="3E4E062E" w14:textId="77777777" w:rsidTr="005221A2">
        <w:trPr>
          <w:cantSplit/>
        </w:trPr>
        <w:tc>
          <w:tcPr>
            <w:tcW w:w="6379" w:type="dxa"/>
            <w:gridSpan w:val="2"/>
          </w:tcPr>
          <w:p w14:paraId="34B7B41B" w14:textId="77777777" w:rsidR="00683C32" w:rsidRPr="00467D2C" w:rsidRDefault="00683C32" w:rsidP="00084EE1">
            <w:pPr>
              <w:spacing w:before="0"/>
              <w:rPr>
                <w:b/>
                <w:bCs/>
                <w:smallCaps/>
                <w:szCs w:val="24"/>
                <w:lang w:val="fr-FR"/>
              </w:rPr>
            </w:pPr>
          </w:p>
        </w:tc>
        <w:tc>
          <w:tcPr>
            <w:tcW w:w="3509" w:type="dxa"/>
            <w:gridSpan w:val="2"/>
          </w:tcPr>
          <w:p w14:paraId="06852E4D" w14:textId="06A911DA" w:rsidR="00683C32" w:rsidRPr="00467D2C" w:rsidRDefault="00AB674D" w:rsidP="00084EE1">
            <w:pPr>
              <w:spacing w:before="0"/>
              <w:rPr>
                <w:b/>
                <w:szCs w:val="24"/>
                <w:lang w:val="fr-FR"/>
              </w:rPr>
            </w:pPr>
            <w:bookmarkStart w:id="2" w:name="CreationDate"/>
            <w:bookmarkEnd w:id="2"/>
            <w:r w:rsidRPr="00467D2C">
              <w:rPr>
                <w:b/>
                <w:bCs/>
                <w:szCs w:val="28"/>
                <w:lang w:val="fr-FR"/>
              </w:rPr>
              <w:t>13 avril</w:t>
            </w:r>
            <w:r w:rsidR="00CE0422" w:rsidRPr="00467D2C">
              <w:rPr>
                <w:b/>
                <w:bCs/>
                <w:szCs w:val="28"/>
                <w:lang w:val="fr-FR"/>
              </w:rPr>
              <w:t xml:space="preserve"> 20</w:t>
            </w:r>
            <w:r w:rsidR="00B648C7" w:rsidRPr="00467D2C">
              <w:rPr>
                <w:b/>
                <w:bCs/>
                <w:szCs w:val="28"/>
                <w:lang w:val="fr-FR"/>
              </w:rPr>
              <w:t>2</w:t>
            </w:r>
            <w:r w:rsidR="002C248F" w:rsidRPr="00467D2C">
              <w:rPr>
                <w:b/>
                <w:bCs/>
                <w:szCs w:val="28"/>
                <w:lang w:val="fr-FR"/>
              </w:rPr>
              <w:t>1</w:t>
            </w:r>
          </w:p>
        </w:tc>
      </w:tr>
      <w:tr w:rsidR="00683C32" w:rsidRPr="00467D2C" w14:paraId="3834278A" w14:textId="77777777" w:rsidTr="005221A2">
        <w:trPr>
          <w:cantSplit/>
        </w:trPr>
        <w:tc>
          <w:tcPr>
            <w:tcW w:w="6379" w:type="dxa"/>
            <w:gridSpan w:val="2"/>
          </w:tcPr>
          <w:p w14:paraId="524FF41E" w14:textId="77777777" w:rsidR="00683C32" w:rsidRPr="00467D2C" w:rsidRDefault="00683C32" w:rsidP="00084EE1">
            <w:pPr>
              <w:spacing w:before="0"/>
              <w:rPr>
                <w:b/>
                <w:bCs/>
                <w:smallCaps/>
                <w:szCs w:val="24"/>
                <w:lang w:val="fr-FR"/>
              </w:rPr>
            </w:pPr>
          </w:p>
        </w:tc>
        <w:tc>
          <w:tcPr>
            <w:tcW w:w="3509" w:type="dxa"/>
            <w:gridSpan w:val="2"/>
          </w:tcPr>
          <w:p w14:paraId="605501D5" w14:textId="395EB052" w:rsidR="00514D2F" w:rsidRPr="00467D2C" w:rsidRDefault="0096201B" w:rsidP="00084EE1">
            <w:pPr>
              <w:spacing w:before="0"/>
              <w:rPr>
                <w:szCs w:val="24"/>
                <w:lang w:val="fr-FR"/>
              </w:rPr>
            </w:pPr>
            <w:r w:rsidRPr="00467D2C">
              <w:rPr>
                <w:b/>
                <w:lang w:val="fr-FR"/>
              </w:rPr>
              <w:t>Original:</w:t>
            </w:r>
            <w:bookmarkStart w:id="3" w:name="Original"/>
            <w:bookmarkEnd w:id="3"/>
            <w:r w:rsidR="00CE0422" w:rsidRPr="00467D2C">
              <w:rPr>
                <w:b/>
                <w:lang w:val="fr-FR"/>
              </w:rPr>
              <w:t xml:space="preserve"> </w:t>
            </w:r>
            <w:r w:rsidR="009B008D" w:rsidRPr="00467D2C">
              <w:rPr>
                <w:b/>
                <w:lang w:val="fr-FR"/>
              </w:rPr>
              <w:t>anglais</w:t>
            </w:r>
          </w:p>
        </w:tc>
      </w:tr>
      <w:tr w:rsidR="00A13162" w:rsidRPr="004721D2" w14:paraId="29562115" w14:textId="77777777" w:rsidTr="00107E85">
        <w:trPr>
          <w:cantSplit/>
          <w:trHeight w:val="852"/>
        </w:trPr>
        <w:tc>
          <w:tcPr>
            <w:tcW w:w="9888" w:type="dxa"/>
            <w:gridSpan w:val="4"/>
          </w:tcPr>
          <w:p w14:paraId="43DDA6D5" w14:textId="132423B5" w:rsidR="00A13162" w:rsidRPr="00467D2C" w:rsidRDefault="00AB674D" w:rsidP="00084EE1">
            <w:pPr>
              <w:pStyle w:val="Source"/>
              <w:rPr>
                <w:lang w:val="fr-FR"/>
              </w:rPr>
            </w:pPr>
            <w:bookmarkStart w:id="4" w:name="Source"/>
            <w:bookmarkEnd w:id="4"/>
            <w:r w:rsidRPr="00467D2C">
              <w:rPr>
                <w:lang w:val="fr-FR"/>
              </w:rPr>
              <w:t>Directrice du Bureau de développement des télécommunications</w:t>
            </w:r>
          </w:p>
        </w:tc>
      </w:tr>
      <w:tr w:rsidR="00AC6F14" w:rsidRPr="004721D2" w14:paraId="7644819D" w14:textId="77777777" w:rsidTr="00107E85">
        <w:trPr>
          <w:cantSplit/>
        </w:trPr>
        <w:tc>
          <w:tcPr>
            <w:tcW w:w="9888" w:type="dxa"/>
            <w:gridSpan w:val="4"/>
          </w:tcPr>
          <w:p w14:paraId="683FE517" w14:textId="346FA0B5" w:rsidR="00AC6F14" w:rsidRPr="00467D2C" w:rsidRDefault="00AB674D" w:rsidP="00084EE1">
            <w:pPr>
              <w:pStyle w:val="Title1"/>
              <w:rPr>
                <w:lang w:val="fr-FR"/>
              </w:rPr>
            </w:pPr>
            <w:bookmarkStart w:id="5" w:name="Title"/>
            <w:bookmarkEnd w:id="5"/>
            <w:r w:rsidRPr="00467D2C">
              <w:rPr>
                <w:lang w:val="fr-FR"/>
              </w:rPr>
              <w:t>PARTENARIATS ET MOBILISATION DES RESSOURCES À L'UIT-D</w:t>
            </w:r>
          </w:p>
        </w:tc>
      </w:tr>
      <w:tr w:rsidR="00A721F4" w:rsidRPr="004721D2" w14:paraId="0E912AC2" w14:textId="77777777" w:rsidTr="00A721F4">
        <w:trPr>
          <w:cantSplit/>
        </w:trPr>
        <w:tc>
          <w:tcPr>
            <w:tcW w:w="9888" w:type="dxa"/>
            <w:gridSpan w:val="4"/>
            <w:tcBorders>
              <w:bottom w:val="single" w:sz="4" w:space="0" w:color="auto"/>
            </w:tcBorders>
          </w:tcPr>
          <w:p w14:paraId="3D2D5135" w14:textId="77777777" w:rsidR="00A721F4" w:rsidRPr="00467D2C" w:rsidRDefault="00A721F4" w:rsidP="00084EE1">
            <w:pPr>
              <w:rPr>
                <w:lang w:val="fr-FR"/>
              </w:rPr>
            </w:pPr>
          </w:p>
        </w:tc>
      </w:tr>
      <w:tr w:rsidR="00A721F4" w:rsidRPr="004721D2"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467D2C" w:rsidRDefault="00D37A23" w:rsidP="00084EE1">
            <w:pPr>
              <w:spacing w:after="120"/>
              <w:rPr>
                <w:b/>
                <w:bCs/>
                <w:szCs w:val="24"/>
                <w:lang w:val="fr-FR"/>
              </w:rPr>
            </w:pPr>
            <w:r w:rsidRPr="00467D2C">
              <w:rPr>
                <w:b/>
                <w:bCs/>
                <w:szCs w:val="24"/>
                <w:lang w:val="fr-FR"/>
              </w:rPr>
              <w:t>Résumé</w:t>
            </w:r>
            <w:r w:rsidR="00A721F4" w:rsidRPr="00467D2C">
              <w:rPr>
                <w:b/>
                <w:bCs/>
                <w:szCs w:val="24"/>
                <w:lang w:val="fr-FR"/>
              </w:rPr>
              <w:t>:</w:t>
            </w:r>
          </w:p>
          <w:p w14:paraId="47745426" w14:textId="2C68633F" w:rsidR="005221A2" w:rsidRPr="00467D2C" w:rsidRDefault="00AB674D" w:rsidP="00084EE1">
            <w:pPr>
              <w:spacing w:after="120"/>
              <w:rPr>
                <w:szCs w:val="24"/>
                <w:lang w:val="fr-FR"/>
              </w:rPr>
            </w:pPr>
            <w:r w:rsidRPr="00467D2C">
              <w:rPr>
                <w:lang w:val="fr-FR"/>
              </w:rPr>
              <w:t xml:space="preserve">L'importance des partenariats et de la mobilisation des ressources a été soulignée par la Conférence mondiale de développement des télécommunications de 2017 (CMDT-17). Le présent document rend compte des activités relatives aux partenariats et à la mobilisation des ressources menées en 2020 </w:t>
            </w:r>
            <w:r w:rsidR="004B15D4" w:rsidRPr="00467D2C">
              <w:rPr>
                <w:lang w:val="fr-FR"/>
              </w:rPr>
              <w:t>et durant le premier trimestre de</w:t>
            </w:r>
            <w:r w:rsidRPr="00467D2C">
              <w:rPr>
                <w:lang w:val="fr-FR"/>
              </w:rPr>
              <w:t xml:space="preserve"> 2021.</w:t>
            </w:r>
          </w:p>
          <w:p w14:paraId="238E500E" w14:textId="33A88DD0" w:rsidR="00A721F4" w:rsidRPr="00467D2C" w:rsidRDefault="00D37A23" w:rsidP="00084EE1">
            <w:pPr>
              <w:spacing w:after="120"/>
              <w:rPr>
                <w:b/>
                <w:bCs/>
                <w:szCs w:val="24"/>
                <w:lang w:val="fr-FR"/>
              </w:rPr>
            </w:pPr>
            <w:r w:rsidRPr="00467D2C">
              <w:rPr>
                <w:b/>
                <w:bCs/>
                <w:lang w:val="fr-FR"/>
              </w:rPr>
              <w:t>Suite à donner</w:t>
            </w:r>
            <w:r w:rsidR="00A721F4" w:rsidRPr="00467D2C">
              <w:rPr>
                <w:b/>
                <w:bCs/>
                <w:lang w:val="fr-FR"/>
              </w:rPr>
              <w:t>:</w:t>
            </w:r>
          </w:p>
          <w:p w14:paraId="1032B5F3" w14:textId="72B15218" w:rsidR="005221A2" w:rsidRPr="00467D2C" w:rsidRDefault="00AB674D" w:rsidP="00084EE1">
            <w:pPr>
              <w:spacing w:after="120"/>
              <w:rPr>
                <w:szCs w:val="24"/>
                <w:lang w:val="fr-FR"/>
              </w:rPr>
            </w:pPr>
            <w:r w:rsidRPr="00467D2C">
              <w:rPr>
                <w:lang w:val="fr-FR"/>
              </w:rPr>
              <w:t>Le GCDT est invité à prendre note du présent document et à fournir les indications qu'il jugera utiles.</w:t>
            </w:r>
          </w:p>
          <w:p w14:paraId="4E7A67C4" w14:textId="318D14E2" w:rsidR="00A721F4" w:rsidRPr="00467D2C" w:rsidRDefault="00A721F4" w:rsidP="00084EE1">
            <w:pPr>
              <w:spacing w:after="120"/>
              <w:rPr>
                <w:b/>
                <w:bCs/>
                <w:szCs w:val="24"/>
                <w:lang w:val="fr-FR"/>
              </w:rPr>
            </w:pPr>
            <w:r w:rsidRPr="00467D2C">
              <w:rPr>
                <w:b/>
                <w:bCs/>
                <w:szCs w:val="24"/>
                <w:lang w:val="fr-FR"/>
              </w:rPr>
              <w:t>R</w:t>
            </w:r>
            <w:r w:rsidR="00D37A23" w:rsidRPr="00467D2C">
              <w:rPr>
                <w:b/>
                <w:bCs/>
                <w:szCs w:val="24"/>
                <w:lang w:val="fr-FR"/>
              </w:rPr>
              <w:t>é</w:t>
            </w:r>
            <w:r w:rsidRPr="00467D2C">
              <w:rPr>
                <w:b/>
                <w:bCs/>
                <w:szCs w:val="24"/>
                <w:lang w:val="fr-FR"/>
              </w:rPr>
              <w:t>f</w:t>
            </w:r>
            <w:r w:rsidR="00D37A23" w:rsidRPr="00467D2C">
              <w:rPr>
                <w:b/>
                <w:bCs/>
                <w:szCs w:val="24"/>
                <w:lang w:val="fr-FR"/>
              </w:rPr>
              <w:t>é</w:t>
            </w:r>
            <w:r w:rsidRPr="00467D2C">
              <w:rPr>
                <w:b/>
                <w:bCs/>
                <w:szCs w:val="24"/>
                <w:lang w:val="fr-FR"/>
              </w:rPr>
              <w:t>rences:</w:t>
            </w:r>
          </w:p>
          <w:p w14:paraId="77E5884F" w14:textId="25C147B8" w:rsidR="00AB674D" w:rsidRPr="00467D2C" w:rsidRDefault="00E8630C" w:rsidP="00084EE1">
            <w:pPr>
              <w:spacing w:after="120"/>
              <w:rPr>
                <w:lang w:val="fr-FR"/>
              </w:rPr>
            </w:pPr>
            <w:r w:rsidRPr="00467D2C">
              <w:rPr>
                <w:lang w:val="fr-FR"/>
              </w:rPr>
              <w:t>But 5 de l'UIT.</w:t>
            </w:r>
          </w:p>
          <w:p w14:paraId="3BAB407A" w14:textId="77777777" w:rsidR="00AB674D" w:rsidRPr="00467D2C" w:rsidRDefault="00AB674D" w:rsidP="00084EE1">
            <w:pPr>
              <w:spacing w:after="120"/>
              <w:rPr>
                <w:lang w:val="fr-FR"/>
              </w:rPr>
            </w:pPr>
            <w:r w:rsidRPr="00467D2C">
              <w:rPr>
                <w:lang w:val="fr-FR"/>
              </w:rPr>
              <w:t>Plan d'action de Buenos Aires, section 4.5 du Rapport final de la CMDT-17.</w:t>
            </w:r>
          </w:p>
          <w:p w14:paraId="48EBB74C" w14:textId="33D552E0" w:rsidR="00A721F4" w:rsidRPr="00467D2C" w:rsidRDefault="00AB674D" w:rsidP="00084EE1">
            <w:pPr>
              <w:spacing w:after="120"/>
              <w:rPr>
                <w:szCs w:val="24"/>
                <w:lang w:val="fr-FR"/>
              </w:rPr>
            </w:pPr>
            <w:r w:rsidRPr="00467D2C">
              <w:rPr>
                <w:lang w:val="fr-FR"/>
              </w:rPr>
              <w:t>Résolutions 17 (Rév.Buenos Aires, 2017) et 71 (Rév.Buenos Aires, 2017) de la CMDT.</w:t>
            </w:r>
          </w:p>
        </w:tc>
      </w:tr>
    </w:tbl>
    <w:p w14:paraId="5ED9C669" w14:textId="77777777" w:rsidR="00AC6F14" w:rsidRPr="00467D2C" w:rsidRDefault="00AC6F14" w:rsidP="00084EE1">
      <w:pPr>
        <w:spacing w:after="120"/>
        <w:rPr>
          <w:lang w:val="fr-FR"/>
        </w:rPr>
      </w:pPr>
    </w:p>
    <w:p w14:paraId="3020A08C" w14:textId="77777777" w:rsidR="00923CF1" w:rsidRPr="00467D2C" w:rsidRDefault="00923CF1" w:rsidP="00084EE1">
      <w:pPr>
        <w:tabs>
          <w:tab w:val="clear" w:pos="794"/>
          <w:tab w:val="clear" w:pos="1191"/>
          <w:tab w:val="clear" w:pos="1588"/>
          <w:tab w:val="clear" w:pos="1985"/>
        </w:tabs>
        <w:overflowPunct/>
        <w:autoSpaceDE/>
        <w:autoSpaceDN/>
        <w:adjustRightInd/>
        <w:spacing w:before="0"/>
        <w:textAlignment w:val="auto"/>
        <w:rPr>
          <w:lang w:val="fr-FR"/>
        </w:rPr>
      </w:pPr>
      <w:r w:rsidRPr="00467D2C">
        <w:rPr>
          <w:lang w:val="fr-FR"/>
        </w:rPr>
        <w:br w:type="page"/>
      </w:r>
    </w:p>
    <w:p w14:paraId="1F6F787C" w14:textId="77777777" w:rsidR="00AB674D" w:rsidRPr="004721D2" w:rsidRDefault="00AB674D" w:rsidP="00084EE1">
      <w:pPr>
        <w:pStyle w:val="Heading1"/>
        <w:rPr>
          <w:sz w:val="24"/>
          <w:szCs w:val="24"/>
          <w:lang w:val="fr-FR"/>
        </w:rPr>
      </w:pPr>
      <w:r w:rsidRPr="004721D2">
        <w:rPr>
          <w:sz w:val="24"/>
          <w:szCs w:val="24"/>
          <w:lang w:val="fr-FR"/>
        </w:rPr>
        <w:lastRenderedPageBreak/>
        <w:t>1</w:t>
      </w:r>
      <w:r w:rsidRPr="004721D2">
        <w:rPr>
          <w:sz w:val="24"/>
          <w:szCs w:val="24"/>
          <w:lang w:val="fr-FR"/>
        </w:rPr>
        <w:tab/>
        <w:t>Rappel</w:t>
      </w:r>
    </w:p>
    <w:p w14:paraId="20D771FA" w14:textId="2C892312" w:rsidR="00AB674D" w:rsidRPr="00467D2C" w:rsidRDefault="00AB674D" w:rsidP="00084EE1">
      <w:pPr>
        <w:rPr>
          <w:lang w:val="fr-FR"/>
        </w:rPr>
      </w:pPr>
      <w:r w:rsidRPr="00467D2C">
        <w:rPr>
          <w:lang w:val="fr-FR"/>
        </w:rPr>
        <w:t>La Conférence mondiale de développement des télécommunications de 2017 (CMDT-17) a mis en lumière l'importance des partenariats et de la mobilisation des ressources pour appuyer la mise en œuvre du Plan d'action de Buenos Aires, des grandes orientations du SMSI et des Objectifs</w:t>
      </w:r>
      <w:r w:rsidR="00A01025" w:rsidRPr="00467D2C">
        <w:rPr>
          <w:lang w:val="fr-FR"/>
        </w:rPr>
        <w:t xml:space="preserve"> de développement durable (ODD)</w:t>
      </w:r>
      <w:r w:rsidRPr="00467D2C">
        <w:rPr>
          <w:lang w:val="fr-FR"/>
        </w:rPr>
        <w:t>.</w:t>
      </w:r>
    </w:p>
    <w:p w14:paraId="043C49CF" w14:textId="6C6C2EF1" w:rsidR="00AB674D" w:rsidRPr="00467D2C" w:rsidRDefault="002313DF" w:rsidP="00084EE1">
      <w:pPr>
        <w:rPr>
          <w:lang w:val="fr-FR"/>
        </w:rPr>
      </w:pPr>
      <w:r w:rsidRPr="00467D2C">
        <w:rPr>
          <w:lang w:val="fr-FR"/>
        </w:rPr>
        <w:t xml:space="preserve">Comme </w:t>
      </w:r>
      <w:r w:rsidR="00ED078B" w:rsidRPr="00467D2C">
        <w:rPr>
          <w:lang w:val="fr-FR"/>
        </w:rPr>
        <w:t xml:space="preserve">indiqué </w:t>
      </w:r>
      <w:r w:rsidR="009661D4" w:rsidRPr="00467D2C">
        <w:rPr>
          <w:lang w:val="fr-FR"/>
        </w:rPr>
        <w:t>dans le</w:t>
      </w:r>
      <w:r w:rsidR="00ED078B" w:rsidRPr="00467D2C">
        <w:rPr>
          <w:lang w:val="fr-FR"/>
        </w:rPr>
        <w:t xml:space="preserve"> Plan d'action de la CMDT-17</w:t>
      </w:r>
      <w:r w:rsidRPr="00467D2C">
        <w:rPr>
          <w:lang w:val="fr-FR"/>
        </w:rPr>
        <w:t>,</w:t>
      </w:r>
      <w:r w:rsidR="00ED078B" w:rsidRPr="00467D2C">
        <w:rPr>
          <w:lang w:val="fr-FR"/>
        </w:rPr>
        <w:t xml:space="preserve"> </w:t>
      </w:r>
      <w:r w:rsidRPr="00467D2C">
        <w:rPr>
          <w:lang w:val="fr-FR"/>
        </w:rPr>
        <w:t xml:space="preserve">les </w:t>
      </w:r>
      <w:r w:rsidR="009661D4" w:rsidRPr="00467D2C">
        <w:rPr>
          <w:lang w:val="fr-FR"/>
        </w:rPr>
        <w:t xml:space="preserve">programmes et </w:t>
      </w:r>
      <w:r w:rsidRPr="00467D2C">
        <w:rPr>
          <w:lang w:val="fr-FR"/>
        </w:rPr>
        <w:t xml:space="preserve">les </w:t>
      </w:r>
      <w:r w:rsidR="00ED078B" w:rsidRPr="00467D2C">
        <w:rPr>
          <w:lang w:val="fr-FR"/>
        </w:rPr>
        <w:t>initiatives régionales</w:t>
      </w:r>
      <w:r w:rsidRPr="00467D2C">
        <w:rPr>
          <w:lang w:val="fr-FR"/>
        </w:rPr>
        <w:t xml:space="preserve"> devraient</w:t>
      </w:r>
      <w:r w:rsidR="00ED078B" w:rsidRPr="00467D2C">
        <w:rPr>
          <w:lang w:val="fr-FR"/>
        </w:rPr>
        <w:t xml:space="preserve">, </w:t>
      </w:r>
      <w:r w:rsidRPr="00467D2C">
        <w:rPr>
          <w:lang w:val="fr-FR"/>
        </w:rPr>
        <w:t>autant que faire se peut, être mis en œuvre en partenariat avec un large éventail de parties prenantes</w:t>
      </w:r>
      <w:r w:rsidR="00AB674D" w:rsidRPr="00467D2C">
        <w:rPr>
          <w:lang w:val="fr-FR"/>
        </w:rPr>
        <w:t xml:space="preserve">. Aux termes de la Résolution 17 (Rév.Buenos Aires, 2017), le BDT doit continuer de conclure activement des partenariats avec des États Membres, </w:t>
      </w:r>
      <w:r w:rsidR="00BA1FEF" w:rsidRPr="00467D2C">
        <w:rPr>
          <w:lang w:val="fr-FR"/>
        </w:rPr>
        <w:t>des Membres du Secteur de l'UIT-</w:t>
      </w:r>
      <w:r w:rsidR="00AB674D" w:rsidRPr="00467D2C">
        <w:rPr>
          <w:lang w:val="fr-FR"/>
        </w:rPr>
        <w:t>D et des institutions de financement, ainsi qu'avec des organisations internationales, afin de financer les activités de mise en œuvre des initiatives régionales. Toujours aux termes de cette Résolution, il est demandé aux organisations ou organismes internationaux de financement, aux équipementiers ainsi qu'aux opérateurs/fournisseurs de services, de contribuer, en partie ou en totalité, au financement de ces initiatives approuvées au niveau régional.</w:t>
      </w:r>
    </w:p>
    <w:p w14:paraId="17E83057" w14:textId="77777777" w:rsidR="00AB674D" w:rsidRPr="004721D2" w:rsidRDefault="00AB674D" w:rsidP="00084EE1">
      <w:pPr>
        <w:pStyle w:val="Heading1"/>
        <w:rPr>
          <w:sz w:val="24"/>
          <w:szCs w:val="24"/>
          <w:lang w:val="fr-FR"/>
        </w:rPr>
      </w:pPr>
      <w:r w:rsidRPr="004721D2">
        <w:rPr>
          <w:sz w:val="24"/>
          <w:szCs w:val="24"/>
          <w:lang w:val="fr-FR"/>
        </w:rPr>
        <w:t>2</w:t>
      </w:r>
      <w:r w:rsidRPr="004721D2">
        <w:rPr>
          <w:sz w:val="24"/>
          <w:szCs w:val="24"/>
          <w:lang w:val="fr-FR"/>
        </w:rPr>
        <w:tab/>
        <w:t>Objectif stratégique des partenariats et de la mobilisation des ressources à l'UIT-D</w:t>
      </w:r>
    </w:p>
    <w:p w14:paraId="41933E8A" w14:textId="08D5EC2F" w:rsidR="00AB674D" w:rsidRPr="00467D2C" w:rsidRDefault="009661D4" w:rsidP="00084EE1">
      <w:pPr>
        <w:rPr>
          <w:lang w:val="fr-FR"/>
        </w:rPr>
      </w:pPr>
      <w:r w:rsidRPr="00467D2C">
        <w:rPr>
          <w:lang w:val="fr-FR"/>
        </w:rPr>
        <w:t>Conformément aux résultats de la CMDT</w:t>
      </w:r>
      <w:r w:rsidR="00AB674D" w:rsidRPr="00467D2C">
        <w:rPr>
          <w:lang w:val="fr-FR"/>
        </w:rPr>
        <w:t>-17, l'objectif est de faciliter, de développer et de renforcer la collaboration avec le plus large éventail possible de partenaires des pays développés comme des pays en développement, afin de mobiliser davantage de ressources pour mettre en œuvre les programmes et les initiatives régionales en vue de parvenir au développement durable.</w:t>
      </w:r>
    </w:p>
    <w:p w14:paraId="48D3122B" w14:textId="77777777" w:rsidR="00AB674D" w:rsidRPr="004721D2" w:rsidRDefault="00AB674D" w:rsidP="00084EE1">
      <w:pPr>
        <w:pStyle w:val="Heading1"/>
        <w:rPr>
          <w:sz w:val="24"/>
          <w:szCs w:val="24"/>
          <w:lang w:val="fr-FR"/>
        </w:rPr>
      </w:pPr>
      <w:r w:rsidRPr="004721D2">
        <w:rPr>
          <w:sz w:val="24"/>
          <w:szCs w:val="24"/>
          <w:lang w:val="fr-FR"/>
        </w:rPr>
        <w:t>3</w:t>
      </w:r>
      <w:r w:rsidRPr="004721D2">
        <w:rPr>
          <w:sz w:val="24"/>
          <w:szCs w:val="24"/>
          <w:lang w:val="fr-FR"/>
        </w:rPr>
        <w:tab/>
        <w:t>Partenariats et résultats des activités de mobilisation des ressources</w:t>
      </w:r>
    </w:p>
    <w:p w14:paraId="3E098441" w14:textId="0D51D255" w:rsidR="00AB674D" w:rsidRPr="00467D2C" w:rsidRDefault="00D16C52" w:rsidP="00084EE1">
      <w:pPr>
        <w:rPr>
          <w:lang w:val="fr-FR"/>
        </w:rPr>
      </w:pPr>
      <w:r w:rsidRPr="00467D2C">
        <w:rPr>
          <w:lang w:val="fr-FR"/>
        </w:rPr>
        <w:t xml:space="preserve">Les </w:t>
      </w:r>
      <w:r w:rsidR="00AB674D" w:rsidRPr="00467D2C">
        <w:rPr>
          <w:lang w:val="fr-FR"/>
        </w:rPr>
        <w:t>accords ont pu être conclus grâce aux efforts conjoints des membres et des partenaires de l'UIT, et également grâce à l'action du personnel du BDT hors siège et au siège de l'Union.</w:t>
      </w:r>
    </w:p>
    <w:p w14:paraId="6D8392BC" w14:textId="3844589E" w:rsidR="00AB674D" w:rsidRPr="00467D2C" w:rsidRDefault="00AB674D" w:rsidP="00084EE1">
      <w:pPr>
        <w:pStyle w:val="Heading2"/>
        <w:rPr>
          <w:lang w:val="fr-FR"/>
        </w:rPr>
      </w:pPr>
      <w:r w:rsidRPr="00467D2C">
        <w:rPr>
          <w:lang w:val="fr-FR"/>
        </w:rPr>
        <w:t>3.1</w:t>
      </w:r>
      <w:r w:rsidRPr="00467D2C">
        <w:rPr>
          <w:lang w:val="fr-FR"/>
        </w:rPr>
        <w:tab/>
      </w:r>
      <w:r w:rsidR="009661D4" w:rsidRPr="00467D2C">
        <w:rPr>
          <w:lang w:val="fr-FR"/>
        </w:rPr>
        <w:t>Accords de partenariat au premier trimestre</w:t>
      </w:r>
      <w:r w:rsidRPr="00467D2C">
        <w:rPr>
          <w:lang w:val="fr-FR"/>
        </w:rPr>
        <w:t xml:space="preserve"> </w:t>
      </w:r>
      <w:r w:rsidR="00532CEF" w:rsidRPr="00467D2C">
        <w:rPr>
          <w:lang w:val="fr-FR"/>
        </w:rPr>
        <w:t xml:space="preserve">de </w:t>
      </w:r>
      <w:r w:rsidRPr="00467D2C">
        <w:rPr>
          <w:lang w:val="fr-FR"/>
        </w:rPr>
        <w:t>2021</w:t>
      </w:r>
    </w:p>
    <w:p w14:paraId="6BA12171" w14:textId="6A069BCD" w:rsidR="00AB674D" w:rsidRPr="00467D2C" w:rsidRDefault="009661D4" w:rsidP="00084EE1">
      <w:pPr>
        <w:rPr>
          <w:lang w:val="fr-FR"/>
        </w:rPr>
      </w:pPr>
      <w:r w:rsidRPr="00467D2C">
        <w:rPr>
          <w:lang w:val="fr-FR"/>
        </w:rPr>
        <w:t>Lors du premier trimestre de</w:t>
      </w:r>
      <w:r w:rsidR="00AB674D" w:rsidRPr="00467D2C">
        <w:rPr>
          <w:lang w:val="fr-FR"/>
        </w:rPr>
        <w:t xml:space="preserve"> 2021, </w:t>
      </w:r>
      <w:r w:rsidRPr="00467D2C">
        <w:rPr>
          <w:lang w:val="fr-FR"/>
        </w:rPr>
        <w:t xml:space="preserve">le </w:t>
      </w:r>
      <w:r w:rsidR="00AB674D" w:rsidRPr="00467D2C">
        <w:rPr>
          <w:lang w:val="fr-FR"/>
        </w:rPr>
        <w:t xml:space="preserve">BDT </w:t>
      </w:r>
      <w:r w:rsidRPr="00467D2C">
        <w:rPr>
          <w:lang w:val="fr-FR"/>
        </w:rPr>
        <w:t xml:space="preserve">a </w:t>
      </w:r>
      <w:r w:rsidR="00532CEF" w:rsidRPr="00467D2C">
        <w:rPr>
          <w:lang w:val="fr-FR"/>
        </w:rPr>
        <w:t>signé</w:t>
      </w:r>
      <w:r w:rsidR="00AB674D" w:rsidRPr="00467D2C">
        <w:rPr>
          <w:lang w:val="fr-FR"/>
        </w:rPr>
        <w:t xml:space="preserve"> 19 </w:t>
      </w:r>
      <w:r w:rsidRPr="00467D2C">
        <w:rPr>
          <w:lang w:val="fr-FR"/>
        </w:rPr>
        <w:t xml:space="preserve">accords </w:t>
      </w:r>
      <w:r w:rsidR="00805B44" w:rsidRPr="00467D2C">
        <w:rPr>
          <w:lang w:val="fr-FR"/>
        </w:rPr>
        <w:t xml:space="preserve">de partenariat. </w:t>
      </w:r>
      <w:r w:rsidRPr="00467D2C">
        <w:rPr>
          <w:lang w:val="fr-FR"/>
        </w:rPr>
        <w:t xml:space="preserve">14 </w:t>
      </w:r>
      <w:r w:rsidR="00805B44" w:rsidRPr="00467D2C">
        <w:rPr>
          <w:lang w:val="fr-FR"/>
        </w:rPr>
        <w:t xml:space="preserve">d'entre eux </w:t>
      </w:r>
      <w:r w:rsidRPr="00467D2C">
        <w:rPr>
          <w:lang w:val="fr-FR"/>
        </w:rPr>
        <w:t xml:space="preserve">prévoient </w:t>
      </w:r>
      <w:r w:rsidR="00557673" w:rsidRPr="00467D2C">
        <w:rPr>
          <w:lang w:val="fr-FR"/>
        </w:rPr>
        <w:t>des</w:t>
      </w:r>
      <w:r w:rsidRPr="00467D2C">
        <w:rPr>
          <w:lang w:val="fr-FR"/>
        </w:rPr>
        <w:t xml:space="preserve"> contribution</w:t>
      </w:r>
      <w:r w:rsidR="00557673" w:rsidRPr="00467D2C">
        <w:rPr>
          <w:lang w:val="fr-FR"/>
        </w:rPr>
        <w:t>s</w:t>
      </w:r>
      <w:r w:rsidRPr="00467D2C">
        <w:rPr>
          <w:lang w:val="fr-FR"/>
        </w:rPr>
        <w:t xml:space="preserve"> financière</w:t>
      </w:r>
      <w:r w:rsidR="00805B44" w:rsidRPr="00467D2C">
        <w:rPr>
          <w:lang w:val="fr-FR"/>
        </w:rPr>
        <w:t xml:space="preserve">s, dont le montant s'élève </w:t>
      </w:r>
      <w:r w:rsidR="00557673" w:rsidRPr="00467D2C">
        <w:rPr>
          <w:lang w:val="fr-FR"/>
        </w:rPr>
        <w:t>à</w:t>
      </w:r>
      <w:r w:rsidR="00532CEF" w:rsidRPr="00467D2C">
        <w:rPr>
          <w:lang w:val="fr-FR"/>
        </w:rPr>
        <w:t xml:space="preserve"> environ </w:t>
      </w:r>
      <w:r w:rsidRPr="00467D2C">
        <w:rPr>
          <w:lang w:val="fr-FR"/>
        </w:rPr>
        <w:t>6,4 millions</w:t>
      </w:r>
      <w:r w:rsidR="00AB674D" w:rsidRPr="00467D2C">
        <w:rPr>
          <w:lang w:val="fr-FR"/>
        </w:rPr>
        <w:t xml:space="preserve"> </w:t>
      </w:r>
      <w:r w:rsidRPr="00467D2C">
        <w:rPr>
          <w:lang w:val="fr-FR"/>
        </w:rPr>
        <w:t>USD</w:t>
      </w:r>
      <w:r w:rsidR="00AB674D" w:rsidRPr="00467D2C">
        <w:rPr>
          <w:lang w:val="fr-FR"/>
        </w:rPr>
        <w:t xml:space="preserve">. </w:t>
      </w:r>
      <w:r w:rsidRPr="00467D2C">
        <w:rPr>
          <w:lang w:val="fr-FR"/>
        </w:rPr>
        <w:t>La liste de ces accords est disponible dans le</w:t>
      </w:r>
      <w:r w:rsidR="00AB674D" w:rsidRPr="00467D2C">
        <w:rPr>
          <w:lang w:val="fr-FR"/>
        </w:rPr>
        <w:t xml:space="preserve"> </w:t>
      </w:r>
      <w:hyperlink r:id="rId10" w:history="1">
        <w:r w:rsidR="00AB674D" w:rsidRPr="00467D2C">
          <w:rPr>
            <w:rStyle w:val="Hyperlink"/>
            <w:b/>
            <w:bCs/>
            <w:lang w:val="fr-FR"/>
          </w:rPr>
          <w:t>Document INF/2</w:t>
        </w:r>
      </w:hyperlink>
      <w:r w:rsidR="00AB674D" w:rsidRPr="004721D2">
        <w:rPr>
          <w:bCs/>
          <w:lang w:val="fr-FR"/>
        </w:rPr>
        <w:t>.</w:t>
      </w:r>
    </w:p>
    <w:p w14:paraId="1F8CE2AA" w14:textId="211E624C" w:rsidR="00AB674D" w:rsidRPr="00467D2C" w:rsidRDefault="00CA253B" w:rsidP="00084EE1">
      <w:pPr>
        <w:rPr>
          <w:lang w:val="fr-FR"/>
        </w:rPr>
      </w:pPr>
      <w:r w:rsidRPr="00467D2C">
        <w:rPr>
          <w:lang w:val="fr-FR"/>
        </w:rPr>
        <w:t>Le diagramme ci-dessous montre la composition des accords de cofinancement conclus entre le BDT et ses partenaires</w:t>
      </w:r>
      <w:r w:rsidR="009661D4" w:rsidRPr="00467D2C">
        <w:rPr>
          <w:lang w:val="fr-FR"/>
        </w:rPr>
        <w:t xml:space="preserve"> durant le premier trimestre de 2021</w:t>
      </w:r>
      <w:r w:rsidRPr="00467D2C">
        <w:rPr>
          <w:lang w:val="fr-FR"/>
        </w:rPr>
        <w:t>.</w:t>
      </w:r>
    </w:p>
    <w:p w14:paraId="7AE05BE9" w14:textId="1ECAC144" w:rsidR="00AB674D" w:rsidRPr="00467D2C" w:rsidRDefault="009661D4" w:rsidP="00084EE1">
      <w:pPr>
        <w:pStyle w:val="Figuretitle"/>
        <w:keepNext/>
        <w:spacing w:before="240" w:after="240"/>
        <w:rPr>
          <w:bCs/>
          <w:lang w:val="fr-FR"/>
        </w:rPr>
      </w:pPr>
      <w:r w:rsidRPr="00467D2C">
        <w:rPr>
          <w:bCs/>
          <w:lang w:val="fr-FR"/>
        </w:rPr>
        <w:lastRenderedPageBreak/>
        <w:t>Accords de partenariat</w:t>
      </w:r>
      <w:r w:rsidR="00AB674D" w:rsidRPr="00467D2C">
        <w:rPr>
          <w:bCs/>
          <w:lang w:val="fr-FR"/>
        </w:rPr>
        <w:t xml:space="preserve"> </w:t>
      </w:r>
      <w:r w:rsidR="00532CEF" w:rsidRPr="00467D2C">
        <w:rPr>
          <w:bCs/>
          <w:lang w:val="fr-FR"/>
        </w:rPr>
        <w:t xml:space="preserve">signés </w:t>
      </w:r>
      <w:r w:rsidR="00AB674D" w:rsidRPr="00467D2C">
        <w:rPr>
          <w:bCs/>
          <w:lang w:val="fr-FR"/>
        </w:rPr>
        <w:t>prévoyant une contribution financière</w:t>
      </w:r>
      <w:r w:rsidR="00791905" w:rsidRPr="00467D2C">
        <w:rPr>
          <w:bCs/>
          <w:lang w:val="fr-FR"/>
        </w:rPr>
        <w:t xml:space="preserve"> </w:t>
      </w:r>
      <w:r w:rsidR="00791905" w:rsidRPr="00467D2C">
        <w:rPr>
          <w:lang w:val="fr-FR"/>
        </w:rPr>
        <w:t>(</w:t>
      </w:r>
      <w:r w:rsidR="00D803E9" w:rsidRPr="00467D2C">
        <w:rPr>
          <w:lang w:val="fr-FR"/>
        </w:rPr>
        <w:t>T1</w:t>
      </w:r>
      <w:r w:rsidR="00AB674D" w:rsidRPr="00467D2C">
        <w:rPr>
          <w:lang w:val="fr-FR"/>
        </w:rPr>
        <w:t xml:space="preserve"> 2021)</w:t>
      </w:r>
    </w:p>
    <w:p w14:paraId="25B9D23B" w14:textId="3F753B55" w:rsidR="00AB674D" w:rsidRPr="00467D2C" w:rsidRDefault="00084EE1" w:rsidP="00084EE1">
      <w:pPr>
        <w:pStyle w:val="Figure"/>
        <w:rPr>
          <w:lang w:val="fr-FR"/>
        </w:rPr>
      </w:pPr>
      <w:r w:rsidRPr="00467D2C">
        <w:rPr>
          <w:lang w:eastAsia="en-US"/>
        </w:rPr>
        <w:drawing>
          <wp:inline distT="0" distB="0" distL="0" distR="0" wp14:anchorId="75FAD859" wp14:editId="334ABB94">
            <wp:extent cx="3709987" cy="2379663"/>
            <wp:effectExtent l="0" t="0" r="5080" b="1905"/>
            <wp:docPr id="1" name="Chart 1">
              <a:extLst xmlns:a="http://schemas.openxmlformats.org/drawingml/2006/main">
                <a:ext uri="{FF2B5EF4-FFF2-40B4-BE49-F238E27FC236}">
                  <a16:creationId xmlns:a16="http://schemas.microsoft.com/office/drawing/2014/main" id="{25A61C04-B51A-4319-AD49-D7C736883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31F0F5" w14:textId="61A03434" w:rsidR="00AB674D" w:rsidRPr="00467D2C" w:rsidRDefault="00B15933" w:rsidP="004721D2">
      <w:pPr>
        <w:spacing w:before="360" w:after="240"/>
        <w:rPr>
          <w:lang w:val="fr-FR"/>
        </w:rPr>
      </w:pPr>
      <w:r w:rsidRPr="00467D2C">
        <w:rPr>
          <w:lang w:val="fr-FR"/>
        </w:rPr>
        <w:t>Durant le premier trimestre de</w:t>
      </w:r>
      <w:r w:rsidR="00AB674D" w:rsidRPr="00467D2C">
        <w:rPr>
          <w:lang w:val="fr-FR"/>
        </w:rPr>
        <w:t xml:space="preserve"> 2021, </w:t>
      </w:r>
      <w:r w:rsidR="00D24324" w:rsidRPr="00467D2C">
        <w:rPr>
          <w:lang w:val="fr-FR"/>
        </w:rPr>
        <w:t xml:space="preserve">les </w:t>
      </w:r>
      <w:r w:rsidR="004677E8" w:rsidRPr="00467D2C">
        <w:rPr>
          <w:lang w:val="fr-FR"/>
        </w:rPr>
        <w:t xml:space="preserve">principaux </w:t>
      </w:r>
      <w:r w:rsidR="00D24324" w:rsidRPr="00467D2C">
        <w:rPr>
          <w:lang w:val="fr-FR"/>
        </w:rPr>
        <w:t xml:space="preserve">partenaires de financement du BDT étaient les États Membres de l'UIT et d'autres entités gouvernementales, </w:t>
      </w:r>
      <w:r w:rsidR="00E74EFE" w:rsidRPr="00467D2C">
        <w:rPr>
          <w:lang w:val="fr-FR"/>
        </w:rPr>
        <w:t>devant les</w:t>
      </w:r>
      <w:r w:rsidR="00D24324" w:rsidRPr="00467D2C">
        <w:rPr>
          <w:lang w:val="fr-FR"/>
        </w:rPr>
        <w:t xml:space="preserve"> organisations</w:t>
      </w:r>
      <w:r w:rsidR="00AB674D" w:rsidRPr="00467D2C">
        <w:rPr>
          <w:lang w:val="fr-FR"/>
        </w:rPr>
        <w:t xml:space="preserve"> </w:t>
      </w:r>
      <w:r w:rsidR="00D24324" w:rsidRPr="00467D2C">
        <w:rPr>
          <w:lang w:val="fr-FR"/>
        </w:rPr>
        <w:t>du système des Nations Unies</w:t>
      </w:r>
      <w:r w:rsidR="00AB674D" w:rsidRPr="00467D2C">
        <w:rPr>
          <w:lang w:val="fr-FR"/>
        </w:rPr>
        <w:t xml:space="preserve"> </w:t>
      </w:r>
      <w:r w:rsidR="00E74EFE" w:rsidRPr="00467D2C">
        <w:rPr>
          <w:lang w:val="fr-FR"/>
        </w:rPr>
        <w:t>et l</w:t>
      </w:r>
      <w:r w:rsidR="00D24324" w:rsidRPr="00467D2C">
        <w:rPr>
          <w:lang w:val="fr-FR"/>
        </w:rPr>
        <w:t xml:space="preserve">es entités du secteur privé, comme </w:t>
      </w:r>
      <w:r w:rsidR="004677E8" w:rsidRPr="00467D2C">
        <w:rPr>
          <w:lang w:val="fr-FR"/>
        </w:rPr>
        <w:t>l'indique</w:t>
      </w:r>
      <w:r w:rsidR="00D24324" w:rsidRPr="00467D2C">
        <w:rPr>
          <w:lang w:val="fr-FR"/>
        </w:rPr>
        <w:t xml:space="preserve"> le graphique ci-dessous</w:t>
      </w:r>
      <w:r w:rsidR="00AB674D" w:rsidRPr="00467D2C">
        <w:rPr>
          <w:lang w:val="fr-FR"/>
        </w:rPr>
        <w:t>:</w:t>
      </w:r>
    </w:p>
    <w:p w14:paraId="08F5B77B" w14:textId="1D7D96C3" w:rsidR="00AB674D" w:rsidRPr="00467D2C" w:rsidRDefault="00084EE1" w:rsidP="00084EE1">
      <w:pPr>
        <w:pStyle w:val="Figure"/>
        <w:rPr>
          <w:lang w:val="fr-FR"/>
        </w:rPr>
      </w:pPr>
      <w:r w:rsidRPr="00467D2C">
        <w:rPr>
          <w:lang w:eastAsia="en-US"/>
        </w:rPr>
        <w:drawing>
          <wp:inline distT="0" distB="0" distL="0" distR="0" wp14:anchorId="760D6D3C" wp14:editId="7C24920D">
            <wp:extent cx="5781674" cy="3065463"/>
            <wp:effectExtent l="0" t="0" r="10160" b="1905"/>
            <wp:docPr id="4" name="Chart 4">
              <a:extLst xmlns:a="http://schemas.openxmlformats.org/drawingml/2006/main">
                <a:ext uri="{FF2B5EF4-FFF2-40B4-BE49-F238E27FC236}">
                  <a16:creationId xmlns:a16="http://schemas.microsoft.com/office/drawing/2014/main" id="{A06E3F62-B97D-4FB7-8F78-9881DD54E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8CA04E" w14:textId="340F1768" w:rsidR="00AB674D" w:rsidRPr="00467D2C" w:rsidRDefault="00954C62" w:rsidP="00F406B9">
      <w:pPr>
        <w:spacing w:before="360"/>
        <w:rPr>
          <w:lang w:val="fr-FR"/>
        </w:rPr>
      </w:pPr>
      <w:r w:rsidRPr="00467D2C">
        <w:rPr>
          <w:lang w:val="fr-FR"/>
        </w:rPr>
        <w:t>Durant le premier trimestre de 2021, l</w:t>
      </w:r>
      <w:r w:rsidR="00632118" w:rsidRPr="00467D2C">
        <w:rPr>
          <w:lang w:val="fr-FR"/>
        </w:rPr>
        <w:t xml:space="preserve">es </w:t>
      </w:r>
      <w:r w:rsidRPr="00467D2C">
        <w:rPr>
          <w:lang w:val="fr-FR"/>
        </w:rPr>
        <w:t>contributions financières les plus élevées</w:t>
      </w:r>
      <w:r w:rsidR="00632118" w:rsidRPr="00467D2C">
        <w:rPr>
          <w:lang w:val="fr-FR"/>
        </w:rPr>
        <w:t xml:space="preserve"> </w:t>
      </w:r>
      <w:r w:rsidRPr="00467D2C">
        <w:rPr>
          <w:lang w:val="fr-FR"/>
        </w:rPr>
        <w:t>provenaient des trois partenaires de financement suivants</w:t>
      </w:r>
      <w:r w:rsidR="00AB674D" w:rsidRPr="00467D2C">
        <w:rPr>
          <w:lang w:val="fr-FR"/>
        </w:rPr>
        <w:t>:</w:t>
      </w:r>
    </w:p>
    <w:p w14:paraId="0EEEBA23" w14:textId="1B07C2E4" w:rsidR="00AB674D" w:rsidRPr="00467D2C" w:rsidRDefault="00AB674D" w:rsidP="00084EE1">
      <w:pPr>
        <w:pStyle w:val="enumlev1"/>
        <w:rPr>
          <w:lang w:val="fr-FR"/>
        </w:rPr>
      </w:pPr>
      <w:r w:rsidRPr="00467D2C">
        <w:rPr>
          <w:lang w:val="fr-FR"/>
        </w:rPr>
        <w:t>–</w:t>
      </w:r>
      <w:r w:rsidRPr="00467D2C">
        <w:rPr>
          <w:lang w:val="fr-FR"/>
        </w:rPr>
        <w:tab/>
      </w:r>
      <w:r w:rsidR="008666E7" w:rsidRPr="00467D2C">
        <w:rPr>
          <w:lang w:val="fr-FR"/>
        </w:rPr>
        <w:t>Le</w:t>
      </w:r>
      <w:r w:rsidRPr="00467D2C">
        <w:rPr>
          <w:lang w:val="fr-FR"/>
        </w:rPr>
        <w:t xml:space="preserve"> </w:t>
      </w:r>
      <w:r w:rsidR="008666E7" w:rsidRPr="00467D2C">
        <w:rPr>
          <w:b/>
          <w:bCs/>
          <w:lang w:val="fr-FR"/>
        </w:rPr>
        <w:t>Ministère de l'industrie et des technologies de l'information</w:t>
      </w:r>
      <w:r w:rsidRPr="00467D2C">
        <w:rPr>
          <w:b/>
          <w:bCs/>
          <w:lang w:val="fr-FR"/>
        </w:rPr>
        <w:t xml:space="preserve"> (MIIT) </w:t>
      </w:r>
      <w:r w:rsidR="008666E7" w:rsidRPr="00467D2C">
        <w:rPr>
          <w:b/>
          <w:bCs/>
          <w:lang w:val="fr-FR"/>
        </w:rPr>
        <w:t>de la République</w:t>
      </w:r>
      <w:r w:rsidR="00E854C8" w:rsidRPr="00467D2C">
        <w:rPr>
          <w:b/>
          <w:bCs/>
          <w:lang w:val="fr-FR"/>
        </w:rPr>
        <w:t> </w:t>
      </w:r>
      <w:r w:rsidR="008666E7" w:rsidRPr="00467D2C">
        <w:rPr>
          <w:b/>
          <w:bCs/>
          <w:lang w:val="fr-FR"/>
        </w:rPr>
        <w:t>populaire de Chine</w:t>
      </w:r>
      <w:r w:rsidRPr="00467D2C">
        <w:rPr>
          <w:lang w:val="fr-FR"/>
        </w:rPr>
        <w:t xml:space="preserve">, </w:t>
      </w:r>
      <w:r w:rsidR="00226971" w:rsidRPr="00467D2C">
        <w:rPr>
          <w:lang w:val="fr-FR"/>
        </w:rPr>
        <w:t>qui s'est engagé à verser une contribution financière de</w:t>
      </w:r>
      <w:r w:rsidR="00F406B9">
        <w:rPr>
          <w:lang w:val="fr-FR"/>
        </w:rPr>
        <w:t> </w:t>
      </w:r>
      <w:r w:rsidR="00226971" w:rsidRPr="00467D2C">
        <w:rPr>
          <w:b/>
          <w:bCs/>
          <w:lang w:val="fr-FR"/>
        </w:rPr>
        <w:t>1,</w:t>
      </w:r>
      <w:r w:rsidRPr="00467D2C">
        <w:rPr>
          <w:b/>
          <w:bCs/>
          <w:lang w:val="fr-FR"/>
        </w:rPr>
        <w:t>8 million</w:t>
      </w:r>
      <w:r w:rsidR="00226971" w:rsidRPr="00467D2C">
        <w:rPr>
          <w:b/>
          <w:bCs/>
          <w:lang w:val="fr-FR"/>
        </w:rPr>
        <w:t xml:space="preserve"> USD</w:t>
      </w:r>
      <w:r w:rsidRPr="00467D2C">
        <w:rPr>
          <w:lang w:val="fr-FR"/>
        </w:rPr>
        <w:t>.</w:t>
      </w:r>
    </w:p>
    <w:p w14:paraId="77679678" w14:textId="2B28FD94" w:rsidR="00AB674D" w:rsidRPr="00467D2C" w:rsidRDefault="00AB674D" w:rsidP="00084EE1">
      <w:pPr>
        <w:pStyle w:val="enumlev1"/>
        <w:rPr>
          <w:lang w:val="fr-FR"/>
        </w:rPr>
      </w:pPr>
      <w:r w:rsidRPr="00467D2C">
        <w:rPr>
          <w:lang w:val="fr-FR"/>
        </w:rPr>
        <w:t>–</w:t>
      </w:r>
      <w:r w:rsidRPr="00467D2C">
        <w:rPr>
          <w:lang w:val="fr-FR"/>
        </w:rPr>
        <w:tab/>
      </w:r>
      <w:r w:rsidR="00226971" w:rsidRPr="00467D2C">
        <w:rPr>
          <w:lang w:val="fr-FR"/>
        </w:rPr>
        <w:t>Le</w:t>
      </w:r>
      <w:r w:rsidRPr="00467D2C">
        <w:rPr>
          <w:lang w:val="fr-FR"/>
        </w:rPr>
        <w:t xml:space="preserve"> </w:t>
      </w:r>
      <w:r w:rsidR="00F406B9">
        <w:rPr>
          <w:b/>
          <w:bCs/>
          <w:lang w:val="fr-FR"/>
        </w:rPr>
        <w:t>G</w:t>
      </w:r>
      <w:r w:rsidR="00226971" w:rsidRPr="00467D2C">
        <w:rPr>
          <w:b/>
          <w:bCs/>
          <w:lang w:val="fr-FR"/>
        </w:rPr>
        <w:t>ouvernement du Royaume-Uni de Grande-Bretagne et d'Irlande du Nord</w:t>
      </w:r>
      <w:r w:rsidR="00226971" w:rsidRPr="00467D2C">
        <w:rPr>
          <w:bCs/>
          <w:lang w:val="fr-FR"/>
        </w:rPr>
        <w:t xml:space="preserve">, par le biais du </w:t>
      </w:r>
      <w:r w:rsidR="00226971" w:rsidRPr="00467D2C">
        <w:rPr>
          <w:lang w:val="fr-FR"/>
        </w:rPr>
        <w:t>Bureau des affaires étrangères, du</w:t>
      </w:r>
      <w:r w:rsidRPr="00467D2C">
        <w:rPr>
          <w:lang w:val="fr-FR"/>
        </w:rPr>
        <w:t xml:space="preserve"> Commonwealth </w:t>
      </w:r>
      <w:r w:rsidR="00226971" w:rsidRPr="00467D2C">
        <w:rPr>
          <w:lang w:val="fr-FR"/>
        </w:rPr>
        <w:t>et du développement du Royaume</w:t>
      </w:r>
      <w:r w:rsidR="00E854C8" w:rsidRPr="00467D2C">
        <w:rPr>
          <w:lang w:val="fr-FR"/>
        </w:rPr>
        <w:noBreakHyphen/>
      </w:r>
      <w:r w:rsidR="00226971" w:rsidRPr="00467D2C">
        <w:rPr>
          <w:lang w:val="fr-FR"/>
        </w:rPr>
        <w:t>Uni</w:t>
      </w:r>
      <w:r w:rsidRPr="00467D2C">
        <w:rPr>
          <w:lang w:val="fr-FR"/>
        </w:rPr>
        <w:t xml:space="preserve">, </w:t>
      </w:r>
      <w:r w:rsidR="00226971" w:rsidRPr="00467D2C">
        <w:rPr>
          <w:lang w:val="fr-FR"/>
        </w:rPr>
        <w:t>qui s'est engagé à verser une contribution financière de</w:t>
      </w:r>
      <w:r w:rsidRPr="00467D2C">
        <w:rPr>
          <w:lang w:val="fr-FR"/>
        </w:rPr>
        <w:t xml:space="preserve"> </w:t>
      </w:r>
      <w:r w:rsidR="00226971" w:rsidRPr="00467D2C">
        <w:rPr>
          <w:b/>
          <w:bCs/>
          <w:lang w:val="fr-FR"/>
        </w:rPr>
        <w:t>1,</w:t>
      </w:r>
      <w:r w:rsidRPr="00467D2C">
        <w:rPr>
          <w:b/>
          <w:bCs/>
          <w:lang w:val="fr-FR"/>
        </w:rPr>
        <w:t>4 million</w:t>
      </w:r>
      <w:r w:rsidR="00226971" w:rsidRPr="00467D2C">
        <w:rPr>
          <w:b/>
          <w:bCs/>
          <w:lang w:val="fr-FR"/>
        </w:rPr>
        <w:t xml:space="preserve"> USD</w:t>
      </w:r>
      <w:r w:rsidRPr="00467D2C">
        <w:rPr>
          <w:lang w:val="fr-FR"/>
        </w:rPr>
        <w:t>.</w:t>
      </w:r>
    </w:p>
    <w:p w14:paraId="41904936" w14:textId="77777777" w:rsidR="004F4223" w:rsidRPr="00467D2C" w:rsidRDefault="004F4223" w:rsidP="00084EE1">
      <w:pPr>
        <w:pStyle w:val="enumlev1"/>
        <w:rPr>
          <w:lang w:val="fr-FR"/>
        </w:rPr>
      </w:pPr>
      <w:r w:rsidRPr="00467D2C">
        <w:rPr>
          <w:lang w:val="fr-FR"/>
        </w:rPr>
        <w:br w:type="page"/>
      </w:r>
    </w:p>
    <w:p w14:paraId="5C047DEA" w14:textId="37F15D2D" w:rsidR="00AB674D" w:rsidRPr="00467D2C" w:rsidRDefault="00AB674D" w:rsidP="00084EE1">
      <w:pPr>
        <w:pStyle w:val="enumlev1"/>
        <w:rPr>
          <w:lang w:val="fr-FR"/>
        </w:rPr>
      </w:pPr>
      <w:r w:rsidRPr="00467D2C">
        <w:rPr>
          <w:lang w:val="fr-FR"/>
        </w:rPr>
        <w:t>–</w:t>
      </w:r>
      <w:r w:rsidRPr="00467D2C">
        <w:rPr>
          <w:lang w:val="fr-FR"/>
        </w:rPr>
        <w:tab/>
      </w:r>
      <w:r w:rsidR="00226971" w:rsidRPr="00467D2C">
        <w:rPr>
          <w:lang w:val="fr-FR"/>
        </w:rPr>
        <w:t>L</w:t>
      </w:r>
      <w:r w:rsidRPr="00467D2C">
        <w:rPr>
          <w:lang w:val="fr-FR"/>
        </w:rPr>
        <w:t xml:space="preserve">e </w:t>
      </w:r>
      <w:r w:rsidR="00226971" w:rsidRPr="00467D2C">
        <w:rPr>
          <w:b/>
          <w:bCs/>
          <w:lang w:val="fr-FR"/>
        </w:rPr>
        <w:t>Centre d'aide humanitaire et de secours du Roi Salman d'Arabie saoudite</w:t>
      </w:r>
      <w:r w:rsidRPr="00467D2C">
        <w:rPr>
          <w:lang w:val="fr-FR"/>
        </w:rPr>
        <w:t xml:space="preserve">, </w:t>
      </w:r>
      <w:r w:rsidR="00226971" w:rsidRPr="00467D2C">
        <w:rPr>
          <w:lang w:val="fr-FR"/>
        </w:rPr>
        <w:t>qui s'est engagé à verser une contribution financière de</w:t>
      </w:r>
      <w:r w:rsidRPr="00467D2C">
        <w:rPr>
          <w:lang w:val="fr-FR"/>
        </w:rPr>
        <w:t xml:space="preserve"> </w:t>
      </w:r>
      <w:r w:rsidR="00226971" w:rsidRPr="00467D2C">
        <w:rPr>
          <w:b/>
          <w:bCs/>
          <w:lang w:val="fr-FR"/>
        </w:rPr>
        <w:t>562 </w:t>
      </w:r>
      <w:r w:rsidRPr="00467D2C">
        <w:rPr>
          <w:b/>
          <w:bCs/>
          <w:lang w:val="fr-FR"/>
        </w:rPr>
        <w:t>500</w:t>
      </w:r>
      <w:r w:rsidR="00226971" w:rsidRPr="00467D2C">
        <w:rPr>
          <w:b/>
          <w:bCs/>
          <w:lang w:val="fr-FR"/>
        </w:rPr>
        <w:t xml:space="preserve"> USD</w:t>
      </w:r>
      <w:r w:rsidRPr="00467D2C">
        <w:rPr>
          <w:lang w:val="fr-FR"/>
        </w:rPr>
        <w:t>.</w:t>
      </w:r>
    </w:p>
    <w:p w14:paraId="335F71D2" w14:textId="0D321483" w:rsidR="00AB674D" w:rsidRPr="00467D2C" w:rsidRDefault="008A0BEE" w:rsidP="00084EE1">
      <w:pPr>
        <w:spacing w:after="240"/>
        <w:rPr>
          <w:lang w:val="fr-FR"/>
        </w:rPr>
      </w:pPr>
      <w:r w:rsidRPr="00467D2C">
        <w:rPr>
          <w:lang w:val="fr-FR"/>
        </w:rPr>
        <w:t xml:space="preserve">Les graphiques suivants </w:t>
      </w:r>
      <w:r w:rsidR="00734751" w:rsidRPr="00467D2C">
        <w:rPr>
          <w:lang w:val="fr-FR"/>
        </w:rPr>
        <w:t>présentent</w:t>
      </w:r>
      <w:r w:rsidRPr="00467D2C">
        <w:rPr>
          <w:lang w:val="fr-FR"/>
        </w:rPr>
        <w:t xml:space="preserve"> </w:t>
      </w:r>
      <w:r w:rsidR="00FF086A" w:rsidRPr="00467D2C">
        <w:rPr>
          <w:lang w:val="fr-FR"/>
        </w:rPr>
        <w:t>la répartition par région et par priorité thématique</w:t>
      </w:r>
      <w:r w:rsidRPr="00467D2C">
        <w:rPr>
          <w:lang w:val="fr-FR"/>
        </w:rPr>
        <w:t xml:space="preserve"> des contributions financières </w:t>
      </w:r>
      <w:r w:rsidR="009B4E89" w:rsidRPr="00467D2C">
        <w:rPr>
          <w:lang w:val="fr-FR"/>
        </w:rPr>
        <w:t>convenues</w:t>
      </w:r>
      <w:r w:rsidRPr="00467D2C">
        <w:rPr>
          <w:lang w:val="fr-FR"/>
        </w:rPr>
        <w:t xml:space="preserve"> dans le cadre des accords </w:t>
      </w:r>
      <w:r w:rsidR="00FF086A" w:rsidRPr="00467D2C">
        <w:rPr>
          <w:lang w:val="fr-FR"/>
        </w:rPr>
        <w:t>signés</w:t>
      </w:r>
      <w:r w:rsidR="00AB674D" w:rsidRPr="00467D2C">
        <w:rPr>
          <w:lang w:val="fr-FR"/>
        </w:rPr>
        <w:t>.</w:t>
      </w:r>
    </w:p>
    <w:p w14:paraId="6F9E49C5" w14:textId="60FD36F4" w:rsidR="00AB674D" w:rsidRPr="00467D2C" w:rsidRDefault="004F4223" w:rsidP="004F4223">
      <w:pPr>
        <w:pStyle w:val="Figure"/>
        <w:rPr>
          <w:lang w:val="fr-FR"/>
        </w:rPr>
      </w:pPr>
      <w:r w:rsidRPr="00467D2C">
        <w:rPr>
          <w:lang w:eastAsia="en-US"/>
        </w:rPr>
        <w:drawing>
          <wp:inline distT="0" distB="0" distL="0" distR="0" wp14:anchorId="6D320E8C" wp14:editId="5287C98A">
            <wp:extent cx="4572000" cy="2892425"/>
            <wp:effectExtent l="0" t="0" r="0" b="3175"/>
            <wp:docPr id="5" name="Chart 5">
              <a:extLst xmlns:a="http://schemas.openxmlformats.org/drawingml/2006/main">
                <a:ext uri="{FF2B5EF4-FFF2-40B4-BE49-F238E27FC236}">
                  <a16:creationId xmlns:a16="http://schemas.microsoft.com/office/drawing/2014/main" id="{2C5D5477-6AE3-472B-9EF5-0A01A1E3D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810B85" w14:textId="77777777" w:rsidR="00AB674D" w:rsidRPr="00467D2C" w:rsidRDefault="00AB674D" w:rsidP="004F4223">
      <w:pPr>
        <w:spacing w:before="240"/>
        <w:rPr>
          <w:lang w:val="fr-FR"/>
        </w:rPr>
      </w:pPr>
    </w:p>
    <w:p w14:paraId="3FA3B805" w14:textId="79013781" w:rsidR="00AB674D" w:rsidRPr="00467D2C" w:rsidRDefault="004F4223" w:rsidP="00084EE1">
      <w:pPr>
        <w:pStyle w:val="Figure"/>
        <w:rPr>
          <w:noProof w:val="0"/>
          <w:lang w:val="fr-FR"/>
        </w:rPr>
      </w:pPr>
      <w:r w:rsidRPr="00467D2C">
        <w:rPr>
          <w:lang w:eastAsia="en-US"/>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cx2">
            <w:drawing>
              <wp:inline distT="0" distB="0" distL="0" distR="0" wp14:anchorId="3EBB5443" wp14:editId="56F0F576">
                <wp:extent cx="6120765" cy="2837180"/>
                <wp:effectExtent l="0" t="0" r="13335" b="1270"/>
                <wp:docPr id="6" name="Chart 6">
                  <a:extLst xmlns:a="http://schemas.openxmlformats.org/drawingml/2006/main">
                    <a:ext uri="{FF2B5EF4-FFF2-40B4-BE49-F238E27FC236}">
                      <a16:creationId xmlns:a16="http://schemas.microsoft.com/office/drawing/2014/main" id="{9EE91DEA-9178-4E1C-9BE2-83374F31F7B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3EBB5443" wp14:editId="56F0F576">
                <wp:extent cx="6120765" cy="2837180"/>
                <wp:effectExtent l="0" t="0" r="13335" b="1270"/>
                <wp:docPr id="6" name="Chart 6">
                  <a:extLst xmlns:a="http://schemas.openxmlformats.org/drawingml/2006/main">
                    <a:ext uri="{FF2B5EF4-FFF2-40B4-BE49-F238E27FC236}">
                      <a16:creationId xmlns:a16="http://schemas.microsoft.com/office/drawing/2014/main" id="{9EE91DEA-9178-4E1C-9BE2-83374F31F7B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9EE91DEA-9178-4E1C-9BE2-83374F31F7BE}"/>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6120765" cy="2837180"/>
                        </a:xfrm>
                        <a:prstGeom prst="rect">
                          <a:avLst/>
                        </a:prstGeom>
                      </pic:spPr>
                    </pic:pic>
                  </a:graphicData>
                </a:graphic>
              </wp:inline>
            </w:drawing>
          </mc:Fallback>
        </mc:AlternateContent>
      </w:r>
    </w:p>
    <w:p w14:paraId="06D77555" w14:textId="0B50DE41" w:rsidR="00AB674D" w:rsidRPr="00467D2C" w:rsidRDefault="00AB674D" w:rsidP="004F4223">
      <w:pPr>
        <w:pStyle w:val="Heading2"/>
        <w:rPr>
          <w:lang w:val="fr-FR"/>
        </w:rPr>
      </w:pPr>
      <w:r w:rsidRPr="00467D2C">
        <w:rPr>
          <w:lang w:val="fr-FR"/>
        </w:rPr>
        <w:t>3.2</w:t>
      </w:r>
      <w:r w:rsidRPr="00467D2C">
        <w:rPr>
          <w:lang w:val="fr-FR"/>
        </w:rPr>
        <w:tab/>
      </w:r>
      <w:r w:rsidR="008861F9" w:rsidRPr="00467D2C">
        <w:rPr>
          <w:lang w:val="fr-FR"/>
        </w:rPr>
        <w:t>Accords de partenariat en</w:t>
      </w:r>
      <w:r w:rsidRPr="00467D2C">
        <w:rPr>
          <w:lang w:val="fr-FR"/>
        </w:rPr>
        <w:t xml:space="preserve"> 2020</w:t>
      </w:r>
    </w:p>
    <w:p w14:paraId="750D25C5" w14:textId="4F60B8C7" w:rsidR="00AB674D" w:rsidRPr="00467D2C" w:rsidRDefault="008861F9" w:rsidP="00084EE1">
      <w:pPr>
        <w:rPr>
          <w:lang w:val="fr-FR"/>
        </w:rPr>
      </w:pPr>
      <w:r w:rsidRPr="00467D2C">
        <w:rPr>
          <w:szCs w:val="24"/>
          <w:lang w:val="fr-FR"/>
        </w:rPr>
        <w:t>E</w:t>
      </w:r>
      <w:r w:rsidR="00AB674D" w:rsidRPr="00467D2C">
        <w:rPr>
          <w:szCs w:val="24"/>
          <w:lang w:val="fr-FR"/>
        </w:rPr>
        <w:t xml:space="preserve">n 2020, </w:t>
      </w:r>
      <w:r w:rsidRPr="00467D2C">
        <w:rPr>
          <w:szCs w:val="24"/>
          <w:lang w:val="fr-FR"/>
        </w:rPr>
        <w:t xml:space="preserve">le </w:t>
      </w:r>
      <w:r w:rsidR="00AB674D" w:rsidRPr="00467D2C">
        <w:rPr>
          <w:szCs w:val="24"/>
          <w:lang w:val="fr-FR"/>
        </w:rPr>
        <w:t xml:space="preserve">BDT </w:t>
      </w:r>
      <w:r w:rsidRPr="00467D2C">
        <w:rPr>
          <w:szCs w:val="24"/>
          <w:lang w:val="fr-FR"/>
        </w:rPr>
        <w:t>a signé 43 accords de partenariat</w:t>
      </w:r>
      <w:r w:rsidR="00805B44" w:rsidRPr="00467D2C">
        <w:rPr>
          <w:szCs w:val="24"/>
          <w:lang w:val="fr-FR"/>
        </w:rPr>
        <w:t>. 28 d'entre eux</w:t>
      </w:r>
      <w:r w:rsidRPr="00467D2C">
        <w:rPr>
          <w:szCs w:val="24"/>
          <w:lang w:val="fr-FR"/>
        </w:rPr>
        <w:t xml:space="preserve"> prévoient </w:t>
      </w:r>
      <w:r w:rsidR="00EE498D" w:rsidRPr="00467D2C">
        <w:rPr>
          <w:szCs w:val="24"/>
          <w:lang w:val="fr-FR"/>
        </w:rPr>
        <w:t>des</w:t>
      </w:r>
      <w:r w:rsidRPr="00467D2C">
        <w:rPr>
          <w:szCs w:val="24"/>
          <w:lang w:val="fr-FR"/>
        </w:rPr>
        <w:t xml:space="preserve"> contribution</w:t>
      </w:r>
      <w:r w:rsidR="00EE498D" w:rsidRPr="00467D2C">
        <w:rPr>
          <w:szCs w:val="24"/>
          <w:lang w:val="fr-FR"/>
        </w:rPr>
        <w:t>s</w:t>
      </w:r>
      <w:r w:rsidRPr="00467D2C">
        <w:rPr>
          <w:szCs w:val="24"/>
          <w:lang w:val="fr-FR"/>
        </w:rPr>
        <w:t xml:space="preserve"> financière</w:t>
      </w:r>
      <w:r w:rsidR="00EE498D" w:rsidRPr="00467D2C">
        <w:rPr>
          <w:szCs w:val="24"/>
          <w:lang w:val="fr-FR"/>
        </w:rPr>
        <w:t>s</w:t>
      </w:r>
      <w:r w:rsidR="00805B44" w:rsidRPr="00467D2C">
        <w:rPr>
          <w:szCs w:val="24"/>
          <w:lang w:val="fr-FR"/>
        </w:rPr>
        <w:t xml:space="preserve">, dont le montant s'élève </w:t>
      </w:r>
      <w:r w:rsidRPr="00467D2C">
        <w:rPr>
          <w:szCs w:val="24"/>
          <w:lang w:val="fr-FR"/>
        </w:rPr>
        <w:t>à environ</w:t>
      </w:r>
      <w:r w:rsidR="00AB674D" w:rsidRPr="00467D2C">
        <w:rPr>
          <w:szCs w:val="24"/>
          <w:lang w:val="fr-FR"/>
        </w:rPr>
        <w:t xml:space="preserve"> </w:t>
      </w:r>
      <w:r w:rsidRPr="00467D2C">
        <w:rPr>
          <w:szCs w:val="24"/>
          <w:lang w:val="fr-FR"/>
        </w:rPr>
        <w:t>15,</w:t>
      </w:r>
      <w:r w:rsidR="00AB674D" w:rsidRPr="00467D2C">
        <w:rPr>
          <w:szCs w:val="24"/>
          <w:lang w:val="fr-FR"/>
        </w:rPr>
        <w:t>2 million</w:t>
      </w:r>
      <w:r w:rsidRPr="00467D2C">
        <w:rPr>
          <w:szCs w:val="24"/>
          <w:lang w:val="fr-FR"/>
        </w:rPr>
        <w:t>s USD</w:t>
      </w:r>
      <w:r w:rsidR="00AB674D" w:rsidRPr="00467D2C">
        <w:rPr>
          <w:szCs w:val="24"/>
          <w:lang w:val="fr-FR"/>
        </w:rPr>
        <w:t xml:space="preserve">. </w:t>
      </w:r>
      <w:r w:rsidRPr="00467D2C">
        <w:rPr>
          <w:szCs w:val="24"/>
          <w:lang w:val="fr-FR"/>
        </w:rPr>
        <w:t>La</w:t>
      </w:r>
      <w:r w:rsidR="00AB674D" w:rsidRPr="00467D2C">
        <w:rPr>
          <w:szCs w:val="24"/>
          <w:lang w:val="fr-FR"/>
        </w:rPr>
        <w:t xml:space="preserve"> list</w:t>
      </w:r>
      <w:r w:rsidRPr="00467D2C">
        <w:rPr>
          <w:szCs w:val="24"/>
          <w:lang w:val="fr-FR"/>
        </w:rPr>
        <w:t>e de ces accords est disponible dans le</w:t>
      </w:r>
      <w:r w:rsidR="00AB674D" w:rsidRPr="00467D2C">
        <w:rPr>
          <w:szCs w:val="24"/>
          <w:lang w:val="fr-FR"/>
        </w:rPr>
        <w:t xml:space="preserve"> </w:t>
      </w:r>
      <w:hyperlink r:id="rId16" w:history="1">
        <w:r w:rsidR="00AB674D" w:rsidRPr="00467D2C">
          <w:rPr>
            <w:rStyle w:val="Hyperlink"/>
            <w:b/>
            <w:bCs/>
            <w:szCs w:val="24"/>
            <w:lang w:val="fr-FR"/>
          </w:rPr>
          <w:t>Document INF/2</w:t>
        </w:r>
      </w:hyperlink>
      <w:r w:rsidR="00AB674D" w:rsidRPr="00467D2C">
        <w:rPr>
          <w:szCs w:val="24"/>
          <w:lang w:val="fr-FR"/>
        </w:rPr>
        <w:t>.</w:t>
      </w:r>
    </w:p>
    <w:p w14:paraId="0E2394D2" w14:textId="4BF6FDC0" w:rsidR="00AB674D" w:rsidRPr="00467D2C" w:rsidRDefault="00AB674D" w:rsidP="00084EE1">
      <w:pPr>
        <w:rPr>
          <w:lang w:val="fr-FR"/>
        </w:rPr>
      </w:pPr>
      <w:r w:rsidRPr="00467D2C">
        <w:rPr>
          <w:lang w:val="fr-FR"/>
        </w:rPr>
        <w:t>Le diagramme ci-dessous montre la composition des accords de cofinancement conclus entre le BDT et ses partenaires en 2020.</w:t>
      </w:r>
    </w:p>
    <w:p w14:paraId="061102A7" w14:textId="41635E0D" w:rsidR="00AB674D" w:rsidRPr="00467D2C" w:rsidRDefault="008861F9" w:rsidP="004F4223">
      <w:pPr>
        <w:pStyle w:val="Figuretitle"/>
        <w:keepNext/>
        <w:spacing w:after="240"/>
        <w:rPr>
          <w:lang w:val="fr-FR"/>
        </w:rPr>
      </w:pPr>
      <w:r w:rsidRPr="00467D2C">
        <w:rPr>
          <w:lang w:val="fr-FR"/>
        </w:rPr>
        <w:t>Accords de partenariat</w:t>
      </w:r>
      <w:r w:rsidR="00D23521" w:rsidRPr="00467D2C">
        <w:rPr>
          <w:lang w:val="fr-FR"/>
        </w:rPr>
        <w:t xml:space="preserve"> </w:t>
      </w:r>
      <w:r w:rsidR="00F43DC4" w:rsidRPr="00467D2C">
        <w:rPr>
          <w:lang w:val="fr-FR"/>
        </w:rPr>
        <w:t xml:space="preserve">signés </w:t>
      </w:r>
      <w:r w:rsidR="00D23521" w:rsidRPr="00467D2C">
        <w:rPr>
          <w:lang w:val="fr-FR"/>
        </w:rPr>
        <w:t>prévoyant une contribution financière</w:t>
      </w:r>
      <w:r w:rsidRPr="00467D2C">
        <w:rPr>
          <w:lang w:val="fr-FR"/>
        </w:rPr>
        <w:t xml:space="preserve"> </w:t>
      </w:r>
      <w:r w:rsidR="00D23521" w:rsidRPr="00467D2C">
        <w:rPr>
          <w:lang w:val="fr-FR"/>
        </w:rPr>
        <w:t>(en 2020)</w:t>
      </w:r>
    </w:p>
    <w:p w14:paraId="0A9AA456" w14:textId="78D59776" w:rsidR="00D23521" w:rsidRPr="00467D2C" w:rsidRDefault="004F4223" w:rsidP="004F4223">
      <w:pPr>
        <w:pStyle w:val="Figure"/>
        <w:keepNext/>
        <w:keepLines/>
        <w:rPr>
          <w:noProof w:val="0"/>
          <w:lang w:val="fr-FR"/>
        </w:rPr>
      </w:pPr>
      <w:r w:rsidRPr="00467D2C">
        <w:rPr>
          <w:lang w:eastAsia="en-US"/>
        </w:rPr>
        <w:drawing>
          <wp:inline distT="0" distB="0" distL="0" distR="0" wp14:anchorId="35208B45" wp14:editId="3C8BA438">
            <wp:extent cx="4411662" cy="2713038"/>
            <wp:effectExtent l="0" t="0" r="8255" b="11430"/>
            <wp:docPr id="7" name="Chart 7">
              <a:extLst xmlns:a="http://schemas.openxmlformats.org/drawingml/2006/main">
                <a:ext uri="{FF2B5EF4-FFF2-40B4-BE49-F238E27FC236}">
                  <a16:creationId xmlns:a16="http://schemas.microsoft.com/office/drawing/2014/main" id="{323B70BB-FE27-4226-B218-918A705A5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BE989E" w14:textId="69527859" w:rsidR="00D23521" w:rsidRPr="00467D2C" w:rsidRDefault="008861F9" w:rsidP="004F4223">
      <w:pPr>
        <w:spacing w:before="240" w:after="240"/>
        <w:rPr>
          <w:lang w:val="fr-FR"/>
        </w:rPr>
      </w:pPr>
      <w:r w:rsidRPr="00467D2C">
        <w:rPr>
          <w:lang w:val="fr-FR"/>
        </w:rPr>
        <w:t>E</w:t>
      </w:r>
      <w:r w:rsidR="00D23521" w:rsidRPr="00467D2C">
        <w:rPr>
          <w:lang w:val="fr-FR"/>
        </w:rPr>
        <w:t xml:space="preserve">n 2020, </w:t>
      </w:r>
      <w:r w:rsidRPr="00467D2C">
        <w:rPr>
          <w:lang w:val="fr-FR"/>
        </w:rPr>
        <w:t xml:space="preserve">les </w:t>
      </w:r>
      <w:r w:rsidR="007C66B5" w:rsidRPr="00467D2C">
        <w:rPr>
          <w:lang w:val="fr-FR"/>
        </w:rPr>
        <w:t xml:space="preserve">principaux </w:t>
      </w:r>
      <w:r w:rsidRPr="00467D2C">
        <w:rPr>
          <w:lang w:val="fr-FR"/>
        </w:rPr>
        <w:t>partenaires de financement du BDT étaient les États Membres de l'UIT</w:t>
      </w:r>
      <w:r w:rsidR="00D23521" w:rsidRPr="00467D2C">
        <w:rPr>
          <w:lang w:val="fr-FR"/>
        </w:rPr>
        <w:t xml:space="preserve"> </w:t>
      </w:r>
      <w:r w:rsidRPr="00467D2C">
        <w:rPr>
          <w:lang w:val="fr-FR"/>
        </w:rPr>
        <w:t>et d'autres entités gouvern</w:t>
      </w:r>
      <w:bookmarkStart w:id="6" w:name="_GoBack"/>
      <w:bookmarkEnd w:id="6"/>
      <w:r w:rsidRPr="00467D2C">
        <w:rPr>
          <w:lang w:val="fr-FR"/>
        </w:rPr>
        <w:t xml:space="preserve">ementales, </w:t>
      </w:r>
      <w:r w:rsidR="007C66B5" w:rsidRPr="00467D2C">
        <w:rPr>
          <w:lang w:val="fr-FR"/>
        </w:rPr>
        <w:t>devant les</w:t>
      </w:r>
      <w:r w:rsidRPr="00467D2C">
        <w:rPr>
          <w:lang w:val="fr-FR"/>
        </w:rPr>
        <w:t xml:space="preserve"> organisations et associations </w:t>
      </w:r>
      <w:r w:rsidR="007C66B5" w:rsidRPr="00467D2C">
        <w:rPr>
          <w:lang w:val="fr-FR"/>
        </w:rPr>
        <w:t>internationales et régionales, les entités du secteur privé, l</w:t>
      </w:r>
      <w:r w:rsidRPr="00467D2C">
        <w:rPr>
          <w:lang w:val="fr-FR"/>
        </w:rPr>
        <w:t>es organisations</w:t>
      </w:r>
      <w:r w:rsidR="007C66B5" w:rsidRPr="00467D2C">
        <w:rPr>
          <w:lang w:val="fr-FR"/>
        </w:rPr>
        <w:t xml:space="preserve"> du système des Nations Unies, les fondations et l</w:t>
      </w:r>
      <w:r w:rsidRPr="00467D2C">
        <w:rPr>
          <w:lang w:val="fr-FR"/>
        </w:rPr>
        <w:t>es établissements universitaires</w:t>
      </w:r>
      <w:r w:rsidR="00D23521" w:rsidRPr="00467D2C">
        <w:rPr>
          <w:lang w:val="fr-FR"/>
        </w:rPr>
        <w:t>.</w:t>
      </w:r>
    </w:p>
    <w:p w14:paraId="100F5E72" w14:textId="70AEE5D2" w:rsidR="00D23521" w:rsidRPr="00467D2C" w:rsidRDefault="004F4223" w:rsidP="00084EE1">
      <w:pPr>
        <w:pStyle w:val="Figure"/>
        <w:rPr>
          <w:noProof w:val="0"/>
          <w:lang w:val="fr-FR"/>
        </w:rPr>
      </w:pPr>
      <w:r w:rsidRPr="00467D2C">
        <w:rPr>
          <w:lang w:eastAsia="en-US"/>
        </w:rPr>
        <w:drawing>
          <wp:inline distT="0" distB="0" distL="0" distR="0" wp14:anchorId="00B39710" wp14:editId="04B6F857">
            <wp:extent cx="6075363" cy="2892425"/>
            <wp:effectExtent l="0" t="0" r="1905" b="3175"/>
            <wp:docPr id="8" name="Chart 8">
              <a:extLst xmlns:a="http://schemas.openxmlformats.org/drawingml/2006/main">
                <a:ext uri="{FF2B5EF4-FFF2-40B4-BE49-F238E27FC236}">
                  <a16:creationId xmlns:a16="http://schemas.microsoft.com/office/drawing/2014/main" id="{93BB1FB0-4F0F-40EC-9B4A-273C87120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9F6349" w14:textId="452EDB2A" w:rsidR="00AB674D" w:rsidRPr="00467D2C" w:rsidRDefault="00AB674D" w:rsidP="004F4223">
      <w:pPr>
        <w:spacing w:before="240"/>
        <w:rPr>
          <w:lang w:val="fr-FR"/>
        </w:rPr>
      </w:pPr>
      <w:r w:rsidRPr="00467D2C">
        <w:rPr>
          <w:lang w:val="fr-FR"/>
        </w:rPr>
        <w:t>En 20</w:t>
      </w:r>
      <w:r w:rsidR="00CA253B" w:rsidRPr="00467D2C">
        <w:rPr>
          <w:lang w:val="fr-FR"/>
        </w:rPr>
        <w:t>20</w:t>
      </w:r>
      <w:r w:rsidRPr="00467D2C">
        <w:rPr>
          <w:lang w:val="fr-FR"/>
        </w:rPr>
        <w:t xml:space="preserve">, les </w:t>
      </w:r>
      <w:r w:rsidR="00523E54" w:rsidRPr="00467D2C">
        <w:rPr>
          <w:lang w:val="fr-FR"/>
        </w:rPr>
        <w:t>contributions financières les plus élevées provenaient des trois</w:t>
      </w:r>
      <w:r w:rsidRPr="00467D2C">
        <w:rPr>
          <w:lang w:val="fr-FR"/>
        </w:rPr>
        <w:t xml:space="preserve"> partenaires de financement </w:t>
      </w:r>
      <w:r w:rsidR="00523E54" w:rsidRPr="00467D2C">
        <w:rPr>
          <w:lang w:val="fr-FR"/>
        </w:rPr>
        <w:t>suivants</w:t>
      </w:r>
      <w:r w:rsidRPr="00467D2C">
        <w:rPr>
          <w:lang w:val="fr-FR"/>
        </w:rPr>
        <w:t>:</w:t>
      </w:r>
    </w:p>
    <w:p w14:paraId="5EB0BE36" w14:textId="54CE9D99" w:rsidR="00AB674D" w:rsidRPr="00467D2C" w:rsidRDefault="00AB674D" w:rsidP="00084EE1">
      <w:pPr>
        <w:pStyle w:val="enumlev1"/>
        <w:rPr>
          <w:lang w:val="fr-FR"/>
        </w:rPr>
      </w:pPr>
      <w:r w:rsidRPr="00467D2C">
        <w:rPr>
          <w:lang w:val="fr-FR"/>
        </w:rPr>
        <w:t>–</w:t>
      </w:r>
      <w:r w:rsidRPr="00467D2C">
        <w:rPr>
          <w:lang w:val="fr-FR"/>
        </w:rPr>
        <w:tab/>
      </w:r>
      <w:r w:rsidR="008C33C1" w:rsidRPr="00467D2C">
        <w:rPr>
          <w:lang w:val="fr-FR"/>
        </w:rPr>
        <w:t>L'</w:t>
      </w:r>
      <w:r w:rsidR="008C33C1" w:rsidRPr="00467D2C">
        <w:rPr>
          <w:b/>
          <w:lang w:val="fr-FR"/>
        </w:rPr>
        <w:t>Agence norvégienne de coopération pour le développement (NORAD)</w:t>
      </w:r>
      <w:r w:rsidR="00CA253B" w:rsidRPr="00467D2C">
        <w:rPr>
          <w:lang w:val="fr-FR"/>
        </w:rPr>
        <w:t xml:space="preserve">, </w:t>
      </w:r>
      <w:r w:rsidR="008C33C1" w:rsidRPr="00467D2C">
        <w:rPr>
          <w:lang w:val="fr-FR"/>
        </w:rPr>
        <w:t xml:space="preserve">qui s'est engagée à verser une contribution financière de </w:t>
      </w:r>
      <w:r w:rsidR="008C33C1" w:rsidRPr="00467D2C">
        <w:rPr>
          <w:b/>
          <w:lang w:val="fr-FR"/>
        </w:rPr>
        <w:t>3,3 millions</w:t>
      </w:r>
      <w:r w:rsidR="00CA253B" w:rsidRPr="00467D2C">
        <w:rPr>
          <w:lang w:val="fr-FR"/>
        </w:rPr>
        <w:t xml:space="preserve"> </w:t>
      </w:r>
      <w:r w:rsidR="00CA253B" w:rsidRPr="00467D2C">
        <w:rPr>
          <w:b/>
          <w:lang w:val="fr-FR"/>
        </w:rPr>
        <w:t>USD</w:t>
      </w:r>
      <w:r w:rsidR="00CA253B" w:rsidRPr="00467D2C">
        <w:rPr>
          <w:lang w:val="fr-FR"/>
        </w:rPr>
        <w:t>.</w:t>
      </w:r>
    </w:p>
    <w:p w14:paraId="714F2C1F" w14:textId="7A3B6BA0" w:rsidR="00CA253B" w:rsidRPr="00467D2C" w:rsidRDefault="00AB674D" w:rsidP="00084EE1">
      <w:pPr>
        <w:pStyle w:val="enumlev1"/>
        <w:rPr>
          <w:lang w:val="fr-FR"/>
        </w:rPr>
      </w:pPr>
      <w:r w:rsidRPr="00467D2C">
        <w:rPr>
          <w:lang w:val="fr-FR"/>
        </w:rPr>
        <w:t>–</w:t>
      </w:r>
      <w:r w:rsidRPr="00467D2C">
        <w:rPr>
          <w:lang w:val="fr-FR"/>
        </w:rPr>
        <w:tab/>
      </w:r>
      <w:r w:rsidR="008C33C1" w:rsidRPr="00467D2C">
        <w:rPr>
          <w:lang w:val="fr-FR"/>
        </w:rPr>
        <w:t>L'</w:t>
      </w:r>
      <w:r w:rsidR="008C33C1" w:rsidRPr="00467D2C">
        <w:rPr>
          <w:b/>
          <w:lang w:val="fr-FR"/>
        </w:rPr>
        <w:t>Autorité nationale de cybersécurité (NCA) d</w:t>
      </w:r>
      <w:r w:rsidR="009A3302" w:rsidRPr="00467D2C">
        <w:rPr>
          <w:b/>
          <w:lang w:val="fr-FR"/>
        </w:rPr>
        <w:t>e l</w:t>
      </w:r>
      <w:r w:rsidR="008C33C1" w:rsidRPr="00467D2C">
        <w:rPr>
          <w:b/>
          <w:lang w:val="fr-FR"/>
        </w:rPr>
        <w:t>'Arabie saoudite</w:t>
      </w:r>
      <w:r w:rsidR="00CA253B" w:rsidRPr="00467D2C">
        <w:rPr>
          <w:lang w:val="fr-FR"/>
        </w:rPr>
        <w:t xml:space="preserve">, </w:t>
      </w:r>
      <w:r w:rsidR="008C33C1" w:rsidRPr="00467D2C">
        <w:rPr>
          <w:lang w:val="fr-FR"/>
        </w:rPr>
        <w:t>qui s'est engagée à verser une contribution financière de</w:t>
      </w:r>
      <w:r w:rsidR="008C33C1" w:rsidRPr="00467D2C">
        <w:rPr>
          <w:b/>
          <w:lang w:val="fr-FR"/>
        </w:rPr>
        <w:t xml:space="preserve"> 1,</w:t>
      </w:r>
      <w:r w:rsidR="00CA253B" w:rsidRPr="00467D2C">
        <w:rPr>
          <w:b/>
          <w:lang w:val="fr-FR"/>
        </w:rPr>
        <w:t>6 million</w:t>
      </w:r>
      <w:r w:rsidR="008C33C1" w:rsidRPr="00467D2C">
        <w:rPr>
          <w:b/>
          <w:lang w:val="fr-FR"/>
        </w:rPr>
        <w:t xml:space="preserve"> USD</w:t>
      </w:r>
      <w:r w:rsidR="00CA253B" w:rsidRPr="00467D2C">
        <w:rPr>
          <w:lang w:val="fr-FR"/>
        </w:rPr>
        <w:t>.</w:t>
      </w:r>
    </w:p>
    <w:p w14:paraId="2573EAB4" w14:textId="45953CF1" w:rsidR="00AB674D" w:rsidRPr="00467D2C" w:rsidRDefault="00AB674D" w:rsidP="00084EE1">
      <w:pPr>
        <w:pStyle w:val="enumlev1"/>
        <w:rPr>
          <w:lang w:val="fr-FR"/>
        </w:rPr>
      </w:pPr>
      <w:r w:rsidRPr="00467D2C">
        <w:rPr>
          <w:lang w:val="fr-FR"/>
        </w:rPr>
        <w:t>–</w:t>
      </w:r>
      <w:r w:rsidRPr="00467D2C">
        <w:rPr>
          <w:lang w:val="fr-FR"/>
        </w:rPr>
        <w:tab/>
      </w:r>
      <w:r w:rsidR="008C33C1" w:rsidRPr="00467D2C">
        <w:rPr>
          <w:lang w:val="fr-FR"/>
        </w:rPr>
        <w:t>La</w:t>
      </w:r>
      <w:r w:rsidR="00CA253B" w:rsidRPr="00467D2C">
        <w:rPr>
          <w:lang w:val="fr-FR"/>
        </w:rPr>
        <w:t xml:space="preserve"> </w:t>
      </w:r>
      <w:r w:rsidR="008C33C1" w:rsidRPr="00467D2C">
        <w:rPr>
          <w:b/>
          <w:lang w:val="fr-FR"/>
        </w:rPr>
        <w:t>Commission des technologies de la communicatio</w:t>
      </w:r>
      <w:r w:rsidR="004721D2">
        <w:rPr>
          <w:b/>
          <w:lang w:val="fr-FR"/>
        </w:rPr>
        <w:t>n et de l'information (CITC) de </w:t>
      </w:r>
      <w:r w:rsidR="008C33C1" w:rsidRPr="00467D2C">
        <w:rPr>
          <w:b/>
          <w:lang w:val="fr-FR"/>
        </w:rPr>
        <w:t>l'Arabie saoudite</w:t>
      </w:r>
      <w:r w:rsidR="00CA253B" w:rsidRPr="00467D2C">
        <w:rPr>
          <w:lang w:val="fr-FR"/>
        </w:rPr>
        <w:t xml:space="preserve">, </w:t>
      </w:r>
      <w:r w:rsidR="008C33C1" w:rsidRPr="00467D2C">
        <w:rPr>
          <w:lang w:val="fr-FR"/>
        </w:rPr>
        <w:t>qui s'est engagée à verser une contribution financière de</w:t>
      </w:r>
      <w:r w:rsidR="004721D2">
        <w:rPr>
          <w:b/>
          <w:lang w:val="fr-FR"/>
        </w:rPr>
        <w:t> </w:t>
      </w:r>
      <w:r w:rsidR="008C33C1" w:rsidRPr="00467D2C">
        <w:rPr>
          <w:b/>
          <w:lang w:val="fr-FR"/>
        </w:rPr>
        <w:t>1,45</w:t>
      </w:r>
      <w:r w:rsidR="00AF3AC9" w:rsidRPr="00467D2C">
        <w:rPr>
          <w:b/>
          <w:lang w:val="fr-FR"/>
        </w:rPr>
        <w:t> </w:t>
      </w:r>
      <w:r w:rsidR="008C33C1" w:rsidRPr="00467D2C">
        <w:rPr>
          <w:b/>
          <w:lang w:val="fr-FR"/>
        </w:rPr>
        <w:t>million</w:t>
      </w:r>
      <w:r w:rsidR="00AF3AC9" w:rsidRPr="00467D2C">
        <w:rPr>
          <w:b/>
          <w:lang w:val="fr-FR"/>
        </w:rPr>
        <w:t> </w:t>
      </w:r>
      <w:r w:rsidR="008C33C1" w:rsidRPr="00467D2C">
        <w:rPr>
          <w:b/>
          <w:lang w:val="fr-FR"/>
        </w:rPr>
        <w:t>USD</w:t>
      </w:r>
      <w:r w:rsidR="00CA253B" w:rsidRPr="00F406B9">
        <w:rPr>
          <w:bCs/>
          <w:lang w:val="fr-FR"/>
        </w:rPr>
        <w:t>.</w:t>
      </w:r>
    </w:p>
    <w:p w14:paraId="465FC7E3" w14:textId="414589A1" w:rsidR="00CA253B" w:rsidRPr="00467D2C" w:rsidRDefault="008C33C1" w:rsidP="00084EE1">
      <w:pPr>
        <w:spacing w:after="240"/>
        <w:rPr>
          <w:lang w:val="fr-FR"/>
        </w:rPr>
      </w:pPr>
      <w:r w:rsidRPr="00467D2C">
        <w:rPr>
          <w:lang w:val="fr-FR"/>
        </w:rPr>
        <w:t>Les graphiques suivants</w:t>
      </w:r>
      <w:r w:rsidR="00CA253B" w:rsidRPr="00467D2C">
        <w:rPr>
          <w:lang w:val="fr-FR"/>
        </w:rPr>
        <w:t xml:space="preserve"> </w:t>
      </w:r>
      <w:r w:rsidRPr="00467D2C">
        <w:rPr>
          <w:lang w:val="fr-FR"/>
        </w:rPr>
        <w:t>présentent</w:t>
      </w:r>
      <w:r w:rsidR="00CA253B" w:rsidRPr="00467D2C">
        <w:rPr>
          <w:lang w:val="fr-FR"/>
        </w:rPr>
        <w:t xml:space="preserve"> </w:t>
      </w:r>
      <w:r w:rsidR="00523E54" w:rsidRPr="00467D2C">
        <w:rPr>
          <w:lang w:val="fr-FR"/>
        </w:rPr>
        <w:t xml:space="preserve">la répartition par région et par priorité thématique des </w:t>
      </w:r>
      <w:r w:rsidRPr="00467D2C">
        <w:rPr>
          <w:lang w:val="fr-FR"/>
        </w:rPr>
        <w:t xml:space="preserve">contributions financières </w:t>
      </w:r>
      <w:r w:rsidR="009B4E89" w:rsidRPr="00467D2C">
        <w:rPr>
          <w:lang w:val="fr-FR"/>
        </w:rPr>
        <w:t>convenues</w:t>
      </w:r>
      <w:r w:rsidRPr="00467D2C">
        <w:rPr>
          <w:lang w:val="fr-FR"/>
        </w:rPr>
        <w:t xml:space="preserve"> dans le cadre des accords </w:t>
      </w:r>
      <w:r w:rsidR="00523E54" w:rsidRPr="00467D2C">
        <w:rPr>
          <w:lang w:val="fr-FR"/>
        </w:rPr>
        <w:t>signés</w:t>
      </w:r>
      <w:r w:rsidR="00CA253B" w:rsidRPr="00467D2C">
        <w:rPr>
          <w:lang w:val="fr-FR"/>
        </w:rPr>
        <w:t>.</w:t>
      </w:r>
    </w:p>
    <w:p w14:paraId="3CBF8D2E" w14:textId="3D9A7977" w:rsidR="00AB674D" w:rsidRPr="00467D2C" w:rsidRDefault="00AF3AC9" w:rsidP="00AF3AC9">
      <w:pPr>
        <w:pStyle w:val="Figure"/>
        <w:rPr>
          <w:lang w:val="fr-FR"/>
        </w:rPr>
      </w:pPr>
      <w:r w:rsidRPr="00467D2C">
        <w:rPr>
          <w:lang w:eastAsia="en-US"/>
        </w:rPr>
        <w:drawing>
          <wp:inline distT="0" distB="0" distL="0" distR="0" wp14:anchorId="6A32AB8F" wp14:editId="34D86BC7">
            <wp:extent cx="6099174" cy="3132138"/>
            <wp:effectExtent l="0" t="0" r="16510" b="11430"/>
            <wp:docPr id="9" name="Chart 9">
              <a:extLst xmlns:a="http://schemas.openxmlformats.org/drawingml/2006/main">
                <a:ext uri="{FF2B5EF4-FFF2-40B4-BE49-F238E27FC236}">
                  <a16:creationId xmlns:a16="http://schemas.microsoft.com/office/drawing/2014/main" id="{D0E09FC7-E9EE-4009-9C07-6D412824F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30E920" w14:textId="1C931E64" w:rsidR="000401F8" w:rsidRPr="00467D2C" w:rsidRDefault="000401F8" w:rsidP="009639D9">
      <w:pPr>
        <w:pStyle w:val="Figure"/>
        <w:spacing w:before="120" w:after="120"/>
        <w:jc w:val="left"/>
        <w:rPr>
          <w:noProof w:val="0"/>
          <w:lang w:val="fr-FR"/>
        </w:rPr>
      </w:pPr>
    </w:p>
    <w:p w14:paraId="588BA0FF" w14:textId="38FD0C58" w:rsidR="00CA253B" w:rsidRPr="00467D2C" w:rsidRDefault="00AF3AC9" w:rsidP="009639D9">
      <w:pPr>
        <w:pStyle w:val="Figure"/>
        <w:tabs>
          <w:tab w:val="left" w:pos="3402"/>
        </w:tabs>
        <w:spacing w:before="240" w:after="240"/>
        <w:ind w:left="2410" w:hanging="2410"/>
        <w:rPr>
          <w:noProof w:val="0"/>
          <w:lang w:val="fr-FR"/>
        </w:rPr>
      </w:pPr>
      <w:r w:rsidRPr="00467D2C">
        <w:rPr>
          <w:lang w:eastAsia="en-US"/>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cx2">
            <w:drawing>
              <wp:inline distT="0" distB="0" distL="0" distR="0" wp14:anchorId="5ECF571F" wp14:editId="23F00EB9">
                <wp:extent cx="6120765" cy="2568575"/>
                <wp:effectExtent l="0" t="0" r="13335" b="3175"/>
                <wp:docPr id="10" name="Chart 10">
                  <a:extLst xmlns:a="http://schemas.openxmlformats.org/drawingml/2006/main">
                    <a:ext uri="{FF2B5EF4-FFF2-40B4-BE49-F238E27FC236}">
                      <a16:creationId xmlns:a16="http://schemas.microsoft.com/office/drawing/2014/main" id="{A82543D3-06F6-47F2-BCB3-60698F64F30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5ECF571F" wp14:editId="23F00EB9">
                <wp:extent cx="6120765" cy="2568575"/>
                <wp:effectExtent l="0" t="0" r="13335" b="3175"/>
                <wp:docPr id="10" name="Chart 10">
                  <a:extLst xmlns:a="http://schemas.openxmlformats.org/drawingml/2006/main">
                    <a:ext uri="{FF2B5EF4-FFF2-40B4-BE49-F238E27FC236}">
                      <a16:creationId xmlns:a16="http://schemas.microsoft.com/office/drawing/2014/main" id="{A82543D3-06F6-47F2-BCB3-60698F64F30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a:extLst>
                            <a:ext uri="{FF2B5EF4-FFF2-40B4-BE49-F238E27FC236}">
                              <a16:creationId xmlns:a16="http://schemas.microsoft.com/office/drawing/2014/main" id="{A82543D3-06F6-47F2-BCB3-60698F64F30D}"/>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6120765" cy="2568575"/>
                        </a:xfrm>
                        <a:prstGeom prst="rect">
                          <a:avLst/>
                        </a:prstGeom>
                      </pic:spPr>
                    </pic:pic>
                  </a:graphicData>
                </a:graphic>
              </wp:inline>
            </w:drawing>
          </mc:Fallback>
        </mc:AlternateContent>
      </w:r>
    </w:p>
    <w:p w14:paraId="3C8B1404" w14:textId="77777777" w:rsidR="004721D2" w:rsidRDefault="004721D2" w:rsidP="00084EE1">
      <w:pPr>
        <w:pStyle w:val="Heading1"/>
        <w:rPr>
          <w:rFonts w:cs="Calibri"/>
          <w:sz w:val="24"/>
          <w:szCs w:val="24"/>
          <w:lang w:val="fr-FR"/>
        </w:rPr>
      </w:pPr>
      <w:r>
        <w:rPr>
          <w:rFonts w:cs="Calibri"/>
          <w:sz w:val="24"/>
          <w:szCs w:val="24"/>
          <w:lang w:val="fr-FR"/>
        </w:rPr>
        <w:br w:type="page"/>
      </w:r>
    </w:p>
    <w:p w14:paraId="6AE8892B" w14:textId="2D7D574E" w:rsidR="00CA253B" w:rsidRPr="004721D2" w:rsidRDefault="00CA253B" w:rsidP="00084EE1">
      <w:pPr>
        <w:pStyle w:val="Heading1"/>
        <w:rPr>
          <w:color w:val="000000"/>
          <w:sz w:val="24"/>
          <w:szCs w:val="24"/>
          <w:lang w:val="fr-FR"/>
        </w:rPr>
      </w:pPr>
      <w:r w:rsidRPr="004721D2">
        <w:rPr>
          <w:rFonts w:cs="Calibri"/>
          <w:sz w:val="24"/>
          <w:szCs w:val="24"/>
          <w:lang w:val="fr-FR"/>
        </w:rPr>
        <w:t>4</w:t>
      </w:r>
      <w:r w:rsidRPr="004721D2">
        <w:rPr>
          <w:rFonts w:cs="Calibri"/>
          <w:sz w:val="24"/>
          <w:szCs w:val="24"/>
          <w:lang w:val="fr-FR"/>
        </w:rPr>
        <w:tab/>
      </w:r>
      <w:r w:rsidR="009A3302" w:rsidRPr="004721D2">
        <w:rPr>
          <w:color w:val="000000"/>
          <w:sz w:val="24"/>
          <w:szCs w:val="24"/>
          <w:lang w:val="fr-FR"/>
        </w:rPr>
        <w:t xml:space="preserve">Principales mesures </w:t>
      </w:r>
      <w:r w:rsidRPr="004721D2">
        <w:rPr>
          <w:color w:val="000000"/>
          <w:sz w:val="24"/>
          <w:szCs w:val="24"/>
          <w:lang w:val="fr-FR"/>
        </w:rPr>
        <w:t xml:space="preserve">et </w:t>
      </w:r>
      <w:r w:rsidR="006E4BED" w:rsidRPr="004721D2">
        <w:rPr>
          <w:color w:val="000000"/>
          <w:sz w:val="24"/>
          <w:szCs w:val="24"/>
          <w:lang w:val="fr-FR"/>
        </w:rPr>
        <w:t xml:space="preserve">principaux </w:t>
      </w:r>
      <w:r w:rsidRPr="004721D2">
        <w:rPr>
          <w:color w:val="000000"/>
          <w:sz w:val="24"/>
          <w:szCs w:val="24"/>
          <w:lang w:val="fr-FR"/>
        </w:rPr>
        <w:t>résultats</w:t>
      </w:r>
    </w:p>
    <w:p w14:paraId="38AAAA5E" w14:textId="36D4698C" w:rsidR="00CA253B" w:rsidRPr="00467D2C" w:rsidRDefault="000548DB" w:rsidP="00084EE1">
      <w:pPr>
        <w:rPr>
          <w:szCs w:val="24"/>
          <w:lang w:val="fr-FR"/>
        </w:rPr>
      </w:pPr>
      <w:r w:rsidRPr="00467D2C">
        <w:rPr>
          <w:szCs w:val="24"/>
          <w:lang w:val="fr-FR"/>
        </w:rPr>
        <w:t>Le</w:t>
      </w:r>
      <w:r w:rsidR="00CA253B" w:rsidRPr="00467D2C">
        <w:rPr>
          <w:szCs w:val="24"/>
          <w:lang w:val="fr-FR"/>
        </w:rPr>
        <w:t xml:space="preserve"> BDT </w:t>
      </w:r>
      <w:r w:rsidR="009A3302" w:rsidRPr="00467D2C">
        <w:rPr>
          <w:szCs w:val="24"/>
          <w:lang w:val="fr-FR"/>
        </w:rPr>
        <w:t xml:space="preserve">a pris </w:t>
      </w:r>
      <w:r w:rsidR="00CA253B" w:rsidRPr="00467D2C">
        <w:rPr>
          <w:szCs w:val="24"/>
          <w:lang w:val="fr-FR"/>
        </w:rPr>
        <w:t xml:space="preserve">une série </w:t>
      </w:r>
      <w:r w:rsidR="009A3302" w:rsidRPr="00467D2C">
        <w:rPr>
          <w:szCs w:val="24"/>
          <w:lang w:val="fr-FR"/>
        </w:rPr>
        <w:t xml:space="preserve">de mesures </w:t>
      </w:r>
      <w:r w:rsidR="00CA253B" w:rsidRPr="00467D2C">
        <w:rPr>
          <w:szCs w:val="24"/>
          <w:lang w:val="fr-FR"/>
        </w:rPr>
        <w:t xml:space="preserve">stratégiques, notamment </w:t>
      </w:r>
      <w:r w:rsidR="009A3302" w:rsidRPr="00467D2C">
        <w:rPr>
          <w:szCs w:val="24"/>
          <w:lang w:val="fr-FR"/>
        </w:rPr>
        <w:t xml:space="preserve">l'élaboration et l'amélioration de </w:t>
      </w:r>
      <w:r w:rsidR="00CA253B" w:rsidRPr="00467D2C">
        <w:rPr>
          <w:szCs w:val="24"/>
          <w:lang w:val="fr-FR"/>
        </w:rPr>
        <w:t xml:space="preserve">ses produits internes et </w:t>
      </w:r>
      <w:r w:rsidR="009A3302" w:rsidRPr="00467D2C">
        <w:rPr>
          <w:szCs w:val="24"/>
          <w:lang w:val="fr-FR"/>
        </w:rPr>
        <w:t xml:space="preserve">de </w:t>
      </w:r>
      <w:r w:rsidR="00CA253B" w:rsidRPr="00467D2C">
        <w:rPr>
          <w:szCs w:val="24"/>
          <w:lang w:val="fr-FR"/>
        </w:rPr>
        <w:t xml:space="preserve">ses services externes en vue de </w:t>
      </w:r>
      <w:r w:rsidR="006E4BED" w:rsidRPr="00467D2C">
        <w:rPr>
          <w:szCs w:val="24"/>
          <w:lang w:val="fr-FR"/>
        </w:rPr>
        <w:t xml:space="preserve">renforcer </w:t>
      </w:r>
      <w:r w:rsidR="00CA253B" w:rsidRPr="00467D2C">
        <w:rPr>
          <w:szCs w:val="24"/>
          <w:lang w:val="fr-FR"/>
        </w:rPr>
        <w:t>les partenariats et la mobilisation des ressources</w:t>
      </w:r>
      <w:r w:rsidRPr="00467D2C">
        <w:rPr>
          <w:szCs w:val="24"/>
          <w:lang w:val="fr-FR"/>
        </w:rPr>
        <w:t>, telles que les suivantes:</w:t>
      </w:r>
    </w:p>
    <w:p w14:paraId="2BA957CF" w14:textId="1BBF78FB" w:rsidR="00CA253B" w:rsidRPr="00467D2C" w:rsidRDefault="00CA253B" w:rsidP="00084EE1">
      <w:pPr>
        <w:pStyle w:val="enumlev1"/>
        <w:rPr>
          <w:lang w:val="fr-FR"/>
        </w:rPr>
      </w:pPr>
      <w:r w:rsidRPr="00467D2C">
        <w:rPr>
          <w:lang w:val="fr-FR"/>
        </w:rPr>
        <w:t>–</w:t>
      </w:r>
      <w:r w:rsidRPr="00467D2C">
        <w:rPr>
          <w:lang w:val="fr-FR"/>
        </w:rPr>
        <w:tab/>
      </w:r>
      <w:r w:rsidR="003A41F5" w:rsidRPr="00467D2C">
        <w:rPr>
          <w:b/>
          <w:bCs/>
          <w:lang w:val="fr-FR"/>
        </w:rPr>
        <w:t>Renforcer la mobilisation des ressources et l'établissement de partenariats</w:t>
      </w:r>
      <w:r w:rsidRPr="00467D2C">
        <w:rPr>
          <w:lang w:val="fr-FR"/>
        </w:rPr>
        <w:t xml:space="preserve">: </w:t>
      </w:r>
      <w:r w:rsidR="00825BA2" w:rsidRPr="00467D2C">
        <w:rPr>
          <w:lang w:val="fr-FR"/>
        </w:rPr>
        <w:t>un cabinet</w:t>
      </w:r>
      <w:r w:rsidR="00D74AA7" w:rsidRPr="00467D2C">
        <w:rPr>
          <w:lang w:val="fr-FR"/>
        </w:rPr>
        <w:t xml:space="preserve"> de conseil </w:t>
      </w:r>
      <w:r w:rsidR="00195857" w:rsidRPr="00467D2C">
        <w:rPr>
          <w:lang w:val="fr-FR"/>
        </w:rPr>
        <w:t>engagé</w:t>
      </w:r>
      <w:r w:rsidR="00D74AA7" w:rsidRPr="00467D2C">
        <w:rPr>
          <w:lang w:val="fr-FR"/>
        </w:rPr>
        <w:t xml:space="preserve"> pour aider le BDT à élaborer une </w:t>
      </w:r>
      <w:r w:rsidR="00D74AA7" w:rsidRPr="00467D2C">
        <w:rPr>
          <w:b/>
          <w:bCs/>
          <w:lang w:val="fr-FR"/>
        </w:rPr>
        <w:t>nouvelle stratégie et un nouveau plan d'action solides et tournés vers l'avenir en matière de mobilisation des ressources</w:t>
      </w:r>
      <w:r w:rsidRPr="00467D2C">
        <w:rPr>
          <w:lang w:val="fr-FR"/>
        </w:rPr>
        <w:t xml:space="preserve"> </w:t>
      </w:r>
      <w:r w:rsidR="00D74AA7" w:rsidRPr="00467D2C">
        <w:rPr>
          <w:lang w:val="fr-FR"/>
        </w:rPr>
        <w:t xml:space="preserve">a achevé et </w:t>
      </w:r>
      <w:r w:rsidR="00197D1F" w:rsidRPr="00467D2C">
        <w:rPr>
          <w:lang w:val="fr-FR"/>
        </w:rPr>
        <w:t>soumis</w:t>
      </w:r>
      <w:r w:rsidR="00D74AA7" w:rsidRPr="00467D2C">
        <w:rPr>
          <w:lang w:val="fr-FR"/>
        </w:rPr>
        <w:t xml:space="preserve"> ses travaux à la fin de l'année 2020</w:t>
      </w:r>
      <w:r w:rsidRPr="00467D2C">
        <w:rPr>
          <w:lang w:val="fr-FR"/>
        </w:rPr>
        <w:t xml:space="preserve">. </w:t>
      </w:r>
      <w:r w:rsidR="00197D1F" w:rsidRPr="00467D2C">
        <w:rPr>
          <w:lang w:val="fr-FR"/>
        </w:rPr>
        <w:t>En outre, l</w:t>
      </w:r>
      <w:r w:rsidR="00D74AA7" w:rsidRPr="00467D2C">
        <w:rPr>
          <w:lang w:val="fr-FR"/>
        </w:rPr>
        <w:t>e BDT a élabor</w:t>
      </w:r>
      <w:r w:rsidR="003A41F5" w:rsidRPr="00467D2C">
        <w:rPr>
          <w:lang w:val="fr-FR"/>
        </w:rPr>
        <w:t>é</w:t>
      </w:r>
      <w:r w:rsidR="00D74AA7" w:rsidRPr="00467D2C">
        <w:rPr>
          <w:lang w:val="fr-FR"/>
        </w:rPr>
        <w:t xml:space="preserve"> une stratégie conjointe </w:t>
      </w:r>
      <w:r w:rsidR="00545916" w:rsidRPr="00467D2C">
        <w:rPr>
          <w:lang w:val="fr-FR"/>
        </w:rPr>
        <w:t xml:space="preserve">en matière </w:t>
      </w:r>
      <w:r w:rsidR="00D74AA7" w:rsidRPr="00467D2C">
        <w:rPr>
          <w:lang w:val="fr-FR"/>
        </w:rPr>
        <w:t>d</w:t>
      </w:r>
      <w:r w:rsidR="003A41F5" w:rsidRPr="00467D2C">
        <w:rPr>
          <w:lang w:val="fr-FR"/>
        </w:rPr>
        <w:t>e</w:t>
      </w:r>
      <w:r w:rsidR="00D74AA7" w:rsidRPr="00467D2C">
        <w:rPr>
          <w:lang w:val="fr-FR"/>
        </w:rPr>
        <w:t xml:space="preserve"> partenariats et de mobilisation des ressources, afin d'harmoniser les </w:t>
      </w:r>
      <w:r w:rsidR="00C21BAF" w:rsidRPr="00467D2C">
        <w:rPr>
          <w:lang w:val="fr-FR"/>
        </w:rPr>
        <w:t xml:space="preserve">deux </w:t>
      </w:r>
      <w:r w:rsidR="009412BC" w:rsidRPr="00467D2C">
        <w:rPr>
          <w:lang w:val="fr-FR"/>
        </w:rPr>
        <w:t>méthodes permettant</w:t>
      </w:r>
      <w:r w:rsidRPr="00467D2C">
        <w:rPr>
          <w:lang w:val="fr-FR"/>
        </w:rPr>
        <w:t xml:space="preserve"> </w:t>
      </w:r>
      <w:r w:rsidR="00195857" w:rsidRPr="00467D2C">
        <w:rPr>
          <w:lang w:val="fr-FR"/>
        </w:rPr>
        <w:t>d</w:t>
      </w:r>
      <w:r w:rsidR="009412BC" w:rsidRPr="00467D2C">
        <w:rPr>
          <w:lang w:val="fr-FR"/>
        </w:rPr>
        <w:t>e lever</w:t>
      </w:r>
      <w:r w:rsidR="00195857" w:rsidRPr="00467D2C">
        <w:rPr>
          <w:lang w:val="fr-FR"/>
        </w:rPr>
        <w:t xml:space="preserve"> de</w:t>
      </w:r>
      <w:r w:rsidR="009412BC" w:rsidRPr="00467D2C">
        <w:rPr>
          <w:lang w:val="fr-FR"/>
        </w:rPr>
        <w:t>s</w:t>
      </w:r>
      <w:r w:rsidR="00BC5A03" w:rsidRPr="00467D2C">
        <w:rPr>
          <w:lang w:val="fr-FR"/>
        </w:rPr>
        <w:t xml:space="preserve"> fonds</w:t>
      </w:r>
      <w:r w:rsidRPr="00467D2C">
        <w:rPr>
          <w:lang w:val="fr-FR"/>
        </w:rPr>
        <w:t xml:space="preserve">, </w:t>
      </w:r>
      <w:r w:rsidR="00BC5A03" w:rsidRPr="00467D2C">
        <w:rPr>
          <w:lang w:val="fr-FR"/>
        </w:rPr>
        <w:t>à savoir les partenariats et la mobilisation des ressources</w:t>
      </w:r>
      <w:r w:rsidRPr="00467D2C">
        <w:rPr>
          <w:lang w:val="fr-FR"/>
        </w:rPr>
        <w:t xml:space="preserve">. </w:t>
      </w:r>
      <w:r w:rsidR="00BC5A03" w:rsidRPr="00467D2C">
        <w:rPr>
          <w:lang w:val="fr-FR"/>
        </w:rPr>
        <w:t xml:space="preserve">La nouvelle stratégie est déjà en cours de mise en œuvre. </w:t>
      </w:r>
    </w:p>
    <w:p w14:paraId="1A9A5C5F" w14:textId="09F5A3A3" w:rsidR="00CA253B" w:rsidRPr="00467D2C" w:rsidRDefault="00CA253B" w:rsidP="00084EE1">
      <w:pPr>
        <w:pStyle w:val="enumlev1"/>
        <w:rPr>
          <w:rFonts w:eastAsiaTheme="minorEastAsia"/>
          <w:lang w:val="fr-FR"/>
        </w:rPr>
      </w:pPr>
      <w:r w:rsidRPr="00467D2C">
        <w:rPr>
          <w:lang w:val="fr-FR"/>
        </w:rPr>
        <w:t>–</w:t>
      </w:r>
      <w:r w:rsidRPr="00467D2C">
        <w:rPr>
          <w:lang w:val="fr-FR"/>
        </w:rPr>
        <w:tab/>
      </w:r>
      <w:r w:rsidR="00107875" w:rsidRPr="00467D2C">
        <w:rPr>
          <w:b/>
          <w:bCs/>
          <w:lang w:val="fr-FR"/>
        </w:rPr>
        <w:t xml:space="preserve">Renforcer les compétences </w:t>
      </w:r>
      <w:r w:rsidR="00FB6D67" w:rsidRPr="00467D2C">
        <w:rPr>
          <w:b/>
          <w:bCs/>
          <w:lang w:val="fr-FR"/>
        </w:rPr>
        <w:t>des fonctionnaires</w:t>
      </w:r>
      <w:r w:rsidRPr="00467D2C">
        <w:rPr>
          <w:b/>
          <w:bCs/>
          <w:lang w:val="fr-FR"/>
        </w:rPr>
        <w:t xml:space="preserve"> </w:t>
      </w:r>
      <w:r w:rsidR="009F43F5" w:rsidRPr="00467D2C">
        <w:rPr>
          <w:b/>
          <w:bCs/>
          <w:lang w:val="fr-FR"/>
        </w:rPr>
        <w:t>en mati</w:t>
      </w:r>
      <w:r w:rsidR="00107875" w:rsidRPr="00467D2C">
        <w:rPr>
          <w:b/>
          <w:bCs/>
          <w:lang w:val="fr-FR"/>
        </w:rPr>
        <w:t>ère de mobilisation des ressources</w:t>
      </w:r>
      <w:r w:rsidRPr="00467D2C">
        <w:rPr>
          <w:lang w:val="fr-FR"/>
        </w:rPr>
        <w:t xml:space="preserve">: </w:t>
      </w:r>
      <w:r w:rsidR="00107875" w:rsidRPr="00467D2C">
        <w:rPr>
          <w:lang w:val="fr-FR"/>
        </w:rPr>
        <w:t>une formation virtuelle sur la mobilisation des ressources a été organisée et</w:t>
      </w:r>
      <w:r w:rsidRPr="00467D2C">
        <w:rPr>
          <w:lang w:val="fr-FR"/>
        </w:rPr>
        <w:t xml:space="preserve"> </w:t>
      </w:r>
      <w:r w:rsidR="00A648A3" w:rsidRPr="00467D2C">
        <w:rPr>
          <w:lang w:val="fr-FR"/>
        </w:rPr>
        <w:t xml:space="preserve">dispensée avec succès grâce aux services </w:t>
      </w:r>
      <w:r w:rsidR="006B2FD4" w:rsidRPr="00467D2C">
        <w:rPr>
          <w:lang w:val="fr-FR"/>
        </w:rPr>
        <w:t>de consultants</w:t>
      </w:r>
      <w:r w:rsidR="00A648A3" w:rsidRPr="00467D2C">
        <w:rPr>
          <w:lang w:val="fr-FR"/>
        </w:rPr>
        <w:t xml:space="preserve"> en formation sur la mobilisation des ressources</w:t>
      </w:r>
      <w:r w:rsidRPr="00467D2C">
        <w:rPr>
          <w:lang w:val="fr-FR"/>
        </w:rPr>
        <w:t xml:space="preserve">. </w:t>
      </w:r>
      <w:r w:rsidR="00A648A3" w:rsidRPr="00467D2C">
        <w:rPr>
          <w:lang w:val="fr-FR"/>
        </w:rPr>
        <w:t>La formation</w:t>
      </w:r>
      <w:r w:rsidRPr="00467D2C">
        <w:rPr>
          <w:lang w:val="fr-FR"/>
        </w:rPr>
        <w:t xml:space="preserve">, </w:t>
      </w:r>
      <w:r w:rsidR="00A648A3" w:rsidRPr="00467D2C">
        <w:rPr>
          <w:lang w:val="fr-FR"/>
        </w:rPr>
        <w:t xml:space="preserve">fondée sur la stratégie </w:t>
      </w:r>
      <w:r w:rsidR="00545916" w:rsidRPr="00467D2C">
        <w:rPr>
          <w:lang w:val="fr-FR"/>
        </w:rPr>
        <w:t xml:space="preserve">en matière </w:t>
      </w:r>
      <w:r w:rsidR="00A648A3" w:rsidRPr="00467D2C">
        <w:rPr>
          <w:lang w:val="fr-FR"/>
        </w:rPr>
        <w:t>de partenariats et de mobilisation des ressources du BDT</w:t>
      </w:r>
      <w:r w:rsidRPr="00467D2C">
        <w:rPr>
          <w:lang w:val="fr-FR"/>
        </w:rPr>
        <w:t xml:space="preserve">, </w:t>
      </w:r>
      <w:r w:rsidR="00A648A3" w:rsidRPr="00467D2C">
        <w:rPr>
          <w:lang w:val="fr-FR"/>
        </w:rPr>
        <w:t>a été dispensée à</w:t>
      </w:r>
      <w:r w:rsidRPr="00467D2C">
        <w:rPr>
          <w:rFonts w:eastAsiaTheme="minorEastAsia"/>
          <w:lang w:val="fr-FR"/>
        </w:rPr>
        <w:t xml:space="preserve"> 91 </w:t>
      </w:r>
      <w:r w:rsidR="00A648A3" w:rsidRPr="00467D2C">
        <w:rPr>
          <w:rFonts w:eastAsiaTheme="minorEastAsia"/>
          <w:lang w:val="fr-FR"/>
        </w:rPr>
        <w:t>fonctionnaires</w:t>
      </w:r>
      <w:r w:rsidRPr="00467D2C">
        <w:rPr>
          <w:rFonts w:eastAsiaTheme="minorEastAsia"/>
          <w:lang w:val="fr-FR"/>
        </w:rPr>
        <w:t xml:space="preserve"> (78 </w:t>
      </w:r>
      <w:r w:rsidR="00A648A3" w:rsidRPr="00467D2C">
        <w:rPr>
          <w:rFonts w:eastAsiaTheme="minorEastAsia"/>
          <w:lang w:val="fr-FR"/>
        </w:rPr>
        <w:t>du</w:t>
      </w:r>
      <w:r w:rsidRPr="00467D2C">
        <w:rPr>
          <w:rFonts w:eastAsiaTheme="minorEastAsia"/>
          <w:lang w:val="fr-FR"/>
        </w:rPr>
        <w:t xml:space="preserve"> BDT </w:t>
      </w:r>
      <w:r w:rsidR="004721D2">
        <w:rPr>
          <w:rFonts w:eastAsiaTheme="minorEastAsia"/>
          <w:lang w:val="fr-FR"/>
        </w:rPr>
        <w:t>et </w:t>
      </w:r>
      <w:r w:rsidR="00A648A3" w:rsidRPr="00467D2C">
        <w:rPr>
          <w:rFonts w:eastAsiaTheme="minorEastAsia"/>
          <w:lang w:val="fr-FR"/>
        </w:rPr>
        <w:t>13</w:t>
      </w:r>
      <w:r w:rsidR="00E86AB6" w:rsidRPr="00467D2C">
        <w:rPr>
          <w:rFonts w:eastAsiaTheme="minorEastAsia"/>
          <w:lang w:val="fr-FR"/>
        </w:rPr>
        <w:t> </w:t>
      </w:r>
      <w:r w:rsidR="00A648A3" w:rsidRPr="00467D2C">
        <w:rPr>
          <w:rFonts w:eastAsiaTheme="minorEastAsia"/>
          <w:lang w:val="fr-FR"/>
        </w:rPr>
        <w:t>d'autres bureaux</w:t>
      </w:r>
      <w:r w:rsidRPr="00467D2C">
        <w:rPr>
          <w:rFonts w:eastAsiaTheme="minorEastAsia"/>
          <w:lang w:val="fr-FR"/>
        </w:rPr>
        <w:t xml:space="preserve">). </w:t>
      </w:r>
      <w:r w:rsidR="00A648A3" w:rsidRPr="00467D2C">
        <w:rPr>
          <w:rFonts w:eastAsiaTheme="minorEastAsia"/>
          <w:lang w:val="fr-FR"/>
        </w:rPr>
        <w:t xml:space="preserve">Les fondamentaux de la mobilisation des ressources ont été enseignés aux fonctionnaires dans les bureaux hors siège et au siège </w:t>
      </w:r>
      <w:r w:rsidR="006B2FD4" w:rsidRPr="00467D2C">
        <w:rPr>
          <w:rFonts w:eastAsiaTheme="minorEastAsia"/>
          <w:lang w:val="fr-FR"/>
        </w:rPr>
        <w:t>de l'Union, afin de</w:t>
      </w:r>
      <w:r w:rsidR="00A648A3" w:rsidRPr="00467D2C">
        <w:rPr>
          <w:rFonts w:eastAsiaTheme="minorEastAsia"/>
          <w:lang w:val="fr-FR"/>
        </w:rPr>
        <w:t xml:space="preserve"> les doter des compétences</w:t>
      </w:r>
      <w:r w:rsidRPr="00467D2C">
        <w:rPr>
          <w:rFonts w:eastAsiaTheme="minorEastAsia"/>
          <w:lang w:val="fr-FR"/>
        </w:rPr>
        <w:t xml:space="preserve"> </w:t>
      </w:r>
      <w:r w:rsidR="00A648A3" w:rsidRPr="00467D2C">
        <w:rPr>
          <w:rFonts w:eastAsiaTheme="minorEastAsia"/>
          <w:lang w:val="fr-FR"/>
        </w:rPr>
        <w:t>leur permettant de nouer, de gérer et de conclure des partenariats financiers et non financiers et des accords de mo</w:t>
      </w:r>
      <w:r w:rsidR="006B2FD4" w:rsidRPr="00467D2C">
        <w:rPr>
          <w:rFonts w:eastAsiaTheme="minorEastAsia"/>
          <w:lang w:val="fr-FR"/>
        </w:rPr>
        <w:t>bilisation des ressources avec d</w:t>
      </w:r>
      <w:r w:rsidR="00A648A3" w:rsidRPr="00467D2C">
        <w:rPr>
          <w:rFonts w:eastAsiaTheme="minorEastAsia"/>
          <w:lang w:val="fr-FR"/>
        </w:rPr>
        <w:t>es parties prenantes</w:t>
      </w:r>
      <w:r w:rsidRPr="00467D2C">
        <w:rPr>
          <w:rFonts w:eastAsiaTheme="minorEastAsia"/>
          <w:lang w:val="fr-FR"/>
        </w:rPr>
        <w:t>.</w:t>
      </w:r>
    </w:p>
    <w:p w14:paraId="2ED65685" w14:textId="18870896" w:rsidR="00CA253B" w:rsidRPr="00467D2C" w:rsidRDefault="00CA253B" w:rsidP="00084EE1">
      <w:pPr>
        <w:pStyle w:val="enumlev1"/>
        <w:rPr>
          <w:rFonts w:cstheme="minorHAnsi"/>
          <w:lang w:val="fr-FR"/>
        </w:rPr>
      </w:pPr>
      <w:r w:rsidRPr="00467D2C">
        <w:rPr>
          <w:rFonts w:cstheme="minorHAnsi"/>
          <w:lang w:val="fr-FR"/>
        </w:rPr>
        <w:t>–</w:t>
      </w:r>
      <w:r w:rsidRPr="00467D2C">
        <w:rPr>
          <w:rFonts w:cstheme="minorHAnsi"/>
          <w:lang w:val="fr-FR"/>
        </w:rPr>
        <w:tab/>
      </w:r>
      <w:r w:rsidR="009A3302" w:rsidRPr="00467D2C">
        <w:rPr>
          <w:rFonts w:cstheme="minorHAnsi"/>
          <w:b/>
          <w:bCs/>
          <w:lang w:val="fr-FR"/>
        </w:rPr>
        <w:t xml:space="preserve">Améliorer </w:t>
      </w:r>
      <w:r w:rsidR="003C5EBF" w:rsidRPr="00467D2C">
        <w:rPr>
          <w:rFonts w:cstheme="minorHAnsi"/>
          <w:b/>
          <w:bCs/>
          <w:lang w:val="fr-FR"/>
        </w:rPr>
        <w:t>les</w:t>
      </w:r>
      <w:r w:rsidRPr="00467D2C">
        <w:rPr>
          <w:rFonts w:cstheme="minorHAnsi"/>
          <w:b/>
          <w:bCs/>
          <w:lang w:val="fr-FR"/>
        </w:rPr>
        <w:t xml:space="preserve"> </w:t>
      </w:r>
      <w:r w:rsidR="003C5EBF" w:rsidRPr="00467D2C">
        <w:rPr>
          <w:rFonts w:cstheme="minorHAnsi"/>
          <w:b/>
          <w:bCs/>
          <w:lang w:val="fr-FR"/>
        </w:rPr>
        <w:t>outils de recherche</w:t>
      </w:r>
      <w:r w:rsidRPr="00467D2C">
        <w:rPr>
          <w:rFonts w:cstheme="minorHAnsi"/>
          <w:lang w:val="fr-FR"/>
        </w:rPr>
        <w:t xml:space="preserve">: </w:t>
      </w:r>
      <w:r w:rsidR="0000353F" w:rsidRPr="00467D2C">
        <w:rPr>
          <w:rFonts w:cstheme="minorHAnsi"/>
          <w:lang w:val="fr-FR"/>
        </w:rPr>
        <w:t>l</w:t>
      </w:r>
      <w:r w:rsidR="00A648A3" w:rsidRPr="00467D2C">
        <w:rPr>
          <w:rFonts w:cstheme="minorHAnsi"/>
          <w:lang w:val="fr-FR"/>
        </w:rPr>
        <w:t>a base de données de la mobilisation des ressources</w:t>
      </w:r>
      <w:r w:rsidRPr="00467D2C">
        <w:rPr>
          <w:rFonts w:cstheme="minorHAnsi"/>
          <w:lang w:val="fr-FR"/>
        </w:rPr>
        <w:t xml:space="preserve"> </w:t>
      </w:r>
      <w:r w:rsidR="00A0487B" w:rsidRPr="00467D2C">
        <w:rPr>
          <w:rFonts w:cstheme="minorHAnsi"/>
          <w:lang w:val="fr-FR"/>
        </w:rPr>
        <w:t xml:space="preserve">et la base de données des partenaires de financement potentiels du </w:t>
      </w:r>
      <w:r w:rsidRPr="00467D2C">
        <w:rPr>
          <w:rFonts w:cstheme="minorHAnsi"/>
          <w:lang w:val="fr-FR"/>
        </w:rPr>
        <w:t xml:space="preserve">BDT </w:t>
      </w:r>
      <w:r w:rsidR="00A0487B" w:rsidRPr="00467D2C">
        <w:rPr>
          <w:rFonts w:cstheme="minorHAnsi"/>
          <w:lang w:val="fr-FR"/>
        </w:rPr>
        <w:t xml:space="preserve">ont été entièrement </w:t>
      </w:r>
      <w:r w:rsidR="00BD4006" w:rsidRPr="00467D2C">
        <w:rPr>
          <w:rFonts w:cstheme="minorHAnsi"/>
          <w:lang w:val="fr-FR"/>
        </w:rPr>
        <w:t>reconfigurées</w:t>
      </w:r>
      <w:r w:rsidRPr="00467D2C">
        <w:rPr>
          <w:rFonts w:cstheme="minorHAnsi"/>
          <w:lang w:val="fr-FR"/>
        </w:rPr>
        <w:t xml:space="preserve">. </w:t>
      </w:r>
      <w:r w:rsidR="000374B7" w:rsidRPr="00467D2C">
        <w:rPr>
          <w:rFonts w:cstheme="minorHAnsi"/>
          <w:lang w:val="fr-FR"/>
        </w:rPr>
        <w:t>Elles</w:t>
      </w:r>
      <w:r w:rsidR="00A0487B" w:rsidRPr="00467D2C">
        <w:rPr>
          <w:rFonts w:cstheme="minorHAnsi"/>
          <w:lang w:val="fr-FR"/>
        </w:rPr>
        <w:t xml:space="preserve"> fournissent des informations sur les partenaires de financement potentiels</w:t>
      </w:r>
      <w:r w:rsidRPr="00467D2C">
        <w:rPr>
          <w:rFonts w:cstheme="minorHAnsi"/>
          <w:lang w:val="fr-FR"/>
        </w:rPr>
        <w:t xml:space="preserve"> (</w:t>
      </w:r>
      <w:r w:rsidR="00A0487B" w:rsidRPr="00467D2C">
        <w:rPr>
          <w:rFonts w:cstheme="minorHAnsi"/>
          <w:lang w:val="fr-FR"/>
        </w:rPr>
        <w:t>organismes bilatéraux</w:t>
      </w:r>
      <w:r w:rsidRPr="00467D2C">
        <w:rPr>
          <w:rFonts w:cstheme="minorHAnsi"/>
          <w:lang w:val="fr-FR"/>
        </w:rPr>
        <w:t xml:space="preserve">, </w:t>
      </w:r>
      <w:r w:rsidR="00A0487B" w:rsidRPr="00467D2C">
        <w:rPr>
          <w:rFonts w:cstheme="minorHAnsi"/>
          <w:lang w:val="fr-FR"/>
        </w:rPr>
        <w:t>banques de développement, fondations, etc.), y compris sur leurs priorités thématiques et géographiques</w:t>
      </w:r>
      <w:r w:rsidR="000374B7" w:rsidRPr="00467D2C">
        <w:rPr>
          <w:rFonts w:cstheme="minorHAnsi"/>
          <w:lang w:val="fr-FR"/>
        </w:rPr>
        <w:t>.</w:t>
      </w:r>
    </w:p>
    <w:p w14:paraId="550CFA34" w14:textId="7CD7A6B3" w:rsidR="00AB674D" w:rsidRPr="00467D2C" w:rsidRDefault="00CA253B" w:rsidP="00084EE1">
      <w:pPr>
        <w:pStyle w:val="enumlev1"/>
        <w:rPr>
          <w:lang w:val="fr-FR"/>
        </w:rPr>
      </w:pPr>
      <w:r w:rsidRPr="00467D2C">
        <w:rPr>
          <w:rFonts w:cstheme="minorHAnsi"/>
          <w:lang w:val="fr-FR"/>
        </w:rPr>
        <w:t>–</w:t>
      </w:r>
      <w:r w:rsidRPr="00467D2C">
        <w:rPr>
          <w:rFonts w:cstheme="minorHAnsi"/>
          <w:lang w:val="fr-FR"/>
        </w:rPr>
        <w:tab/>
      </w:r>
      <w:r w:rsidR="002238B1" w:rsidRPr="00467D2C">
        <w:rPr>
          <w:rFonts w:cstheme="minorHAnsi"/>
          <w:b/>
          <w:bCs/>
          <w:lang w:val="fr-FR"/>
        </w:rPr>
        <w:t>Améliorer la visibilité</w:t>
      </w:r>
      <w:r w:rsidRPr="00467D2C">
        <w:rPr>
          <w:rFonts w:cstheme="minorHAnsi"/>
          <w:lang w:val="fr-FR"/>
        </w:rPr>
        <w:t xml:space="preserve">: </w:t>
      </w:r>
      <w:r w:rsidR="003C5EBF" w:rsidRPr="00467D2C">
        <w:rPr>
          <w:rFonts w:cstheme="minorHAnsi"/>
          <w:lang w:val="fr-FR"/>
        </w:rPr>
        <w:t xml:space="preserve">une nouvelle page web commune </w:t>
      </w:r>
      <w:r w:rsidR="004321BE" w:rsidRPr="00467D2C">
        <w:rPr>
          <w:rFonts w:cstheme="minorHAnsi"/>
          <w:lang w:val="fr-FR"/>
        </w:rPr>
        <w:t xml:space="preserve">relative </w:t>
      </w:r>
      <w:r w:rsidR="003C5EBF" w:rsidRPr="00467D2C">
        <w:rPr>
          <w:rFonts w:cstheme="minorHAnsi"/>
          <w:lang w:val="fr-FR"/>
        </w:rPr>
        <w:t>aux partenariats et aux membres de l'UIT-D</w:t>
      </w:r>
      <w:r w:rsidRPr="00467D2C">
        <w:rPr>
          <w:rFonts w:cstheme="minorHAnsi"/>
          <w:lang w:val="fr-FR"/>
        </w:rPr>
        <w:t xml:space="preserve"> </w:t>
      </w:r>
      <w:r w:rsidR="003C5EBF" w:rsidRPr="00467D2C">
        <w:rPr>
          <w:rFonts w:cstheme="minorHAnsi"/>
          <w:lang w:val="fr-FR"/>
        </w:rPr>
        <w:t>a été créée et lancée</w:t>
      </w:r>
      <w:r w:rsidRPr="00467D2C">
        <w:rPr>
          <w:rFonts w:cstheme="minorHAnsi"/>
          <w:lang w:val="fr-FR"/>
        </w:rPr>
        <w:t xml:space="preserve">. </w:t>
      </w:r>
      <w:r w:rsidR="002238B1" w:rsidRPr="00467D2C">
        <w:rPr>
          <w:rFonts w:cstheme="minorHAnsi"/>
          <w:lang w:val="fr-FR"/>
        </w:rPr>
        <w:t>Elle</w:t>
      </w:r>
      <w:r w:rsidR="003C5EBF" w:rsidRPr="00467D2C">
        <w:rPr>
          <w:rFonts w:cstheme="minorHAnsi"/>
          <w:lang w:val="fr-FR"/>
        </w:rPr>
        <w:t xml:space="preserve"> met en avant les partenariats auprès des membres de l'UIT-D et encourage les membres actuels à devenir partenaires</w:t>
      </w:r>
      <w:r w:rsidRPr="00467D2C">
        <w:rPr>
          <w:rFonts w:cstheme="minorHAnsi"/>
          <w:lang w:val="fr-FR"/>
        </w:rPr>
        <w:t xml:space="preserve">. </w:t>
      </w:r>
      <w:r w:rsidR="003C5EBF" w:rsidRPr="00467D2C">
        <w:rPr>
          <w:rFonts w:cstheme="minorHAnsi"/>
          <w:lang w:val="fr-FR"/>
        </w:rPr>
        <w:t>La page d'accueil commune</w:t>
      </w:r>
      <w:r w:rsidRPr="00467D2C">
        <w:rPr>
          <w:rFonts w:cstheme="minorHAnsi"/>
          <w:lang w:val="fr-FR"/>
        </w:rPr>
        <w:t xml:space="preserve"> </w:t>
      </w:r>
      <w:r w:rsidR="003C5EBF" w:rsidRPr="00467D2C">
        <w:rPr>
          <w:rFonts w:cstheme="minorHAnsi"/>
          <w:lang w:val="fr-FR"/>
        </w:rPr>
        <w:t>est disponible ici</w:t>
      </w:r>
      <w:r w:rsidR="009F24DE" w:rsidRPr="00467D2C">
        <w:rPr>
          <w:rFonts w:cstheme="minorHAnsi"/>
          <w:lang w:val="fr-FR"/>
        </w:rPr>
        <w:t>:</w:t>
      </w:r>
      <w:r w:rsidRPr="00467D2C">
        <w:rPr>
          <w:rFonts w:cstheme="minorHAnsi"/>
          <w:lang w:val="fr-FR"/>
        </w:rPr>
        <w:t xml:space="preserve"> </w:t>
      </w:r>
      <w:r w:rsidR="003C5EBF" w:rsidRPr="00467D2C">
        <w:rPr>
          <w:rFonts w:cstheme="minorHAnsi"/>
          <w:lang w:val="fr-FR"/>
        </w:rPr>
        <w:t>"</w:t>
      </w:r>
      <w:hyperlink r:id="rId22" w:history="1">
        <w:r w:rsidR="003C5EBF" w:rsidRPr="00467D2C">
          <w:rPr>
            <w:rStyle w:val="Hyperlink"/>
            <w:rFonts w:cstheme="minorHAnsi"/>
            <w:szCs w:val="24"/>
            <w:lang w:val="fr-FR"/>
          </w:rPr>
          <w:t>Rejoignez l'UIT-D</w:t>
        </w:r>
      </w:hyperlink>
      <w:r w:rsidR="003C5EBF" w:rsidRPr="00467D2C">
        <w:rPr>
          <w:rFonts w:cstheme="minorHAnsi"/>
          <w:lang w:val="fr-FR"/>
        </w:rPr>
        <w:t>"</w:t>
      </w:r>
      <w:r w:rsidRPr="00467D2C">
        <w:rPr>
          <w:rFonts w:cstheme="minorHAnsi"/>
          <w:lang w:val="fr-FR"/>
        </w:rPr>
        <w:t xml:space="preserve">. </w:t>
      </w:r>
      <w:r w:rsidR="00F80615" w:rsidRPr="00467D2C">
        <w:rPr>
          <w:rFonts w:cstheme="minorHAnsi"/>
          <w:lang w:val="fr-FR"/>
        </w:rPr>
        <w:t>La nouvelle page d'accueil offre aussi à nos partenai</w:t>
      </w:r>
      <w:r w:rsidR="002C5674" w:rsidRPr="00467D2C">
        <w:rPr>
          <w:rFonts w:cstheme="minorHAnsi"/>
          <w:lang w:val="fr-FR"/>
        </w:rPr>
        <w:t>res une meilleure visibilité de nos</w:t>
      </w:r>
      <w:r w:rsidR="00F80615" w:rsidRPr="00467D2C">
        <w:rPr>
          <w:rFonts w:cstheme="minorHAnsi"/>
          <w:lang w:val="fr-FR"/>
        </w:rPr>
        <w:t xml:space="preserve"> travaux </w:t>
      </w:r>
      <w:r w:rsidR="00811CE7" w:rsidRPr="00467D2C">
        <w:rPr>
          <w:rFonts w:cstheme="minorHAnsi"/>
          <w:lang w:val="fr-FR"/>
        </w:rPr>
        <w:t xml:space="preserve">et de ceux que nous </w:t>
      </w:r>
      <w:r w:rsidR="002C5674" w:rsidRPr="00467D2C">
        <w:rPr>
          <w:rFonts w:cstheme="minorHAnsi"/>
          <w:lang w:val="fr-FR"/>
        </w:rPr>
        <w:t>réalisons</w:t>
      </w:r>
      <w:r w:rsidR="00811CE7" w:rsidRPr="00467D2C">
        <w:rPr>
          <w:rFonts w:cstheme="minorHAnsi"/>
          <w:lang w:val="fr-FR"/>
        </w:rPr>
        <w:t xml:space="preserve"> </w:t>
      </w:r>
      <w:r w:rsidR="00F80615" w:rsidRPr="00467D2C">
        <w:rPr>
          <w:rFonts w:cstheme="minorHAnsi"/>
          <w:lang w:val="fr-FR"/>
        </w:rPr>
        <w:t>avec eux</w:t>
      </w:r>
      <w:r w:rsidRPr="00467D2C">
        <w:rPr>
          <w:rFonts w:cstheme="minorHAnsi"/>
          <w:lang w:val="fr-FR"/>
        </w:rPr>
        <w:t>.</w:t>
      </w:r>
    </w:p>
    <w:p w14:paraId="6DE76DBC" w14:textId="7B57CD34" w:rsidR="00AB674D" w:rsidRPr="004721D2" w:rsidRDefault="00CA253B" w:rsidP="00084EE1">
      <w:pPr>
        <w:pStyle w:val="Heading1"/>
        <w:rPr>
          <w:sz w:val="24"/>
          <w:szCs w:val="24"/>
          <w:lang w:val="fr-FR"/>
        </w:rPr>
      </w:pPr>
      <w:r w:rsidRPr="004721D2">
        <w:rPr>
          <w:sz w:val="24"/>
          <w:szCs w:val="24"/>
          <w:lang w:val="fr-FR"/>
        </w:rPr>
        <w:t>5</w:t>
      </w:r>
      <w:r w:rsidR="00AB674D" w:rsidRPr="004721D2">
        <w:rPr>
          <w:sz w:val="24"/>
          <w:szCs w:val="24"/>
          <w:lang w:val="fr-FR"/>
        </w:rPr>
        <w:tab/>
        <w:t>Perspectives d'avenir</w:t>
      </w:r>
    </w:p>
    <w:p w14:paraId="0EBC31F9" w14:textId="14E38D7B" w:rsidR="00AB674D" w:rsidRPr="00467D2C" w:rsidRDefault="00915390" w:rsidP="00084EE1">
      <w:pPr>
        <w:rPr>
          <w:lang w:val="fr-FR"/>
        </w:rPr>
      </w:pPr>
      <w:r w:rsidRPr="00467D2C">
        <w:rPr>
          <w:lang w:val="fr-FR"/>
        </w:rPr>
        <w:t>Au cours de la période considérée</w:t>
      </w:r>
      <w:r w:rsidR="00CA253B" w:rsidRPr="00467D2C">
        <w:rPr>
          <w:lang w:val="fr-FR"/>
        </w:rPr>
        <w:t xml:space="preserve">, </w:t>
      </w:r>
      <w:r w:rsidRPr="00467D2C">
        <w:rPr>
          <w:lang w:val="fr-FR"/>
        </w:rPr>
        <w:t xml:space="preserve">le </w:t>
      </w:r>
      <w:r w:rsidR="00CA253B" w:rsidRPr="00467D2C">
        <w:rPr>
          <w:lang w:val="fr-FR"/>
        </w:rPr>
        <w:t xml:space="preserve">BDT </w:t>
      </w:r>
      <w:r w:rsidRPr="00467D2C">
        <w:rPr>
          <w:lang w:val="fr-FR"/>
        </w:rPr>
        <w:t xml:space="preserve">a </w:t>
      </w:r>
      <w:r w:rsidR="002C5674" w:rsidRPr="00467D2C">
        <w:rPr>
          <w:lang w:val="fr-FR"/>
        </w:rPr>
        <w:t>effectué</w:t>
      </w:r>
      <w:r w:rsidRPr="00467D2C">
        <w:rPr>
          <w:lang w:val="fr-FR"/>
        </w:rPr>
        <w:t xml:space="preserve"> des progrès </w:t>
      </w:r>
      <w:r w:rsidR="00C06FAE" w:rsidRPr="00467D2C">
        <w:rPr>
          <w:lang w:val="fr-FR"/>
        </w:rPr>
        <w:t>remarquables</w:t>
      </w:r>
      <w:r w:rsidR="00CA253B" w:rsidRPr="00467D2C">
        <w:rPr>
          <w:lang w:val="fr-FR"/>
        </w:rPr>
        <w:t xml:space="preserve"> </w:t>
      </w:r>
      <w:r w:rsidRPr="00467D2C">
        <w:rPr>
          <w:lang w:val="fr-FR"/>
        </w:rPr>
        <w:t>dans les né</w:t>
      </w:r>
      <w:r w:rsidR="00C06FAE" w:rsidRPr="00467D2C">
        <w:rPr>
          <w:lang w:val="fr-FR"/>
        </w:rPr>
        <w:t>gociations</w:t>
      </w:r>
      <w:r w:rsidRPr="00467D2C">
        <w:rPr>
          <w:lang w:val="fr-FR"/>
        </w:rPr>
        <w:t xml:space="preserve"> et la conclus</w:t>
      </w:r>
      <w:r w:rsidR="00C06FAE" w:rsidRPr="00467D2C">
        <w:rPr>
          <w:lang w:val="fr-FR"/>
        </w:rPr>
        <w:t xml:space="preserve">ion de nouveaux partenariats et de nouveaux </w:t>
      </w:r>
      <w:r w:rsidRPr="00467D2C">
        <w:rPr>
          <w:lang w:val="fr-FR"/>
        </w:rPr>
        <w:t xml:space="preserve">accords sur la </w:t>
      </w:r>
      <w:r w:rsidR="00C06FAE" w:rsidRPr="00467D2C">
        <w:rPr>
          <w:lang w:val="fr-FR"/>
        </w:rPr>
        <w:t>mobilisation</w:t>
      </w:r>
      <w:r w:rsidRPr="00467D2C">
        <w:rPr>
          <w:lang w:val="fr-FR"/>
        </w:rPr>
        <w:t xml:space="preserve"> des ressources avec</w:t>
      </w:r>
      <w:r w:rsidR="00CA253B" w:rsidRPr="00467D2C">
        <w:rPr>
          <w:lang w:val="fr-FR"/>
        </w:rPr>
        <w:t xml:space="preserve"> </w:t>
      </w:r>
      <w:r w:rsidR="004321BE" w:rsidRPr="00467D2C">
        <w:rPr>
          <w:lang w:val="fr-FR"/>
        </w:rPr>
        <w:t xml:space="preserve">des </w:t>
      </w:r>
      <w:r w:rsidRPr="00467D2C">
        <w:rPr>
          <w:lang w:val="fr-FR"/>
        </w:rPr>
        <w:t>partenaires</w:t>
      </w:r>
      <w:r w:rsidR="004321BE" w:rsidRPr="00467D2C">
        <w:rPr>
          <w:lang w:val="fr-FR"/>
        </w:rPr>
        <w:t xml:space="preserve"> très divers</w:t>
      </w:r>
      <w:r w:rsidR="00CA253B" w:rsidRPr="00467D2C">
        <w:rPr>
          <w:lang w:val="fr-FR"/>
        </w:rPr>
        <w:t xml:space="preserve">. </w:t>
      </w:r>
      <w:r w:rsidR="00C231D6" w:rsidRPr="00467D2C">
        <w:rPr>
          <w:lang w:val="fr-FR"/>
        </w:rPr>
        <w:t>Les efforts déployés actuellement visent à</w:t>
      </w:r>
      <w:r w:rsidR="00CA253B" w:rsidRPr="00467D2C">
        <w:rPr>
          <w:lang w:val="fr-FR"/>
        </w:rPr>
        <w:t xml:space="preserve"> </w:t>
      </w:r>
      <w:r w:rsidR="00E22585" w:rsidRPr="00467D2C">
        <w:rPr>
          <w:lang w:val="fr-FR"/>
        </w:rPr>
        <w:t>consolider les relations avec</w:t>
      </w:r>
      <w:r w:rsidR="00CA253B" w:rsidRPr="00467D2C">
        <w:rPr>
          <w:lang w:val="fr-FR"/>
        </w:rPr>
        <w:t xml:space="preserve"> </w:t>
      </w:r>
      <w:r w:rsidR="00C231D6" w:rsidRPr="00467D2C">
        <w:rPr>
          <w:lang w:val="fr-FR"/>
        </w:rPr>
        <w:t>les partenaires existants</w:t>
      </w:r>
      <w:r w:rsidR="00CA253B" w:rsidRPr="00467D2C">
        <w:rPr>
          <w:lang w:val="fr-FR"/>
        </w:rPr>
        <w:t xml:space="preserve"> </w:t>
      </w:r>
      <w:r w:rsidR="00C231D6" w:rsidRPr="00467D2C">
        <w:rPr>
          <w:lang w:val="fr-FR"/>
        </w:rPr>
        <w:t>et à attirer</w:t>
      </w:r>
      <w:r w:rsidR="00CA253B" w:rsidRPr="00467D2C">
        <w:rPr>
          <w:lang w:val="fr-FR"/>
        </w:rPr>
        <w:t xml:space="preserve"> </w:t>
      </w:r>
      <w:r w:rsidR="00C06FAE" w:rsidRPr="00467D2C">
        <w:rPr>
          <w:lang w:val="fr-FR"/>
        </w:rPr>
        <w:t>des partenaires nouveaux et divers</w:t>
      </w:r>
      <w:r w:rsidR="00CA253B" w:rsidRPr="00467D2C">
        <w:rPr>
          <w:lang w:val="fr-FR"/>
        </w:rPr>
        <w:t xml:space="preserve"> </w:t>
      </w:r>
      <w:r w:rsidR="00C231D6" w:rsidRPr="00467D2C">
        <w:rPr>
          <w:lang w:val="fr-FR"/>
        </w:rPr>
        <w:t xml:space="preserve">qui </w:t>
      </w:r>
      <w:r w:rsidR="00983329" w:rsidRPr="00467D2C">
        <w:rPr>
          <w:lang w:val="fr-FR"/>
        </w:rPr>
        <w:t xml:space="preserve">apportent </w:t>
      </w:r>
      <w:r w:rsidR="00C06FAE" w:rsidRPr="00467D2C">
        <w:rPr>
          <w:lang w:val="fr-FR"/>
        </w:rPr>
        <w:t xml:space="preserve">davantage de </w:t>
      </w:r>
      <w:r w:rsidR="008A1D22" w:rsidRPr="00467D2C">
        <w:rPr>
          <w:lang w:val="fr-FR"/>
        </w:rPr>
        <w:t>ressources pour financer des</w:t>
      </w:r>
      <w:r w:rsidR="00C231D6" w:rsidRPr="00467D2C">
        <w:rPr>
          <w:lang w:val="fr-FR"/>
        </w:rPr>
        <w:t xml:space="preserve"> projets </w:t>
      </w:r>
      <w:r w:rsidR="005F7B1A" w:rsidRPr="00467D2C">
        <w:rPr>
          <w:lang w:val="fr-FR"/>
        </w:rPr>
        <w:t xml:space="preserve">efficaces et </w:t>
      </w:r>
      <w:r w:rsidR="00C231D6" w:rsidRPr="00467D2C">
        <w:rPr>
          <w:lang w:val="fr-FR"/>
        </w:rPr>
        <w:t>à grande échelle</w:t>
      </w:r>
      <w:r w:rsidR="00F339F4" w:rsidRPr="00467D2C">
        <w:rPr>
          <w:lang w:val="fr-FR"/>
        </w:rPr>
        <w:t>, afin</w:t>
      </w:r>
      <w:r w:rsidR="00C06FAE" w:rsidRPr="00467D2C">
        <w:rPr>
          <w:lang w:val="fr-FR"/>
        </w:rPr>
        <w:t xml:space="preserve"> </w:t>
      </w:r>
      <w:r w:rsidR="00F339F4" w:rsidRPr="00467D2C">
        <w:rPr>
          <w:lang w:val="fr-FR"/>
        </w:rPr>
        <w:t xml:space="preserve">de </w:t>
      </w:r>
      <w:r w:rsidR="00C06FAE" w:rsidRPr="00467D2C">
        <w:rPr>
          <w:lang w:val="fr-FR"/>
        </w:rPr>
        <w:t>mettre en œuvre avec succès l</w:t>
      </w:r>
      <w:r w:rsidR="00C231D6" w:rsidRPr="00467D2C">
        <w:rPr>
          <w:lang w:val="fr-FR"/>
        </w:rPr>
        <w:t xml:space="preserve">es programmes </w:t>
      </w:r>
      <w:r w:rsidR="008A1D22" w:rsidRPr="00467D2C">
        <w:rPr>
          <w:lang w:val="fr-FR"/>
        </w:rPr>
        <w:t xml:space="preserve">et les initiatives régionales adoptés à </w:t>
      </w:r>
      <w:r w:rsidR="00F339F4" w:rsidRPr="00467D2C">
        <w:rPr>
          <w:lang w:val="fr-FR"/>
        </w:rPr>
        <w:t xml:space="preserve">la CMDT-17 et </w:t>
      </w:r>
      <w:r w:rsidR="008A1D22" w:rsidRPr="00467D2C">
        <w:rPr>
          <w:lang w:val="fr-FR"/>
        </w:rPr>
        <w:t>à</w:t>
      </w:r>
      <w:r w:rsidR="00F339F4" w:rsidRPr="00467D2C">
        <w:rPr>
          <w:lang w:val="fr-FR"/>
        </w:rPr>
        <w:t xml:space="preserve"> la CMDT-21 </w:t>
      </w:r>
      <w:r w:rsidR="00C231D6" w:rsidRPr="00467D2C">
        <w:rPr>
          <w:lang w:val="fr-FR"/>
        </w:rPr>
        <w:t>au</w:t>
      </w:r>
      <w:r w:rsidR="006B11A6" w:rsidRPr="00467D2C">
        <w:rPr>
          <w:lang w:val="fr-FR"/>
        </w:rPr>
        <w:t>x</w:t>
      </w:r>
      <w:r w:rsidR="00C231D6" w:rsidRPr="00467D2C">
        <w:rPr>
          <w:lang w:val="fr-FR"/>
        </w:rPr>
        <w:t xml:space="preserve"> niveau</w:t>
      </w:r>
      <w:r w:rsidR="006B11A6" w:rsidRPr="00467D2C">
        <w:rPr>
          <w:lang w:val="fr-FR"/>
        </w:rPr>
        <w:t>x</w:t>
      </w:r>
      <w:r w:rsidR="00C231D6" w:rsidRPr="00467D2C">
        <w:rPr>
          <w:lang w:val="fr-FR"/>
        </w:rPr>
        <w:t xml:space="preserve"> </w:t>
      </w:r>
      <w:r w:rsidR="008A1D22" w:rsidRPr="00467D2C">
        <w:rPr>
          <w:lang w:val="fr-FR"/>
        </w:rPr>
        <w:t>national, régional et mondial</w:t>
      </w:r>
      <w:r w:rsidR="00CA253B" w:rsidRPr="00467D2C">
        <w:rPr>
          <w:lang w:val="fr-FR"/>
        </w:rPr>
        <w:t>.</w:t>
      </w:r>
    </w:p>
    <w:p w14:paraId="41158824" w14:textId="77777777" w:rsidR="00E86AB6" w:rsidRPr="00467D2C" w:rsidRDefault="00E86AB6" w:rsidP="00E86AB6">
      <w:pPr>
        <w:spacing w:before="360"/>
        <w:jc w:val="center"/>
        <w:rPr>
          <w:lang w:val="fr-FR"/>
        </w:rPr>
      </w:pPr>
      <w:bookmarkStart w:id="7" w:name="Proposal"/>
      <w:bookmarkEnd w:id="7"/>
      <w:r w:rsidRPr="00467D2C">
        <w:rPr>
          <w:lang w:val="fr-FR"/>
        </w:rPr>
        <w:t>______________</w:t>
      </w:r>
    </w:p>
    <w:sectPr w:rsidR="00E86AB6" w:rsidRPr="00467D2C" w:rsidSect="00473791">
      <w:headerReference w:type="default" r:id="rId23"/>
      <w:foot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52C2" w14:textId="7AF8A0A1" w:rsidR="00CA253B" w:rsidRDefault="00467D2C" w:rsidP="00CA253B">
    <w:pPr>
      <w:pStyle w:val="Footer"/>
    </w:pPr>
    <w:fldSimple w:instr=" FILENAME \p  \* MERGEFORMAT ">
      <w:r w:rsidR="002D376C">
        <w:t>P:\FRA\ITU-D\CONF-D\TDAG21\000\007F.docx</w:t>
      </w:r>
    </w:fldSimple>
    <w:r w:rsidR="00CA253B">
      <w:t xml:space="preserve"> (485968)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9420B" w:rsidRPr="004721D2" w14:paraId="60D8084E" w14:textId="77777777" w:rsidTr="004E3CF5">
      <w:tc>
        <w:tcPr>
          <w:tcW w:w="1526" w:type="dxa"/>
          <w:tcBorders>
            <w:top w:val="single" w:sz="4" w:space="0" w:color="000000"/>
          </w:tcBorders>
          <w:shd w:val="clear" w:color="auto" w:fill="auto"/>
        </w:tcPr>
        <w:p w14:paraId="754884C4"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9420B" w:rsidRPr="004D495C" w:rsidRDefault="00D37A23"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0BCCD941" w:rsidR="0059420B" w:rsidRPr="00AB674D" w:rsidRDefault="00AB674D" w:rsidP="0059420B">
          <w:pPr>
            <w:pStyle w:val="FirstFooter"/>
            <w:tabs>
              <w:tab w:val="left" w:pos="2302"/>
            </w:tabs>
            <w:rPr>
              <w:sz w:val="18"/>
              <w:szCs w:val="18"/>
            </w:rPr>
          </w:pPr>
          <w:r w:rsidRPr="00AB674D">
            <w:rPr>
              <w:sz w:val="18"/>
              <w:szCs w:val="18"/>
              <w:lang w:val="fr-CH"/>
            </w:rPr>
            <w:t>M. Cosmas Zavazava, Chef du Département des partenariats pour le développement numérique</w:t>
          </w:r>
          <w:r w:rsidRPr="00AB674D">
            <w:rPr>
              <w:sz w:val="18"/>
              <w:szCs w:val="18"/>
              <w:lang w:val="fr-CH"/>
            </w:rPr>
            <w:br/>
            <w:t>Bureau de développement des télécommunications</w:t>
          </w:r>
        </w:p>
      </w:tc>
      <w:bookmarkStart w:id="8" w:name="OrgName"/>
      <w:bookmarkEnd w:id="8"/>
    </w:tr>
    <w:tr w:rsidR="0059420B" w:rsidRPr="004D495C" w14:paraId="0B563E22" w14:textId="77777777" w:rsidTr="004E3CF5">
      <w:tc>
        <w:tcPr>
          <w:tcW w:w="1526" w:type="dxa"/>
          <w:shd w:val="clear" w:color="auto" w:fill="auto"/>
        </w:tcPr>
        <w:p w14:paraId="5AC383C8" w14:textId="77777777" w:rsidR="0059420B" w:rsidRPr="00AB674D" w:rsidRDefault="0059420B" w:rsidP="0059420B">
          <w:pPr>
            <w:pStyle w:val="FirstFooter"/>
            <w:tabs>
              <w:tab w:val="left" w:pos="1559"/>
              <w:tab w:val="left" w:pos="3828"/>
            </w:tabs>
            <w:rPr>
              <w:sz w:val="20"/>
            </w:rPr>
          </w:pPr>
        </w:p>
      </w:tc>
      <w:tc>
        <w:tcPr>
          <w:tcW w:w="2410" w:type="dxa"/>
          <w:shd w:val="clear" w:color="auto" w:fill="auto"/>
        </w:tcPr>
        <w:p w14:paraId="19A37BA1" w14:textId="1907678E" w:rsidR="0059420B" w:rsidRPr="004D495C" w:rsidRDefault="00D37A23"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0CB22697" w:rsidR="0059420B" w:rsidRPr="00AF7A97" w:rsidRDefault="00AB674D" w:rsidP="0059420B">
          <w:pPr>
            <w:pStyle w:val="FirstFooter"/>
            <w:tabs>
              <w:tab w:val="left" w:pos="2302"/>
            </w:tabs>
            <w:rPr>
              <w:sz w:val="18"/>
              <w:szCs w:val="18"/>
              <w:lang w:val="en-US"/>
            </w:rPr>
          </w:pPr>
          <w:r w:rsidRPr="00AB674D">
            <w:rPr>
              <w:sz w:val="18"/>
              <w:szCs w:val="18"/>
              <w:lang w:val="en-US"/>
            </w:rPr>
            <w:t>+41 22 730 5447</w:t>
          </w:r>
        </w:p>
      </w:tc>
      <w:bookmarkStart w:id="9" w:name="PhoneNo"/>
      <w:bookmarkEnd w:id="9"/>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781A00D7" w:rsidR="0059420B" w:rsidRPr="00AF7A97" w:rsidRDefault="002D376C" w:rsidP="0059420B">
          <w:pPr>
            <w:pStyle w:val="FirstFooter"/>
            <w:tabs>
              <w:tab w:val="left" w:pos="2302"/>
            </w:tabs>
            <w:rPr>
              <w:sz w:val="18"/>
              <w:szCs w:val="18"/>
              <w:lang w:val="en-US"/>
            </w:rPr>
          </w:pPr>
          <w:hyperlink r:id="rId1" w:history="1">
            <w:r w:rsidR="00AB674D" w:rsidRPr="00AB674D">
              <w:rPr>
                <w:rStyle w:val="Hyperlink"/>
                <w:sz w:val="18"/>
                <w:szCs w:val="18"/>
                <w:lang w:val="en-US"/>
              </w:rPr>
              <w:t>cosmas.zavazava@itu.int</w:t>
            </w:r>
          </w:hyperlink>
        </w:p>
      </w:tc>
      <w:bookmarkStart w:id="10" w:name="Email"/>
      <w:bookmarkEnd w:id="10"/>
    </w:tr>
  </w:tbl>
  <w:p w14:paraId="04CE603F" w14:textId="0C39F2D0" w:rsidR="00721657" w:rsidRPr="0059420B" w:rsidRDefault="00467D2C" w:rsidP="004721D2">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2A241F4F"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AB674D">
      <w:rPr>
        <w:sz w:val="22"/>
        <w:szCs w:val="22"/>
        <w:lang w:val="de-CH"/>
      </w:rPr>
      <w:t>7</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D376C">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A14CF"/>
    <w:multiLevelType w:val="hybridMultilevel"/>
    <w:tmpl w:val="5520221C"/>
    <w:lvl w:ilvl="0" w:tplc="D8AA70EE">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3672AF5"/>
    <w:multiLevelType w:val="multilevel"/>
    <w:tmpl w:val="5FCECC42"/>
    <w:lvl w:ilvl="0">
      <w:start w:val="1"/>
      <w:numFmt w:val="decimal"/>
      <w:lvlText w:val="%1."/>
      <w:lvlJc w:val="left"/>
      <w:pPr>
        <w:ind w:left="360" w:hanging="360"/>
      </w:pPr>
      <w:rPr>
        <w:rFonts w:hint="default"/>
        <w:lang w:val="en-GB"/>
      </w:rPr>
    </w:lvl>
    <w:lvl w:ilvl="1">
      <w:start w:val="1"/>
      <w:numFmt w:val="decimal"/>
      <w:isLgl/>
      <w:lvlText w:val="%1.%2"/>
      <w:lvlJc w:val="left"/>
      <w:pPr>
        <w:ind w:left="1288" w:hanging="720"/>
      </w:pPr>
      <w:rPr>
        <w:rFonts w:hint="default"/>
        <w:lang w:val="en-G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353F"/>
    <w:rsid w:val="00005791"/>
    <w:rsid w:val="00010827"/>
    <w:rsid w:val="00015089"/>
    <w:rsid w:val="00020902"/>
    <w:rsid w:val="0002520B"/>
    <w:rsid w:val="000374B7"/>
    <w:rsid w:val="00037A9E"/>
    <w:rsid w:val="00037F91"/>
    <w:rsid w:val="000401F8"/>
    <w:rsid w:val="000534C9"/>
    <w:rsid w:val="000539F1"/>
    <w:rsid w:val="00054747"/>
    <w:rsid w:val="000548DB"/>
    <w:rsid w:val="00055A2A"/>
    <w:rsid w:val="000615C1"/>
    <w:rsid w:val="00061675"/>
    <w:rsid w:val="000743AA"/>
    <w:rsid w:val="00084EE1"/>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875"/>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6C1A"/>
    <w:rsid w:val="0019037C"/>
    <w:rsid w:val="001905A9"/>
    <w:rsid w:val="00191189"/>
    <w:rsid w:val="00191273"/>
    <w:rsid w:val="001942A7"/>
    <w:rsid w:val="00195857"/>
    <w:rsid w:val="0019587B"/>
    <w:rsid w:val="00197D1F"/>
    <w:rsid w:val="001A163D"/>
    <w:rsid w:val="001A441E"/>
    <w:rsid w:val="001A6733"/>
    <w:rsid w:val="001B357F"/>
    <w:rsid w:val="001C3444"/>
    <w:rsid w:val="001C3702"/>
    <w:rsid w:val="001C4656"/>
    <w:rsid w:val="001C46BC"/>
    <w:rsid w:val="001F18A3"/>
    <w:rsid w:val="001F23E6"/>
    <w:rsid w:val="001F4238"/>
    <w:rsid w:val="00200A38"/>
    <w:rsid w:val="00200A46"/>
    <w:rsid w:val="00205FFB"/>
    <w:rsid w:val="0020708F"/>
    <w:rsid w:val="00211B6F"/>
    <w:rsid w:val="00217CC3"/>
    <w:rsid w:val="00220AB6"/>
    <w:rsid w:val="0022120F"/>
    <w:rsid w:val="00221588"/>
    <w:rsid w:val="002238B1"/>
    <w:rsid w:val="00226971"/>
    <w:rsid w:val="0022754A"/>
    <w:rsid w:val="002313DF"/>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5674"/>
    <w:rsid w:val="002C7EA3"/>
    <w:rsid w:val="002D20AE"/>
    <w:rsid w:val="002D376C"/>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385"/>
    <w:rsid w:val="0038440A"/>
    <w:rsid w:val="00386A89"/>
    <w:rsid w:val="0039648E"/>
    <w:rsid w:val="003A41F5"/>
    <w:rsid w:val="003A5AFE"/>
    <w:rsid w:val="003A5D5F"/>
    <w:rsid w:val="003A7FFE"/>
    <w:rsid w:val="003B0A63"/>
    <w:rsid w:val="003B50E1"/>
    <w:rsid w:val="003C1746"/>
    <w:rsid w:val="003C2AA9"/>
    <w:rsid w:val="003C58BF"/>
    <w:rsid w:val="003C5EBF"/>
    <w:rsid w:val="003D451D"/>
    <w:rsid w:val="003F2DD8"/>
    <w:rsid w:val="003F3F2D"/>
    <w:rsid w:val="003F50B2"/>
    <w:rsid w:val="00400CCF"/>
    <w:rsid w:val="00401BFF"/>
    <w:rsid w:val="00404424"/>
    <w:rsid w:val="0041156B"/>
    <w:rsid w:val="004122C5"/>
    <w:rsid w:val="00413B78"/>
    <w:rsid w:val="00416DDE"/>
    <w:rsid w:val="004321BE"/>
    <w:rsid w:val="0044411E"/>
    <w:rsid w:val="00453435"/>
    <w:rsid w:val="00453DC3"/>
    <w:rsid w:val="00460089"/>
    <w:rsid w:val="00466398"/>
    <w:rsid w:val="004677E8"/>
    <w:rsid w:val="00467D2C"/>
    <w:rsid w:val="004721D2"/>
    <w:rsid w:val="0047306D"/>
    <w:rsid w:val="00473791"/>
    <w:rsid w:val="00476E48"/>
    <w:rsid w:val="00481DE9"/>
    <w:rsid w:val="0049128B"/>
    <w:rsid w:val="00493B49"/>
    <w:rsid w:val="00495501"/>
    <w:rsid w:val="004A070A"/>
    <w:rsid w:val="004A320E"/>
    <w:rsid w:val="004A4E9C"/>
    <w:rsid w:val="004B15D4"/>
    <w:rsid w:val="004B1A3C"/>
    <w:rsid w:val="004C246E"/>
    <w:rsid w:val="004C3BD6"/>
    <w:rsid w:val="004D2CC3"/>
    <w:rsid w:val="004D35CB"/>
    <w:rsid w:val="004D7DAB"/>
    <w:rsid w:val="004E20E5"/>
    <w:rsid w:val="004E64EA"/>
    <w:rsid w:val="004E7828"/>
    <w:rsid w:val="004F4223"/>
    <w:rsid w:val="004F46AA"/>
    <w:rsid w:val="004F6A70"/>
    <w:rsid w:val="00500AD7"/>
    <w:rsid w:val="00502ABF"/>
    <w:rsid w:val="00504DB0"/>
    <w:rsid w:val="00507C35"/>
    <w:rsid w:val="00510735"/>
    <w:rsid w:val="00514D2F"/>
    <w:rsid w:val="005221A2"/>
    <w:rsid w:val="00523E54"/>
    <w:rsid w:val="00532CEF"/>
    <w:rsid w:val="0054420E"/>
    <w:rsid w:val="00544D1B"/>
    <w:rsid w:val="00545916"/>
    <w:rsid w:val="00545DC0"/>
    <w:rsid w:val="00545F6C"/>
    <w:rsid w:val="005477D9"/>
    <w:rsid w:val="00551985"/>
    <w:rsid w:val="0055720C"/>
    <w:rsid w:val="00557673"/>
    <w:rsid w:val="00561796"/>
    <w:rsid w:val="005632DD"/>
    <w:rsid w:val="0056423B"/>
    <w:rsid w:val="00571975"/>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B1A"/>
    <w:rsid w:val="00600C11"/>
    <w:rsid w:val="00606B89"/>
    <w:rsid w:val="00611EAF"/>
    <w:rsid w:val="00623F30"/>
    <w:rsid w:val="00625FB8"/>
    <w:rsid w:val="006261BD"/>
    <w:rsid w:val="00632118"/>
    <w:rsid w:val="00635EDB"/>
    <w:rsid w:val="0064734E"/>
    <w:rsid w:val="00650137"/>
    <w:rsid w:val="006509D7"/>
    <w:rsid w:val="00651CE8"/>
    <w:rsid w:val="00651F0D"/>
    <w:rsid w:val="0065521B"/>
    <w:rsid w:val="00671EF6"/>
    <w:rsid w:val="0067205B"/>
    <w:rsid w:val="006748F8"/>
    <w:rsid w:val="00680489"/>
    <w:rsid w:val="00683C32"/>
    <w:rsid w:val="00690BB2"/>
    <w:rsid w:val="00693D09"/>
    <w:rsid w:val="006A6549"/>
    <w:rsid w:val="006A7710"/>
    <w:rsid w:val="006A7A61"/>
    <w:rsid w:val="006B11A6"/>
    <w:rsid w:val="006B1E59"/>
    <w:rsid w:val="006B2FD4"/>
    <w:rsid w:val="006B2FFB"/>
    <w:rsid w:val="006C10A2"/>
    <w:rsid w:val="006C1F18"/>
    <w:rsid w:val="006D40D5"/>
    <w:rsid w:val="006E4BED"/>
    <w:rsid w:val="006F009A"/>
    <w:rsid w:val="006F3D93"/>
    <w:rsid w:val="007019B1"/>
    <w:rsid w:val="00721657"/>
    <w:rsid w:val="007279A8"/>
    <w:rsid w:val="00727B1A"/>
    <w:rsid w:val="00734751"/>
    <w:rsid w:val="00741337"/>
    <w:rsid w:val="00752258"/>
    <w:rsid w:val="007529E1"/>
    <w:rsid w:val="00762880"/>
    <w:rsid w:val="00762AD6"/>
    <w:rsid w:val="00762E02"/>
    <w:rsid w:val="00772290"/>
    <w:rsid w:val="00777265"/>
    <w:rsid w:val="007805E7"/>
    <w:rsid w:val="0078222A"/>
    <w:rsid w:val="00787D48"/>
    <w:rsid w:val="00791905"/>
    <w:rsid w:val="00795294"/>
    <w:rsid w:val="007A4E50"/>
    <w:rsid w:val="007B18A7"/>
    <w:rsid w:val="007B250E"/>
    <w:rsid w:val="007C27FC"/>
    <w:rsid w:val="007C51FF"/>
    <w:rsid w:val="007C66B5"/>
    <w:rsid w:val="007D50E4"/>
    <w:rsid w:val="007E2DC5"/>
    <w:rsid w:val="007E515B"/>
    <w:rsid w:val="007F1CC7"/>
    <w:rsid w:val="008027AC"/>
    <w:rsid w:val="008028CE"/>
    <w:rsid w:val="0080332E"/>
    <w:rsid w:val="00805B44"/>
    <w:rsid w:val="00811CE7"/>
    <w:rsid w:val="008141E0"/>
    <w:rsid w:val="00816EE1"/>
    <w:rsid w:val="00816F88"/>
    <w:rsid w:val="00821996"/>
    <w:rsid w:val="00822323"/>
    <w:rsid w:val="00825BA2"/>
    <w:rsid w:val="00827BC6"/>
    <w:rsid w:val="008300AD"/>
    <w:rsid w:val="00833024"/>
    <w:rsid w:val="008419B1"/>
    <w:rsid w:val="00844A56"/>
    <w:rsid w:val="00845B11"/>
    <w:rsid w:val="008512FE"/>
    <w:rsid w:val="00852081"/>
    <w:rsid w:val="0085513E"/>
    <w:rsid w:val="00860A0B"/>
    <w:rsid w:val="008666E7"/>
    <w:rsid w:val="00872B6E"/>
    <w:rsid w:val="00874DFD"/>
    <w:rsid w:val="008802F9"/>
    <w:rsid w:val="00883086"/>
    <w:rsid w:val="008861F9"/>
    <w:rsid w:val="008879FD"/>
    <w:rsid w:val="00894C37"/>
    <w:rsid w:val="008A00EA"/>
    <w:rsid w:val="008A0BEE"/>
    <w:rsid w:val="008A1D22"/>
    <w:rsid w:val="008A3F93"/>
    <w:rsid w:val="008A6236"/>
    <w:rsid w:val="008A6E1C"/>
    <w:rsid w:val="008A72FD"/>
    <w:rsid w:val="008B2EDF"/>
    <w:rsid w:val="008B47C7"/>
    <w:rsid w:val="008B54CB"/>
    <w:rsid w:val="008B5A3D"/>
    <w:rsid w:val="008C33C1"/>
    <w:rsid w:val="008C4010"/>
    <w:rsid w:val="008C4FDF"/>
    <w:rsid w:val="008C6B1F"/>
    <w:rsid w:val="008D5E4F"/>
    <w:rsid w:val="008F14F5"/>
    <w:rsid w:val="008F71C1"/>
    <w:rsid w:val="00902D41"/>
    <w:rsid w:val="00902F49"/>
    <w:rsid w:val="00904230"/>
    <w:rsid w:val="00914004"/>
    <w:rsid w:val="00915390"/>
    <w:rsid w:val="00922EC1"/>
    <w:rsid w:val="00923CF1"/>
    <w:rsid w:val="009301F1"/>
    <w:rsid w:val="009307DF"/>
    <w:rsid w:val="009359B8"/>
    <w:rsid w:val="00935FF0"/>
    <w:rsid w:val="009412BC"/>
    <w:rsid w:val="009431F8"/>
    <w:rsid w:val="00947A35"/>
    <w:rsid w:val="00954C62"/>
    <w:rsid w:val="0096201B"/>
    <w:rsid w:val="00962081"/>
    <w:rsid w:val="009639D9"/>
    <w:rsid w:val="009661D4"/>
    <w:rsid w:val="00966CB5"/>
    <w:rsid w:val="00975786"/>
    <w:rsid w:val="00981CB7"/>
    <w:rsid w:val="00983329"/>
    <w:rsid w:val="00983E1F"/>
    <w:rsid w:val="00993F46"/>
    <w:rsid w:val="00997358"/>
    <w:rsid w:val="009A3302"/>
    <w:rsid w:val="009A452B"/>
    <w:rsid w:val="009B008D"/>
    <w:rsid w:val="009B050C"/>
    <w:rsid w:val="009B087F"/>
    <w:rsid w:val="009B2AF4"/>
    <w:rsid w:val="009B4E89"/>
    <w:rsid w:val="009C110B"/>
    <w:rsid w:val="009C5441"/>
    <w:rsid w:val="009D119F"/>
    <w:rsid w:val="009D49A2"/>
    <w:rsid w:val="009F24DE"/>
    <w:rsid w:val="009F3940"/>
    <w:rsid w:val="009F3EB2"/>
    <w:rsid w:val="009F43F5"/>
    <w:rsid w:val="009F6EB1"/>
    <w:rsid w:val="00A01025"/>
    <w:rsid w:val="00A0487B"/>
    <w:rsid w:val="00A11D05"/>
    <w:rsid w:val="00A13162"/>
    <w:rsid w:val="00A20267"/>
    <w:rsid w:val="00A3158C"/>
    <w:rsid w:val="00A32DF3"/>
    <w:rsid w:val="00A33E32"/>
    <w:rsid w:val="00A35E20"/>
    <w:rsid w:val="00A36F6D"/>
    <w:rsid w:val="00A50CA0"/>
    <w:rsid w:val="00A525CC"/>
    <w:rsid w:val="00A53E7C"/>
    <w:rsid w:val="00A60087"/>
    <w:rsid w:val="00A648A3"/>
    <w:rsid w:val="00A705E8"/>
    <w:rsid w:val="00A721F4"/>
    <w:rsid w:val="00A9392C"/>
    <w:rsid w:val="00A9462B"/>
    <w:rsid w:val="00A97D59"/>
    <w:rsid w:val="00AA3E09"/>
    <w:rsid w:val="00AA4BEF"/>
    <w:rsid w:val="00AB1659"/>
    <w:rsid w:val="00AB4962"/>
    <w:rsid w:val="00AB674D"/>
    <w:rsid w:val="00AB734E"/>
    <w:rsid w:val="00AB740F"/>
    <w:rsid w:val="00AC5AED"/>
    <w:rsid w:val="00AC6F14"/>
    <w:rsid w:val="00AC7221"/>
    <w:rsid w:val="00AE5961"/>
    <w:rsid w:val="00AE7A6E"/>
    <w:rsid w:val="00AF0745"/>
    <w:rsid w:val="00AF3AC9"/>
    <w:rsid w:val="00AF4971"/>
    <w:rsid w:val="00AF5276"/>
    <w:rsid w:val="00AF7C86"/>
    <w:rsid w:val="00B01046"/>
    <w:rsid w:val="00B15933"/>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A1FEF"/>
    <w:rsid w:val="00BB1863"/>
    <w:rsid w:val="00BB25EE"/>
    <w:rsid w:val="00BB363A"/>
    <w:rsid w:val="00BC10A0"/>
    <w:rsid w:val="00BC5A03"/>
    <w:rsid w:val="00BC7BA2"/>
    <w:rsid w:val="00BD4006"/>
    <w:rsid w:val="00BD426B"/>
    <w:rsid w:val="00BD79F0"/>
    <w:rsid w:val="00BE2B4D"/>
    <w:rsid w:val="00BF63E7"/>
    <w:rsid w:val="00C015F8"/>
    <w:rsid w:val="00C02C2A"/>
    <w:rsid w:val="00C03023"/>
    <w:rsid w:val="00C06FAE"/>
    <w:rsid w:val="00C07E26"/>
    <w:rsid w:val="00C1011C"/>
    <w:rsid w:val="00C12F5D"/>
    <w:rsid w:val="00C12F94"/>
    <w:rsid w:val="00C177C5"/>
    <w:rsid w:val="00C21BAF"/>
    <w:rsid w:val="00C231D6"/>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25F0"/>
    <w:rsid w:val="00C94506"/>
    <w:rsid w:val="00C954BC"/>
    <w:rsid w:val="00CA1F0B"/>
    <w:rsid w:val="00CA253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6C52"/>
    <w:rsid w:val="00D20E99"/>
    <w:rsid w:val="00D21C83"/>
    <w:rsid w:val="00D23521"/>
    <w:rsid w:val="00D24324"/>
    <w:rsid w:val="00D35BDD"/>
    <w:rsid w:val="00D37A23"/>
    <w:rsid w:val="00D52591"/>
    <w:rsid w:val="00D63006"/>
    <w:rsid w:val="00D72301"/>
    <w:rsid w:val="00D74AA7"/>
    <w:rsid w:val="00D777C5"/>
    <w:rsid w:val="00D803E9"/>
    <w:rsid w:val="00D911DE"/>
    <w:rsid w:val="00D91B97"/>
    <w:rsid w:val="00D93ACC"/>
    <w:rsid w:val="00D93C08"/>
    <w:rsid w:val="00D95DAC"/>
    <w:rsid w:val="00DA0B53"/>
    <w:rsid w:val="00DB1171"/>
    <w:rsid w:val="00DB1519"/>
    <w:rsid w:val="00DB2840"/>
    <w:rsid w:val="00DB4EEC"/>
    <w:rsid w:val="00DC1BD3"/>
    <w:rsid w:val="00DC2C1A"/>
    <w:rsid w:val="00DD66B4"/>
    <w:rsid w:val="00DE1972"/>
    <w:rsid w:val="00DE27AB"/>
    <w:rsid w:val="00DF2AB3"/>
    <w:rsid w:val="00DF7250"/>
    <w:rsid w:val="00E00CAA"/>
    <w:rsid w:val="00E03EBF"/>
    <w:rsid w:val="00E05209"/>
    <w:rsid w:val="00E069D3"/>
    <w:rsid w:val="00E11BCF"/>
    <w:rsid w:val="00E22585"/>
    <w:rsid w:val="00E2258E"/>
    <w:rsid w:val="00E260C2"/>
    <w:rsid w:val="00E32596"/>
    <w:rsid w:val="00E368F7"/>
    <w:rsid w:val="00E36EB8"/>
    <w:rsid w:val="00E37FB8"/>
    <w:rsid w:val="00E40B07"/>
    <w:rsid w:val="00E42326"/>
    <w:rsid w:val="00E43544"/>
    <w:rsid w:val="00E44D89"/>
    <w:rsid w:val="00E477EA"/>
    <w:rsid w:val="00E51EE8"/>
    <w:rsid w:val="00E55807"/>
    <w:rsid w:val="00E63B14"/>
    <w:rsid w:val="00E65CA0"/>
    <w:rsid w:val="00E70D9F"/>
    <w:rsid w:val="00E74EFE"/>
    <w:rsid w:val="00E83810"/>
    <w:rsid w:val="00E854C8"/>
    <w:rsid w:val="00E8630C"/>
    <w:rsid w:val="00E86933"/>
    <w:rsid w:val="00E86AB6"/>
    <w:rsid w:val="00E9605B"/>
    <w:rsid w:val="00E97298"/>
    <w:rsid w:val="00E97753"/>
    <w:rsid w:val="00EA0C51"/>
    <w:rsid w:val="00EA7DE7"/>
    <w:rsid w:val="00EB04F2"/>
    <w:rsid w:val="00EB7A8A"/>
    <w:rsid w:val="00EC6FED"/>
    <w:rsid w:val="00EC7F3B"/>
    <w:rsid w:val="00ED078B"/>
    <w:rsid w:val="00ED5299"/>
    <w:rsid w:val="00EE3A64"/>
    <w:rsid w:val="00EE498D"/>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339F4"/>
    <w:rsid w:val="00F406B9"/>
    <w:rsid w:val="00F41B1C"/>
    <w:rsid w:val="00F42E13"/>
    <w:rsid w:val="00F42F1C"/>
    <w:rsid w:val="00F43B44"/>
    <w:rsid w:val="00F43DC4"/>
    <w:rsid w:val="00F440E5"/>
    <w:rsid w:val="00F448F6"/>
    <w:rsid w:val="00F52741"/>
    <w:rsid w:val="00F53D8A"/>
    <w:rsid w:val="00F626F7"/>
    <w:rsid w:val="00F736F9"/>
    <w:rsid w:val="00F73833"/>
    <w:rsid w:val="00F80615"/>
    <w:rsid w:val="00F9211C"/>
    <w:rsid w:val="00FA095D"/>
    <w:rsid w:val="00FA6C8B"/>
    <w:rsid w:val="00FA6CDA"/>
    <w:rsid w:val="00FA7C89"/>
    <w:rsid w:val="00FB4139"/>
    <w:rsid w:val="00FB476E"/>
    <w:rsid w:val="00FB6D67"/>
    <w:rsid w:val="00FC0D90"/>
    <w:rsid w:val="00FC7D8C"/>
    <w:rsid w:val="00FD3980"/>
    <w:rsid w:val="00FD431E"/>
    <w:rsid w:val="00FD5A2C"/>
    <w:rsid w:val="00FE0D47"/>
    <w:rsid w:val="00FE1D5C"/>
    <w:rsid w:val="00FE2F8B"/>
    <w:rsid w:val="00FE3669"/>
    <w:rsid w:val="00FE5204"/>
    <w:rsid w:val="00FF086A"/>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AB674D"/>
    <w:rPr>
      <w:color w:val="605E5C"/>
      <w:shd w:val="clear" w:color="auto" w:fill="E1DFDD"/>
    </w:rPr>
  </w:style>
  <w:style w:type="paragraph" w:customStyle="1" w:styleId="BDTcontributionH1">
    <w:name w:val="BDT_contributionH1"/>
    <w:basedOn w:val="Normal"/>
    <w:next w:val="Normal"/>
    <w:rsid w:val="00AB674D"/>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character" w:customStyle="1" w:styleId="ListParagraphChar">
    <w:name w:val="List Paragraph Char"/>
    <w:basedOn w:val="DefaultParagraphFont"/>
    <w:link w:val="ListParagraph"/>
    <w:uiPriority w:val="99"/>
    <w:locked/>
    <w:rsid w:val="00AB674D"/>
    <w:rPr>
      <w:rFonts w:asciiTheme="minorHAnsi" w:hAnsiTheme="minorHAnsi"/>
      <w:sz w:val="24"/>
      <w:lang w:val="en-GB" w:eastAsia="en-US"/>
    </w:rPr>
  </w:style>
  <w:style w:type="paragraph" w:customStyle="1" w:styleId="Default">
    <w:name w:val="Default"/>
    <w:rsid w:val="00AB674D"/>
    <w:pPr>
      <w:autoSpaceDE w:val="0"/>
      <w:autoSpaceDN w:val="0"/>
      <w:adjustRightInd w:val="0"/>
    </w:pPr>
    <w:rPr>
      <w:rFonts w:ascii="Times New Roman" w:hAnsi="Times New Roman"/>
      <w:color w:val="000000"/>
      <w:sz w:val="24"/>
      <w:szCs w:val="24"/>
    </w:rPr>
  </w:style>
  <w:style w:type="paragraph" w:customStyle="1" w:styleId="Figure">
    <w:name w:val="Figure"/>
    <w:basedOn w:val="Default"/>
    <w:rsid w:val="00AB674D"/>
    <w:pPr>
      <w:autoSpaceDE/>
      <w:autoSpaceDN/>
      <w:adjustRightInd/>
      <w:snapToGrid w:val="0"/>
      <w:spacing w:before="40" w:after="40"/>
      <w:jc w:val="center"/>
    </w:pPr>
    <w:rPr>
      <w:noProof/>
    </w:rPr>
  </w:style>
  <w:style w:type="character" w:styleId="FollowedHyperlink">
    <w:name w:val="FollowedHyperlink"/>
    <w:basedOn w:val="DefaultParagraphFont"/>
    <w:semiHidden/>
    <w:unhideWhenUsed/>
    <w:rsid w:val="00966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19552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8-TDAG28-INF-0002/" TargetMode="External"/><Relationship Id="rId20" Type="http://schemas.microsoft.com/office/2014/relationships/chartEx" Target="charts/chart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itu.int/md/D18-TDAG28-INF-0002/"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microsoft.com/office/2014/relationships/chartEx" Target="charts/chartEx1.xml"/><Relationship Id="rId22" Type="http://schemas.openxmlformats.org/officeDocument/2006/relationships/hyperlink" Target="https://www.itu.int/fr/ITU-D/MembersPartners/Pages/default.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85968\TDAG7_ChartsForTranslation_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485968\TDAG7_ChartsForTranslation_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485968\TDAG7_ChartsForTranslation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appxchg\APP\CONF\RefDocs\485968\TDAG7_ChartsForTranslation_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appxchg\APP\CONF\RefDocs\485968\TDAG7_ChartsForTranslation_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appxchg\APP\CONF\RefDocs\485968\TDAG7_ChartsForTranslation_1.xlsx" TargetMode="External"/><Relationship Id="rId2" Type="http://schemas.microsoft.com/office/2011/relationships/chartColorStyle" Target="colors6.xml"/><Relationship Id="rId1" Type="http://schemas.microsoft.com/office/2011/relationships/chartStyle" Target="style6.xml"/></Relationships>
</file>

<file path=word/charts/_rels/chartEx1.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blue\dfs\appxchg\APP\CONF\RefDocs\485968\TDAG7_ChartsForTranslation_1.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blue\dfs\appxchg\APP\CONF\RefDocs\485968\TDAG7_ChartsForTranslation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109-45E4-A454-EC8BA1A7F7DB}"/>
              </c:ext>
            </c:extLst>
          </c:dPt>
          <c:dPt>
            <c:idx val="1"/>
            <c:bubble3D val="0"/>
            <c:explosion val="15"/>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109-45E4-A454-EC8BA1A7F7DB}"/>
              </c:ext>
            </c:extLst>
          </c:dPt>
          <c:dLbls>
            <c:dLbl>
              <c:idx val="0"/>
              <c:layout/>
              <c:tx>
                <c:rich>
                  <a:bodyPr/>
                  <a:lstStyle/>
                  <a:p>
                    <a:fld id="{4526E76E-0538-48E7-8FAF-EE554798E751}" type="PERCENTAGE">
                      <a:rPr lang="en-US" baseline="0"/>
                      <a:pPr/>
                      <a:t>[PERCENTAGE]</a:t>
                    </a:fld>
                    <a:endParaRPr lang="en-US"/>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109-45E4-A454-EC8BA1A7F7DB}"/>
                </c:ext>
              </c:extLst>
            </c:dLbl>
            <c:dLbl>
              <c:idx val="1"/>
              <c:layout/>
              <c:tx>
                <c:rich>
                  <a:bodyPr/>
                  <a:lstStyle/>
                  <a:p>
                    <a:fld id="{041E0D76-C9CC-4109-A167-38C37F62305F}" type="VALUE">
                      <a:rPr lang="en-US"/>
                      <a:pPr/>
                      <a:t>[VALUE]</a:t>
                    </a:fld>
                    <a:endParaRPr lang="en-US"/>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F109-45E4-A454-EC8BA1A7F7D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Sheet1!$A$9:$A$10</c:f>
              <c:strCache>
                <c:ptCount val="2"/>
                <c:pt idx="0">
                  <c:v>Part de l'UIT</c:v>
                </c:pt>
                <c:pt idx="1">
                  <c:v>Part des partenaires</c:v>
                </c:pt>
              </c:strCache>
            </c:strRef>
          </c:cat>
          <c:val>
            <c:numRef>
              <c:f>Sheet1!$B$9:$B$10</c:f>
              <c:numCache>
                <c:formatCode>0%</c:formatCode>
                <c:ptCount val="2"/>
                <c:pt idx="0">
                  <c:v>0.24</c:v>
                </c:pt>
                <c:pt idx="1">
                  <c:v>0.76</c:v>
                </c:pt>
              </c:numCache>
            </c:numRef>
          </c:val>
          <c:extLst>
            <c:ext xmlns:c16="http://schemas.microsoft.com/office/drawing/2014/chart" uri="{C3380CC4-5D6E-409C-BE32-E72D297353CC}">
              <c16:uniqueId val="{00000004-F109-45E4-A454-EC8BA1A7F7DB}"/>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Sheet1!$B$22</c:f>
              <c:strCache>
                <c:ptCount val="1"/>
                <c:pt idx="0">
                  <c:v>Contributions financières convenues dans le cadre des accords signés, par type de partenaire (T1 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Sheet1!$A$23:$A$27</c:f>
              <c:strCache>
                <c:ptCount val="5"/>
                <c:pt idx="0">
                  <c:v>États Membres de l'UIT et autres entités gouvernementales</c:v>
                </c:pt>
                <c:pt idx="1">
                  <c:v>Organisations du système des Nations Unies</c:v>
                </c:pt>
                <c:pt idx="2">
                  <c:v>Établissements universitaires</c:v>
                </c:pt>
                <c:pt idx="3">
                  <c:v>Entités du secteur privé</c:v>
                </c:pt>
                <c:pt idx="4">
                  <c:v>Autres entités</c:v>
                </c:pt>
              </c:strCache>
            </c:strRef>
          </c:cat>
          <c:val>
            <c:numRef>
              <c:f>Sheet1!$B$23:$B$27</c:f>
              <c:numCache>
                <c:formatCode>0.0%</c:formatCode>
                <c:ptCount val="5"/>
                <c:pt idx="0">
                  <c:v>0.66100000000000003</c:v>
                </c:pt>
                <c:pt idx="1">
                  <c:v>0.15</c:v>
                </c:pt>
                <c:pt idx="2">
                  <c:v>2E-3</c:v>
                </c:pt>
                <c:pt idx="3">
                  <c:v>4.1000000000000002E-2</c:v>
                </c:pt>
                <c:pt idx="4">
                  <c:v>0.14699999999999999</c:v>
                </c:pt>
              </c:numCache>
            </c:numRef>
          </c:val>
          <c:extLst>
            <c:ext xmlns:c16="http://schemas.microsoft.com/office/drawing/2014/chart" uri="{C3380CC4-5D6E-409C-BE32-E72D297353CC}">
              <c16:uniqueId val="{00000000-81FA-419C-9CAD-EEBA7D558CFD}"/>
            </c:ext>
          </c:extLst>
        </c:ser>
        <c:dLbls>
          <c:dLblPos val="outEnd"/>
          <c:showLegendKey val="0"/>
          <c:showVal val="1"/>
          <c:showCatName val="0"/>
          <c:showSerName val="0"/>
          <c:showPercent val="0"/>
          <c:showBubbleSize val="0"/>
        </c:dLbls>
        <c:gapWidth val="182"/>
        <c:axId val="237470224"/>
        <c:axId val="237476464"/>
      </c:barChart>
      <c:catAx>
        <c:axId val="23747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476464"/>
        <c:crosses val="autoZero"/>
        <c:auto val="1"/>
        <c:lblAlgn val="ctr"/>
        <c:lblOffset val="100"/>
        <c:noMultiLvlLbl val="0"/>
      </c:catAx>
      <c:valAx>
        <c:axId val="23747646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3747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t>Contributions financières convenues dans le cadre </a:t>
            </a:r>
            <a:br>
              <a:rPr lang="en-US" sz="1200" b="1"/>
            </a:br>
            <a:r>
              <a:rPr lang="en-US" sz="1200" b="1"/>
              <a:t>des accords signés, par région (T1 2021)</a:t>
            </a:r>
          </a:p>
        </c:rich>
      </c:tx>
      <c:layout>
        <c:manualLayout>
          <c:xMode val="edge"/>
          <c:yMode val="edge"/>
          <c:x val="0.1314374453193351"/>
          <c:y val="1.847575057736720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Sheet1!$B$39</c:f>
              <c:strCache>
                <c:ptCount val="1"/>
                <c:pt idx="0">
                  <c:v>Contributions financières convenues dans le cadre des accords signés, par région (T1 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12-4C90-928B-EEE7B880F2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12-4C90-928B-EEE7B880F2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12-4C90-928B-EEE7B880F2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12-4C90-928B-EEE7B880F23E}"/>
              </c:ext>
            </c:extLst>
          </c:dPt>
          <c:dLbls>
            <c:dLbl>
              <c:idx val="0"/>
              <c:layout>
                <c:manualLayout>
                  <c:x val="0.1249999999999999"/>
                  <c:y val="-6.4665127020785307E-2"/>
                </c:manualLayout>
              </c:layout>
              <c:tx>
                <c:rich>
                  <a:bodyPr/>
                  <a:lstStyle/>
                  <a:p>
                    <a:fld id="{3A7DF75F-C890-4CFC-B395-1D607BA6C32D}" type="CATEGORYNAME">
                      <a:rPr lang="en-US"/>
                      <a:pPr/>
                      <a:t>[CATEGORY NAME]</a:t>
                    </a:fld>
                    <a:r>
                      <a:rPr lang="en-US"/>
                      <a:t>,</a:t>
                    </a:r>
                    <a:r>
                      <a:rPr lang="en-US" baseline="0"/>
                      <a:t> </a:t>
                    </a:r>
                    <a:fld id="{F9A92AA3-BFC9-4890-863B-39B0991ED76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2512-4C90-928B-EEE7B880F23E}"/>
                </c:ext>
              </c:extLst>
            </c:dLbl>
            <c:dLbl>
              <c:idx val="1"/>
              <c:layout>
                <c:manualLayout>
                  <c:x val="0.19722222222222222"/>
                  <c:y val="-1.8475750577367289E-2"/>
                </c:manualLayout>
              </c:layout>
              <c:tx>
                <c:rich>
                  <a:bodyPr/>
                  <a:lstStyle/>
                  <a:p>
                    <a:fld id="{2DCD29D0-ECA1-4EA7-B5E8-5FB3DB3F3500}" type="CATEGORYNAME">
                      <a:rPr lang="en-US"/>
                      <a:pPr/>
                      <a:t>[CATEGORY NAME]</a:t>
                    </a:fld>
                    <a:r>
                      <a:rPr lang="en-US"/>
                      <a:t>,</a:t>
                    </a:r>
                    <a:r>
                      <a:rPr lang="en-US" baseline="0"/>
                      <a:t> </a:t>
                    </a:r>
                    <a:fld id="{7E3D7E14-0777-4F38-A7E8-6D990E603CA2}"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2512-4C90-928B-EEE7B880F23E}"/>
                </c:ext>
              </c:extLst>
            </c:dLbl>
            <c:dLbl>
              <c:idx val="2"/>
              <c:layout>
                <c:manualLayout>
                  <c:x val="6.6666666666666666E-2"/>
                  <c:y val="0.12471131639722864"/>
                </c:manualLayout>
              </c:layout>
              <c:tx>
                <c:rich>
                  <a:bodyPr/>
                  <a:lstStyle/>
                  <a:p>
                    <a:fld id="{CA710E45-C10E-4A14-9493-EFFCC9566758}" type="CATEGORYNAME">
                      <a:rPr lang="en-US"/>
                      <a:pPr/>
                      <a:t>[CATEGORY NAME]</a:t>
                    </a:fld>
                    <a:r>
                      <a:rPr lang="en-US"/>
                      <a:t>,</a:t>
                    </a:r>
                    <a:r>
                      <a:rPr lang="en-US" baseline="0"/>
                      <a:t> </a:t>
                    </a:r>
                    <a:fld id="{22A8B2B4-7650-4D76-9AEC-6A61E5C267B1}"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2512-4C90-928B-EEE7B880F23E}"/>
                </c:ext>
              </c:extLst>
            </c:dLbl>
            <c:dLbl>
              <c:idx val="3"/>
              <c:layout>
                <c:manualLayout>
                  <c:x val="-0.13333333333333333"/>
                  <c:y val="-0.2540415704387991"/>
                </c:manualLayout>
              </c:layout>
              <c:tx>
                <c:rich>
                  <a:bodyPr/>
                  <a:lstStyle/>
                  <a:p>
                    <a:fld id="{76509353-C555-4E7D-9829-0414B7621A40}" type="CATEGORYNAME">
                      <a:rPr lang="en-US"/>
                      <a:pPr/>
                      <a:t>[CATEGORY NAME]</a:t>
                    </a:fld>
                    <a:r>
                      <a:rPr lang="en-US"/>
                      <a:t>,</a:t>
                    </a:r>
                    <a:r>
                      <a:rPr lang="en-US" baseline="0"/>
                      <a:t> </a:t>
                    </a:r>
                    <a:fld id="{937C98A0-340D-4BF4-BB3B-07B51705A10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2512-4C90-928B-EEE7B880F23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Sheet1!$A$40:$A$43</c:f>
              <c:strCache>
                <c:ptCount val="4"/>
                <c:pt idx="0">
                  <c:v>Afrique</c:v>
                </c:pt>
                <c:pt idx="1">
                  <c:v>Amériques</c:v>
                </c:pt>
                <c:pt idx="2">
                  <c:v>Europe</c:v>
                </c:pt>
                <c:pt idx="3">
                  <c:v>Plusieurs régions</c:v>
                </c:pt>
              </c:strCache>
            </c:strRef>
          </c:cat>
          <c:val>
            <c:numRef>
              <c:f>Sheet1!$B$40:$B$43</c:f>
              <c:numCache>
                <c:formatCode>0.0%</c:formatCode>
                <c:ptCount val="4"/>
                <c:pt idx="0">
                  <c:v>0.32700000000000001</c:v>
                </c:pt>
                <c:pt idx="1">
                  <c:v>9.0999999999999998E-2</c:v>
                </c:pt>
                <c:pt idx="2">
                  <c:v>2E-3</c:v>
                </c:pt>
                <c:pt idx="3">
                  <c:v>0.57899999999999996</c:v>
                </c:pt>
              </c:numCache>
            </c:numRef>
          </c:val>
          <c:extLst>
            <c:ext xmlns:c16="http://schemas.microsoft.com/office/drawing/2014/chart" uri="{C3380CC4-5D6E-409C-BE32-E72D297353CC}">
              <c16:uniqueId val="{00000008-2512-4C90-928B-EEE7B880F23E}"/>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61111111111111"/>
          <c:y val="0.16411630994162682"/>
          <c:w val="0.7583333333333333"/>
          <c:h val="0.72257569420450618"/>
        </c:manualLayout>
      </c:layout>
      <c:pie3DChart>
        <c:varyColors val="1"/>
        <c:ser>
          <c:idx val="0"/>
          <c:order val="0"/>
          <c:dPt>
            <c:idx val="0"/>
            <c:bubble3D val="0"/>
            <c:explosion val="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2B9-45E6-8609-E5801EE80F85}"/>
              </c:ext>
            </c:extLst>
          </c:dPt>
          <c:dPt>
            <c:idx val="1"/>
            <c:bubble3D val="0"/>
            <c:explosion val="2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2B9-45E6-8609-E5801EE80F85}"/>
              </c:ext>
            </c:extLst>
          </c:dPt>
          <c:dLbls>
            <c:dLbl>
              <c:idx val="0"/>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7E64A065-4409-4304-8308-219C319749DC}" type="CATEGORYNAME">
                      <a:rPr lang="en-US"/>
                      <a:pPr>
                        <a:defRPr/>
                      </a:pPr>
                      <a:t>[CATEGORY NAME]</a:t>
                    </a:fld>
                    <a:r>
                      <a:rPr lang="en-US" baseline="0"/>
                      <a:t> </a:t>
                    </a:r>
                    <a:fld id="{1C1A18B0-AEF1-4D0E-8BB7-4CBD5EA5E8A4}" type="VALUE">
                      <a:rPr lang="en-US" baseline="0"/>
                      <a:pPr>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1-A2B9-45E6-8609-E5801EE80F85}"/>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704A546-4A1F-44BA-8705-74C46F20A48E}" type="CATEGORYNAME">
                      <a:rPr lang="en-US"/>
                      <a:pPr>
                        <a:defRPr>
                          <a:solidFill>
                            <a:schemeClr val="accent1"/>
                          </a:solidFill>
                        </a:defRPr>
                      </a:pPr>
                      <a:t>[CATEGORY NAME]</a:t>
                    </a:fld>
                    <a:r>
                      <a:rPr lang="en-US"/>
                      <a:t> </a:t>
                    </a:r>
                    <a:fld id="{8F527B8D-B08B-4C2F-ADD1-0D85A4BB4180}" type="VALUE">
                      <a:rPr lang="en-US" baseline="0"/>
                      <a:pPr>
                        <a:defRPr>
                          <a:solidFill>
                            <a:schemeClr val="accent1"/>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2B9-45E6-8609-E5801EE80F85}"/>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Sheet1!$A$75:$A$76</c:f>
              <c:strCache>
                <c:ptCount val="2"/>
                <c:pt idx="0">
                  <c:v>Part de l'UIT</c:v>
                </c:pt>
                <c:pt idx="1">
                  <c:v>Part des partenaires</c:v>
                </c:pt>
              </c:strCache>
            </c:strRef>
          </c:cat>
          <c:val>
            <c:numRef>
              <c:f>Sheet1!$B$75:$B$76</c:f>
              <c:numCache>
                <c:formatCode>0%</c:formatCode>
                <c:ptCount val="2"/>
                <c:pt idx="0">
                  <c:v>0.2</c:v>
                </c:pt>
                <c:pt idx="1">
                  <c:v>0.8</c:v>
                </c:pt>
              </c:numCache>
            </c:numRef>
          </c:val>
          <c:extLst>
            <c:ext xmlns:c16="http://schemas.microsoft.com/office/drawing/2014/chart" uri="{C3380CC4-5D6E-409C-BE32-E72D297353CC}">
              <c16:uniqueId val="{00000004-A2B9-45E6-8609-E5801EE80F8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Contributions financières convenues dans le cadre des accords signés, </a:t>
            </a:r>
            <a:br>
              <a:rPr lang="en-US" sz="1200" b="1"/>
            </a:br>
            <a:r>
              <a:rPr lang="en-US" sz="1200" b="1"/>
              <a:t>par type de partenaire (en 2020)</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Sheet1!$B$93</c:f>
              <c:strCache>
                <c:ptCount val="1"/>
                <c:pt idx="0">
                  <c:v>Contributions financières convenues dans le cadre des accords signés, par type de partenaire (en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Sheet1!$A$94:$A$99</c:f>
              <c:strCache>
                <c:ptCount val="6"/>
                <c:pt idx="0">
                  <c:v>États Membres de l'UIT et autres entités gouvernementales</c:v>
                </c:pt>
                <c:pt idx="1">
                  <c:v>Fondations</c:v>
                </c:pt>
                <c:pt idx="2">
                  <c:v>Organisations du système des Nations Unies</c:v>
                </c:pt>
                <c:pt idx="3">
                  <c:v>Organisations et associations internationales et régionales</c:v>
                </c:pt>
                <c:pt idx="4">
                  <c:v>Établissements universitaires</c:v>
                </c:pt>
                <c:pt idx="5">
                  <c:v>Entités du secteur privé</c:v>
                </c:pt>
              </c:strCache>
            </c:strRef>
          </c:cat>
          <c:val>
            <c:numRef>
              <c:f>Sheet1!$B$94:$B$99</c:f>
              <c:numCache>
                <c:formatCode>0.0%</c:formatCode>
                <c:ptCount val="6"/>
                <c:pt idx="0">
                  <c:v>0.79</c:v>
                </c:pt>
                <c:pt idx="1">
                  <c:v>3.3000000000000002E-2</c:v>
                </c:pt>
                <c:pt idx="2">
                  <c:v>0.05</c:v>
                </c:pt>
                <c:pt idx="3">
                  <c:v>7.3999999999999996E-2</c:v>
                </c:pt>
                <c:pt idx="4">
                  <c:v>2E-3</c:v>
                </c:pt>
                <c:pt idx="5">
                  <c:v>0.05</c:v>
                </c:pt>
              </c:numCache>
            </c:numRef>
          </c:val>
          <c:extLst>
            <c:ext xmlns:c16="http://schemas.microsoft.com/office/drawing/2014/chart" uri="{C3380CC4-5D6E-409C-BE32-E72D297353CC}">
              <c16:uniqueId val="{00000000-0146-4D09-9C80-179CD0430129}"/>
            </c:ext>
          </c:extLst>
        </c:ser>
        <c:dLbls>
          <c:dLblPos val="inEnd"/>
          <c:showLegendKey val="0"/>
          <c:showVal val="1"/>
          <c:showCatName val="0"/>
          <c:showSerName val="0"/>
          <c:showPercent val="0"/>
          <c:showBubbleSize val="0"/>
        </c:dLbls>
        <c:gapWidth val="182"/>
        <c:axId val="693802656"/>
        <c:axId val="693794752"/>
      </c:barChart>
      <c:catAx>
        <c:axId val="69380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94752"/>
        <c:crosses val="autoZero"/>
        <c:auto val="1"/>
        <c:lblAlgn val="ctr"/>
        <c:lblOffset val="100"/>
        <c:noMultiLvlLbl val="0"/>
      </c:catAx>
      <c:valAx>
        <c:axId val="69379475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9380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Contributions financières convenues dans le cadre des accords signés, </a:t>
            </a:r>
            <a:br>
              <a:rPr lang="en-US" sz="1200" b="1"/>
            </a:br>
            <a:r>
              <a:rPr lang="en-US" sz="1200" b="1"/>
              <a:t>par région (en 2020)</a:t>
            </a:r>
          </a:p>
        </c:rich>
      </c:tx>
      <c:layout>
        <c:manualLayout>
          <c:xMode val="edge"/>
          <c:yMode val="edge"/>
          <c:x val="0.1509090700397144"/>
          <c:y val="3.130575831305758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9980872819827729"/>
          <c:y val="0.17782657380341013"/>
          <c:w val="0.35446898219332651"/>
          <c:h val="0.72633033468466823"/>
        </c:manualLayout>
      </c:layout>
      <c:doughnutChart>
        <c:varyColors val="1"/>
        <c:ser>
          <c:idx val="0"/>
          <c:order val="0"/>
          <c:tx>
            <c:strRef>
              <c:f>Sheet1!$B$116</c:f>
              <c:strCache>
                <c:ptCount val="1"/>
                <c:pt idx="0">
                  <c:v>Signed financial contributions per regions (in 2020)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FA-4163-9559-EB373BAA98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FA-4163-9559-EB373BAA98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FA-4163-9559-EB373BAA987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FA-4163-9559-EB373BAA987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1FA-4163-9559-EB373BAA987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1FA-4163-9559-EB373BAA987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1FA-4163-9559-EB373BAA987E}"/>
              </c:ext>
            </c:extLst>
          </c:dPt>
          <c:dLbls>
            <c:dLbl>
              <c:idx val="0"/>
              <c:layout>
                <c:manualLayout>
                  <c:x val="9.8425196850393699E-3"/>
                  <c:y val="-7.020220445977470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1FA-4163-9559-EB373BAA987E}"/>
                </c:ext>
              </c:extLst>
            </c:dLbl>
            <c:dLbl>
              <c:idx val="1"/>
              <c:layout>
                <c:manualLayout>
                  <c:x val="4.7244094488188976E-2"/>
                  <c:y val="-5.494085566417149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1FA-4163-9559-EB373BAA987E}"/>
                </c:ext>
              </c:extLst>
            </c:dLbl>
            <c:dLbl>
              <c:idx val="2"/>
              <c:layout>
                <c:manualLayout>
                  <c:x val="8.070866141732283E-2"/>
                  <c:y val="6.1045395182412216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1FA-4163-9559-EB373BAA987E}"/>
                </c:ext>
              </c:extLst>
            </c:dLbl>
            <c:dLbl>
              <c:idx val="3"/>
              <c:layout>
                <c:manualLayout>
                  <c:x val="4.1338582677165281E-2"/>
                  <c:y val="5.1888585905050855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1FA-4163-9559-EB373BAA987E}"/>
                </c:ext>
              </c:extLst>
            </c:dLbl>
            <c:dLbl>
              <c:idx val="4"/>
              <c:layout>
                <c:manualLayout>
                  <c:x val="3.1496062992125914E-2"/>
                  <c:y val="8.546355325537788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1FA-4163-9559-EB373BAA987E}"/>
                </c:ext>
              </c:extLst>
            </c:dLbl>
            <c:dLbl>
              <c:idx val="5"/>
              <c:layout>
                <c:manualLayout>
                  <c:x val="-1.1811023622047244E-2"/>
                  <c:y val="6.714993470065405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1FA-4163-9559-EB373BAA987E}"/>
                </c:ext>
              </c:extLst>
            </c:dLbl>
            <c:dLbl>
              <c:idx val="6"/>
              <c:layout>
                <c:manualLayout>
                  <c:x val="-6.8897637795275621E-2"/>
                  <c:y val="-3.357496735032702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11FA-4163-9559-EB373BAA987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Sheet1!$A$117:$A$123</c:f>
              <c:strCache>
                <c:ptCount val="7"/>
                <c:pt idx="0">
                  <c:v>Afrique</c:v>
                </c:pt>
                <c:pt idx="1">
                  <c:v>Amériques</c:v>
                </c:pt>
                <c:pt idx="2">
                  <c:v>États arabes</c:v>
                </c:pt>
                <c:pt idx="3">
                  <c:v>Asie-Pacifique</c:v>
                </c:pt>
                <c:pt idx="4">
                  <c:v>CEI</c:v>
                </c:pt>
                <c:pt idx="5">
                  <c:v>Europe</c:v>
                </c:pt>
                <c:pt idx="6">
                  <c:v>Plusieurs régions</c:v>
                </c:pt>
              </c:strCache>
            </c:strRef>
          </c:cat>
          <c:val>
            <c:numRef>
              <c:f>Sheet1!$B$117:$B$123</c:f>
              <c:numCache>
                <c:formatCode>0%</c:formatCode>
                <c:ptCount val="7"/>
                <c:pt idx="0">
                  <c:v>6.3E-2</c:v>
                </c:pt>
                <c:pt idx="1">
                  <c:v>3.2000000000000001E-2</c:v>
                </c:pt>
                <c:pt idx="2">
                  <c:v>0.27500000000000002</c:v>
                </c:pt>
                <c:pt idx="3">
                  <c:v>0.08</c:v>
                </c:pt>
                <c:pt idx="4">
                  <c:v>2.7E-2</c:v>
                </c:pt>
                <c:pt idx="5">
                  <c:v>6.5000000000000002E-2</c:v>
                </c:pt>
                <c:pt idx="6">
                  <c:v>0.46400000000000002</c:v>
                </c:pt>
              </c:numCache>
            </c:numRef>
          </c:val>
          <c:extLst>
            <c:ext xmlns:c16="http://schemas.microsoft.com/office/drawing/2014/chart" uri="{C3380CC4-5D6E-409C-BE32-E72D297353CC}">
              <c16:uniqueId val="{0000000E-11FA-4163-9559-EB373BAA987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3.4560884121768241E-2"/>
          <c:y val="0.18542514753037731"/>
          <c:w val="0.19268925537851075"/>
          <c:h val="0.5429228439078858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Sheet1!$A$55:$A$59</cx:f>
        <cx:lvl ptCount="5">
          <cx:pt idx="0">Inclusion numérique</cx:pt>
          <cx:pt idx="1">Services et applications numériques</cx:pt>
          <cx:pt idx="2">Environnement</cx:pt>
          <cx:pt idx="3">Plusieurs thèmes</cx:pt>
          <cx:pt idx="4">Réseaux et infrastructures numériques</cx:pt>
        </cx:lvl>
      </cx:strDim>
      <cx:numDim type="val">
        <cx:f>Sheet1!$B$55:$B$59</cx:f>
        <cx:lvl ptCount="5" formatCode="0%">
          <cx:pt idx="0">0.33000000000000002</cx:pt>
          <cx:pt idx="1">0.029999999999999999</cx:pt>
          <cx:pt idx="2">0.070000000000000007</cx:pt>
          <cx:pt idx="3">0.47999999999999998</cx:pt>
          <cx:pt idx="4">0.089999999999999997</cx:pt>
        </cx:lvl>
      </cx:numDim>
    </cx:data>
  </cx:chartData>
  <cx:chart>
    <cx:title pos="t" align="ctr" overlay="0">
      <cx:tx>
        <cx:txData>
          <cx:v>Contributions financières convenues dans le cadre des accords signés, par priorité thématique (T1 2021)</cx:v>
        </cx:txData>
      </cx:tx>
      <cx:txPr>
        <a:bodyPr spcFirstLastPara="1" vertOverflow="ellipsis" horzOverflow="overflow" wrap="square" lIns="0" tIns="0" rIns="0" bIns="0" anchor="ctr" anchorCtr="1"/>
        <a:lstStyle/>
        <a:p>
          <a:pPr algn="ctr" rtl="0">
            <a:defRPr sz="1200" b="1"/>
          </a:pPr>
          <a:r>
            <a:rPr lang="en-US" sz="1200" b="1" i="0" u="none" strike="noStrike" baseline="0">
              <a:solidFill>
                <a:sysClr val="windowText" lastClr="000000">
                  <a:lumMod val="65000"/>
                  <a:lumOff val="35000"/>
                </a:sysClr>
              </a:solidFill>
              <a:latin typeface="Calibri" panose="020F0502020204030204"/>
            </a:rPr>
            <a:t>Contributions financières convenues dans le cadre des accords signés, </a:t>
          </a:r>
          <a:br>
            <a:rPr lang="en-US" sz="1200" b="1" i="0" u="none" strike="noStrike" baseline="0">
              <a:solidFill>
                <a:sysClr val="windowText" lastClr="000000">
                  <a:lumMod val="65000"/>
                  <a:lumOff val="35000"/>
                </a:sysClr>
              </a:solidFill>
              <a:latin typeface="Calibri" panose="020F0502020204030204"/>
            </a:rPr>
          </a:br>
          <a:r>
            <a:rPr lang="en-US" sz="1200" b="1" i="0" u="none" strike="noStrike" baseline="0">
              <a:solidFill>
                <a:sysClr val="windowText" lastClr="000000">
                  <a:lumMod val="65000"/>
                  <a:lumOff val="35000"/>
                </a:sysClr>
              </a:solidFill>
              <a:latin typeface="Calibri" panose="020F0502020204030204"/>
            </a:rPr>
            <a:t>par priorité thématique (T1 2021)</a:t>
          </a:r>
        </a:p>
      </cx:txPr>
    </cx:title>
    <cx:plotArea>
      <cx:plotAreaRegion>
        <cx:series layoutId="funnel" uniqueId="{AD2AE017-C899-4B95-AB1C-15B2C778768E}">
          <cx:tx>
            <cx:txData>
              <cx:f>Sheet1!$B$54</cx:f>
              <cx:v>Contributions financières convenues dans le cadre des accords signés, par priorité thématique (T1 2021)</cx:v>
            </cx:txData>
          </cx:tx>
          <cx:dataLabels>
            <cx:visibility seriesName="0" categoryName="0" value="1"/>
          </cx:dataLabels>
          <cx:dataId val="0"/>
        </cx:series>
      </cx:plotAreaRegion>
      <cx:axis id="0">
        <cx:catScaling gapWidth="0.0599999987"/>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Sheet1!$A$135:$A$142</cx:f>
        <cx:lvl ptCount="8">
          <cx:pt idx="0">Réseaux et infrastructures numériques</cx:pt>
          <cx:pt idx="1">Plusieurs thèmes</cx:pt>
          <cx:pt idx="2">Environnement</cx:pt>
          <cx:pt idx="3">Services et applications numériques</cx:pt>
          <cx:pt idx="4">Innovation numérique</cx:pt>
          <cx:pt idx="5">Inclusion numérique</cx:pt>
          <cx:pt idx="6">Cybersécurité</cx:pt>
          <cx:pt idx="7">Renforcement des capacités</cx:pt>
        </cx:lvl>
      </cx:strDim>
      <cx:numDim type="val">
        <cx:f>Sheet1!$B$135:$B$142</cx:f>
        <cx:lvl ptCount="8" formatCode="0%">
          <cx:pt idx="0">0.20000000000000001</cx:pt>
          <cx:pt idx="1">0.059999999999999998</cx:pt>
          <cx:pt idx="2">0.01</cx:pt>
          <cx:pt idx="3">0.10000000000000001</cx:pt>
          <cx:pt idx="4">0.02</cx:pt>
          <cx:pt idx="5">0.12</cx:pt>
          <cx:pt idx="6">0.20999999999999999</cx:pt>
          <cx:pt idx="7">0.28000000000000003</cx:pt>
        </cx:lvl>
      </cx:numDim>
    </cx:data>
  </cx:chartData>
  <cx:chart>
    <cx:title pos="t" align="ctr" overlay="0">
      <cx:tx>
        <cx:rich>
          <a:bodyPr spcFirstLastPara="1" vertOverflow="ellipsis" horzOverflow="overflow" wrap="square" lIns="0" tIns="0" rIns="0" bIns="0" anchor="ctr" anchorCtr="1"/>
          <a:lstStyle/>
          <a:p>
            <a:pPr algn="ctr" rtl="0" fontAlgn="base"/>
            <a:r>
              <a:rPr lang="en-US" sz="1200" b="1" i="0" baseline="0">
                <a:effectLst/>
                <a:latin typeface="Calibri "/>
              </a:rPr>
              <a:t>Contributions financières convenues dans le cadre des accords signés, </a:t>
            </a:r>
          </a:p>
          <a:p>
            <a:pPr algn="ctr" rtl="0" fontAlgn="base"/>
            <a:r>
              <a:rPr lang="en-US" sz="1200" b="1" i="0" baseline="0">
                <a:effectLst/>
                <a:latin typeface="Calibri "/>
              </a:rPr>
              <a:t>par priorité thématique (en 2020)</a:t>
            </a:r>
          </a:p>
        </cx:rich>
      </cx:tx>
    </cx:title>
    <cx:plotArea>
      <cx:plotAreaRegion>
        <cx:series layoutId="funnel" uniqueId="{E187F628-C97E-42AD-BA1D-3AFA95D7DEAB}">
          <cx:tx>
            <cx:txData>
              <cx:f>Sheet1!$B$134</cx:f>
              <cx:v>Contributions financières convenues dans le cadre des accords signés, par priorité thématique (en 2020)</cx:v>
            </cx:txData>
          </cx:tx>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DA2A-F166-4FD0-AB5B-E61F7674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1389</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8</cp:revision>
  <cp:lastPrinted>2014-11-04T09:22:00Z</cp:lastPrinted>
  <dcterms:created xsi:type="dcterms:W3CDTF">2021-04-26T08:37:00Z</dcterms:created>
  <dcterms:modified xsi:type="dcterms:W3CDTF">2021-04-26T10:03:00Z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