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6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Ex2.xml" ContentType="application/vnd.ms-office.chartex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022741" w14:paraId="326EEE90" w14:textId="77777777" w:rsidTr="05565369">
        <w:trPr>
          <w:cantSplit/>
          <w:trHeight w:val="1134"/>
        </w:trPr>
        <w:tc>
          <w:tcPr>
            <w:tcW w:w="2410" w:type="dxa"/>
          </w:tcPr>
          <w:p w14:paraId="4276CF91" w14:textId="77777777" w:rsidR="00022741" w:rsidRDefault="00022741" w:rsidP="00FE35ED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6B79DC3" wp14:editId="2D2C34B5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305B4C8" w14:textId="77777777" w:rsidR="00022741" w:rsidRDefault="00022741" w:rsidP="00FE35E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CF544F4" w14:textId="77777777" w:rsidR="00022741" w:rsidRPr="00844A56" w:rsidRDefault="00022741" w:rsidP="00FE35ED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18633EDA" w14:textId="77777777" w:rsidR="00022741" w:rsidRPr="00683C32" w:rsidRDefault="00022741" w:rsidP="00FE35ED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3EEC8B1" wp14:editId="576900B0">
                  <wp:extent cx="712470" cy="785495"/>
                  <wp:effectExtent l="0" t="0" r="0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741" w:rsidRPr="00997358" w14:paraId="321B6DBA" w14:textId="77777777" w:rsidTr="05565369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64C2DB15" w14:textId="77777777" w:rsidR="00022741" w:rsidRPr="00997358" w:rsidRDefault="00022741" w:rsidP="00FE35ED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25BAD7E" w14:textId="77777777" w:rsidR="00022741" w:rsidRPr="00997358" w:rsidRDefault="00022741" w:rsidP="00FE35ED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022741" w:rsidRPr="00002716" w14:paraId="0682316F" w14:textId="77777777" w:rsidTr="05565369">
        <w:trPr>
          <w:cantSplit/>
        </w:trPr>
        <w:tc>
          <w:tcPr>
            <w:tcW w:w="6379" w:type="dxa"/>
            <w:gridSpan w:val="2"/>
          </w:tcPr>
          <w:p w14:paraId="614D3FD3" w14:textId="77777777" w:rsidR="00022741" w:rsidRPr="007F1CC7" w:rsidRDefault="00022741" w:rsidP="00FE35ED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6B9677E3" w14:textId="640EE33B" w:rsidR="00022741" w:rsidRPr="007F1CC7" w:rsidRDefault="00022741" w:rsidP="00FE35ED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TDAG-2</w:t>
            </w:r>
            <w:bookmarkStart w:id="1" w:name="DocNo1"/>
            <w:bookmarkEnd w:id="1"/>
            <w:r>
              <w:rPr>
                <w:b/>
                <w:bCs/>
                <w:lang w:val="en-US"/>
              </w:rPr>
              <w:t>1/7-E</w:t>
            </w:r>
          </w:p>
        </w:tc>
      </w:tr>
      <w:tr w:rsidR="00022741" w14:paraId="3209F54E" w14:textId="77777777" w:rsidTr="05565369">
        <w:trPr>
          <w:cantSplit/>
        </w:trPr>
        <w:tc>
          <w:tcPr>
            <w:tcW w:w="6379" w:type="dxa"/>
            <w:gridSpan w:val="2"/>
          </w:tcPr>
          <w:p w14:paraId="4BAF2D70" w14:textId="77777777" w:rsidR="00022741" w:rsidRPr="007F1CC7" w:rsidRDefault="00022741" w:rsidP="00FE35ED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1A6F11C8" w14:textId="1E15EABC" w:rsidR="00022741" w:rsidRPr="007F1CC7" w:rsidRDefault="00022741" w:rsidP="00FE35ED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13 April 2021</w:t>
            </w:r>
          </w:p>
        </w:tc>
      </w:tr>
      <w:tr w:rsidR="00022741" w14:paraId="691CD581" w14:textId="77777777" w:rsidTr="05565369">
        <w:trPr>
          <w:cantSplit/>
        </w:trPr>
        <w:tc>
          <w:tcPr>
            <w:tcW w:w="6379" w:type="dxa"/>
            <w:gridSpan w:val="2"/>
          </w:tcPr>
          <w:p w14:paraId="43148E66" w14:textId="77777777" w:rsidR="00022741" w:rsidRPr="007F1CC7" w:rsidRDefault="00022741" w:rsidP="00FE35ED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6A7A976" w14:textId="77777777" w:rsidR="00022741" w:rsidRPr="007F1CC7" w:rsidRDefault="00022741" w:rsidP="00FE35ED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>
              <w:rPr>
                <w:b/>
              </w:rPr>
              <w:t xml:space="preserve"> English</w:t>
            </w:r>
          </w:p>
        </w:tc>
      </w:tr>
      <w:tr w:rsidR="00022741" w14:paraId="793D364D" w14:textId="77777777" w:rsidTr="05565369">
        <w:trPr>
          <w:cantSplit/>
          <w:trHeight w:val="852"/>
        </w:trPr>
        <w:tc>
          <w:tcPr>
            <w:tcW w:w="9888" w:type="dxa"/>
            <w:gridSpan w:val="4"/>
          </w:tcPr>
          <w:p w14:paraId="12379433" w14:textId="0DDD34FA" w:rsidR="00022741" w:rsidRPr="00022741" w:rsidRDefault="00022741" w:rsidP="00022741">
            <w:pPr>
              <w:pStyle w:val="Source"/>
              <w:spacing w:before="240" w:after="240"/>
              <w:jc w:val="center"/>
              <w:rPr>
                <w:sz w:val="28"/>
                <w:szCs w:val="22"/>
              </w:rPr>
            </w:pPr>
            <w:bookmarkStart w:id="4" w:name="Source"/>
            <w:bookmarkEnd w:id="4"/>
            <w:r w:rsidRPr="00022741">
              <w:rPr>
                <w:sz w:val="28"/>
                <w:szCs w:val="22"/>
              </w:rPr>
              <w:t>Director, Telecommunication Development Bureau</w:t>
            </w:r>
          </w:p>
        </w:tc>
      </w:tr>
      <w:tr w:rsidR="00022741" w:rsidRPr="002E6963" w14:paraId="40C6765B" w14:textId="77777777" w:rsidTr="05565369">
        <w:trPr>
          <w:cantSplit/>
        </w:trPr>
        <w:tc>
          <w:tcPr>
            <w:tcW w:w="9888" w:type="dxa"/>
            <w:gridSpan w:val="4"/>
          </w:tcPr>
          <w:p w14:paraId="3C5916A4" w14:textId="6D8B5B98" w:rsidR="00022741" w:rsidRPr="00022741" w:rsidRDefault="00022741" w:rsidP="00022741">
            <w:pPr>
              <w:pStyle w:val="Title1"/>
              <w:spacing w:before="120" w:after="120"/>
              <w:jc w:val="center"/>
              <w:rPr>
                <w:b w:val="0"/>
                <w:bCs/>
                <w:sz w:val="28"/>
                <w:szCs w:val="22"/>
              </w:rPr>
            </w:pPr>
            <w:bookmarkStart w:id="5" w:name="Title"/>
            <w:bookmarkEnd w:id="5"/>
            <w:r w:rsidRPr="00022741">
              <w:rPr>
                <w:b w:val="0"/>
                <w:bCs/>
                <w:sz w:val="28"/>
                <w:szCs w:val="22"/>
              </w:rPr>
              <w:t xml:space="preserve">ITU-D </w:t>
            </w:r>
            <w:r>
              <w:rPr>
                <w:b w:val="0"/>
                <w:bCs/>
                <w:sz w:val="28"/>
                <w:szCs w:val="22"/>
              </w:rPr>
              <w:t>partnership and resource mobilization</w:t>
            </w:r>
          </w:p>
        </w:tc>
      </w:tr>
      <w:tr w:rsidR="00022741" w:rsidRPr="002E6963" w14:paraId="4EEA46EC" w14:textId="77777777" w:rsidTr="05565369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8B766AA" w14:textId="77777777" w:rsidR="00022741" w:rsidRPr="00A721F4" w:rsidRDefault="00022741" w:rsidP="00FE35ED"/>
        </w:tc>
      </w:tr>
      <w:tr w:rsidR="00022741" w:rsidRPr="002E6963" w14:paraId="1301AD14" w14:textId="77777777" w:rsidTr="05565369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A4C" w14:textId="77777777" w:rsidR="00022741" w:rsidRPr="00D9621A" w:rsidRDefault="00022741" w:rsidP="00FE35ED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4A24E1ED" w14:textId="5343D3D4" w:rsidR="00022741" w:rsidRPr="00D9621A" w:rsidRDefault="00022741" w:rsidP="00FE35ED">
            <w:pPr>
              <w:spacing w:after="120"/>
              <w:rPr>
                <w:szCs w:val="24"/>
              </w:rPr>
            </w:pPr>
            <w:r w:rsidRPr="00022741">
              <w:t xml:space="preserve">The importance of partnerships and resource mobilization was highlighted by the World Telecommunication Development Conference 2017 (WTDC-17). This document reports on partnerships and resource mobilization activities undertaken in 2020 and </w:t>
            </w:r>
            <w:r w:rsidR="00A13296">
              <w:t xml:space="preserve">in the first quarter of </w:t>
            </w:r>
            <w:r w:rsidRPr="00022741">
              <w:t>2021.</w:t>
            </w:r>
          </w:p>
          <w:p w14:paraId="03FC2368" w14:textId="77777777" w:rsidR="00022741" w:rsidRPr="00D9621A" w:rsidRDefault="00022741" w:rsidP="00FE35ED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7AE70C3E" w14:textId="1E39F102" w:rsidR="00022741" w:rsidRPr="00D9621A" w:rsidRDefault="00022741" w:rsidP="00FE35ED">
            <w:pPr>
              <w:spacing w:after="120"/>
              <w:rPr>
                <w:szCs w:val="24"/>
              </w:rPr>
            </w:pPr>
            <w:r w:rsidRPr="00022741">
              <w:t>TDAG is invited to note this document and provide guidance as deemed appropriate.</w:t>
            </w:r>
          </w:p>
          <w:p w14:paraId="0CCDA0F6" w14:textId="77777777" w:rsidR="00022741" w:rsidRPr="00D9621A" w:rsidRDefault="00022741" w:rsidP="00FE35ED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49FDBDAE" w14:textId="40BA56EE" w:rsidR="00022741" w:rsidRDefault="00022741" w:rsidP="00022741">
            <w:pPr>
              <w:spacing w:after="120"/>
            </w:pPr>
            <w:r>
              <w:t>ITU Goal 5</w:t>
            </w:r>
          </w:p>
          <w:p w14:paraId="266294B4" w14:textId="3F7A5A5B" w:rsidR="00022741" w:rsidRDefault="00022741" w:rsidP="00022741">
            <w:pPr>
              <w:spacing w:after="120"/>
            </w:pPr>
            <w:r>
              <w:t>Buenos Aires Action Plan, Section 4.5 of the WTDC-17 Final Report</w:t>
            </w:r>
          </w:p>
          <w:p w14:paraId="47A4A95A" w14:textId="359349E4" w:rsidR="00022741" w:rsidRPr="00D9621A" w:rsidRDefault="00022741" w:rsidP="00022741">
            <w:pPr>
              <w:spacing w:after="120"/>
            </w:pPr>
            <w:r>
              <w:t>Resolutions 17 (Rev. Buenos Aires, 2017) and 71 (Rev. Buenos Aires, 2017) of WTDC</w:t>
            </w:r>
          </w:p>
        </w:tc>
      </w:tr>
    </w:tbl>
    <w:p w14:paraId="42598167" w14:textId="77777777" w:rsidR="00022741" w:rsidRDefault="00022741" w:rsidP="00022741">
      <w:pPr>
        <w:spacing w:after="120"/>
      </w:pPr>
    </w:p>
    <w:p w14:paraId="795217C6" w14:textId="77777777" w:rsidR="00022741" w:rsidRDefault="00022741"/>
    <w:p w14:paraId="4C4BC524" w14:textId="11D6D265" w:rsidR="00022741" w:rsidRDefault="00022741">
      <w:r>
        <w:br w:type="page"/>
      </w:r>
    </w:p>
    <w:p w14:paraId="38665C5A" w14:textId="551505D4" w:rsidR="00C53BAD" w:rsidRPr="0075016A" w:rsidRDefault="00C53BAD" w:rsidP="00022741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lastRenderedPageBreak/>
        <w:t>Background</w:t>
      </w:r>
    </w:p>
    <w:p w14:paraId="11D23BD8" w14:textId="26A32AA6" w:rsidR="00B37D67" w:rsidRPr="0075016A" w:rsidRDefault="00B37D67" w:rsidP="00022741">
      <w:pPr>
        <w:spacing w:after="120"/>
      </w:pPr>
      <w:r w:rsidRPr="00C53BAD">
        <w:rPr>
          <w:lang w:val="en-US"/>
        </w:rPr>
        <w:t xml:space="preserve">The World Telecommunication Development Conference 2017 (WTDC-17) highlighted the critical role of partnerships and resource mobilization in supporting the implementation of the Buenos Aires Action Plan, WSIS Action Lines and </w:t>
      </w:r>
      <w:r w:rsidR="00D452FF" w:rsidRPr="00C53BAD">
        <w:rPr>
          <w:lang w:val="en-US"/>
        </w:rPr>
        <w:t xml:space="preserve">the </w:t>
      </w:r>
      <w:r w:rsidRPr="00C53BAD">
        <w:rPr>
          <w:rFonts w:cs="Calibri"/>
          <w:szCs w:val="24"/>
          <w:lang w:val="en-US"/>
        </w:rPr>
        <w:t>Sustainable Development Goals (</w:t>
      </w:r>
      <w:r w:rsidRPr="00C53BAD">
        <w:rPr>
          <w:lang w:val="en-US"/>
        </w:rPr>
        <w:t>SDGs).</w:t>
      </w:r>
    </w:p>
    <w:p w14:paraId="7938F59A" w14:textId="1BC0C74F" w:rsidR="000A239A" w:rsidRDefault="2C37EBED" w:rsidP="00022741">
      <w:pPr>
        <w:spacing w:after="120"/>
        <w:rPr>
          <w:lang w:val="en-US"/>
        </w:rPr>
      </w:pPr>
      <w:r w:rsidRPr="12BAB675">
        <w:rPr>
          <w:lang w:val="en-US"/>
        </w:rPr>
        <w:t xml:space="preserve">The </w:t>
      </w:r>
      <w:r w:rsidR="00D452FF" w:rsidRPr="12BAB675">
        <w:rPr>
          <w:lang w:val="en-US"/>
        </w:rPr>
        <w:t xml:space="preserve">WTDC-17 Action Plan indicates that programmes </w:t>
      </w:r>
      <w:r w:rsidR="003F5CE2" w:rsidRPr="12BAB675">
        <w:rPr>
          <w:lang w:val="en-US"/>
        </w:rPr>
        <w:t xml:space="preserve">and </w:t>
      </w:r>
      <w:r w:rsidR="00076C8F" w:rsidRPr="12BAB675">
        <w:rPr>
          <w:lang w:val="en-US"/>
        </w:rPr>
        <w:t>R</w:t>
      </w:r>
      <w:r w:rsidR="003F5CE2" w:rsidRPr="12BAB675">
        <w:rPr>
          <w:lang w:val="en-US"/>
        </w:rPr>
        <w:t xml:space="preserve">egional </w:t>
      </w:r>
      <w:r w:rsidR="00076C8F" w:rsidRPr="12BAB675">
        <w:rPr>
          <w:lang w:val="en-US"/>
        </w:rPr>
        <w:t>I</w:t>
      </w:r>
      <w:r w:rsidR="003F5CE2" w:rsidRPr="12BAB675">
        <w:rPr>
          <w:lang w:val="en-US"/>
        </w:rPr>
        <w:t xml:space="preserve">nitiatives </w:t>
      </w:r>
      <w:r w:rsidR="00D452FF" w:rsidRPr="12BAB675">
        <w:rPr>
          <w:lang w:val="en-US"/>
        </w:rPr>
        <w:t>should be, where possible, implemented in</w:t>
      </w:r>
      <w:r w:rsidR="00B35835" w:rsidRPr="12BAB675">
        <w:rPr>
          <w:lang w:val="en-US"/>
        </w:rPr>
        <w:t xml:space="preserve"> partnership with a wide range of stakeholders.</w:t>
      </w:r>
      <w:r w:rsidR="00A02E0C" w:rsidRPr="12BAB675">
        <w:rPr>
          <w:lang w:val="en-US"/>
        </w:rPr>
        <w:t xml:space="preserve"> </w:t>
      </w:r>
      <w:r w:rsidR="000A239A" w:rsidRPr="12BAB675">
        <w:rPr>
          <w:lang w:val="en-US"/>
        </w:rPr>
        <w:t xml:space="preserve">Resolution 17 </w:t>
      </w:r>
      <w:r w:rsidR="00402CFA" w:rsidRPr="12BAB675">
        <w:rPr>
          <w:lang w:val="en-US"/>
        </w:rPr>
        <w:t xml:space="preserve">(Rev. Buenos Aires, 2017) instructs </w:t>
      </w:r>
      <w:r w:rsidR="000A239A" w:rsidRPr="12BAB675">
        <w:rPr>
          <w:lang w:val="en-US"/>
        </w:rPr>
        <w:t xml:space="preserve">BDT </w:t>
      </w:r>
      <w:r w:rsidR="00402CFA" w:rsidRPr="12BAB675">
        <w:rPr>
          <w:lang w:val="en-US"/>
        </w:rPr>
        <w:t xml:space="preserve">to </w:t>
      </w:r>
      <w:r w:rsidR="000A239A" w:rsidRPr="12BAB675">
        <w:rPr>
          <w:lang w:val="en-US"/>
        </w:rPr>
        <w:t xml:space="preserve">continue to actively conclude partnerships with Member States, ITU-D Sector Members, financial </w:t>
      </w:r>
      <w:r w:rsidR="00AC51E4" w:rsidRPr="12BAB675">
        <w:rPr>
          <w:lang w:val="en-US"/>
        </w:rPr>
        <w:t>institutions,</w:t>
      </w:r>
      <w:r w:rsidR="000A239A" w:rsidRPr="12BAB675">
        <w:rPr>
          <w:lang w:val="en-US"/>
        </w:rPr>
        <w:t xml:space="preserve"> and international organizations in order to sponsor implementation activities for</w:t>
      </w:r>
      <w:r w:rsidR="00D35C64" w:rsidRPr="12BAB675">
        <w:rPr>
          <w:lang w:val="en-US"/>
        </w:rPr>
        <w:t xml:space="preserve"> regional </w:t>
      </w:r>
      <w:r w:rsidR="000A239A" w:rsidRPr="12BAB675">
        <w:rPr>
          <w:lang w:val="en-US"/>
        </w:rPr>
        <w:t>initiatives</w:t>
      </w:r>
      <w:r w:rsidR="008561E9" w:rsidRPr="12BAB675">
        <w:rPr>
          <w:lang w:val="en-US"/>
        </w:rPr>
        <w:t>. The resolution</w:t>
      </w:r>
      <w:r w:rsidR="000C3B26" w:rsidRPr="12BAB675">
        <w:rPr>
          <w:lang w:val="en-US"/>
        </w:rPr>
        <w:t xml:space="preserve"> goes on to </w:t>
      </w:r>
      <w:r w:rsidR="000A239A" w:rsidRPr="12BAB675">
        <w:rPr>
          <w:lang w:val="en-US"/>
        </w:rPr>
        <w:t>appeal</w:t>
      </w:r>
      <w:r w:rsidR="00D353D3" w:rsidRPr="12BAB675">
        <w:rPr>
          <w:lang w:val="en-US"/>
        </w:rPr>
        <w:t xml:space="preserve"> </w:t>
      </w:r>
      <w:r w:rsidR="000A239A" w:rsidRPr="12BAB675">
        <w:rPr>
          <w:lang w:val="en-US"/>
        </w:rPr>
        <w:t xml:space="preserve">to international financial </w:t>
      </w:r>
      <w:r w:rsidR="00871604" w:rsidRPr="12BAB675">
        <w:rPr>
          <w:lang w:val="en-US"/>
        </w:rPr>
        <w:t>organizations</w:t>
      </w:r>
      <w:r w:rsidR="000A239A" w:rsidRPr="12BAB675">
        <w:rPr>
          <w:lang w:val="en-US"/>
        </w:rPr>
        <w:t>/agencies, equipment suppliers and operators/service providers to contribute, fully or partially, to financing these regionally approved initiatives</w:t>
      </w:r>
      <w:r w:rsidR="008561E9" w:rsidRPr="12BAB675">
        <w:rPr>
          <w:lang w:val="en-US"/>
        </w:rPr>
        <w:t xml:space="preserve">. </w:t>
      </w:r>
    </w:p>
    <w:p w14:paraId="19331D78" w14:textId="5B67E828" w:rsidR="00762F99" w:rsidRPr="0075016A" w:rsidRDefault="005D6C59" w:rsidP="00022741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ITU-D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p</w:t>
      </w:r>
      <w:r>
        <w:rPr>
          <w:rFonts w:asciiTheme="minorHAnsi" w:hAnsiTheme="minorHAnsi" w:cs="Calibri"/>
          <w:sz w:val="24"/>
          <w:szCs w:val="24"/>
          <w:lang w:val="en-US"/>
        </w:rPr>
        <w:t>artnership and</w:t>
      </w:r>
      <w:r w:rsidR="008561E9">
        <w:rPr>
          <w:rFonts w:asciiTheme="minorHAnsi" w:hAnsiTheme="minorHAnsi" w:cs="Calibri"/>
          <w:sz w:val="24"/>
          <w:szCs w:val="24"/>
          <w:lang w:val="en-US"/>
        </w:rPr>
        <w:t xml:space="preserve"> 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obilization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s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 xml:space="preserve">trategic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o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>bjective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58FE3645" w14:textId="5D4E401A" w:rsidR="00D171E8" w:rsidRDefault="00E92D3F" w:rsidP="00022741">
      <w:pPr>
        <w:pStyle w:val="CEONormal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In accordance with the outcomes of the WTDC-</w:t>
      </w:r>
      <w:r w:rsidR="002A6CD4">
        <w:rPr>
          <w:rFonts w:asciiTheme="minorHAnsi" w:eastAsia="Times New Roman" w:hAnsiTheme="minorHAnsi" w:cs="Times New Roman"/>
          <w:sz w:val="24"/>
          <w:szCs w:val="20"/>
          <w:lang w:val="en-US"/>
        </w:rPr>
        <w:t>17</w:t>
      </w:r>
      <w:r>
        <w:rPr>
          <w:rFonts w:asciiTheme="minorHAnsi" w:eastAsia="Times New Roman" w:hAnsiTheme="minorHAnsi" w:cs="Times New Roman"/>
          <w:sz w:val="24"/>
          <w:szCs w:val="20"/>
          <w:lang w:val="en-US"/>
        </w:rPr>
        <w:t>, t</w:t>
      </w:r>
      <w:r w:rsidR="009421D9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he objective is to facilitate, develop and strengthen </w:t>
      </w:r>
      <w:r w:rsidR="00B42735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collaboration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the widest possible range of </w:t>
      </w:r>
      <w:r w:rsidR="00B42735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partners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from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both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dev</w:t>
      </w:r>
      <w:r w:rsidR="000B58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eloped and developing countries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the goal of enhancing </w:t>
      </w:r>
      <w:r w:rsidR="00EC75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resource mobilization</w:t>
      </w:r>
      <w:r w:rsidR="00B42735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for the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implementation of </w:t>
      </w:r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p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rogrammes and </w:t>
      </w:r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r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egional </w:t>
      </w:r>
      <w:r w:rsidR="000C3B26">
        <w:rPr>
          <w:rFonts w:asciiTheme="minorHAnsi" w:eastAsia="Times New Roman" w:hAnsiTheme="minorHAnsi" w:cs="Times New Roman"/>
          <w:sz w:val="24"/>
          <w:szCs w:val="20"/>
          <w:lang w:val="en-US"/>
        </w:rPr>
        <w:t>i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nitiatives</w:t>
      </w:r>
      <w:r w:rsidR="00B42735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>for sustainable development.</w:t>
      </w:r>
      <w:r w:rsidR="00402A7E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</w:p>
    <w:p w14:paraId="2B74DF51" w14:textId="0168D11E" w:rsidR="002961D5" w:rsidRPr="0075016A" w:rsidRDefault="000F5390" w:rsidP="00022741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Partnerships and results of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>obilization</w:t>
      </w:r>
    </w:p>
    <w:p w14:paraId="0E1D011F" w14:textId="57DF7A3E" w:rsidR="00D74E69" w:rsidRPr="00FA721A" w:rsidRDefault="00D74E69" w:rsidP="00022741">
      <w:pPr>
        <w:snapToGrid w:val="0"/>
        <w:spacing w:after="120"/>
      </w:pPr>
      <w:r w:rsidRPr="00FA721A">
        <w:t>Concluding the agreements has been possible thanks to the combined efforts of ITU membership and partners as well as of the BDT staff both in the field and at headquarters.</w:t>
      </w:r>
    </w:p>
    <w:p w14:paraId="2E7F5F6B" w14:textId="281B8A29" w:rsidR="00312CC8" w:rsidRPr="00022741" w:rsidRDefault="000A438B" w:rsidP="00022741">
      <w:pPr>
        <w:pStyle w:val="BDTcontributionH1"/>
        <w:keepLines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022741">
        <w:rPr>
          <w:rFonts w:asciiTheme="minorHAnsi" w:hAnsiTheme="minorHAnsi" w:cs="Calibri"/>
          <w:sz w:val="24"/>
          <w:szCs w:val="24"/>
          <w:lang w:val="en-US"/>
        </w:rPr>
        <w:t>Partnership agreements in the f</w:t>
      </w:r>
      <w:r w:rsidR="00312CC8" w:rsidRPr="00022741">
        <w:rPr>
          <w:rFonts w:asciiTheme="minorHAnsi" w:hAnsiTheme="minorHAnsi" w:cs="Calibri"/>
          <w:sz w:val="24"/>
          <w:szCs w:val="24"/>
          <w:lang w:val="en-US"/>
        </w:rPr>
        <w:t xml:space="preserve">irst </w:t>
      </w:r>
      <w:r w:rsidRPr="00022741">
        <w:rPr>
          <w:rFonts w:asciiTheme="minorHAnsi" w:hAnsiTheme="minorHAnsi" w:cs="Calibri"/>
          <w:sz w:val="24"/>
          <w:szCs w:val="24"/>
          <w:lang w:val="en-US"/>
        </w:rPr>
        <w:t>q</w:t>
      </w:r>
      <w:r w:rsidR="00312CC8" w:rsidRPr="00022741">
        <w:rPr>
          <w:rFonts w:asciiTheme="minorHAnsi" w:hAnsiTheme="minorHAnsi" w:cs="Calibri"/>
          <w:sz w:val="24"/>
          <w:szCs w:val="24"/>
          <w:lang w:val="en-US"/>
        </w:rPr>
        <w:t>uarter of 2021</w:t>
      </w:r>
    </w:p>
    <w:p w14:paraId="47EF9DBF" w14:textId="58A3615E" w:rsidR="002969B4" w:rsidRDefault="002969B4" w:rsidP="00022741">
      <w:pPr>
        <w:snapToGrid w:val="0"/>
        <w:spacing w:after="120"/>
      </w:pPr>
      <w:r w:rsidRPr="00C77F3C">
        <w:t>In the first quarter of 2021,</w:t>
      </w:r>
      <w:r w:rsidR="00A1338A" w:rsidRPr="00C77F3C">
        <w:t xml:space="preserve"> BDT</w:t>
      </w:r>
      <w:r w:rsidR="00A1338A">
        <w:t xml:space="preserve"> signed </w:t>
      </w:r>
      <w:r w:rsidR="00D116F7">
        <w:t xml:space="preserve">19 </w:t>
      </w:r>
      <w:r w:rsidR="00A1338A">
        <w:t>agreement</w:t>
      </w:r>
      <w:r w:rsidR="0062306F">
        <w:t>s</w:t>
      </w:r>
      <w:r w:rsidR="00A1338A">
        <w:t xml:space="preserve"> with partners, out of which</w:t>
      </w:r>
      <w:r w:rsidR="00A13296">
        <w:t>,</w:t>
      </w:r>
      <w:r w:rsidR="00D116F7">
        <w:t xml:space="preserve"> </w:t>
      </w:r>
      <w:r w:rsidR="003227FC">
        <w:t xml:space="preserve">14 </w:t>
      </w:r>
      <w:r w:rsidR="0062306F">
        <w:t>have</w:t>
      </w:r>
      <w:r w:rsidR="00022741">
        <w:t xml:space="preserve"> </w:t>
      </w:r>
      <w:r w:rsidR="00C77F3C">
        <w:t>financial c</w:t>
      </w:r>
      <w:r w:rsidR="00A1338A" w:rsidRPr="00A1338A">
        <w:t xml:space="preserve">ontributions amounting to </w:t>
      </w:r>
      <w:r w:rsidR="00A1338A" w:rsidRPr="00C3778E">
        <w:t xml:space="preserve">around USD </w:t>
      </w:r>
      <w:r w:rsidR="00F1358C" w:rsidRPr="00C3778E">
        <w:t>6</w:t>
      </w:r>
      <w:r w:rsidR="003227FC">
        <w:t>.4</w:t>
      </w:r>
      <w:r w:rsidR="00A1338A" w:rsidRPr="00C3778E">
        <w:t xml:space="preserve"> million. The list of these agreements can be </w:t>
      </w:r>
      <w:r w:rsidR="00A1338A" w:rsidRPr="00BC44B5">
        <w:t>found in</w:t>
      </w:r>
      <w:r w:rsidR="00BC44B5">
        <w:t xml:space="preserve"> </w:t>
      </w:r>
      <w:hyperlink r:id="rId13" w:history="1">
        <w:r w:rsidR="00A1338A" w:rsidRPr="00A13296">
          <w:rPr>
            <w:rStyle w:val="Hyperlink"/>
            <w:b/>
            <w:bCs/>
          </w:rPr>
          <w:t>Document INF/2</w:t>
        </w:r>
      </w:hyperlink>
      <w:r w:rsidR="00A1338A" w:rsidRPr="00BC44B5">
        <w:rPr>
          <w:b/>
          <w:bCs/>
        </w:rPr>
        <w:t>.</w:t>
      </w:r>
    </w:p>
    <w:p w14:paraId="11282537" w14:textId="39B46437" w:rsidR="00555318" w:rsidRDefault="00555318" w:rsidP="00022741">
      <w:pPr>
        <w:snapToGrid w:val="0"/>
        <w:spacing w:after="120"/>
        <w:rPr>
          <w:lang w:val="en-US"/>
        </w:rPr>
      </w:pPr>
      <w:r>
        <w:rPr>
          <w:lang w:val="en-US"/>
        </w:rPr>
        <w:t xml:space="preserve">The graph below shows the composition of co-financing arrangements between BDT and its partners in the first quarter of 2021. </w:t>
      </w:r>
    </w:p>
    <w:p w14:paraId="4C286A53" w14:textId="5EE504B3" w:rsidR="00555318" w:rsidRPr="00022741" w:rsidRDefault="00555318" w:rsidP="00022741">
      <w:pPr>
        <w:snapToGrid w:val="0"/>
        <w:spacing w:after="120"/>
        <w:jc w:val="center"/>
        <w:rPr>
          <w:rFonts w:cs="Calibri"/>
          <w:b/>
          <w:bCs/>
          <w:szCs w:val="24"/>
          <w:lang w:val="en-US"/>
        </w:rPr>
      </w:pPr>
      <w:r w:rsidRPr="00022741">
        <w:rPr>
          <w:rFonts w:cs="Calibri"/>
          <w:b/>
          <w:bCs/>
          <w:szCs w:val="24"/>
          <w:lang w:val="en-US"/>
        </w:rPr>
        <w:t>Partnership agreements with signed financial contributions (</w:t>
      </w:r>
      <w:r w:rsidR="005064DE" w:rsidRPr="00022741">
        <w:rPr>
          <w:rFonts w:cs="Calibri"/>
          <w:b/>
          <w:bCs/>
          <w:szCs w:val="24"/>
          <w:lang w:val="en-US"/>
        </w:rPr>
        <w:t>Q1</w:t>
      </w:r>
      <w:r w:rsidRPr="00022741">
        <w:rPr>
          <w:rFonts w:cs="Calibri"/>
          <w:b/>
          <w:bCs/>
          <w:szCs w:val="24"/>
          <w:lang w:val="en-US"/>
        </w:rPr>
        <w:t xml:space="preserve"> 2021)</w:t>
      </w:r>
    </w:p>
    <w:p w14:paraId="6B66AA41" w14:textId="606BF255" w:rsidR="00555318" w:rsidRDefault="00894CEF" w:rsidP="00286CD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83C9733" wp14:editId="4C2883D2">
            <wp:extent cx="4114800" cy="1971304"/>
            <wp:effectExtent l="0" t="0" r="0" b="1016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EA840ADC-0088-4450-B5AA-A153112EBD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9E752D" w14:textId="4DAAE3C9" w:rsidR="00555318" w:rsidRPr="00D1570B" w:rsidRDefault="00555318" w:rsidP="00C61DED">
      <w:pPr>
        <w:spacing w:after="120"/>
        <w:rPr>
          <w:lang w:val="en-US"/>
        </w:rPr>
      </w:pPr>
      <w:r w:rsidRPr="12BAB675">
        <w:rPr>
          <w:lang w:val="en-US"/>
        </w:rPr>
        <w:t>In the first quarter of 2021, BDT</w:t>
      </w:r>
      <w:r w:rsidR="00C2684A" w:rsidRPr="12BAB675">
        <w:rPr>
          <w:lang w:val="en-US"/>
        </w:rPr>
        <w:t>’s</w:t>
      </w:r>
      <w:r w:rsidRPr="12BAB675">
        <w:rPr>
          <w:lang w:val="en-US"/>
        </w:rPr>
        <w:t xml:space="preserve"> funding partners were primarily ITU Member States and other Governmental entities followed by</w:t>
      </w:r>
      <w:r w:rsidR="004422A8" w:rsidRPr="12BAB675">
        <w:rPr>
          <w:lang w:val="en-US"/>
        </w:rPr>
        <w:t xml:space="preserve"> UN organizations</w:t>
      </w:r>
      <w:r w:rsidR="00DA6086" w:rsidRPr="12BAB675">
        <w:rPr>
          <w:lang w:val="en-US"/>
        </w:rPr>
        <w:t xml:space="preserve"> </w:t>
      </w:r>
      <w:r w:rsidR="000C7DA6" w:rsidRPr="12BAB675">
        <w:rPr>
          <w:lang w:val="en-US"/>
        </w:rPr>
        <w:t>and p</w:t>
      </w:r>
      <w:r w:rsidRPr="12BAB675">
        <w:rPr>
          <w:lang w:val="en-US"/>
        </w:rPr>
        <w:t>rivate sector entities</w:t>
      </w:r>
      <w:r w:rsidR="00DA6086" w:rsidRPr="12BAB675">
        <w:rPr>
          <w:lang w:val="en-US"/>
        </w:rPr>
        <w:t xml:space="preserve"> as follows:</w:t>
      </w:r>
    </w:p>
    <w:p w14:paraId="5C2CD83A" w14:textId="4506C929" w:rsidR="00847E71" w:rsidRDefault="00847E71" w:rsidP="00555318">
      <w:pPr>
        <w:spacing w:after="120"/>
        <w:jc w:val="both"/>
        <w:rPr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060126C" wp14:editId="53EAE03C">
            <wp:extent cx="6080166" cy="2600696"/>
            <wp:effectExtent l="0" t="0" r="15875" b="952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15BCD835-E0BC-4ACB-B90C-8F55C6982F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DC9922" w14:textId="2FF177CD" w:rsidR="00555318" w:rsidRPr="00D30454" w:rsidRDefault="00555318" w:rsidP="12BAB675">
      <w:pPr>
        <w:spacing w:after="120"/>
        <w:jc w:val="both"/>
        <w:rPr>
          <w:lang w:val="en-US"/>
        </w:rPr>
      </w:pPr>
      <w:r w:rsidRPr="12BAB675">
        <w:rPr>
          <w:lang w:val="en-US"/>
        </w:rPr>
        <w:t>The three  funding partners</w:t>
      </w:r>
      <w:r w:rsidR="666A696C" w:rsidRPr="12BAB675">
        <w:rPr>
          <w:lang w:val="en-US"/>
        </w:rPr>
        <w:t xml:space="preserve"> with the largest financial contributions</w:t>
      </w:r>
      <w:r w:rsidRPr="12BAB675">
        <w:rPr>
          <w:lang w:val="en-US"/>
        </w:rPr>
        <w:t xml:space="preserve"> in the first quarter of 2021 were: </w:t>
      </w:r>
    </w:p>
    <w:p w14:paraId="3BD3BE88" w14:textId="13B3254C" w:rsidR="00127E0A" w:rsidRPr="00D30454" w:rsidRDefault="00127E0A" w:rsidP="00C61DED">
      <w:pPr>
        <w:pStyle w:val="ListParagraph"/>
        <w:numPr>
          <w:ilvl w:val="0"/>
          <w:numId w:val="13"/>
        </w:numPr>
        <w:snapToGrid w:val="0"/>
        <w:spacing w:before="60" w:after="6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D30454">
        <w:rPr>
          <w:rFonts w:asciiTheme="minorHAnsi" w:hAnsiTheme="minorHAnsi" w:cstheme="minorHAnsi"/>
          <w:sz w:val="24"/>
          <w:szCs w:val="24"/>
        </w:rPr>
        <w:t xml:space="preserve">The </w:t>
      </w:r>
      <w:r w:rsidRPr="00286CD9">
        <w:rPr>
          <w:rFonts w:asciiTheme="minorHAnsi" w:hAnsiTheme="minorHAnsi" w:cstheme="minorHAnsi"/>
          <w:b/>
          <w:bCs w:val="0"/>
          <w:sz w:val="24"/>
          <w:szCs w:val="24"/>
        </w:rPr>
        <w:t xml:space="preserve">Ministry of Industry and Information Technology (MIIT) of the People’s Republic of </w:t>
      </w:r>
      <w:r w:rsidR="00A726B2" w:rsidRPr="00286CD9">
        <w:rPr>
          <w:rFonts w:asciiTheme="minorHAnsi" w:hAnsiTheme="minorHAnsi" w:cstheme="minorHAnsi"/>
          <w:b/>
          <w:bCs w:val="0"/>
          <w:sz w:val="24"/>
          <w:szCs w:val="24"/>
        </w:rPr>
        <w:t>C</w:t>
      </w:r>
      <w:r w:rsidRPr="00286CD9">
        <w:rPr>
          <w:rFonts w:asciiTheme="minorHAnsi" w:hAnsiTheme="minorHAnsi" w:cstheme="minorHAnsi"/>
          <w:b/>
          <w:bCs w:val="0"/>
          <w:sz w:val="24"/>
          <w:szCs w:val="24"/>
        </w:rPr>
        <w:t>hina</w:t>
      </w:r>
      <w:r w:rsidR="00962E18" w:rsidRPr="00D30454">
        <w:rPr>
          <w:rFonts w:asciiTheme="minorHAnsi" w:hAnsiTheme="minorHAnsi" w:cstheme="minorHAnsi"/>
          <w:sz w:val="24"/>
          <w:szCs w:val="24"/>
        </w:rPr>
        <w:t xml:space="preserve">, with a signed financial contribution of </w:t>
      </w:r>
      <w:r w:rsidR="00A726B2" w:rsidRPr="00D30454">
        <w:rPr>
          <w:rFonts w:asciiTheme="minorHAnsi" w:hAnsiTheme="minorHAnsi" w:cstheme="minorHAnsi"/>
          <w:sz w:val="24"/>
          <w:szCs w:val="24"/>
        </w:rPr>
        <w:t xml:space="preserve">about </w:t>
      </w:r>
      <w:r w:rsidR="00962E18" w:rsidRPr="00286CD9">
        <w:rPr>
          <w:rFonts w:asciiTheme="minorHAnsi" w:hAnsiTheme="minorHAnsi" w:cstheme="minorHAnsi"/>
          <w:b/>
          <w:bCs w:val="0"/>
          <w:sz w:val="24"/>
          <w:szCs w:val="24"/>
        </w:rPr>
        <w:t>USD 1.8 million</w:t>
      </w:r>
      <w:r w:rsidR="00962E18" w:rsidRPr="00D304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67BFF5" w14:textId="0DDECDEC" w:rsidR="00127E0A" w:rsidRPr="00D30454" w:rsidRDefault="00827DB1" w:rsidP="00C61DED">
      <w:pPr>
        <w:pStyle w:val="ListParagraph"/>
        <w:numPr>
          <w:ilvl w:val="0"/>
          <w:numId w:val="13"/>
        </w:numPr>
        <w:snapToGrid w:val="0"/>
        <w:spacing w:before="60" w:after="6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D30454">
        <w:rPr>
          <w:rFonts w:asciiTheme="minorHAnsi" w:hAnsiTheme="minorHAnsi" w:cstheme="minorHAnsi"/>
          <w:sz w:val="24"/>
          <w:szCs w:val="24"/>
        </w:rPr>
        <w:t xml:space="preserve">The </w:t>
      </w:r>
      <w:r w:rsidRPr="00286CD9">
        <w:rPr>
          <w:rFonts w:asciiTheme="minorHAnsi" w:hAnsiTheme="minorHAnsi" w:cstheme="minorHAnsi"/>
          <w:b/>
          <w:bCs w:val="0"/>
          <w:sz w:val="24"/>
          <w:szCs w:val="24"/>
        </w:rPr>
        <w:t>Government of the United Kingdom of Great Britain and Northern Ireland</w:t>
      </w:r>
      <w:r w:rsidRPr="00D30454">
        <w:rPr>
          <w:rFonts w:asciiTheme="minorHAnsi" w:hAnsiTheme="minorHAnsi" w:cstheme="minorHAnsi"/>
          <w:sz w:val="24"/>
          <w:szCs w:val="24"/>
        </w:rPr>
        <w:t xml:space="preserve"> acting through the Foreign, Commonwealth &amp; Development Office of the United Kingdom, with a signed financial contribution of </w:t>
      </w:r>
      <w:r w:rsidR="005064DE">
        <w:rPr>
          <w:rFonts w:asciiTheme="minorHAnsi" w:hAnsiTheme="minorHAnsi" w:cstheme="minorHAnsi"/>
          <w:sz w:val="24"/>
          <w:szCs w:val="24"/>
        </w:rPr>
        <w:t xml:space="preserve">about </w:t>
      </w:r>
      <w:r w:rsidRPr="00286CD9">
        <w:rPr>
          <w:rFonts w:asciiTheme="minorHAnsi" w:hAnsiTheme="minorHAnsi" w:cstheme="minorHAnsi"/>
          <w:b/>
          <w:bCs w:val="0"/>
          <w:sz w:val="24"/>
          <w:szCs w:val="24"/>
        </w:rPr>
        <w:t xml:space="preserve">USD </w:t>
      </w:r>
      <w:r w:rsidR="00A726B2" w:rsidRPr="00286CD9">
        <w:rPr>
          <w:rFonts w:asciiTheme="minorHAnsi" w:hAnsiTheme="minorHAnsi" w:cstheme="minorHAnsi"/>
          <w:b/>
          <w:bCs w:val="0"/>
          <w:sz w:val="24"/>
          <w:szCs w:val="24"/>
        </w:rPr>
        <w:t>1.</w:t>
      </w:r>
      <w:r w:rsidR="005064DE">
        <w:rPr>
          <w:rFonts w:asciiTheme="minorHAnsi" w:hAnsiTheme="minorHAnsi" w:cstheme="minorHAnsi"/>
          <w:b/>
          <w:bCs w:val="0"/>
          <w:sz w:val="24"/>
          <w:szCs w:val="24"/>
        </w:rPr>
        <w:t>4</w:t>
      </w:r>
      <w:r w:rsidR="00A726B2" w:rsidRPr="00286CD9">
        <w:rPr>
          <w:rFonts w:asciiTheme="minorHAnsi" w:hAnsiTheme="minorHAnsi" w:cstheme="minorHAnsi"/>
          <w:b/>
          <w:bCs w:val="0"/>
          <w:sz w:val="24"/>
          <w:szCs w:val="24"/>
        </w:rPr>
        <w:t xml:space="preserve"> million</w:t>
      </w:r>
      <w:r w:rsidR="00A726B2" w:rsidRPr="00D304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3C50C9" w14:textId="5C94F752" w:rsidR="00A726B2" w:rsidRPr="00D30454" w:rsidRDefault="00C2684A" w:rsidP="00C61DED">
      <w:pPr>
        <w:pStyle w:val="ListParagraph"/>
        <w:numPr>
          <w:ilvl w:val="0"/>
          <w:numId w:val="13"/>
        </w:numPr>
        <w:snapToGrid w:val="0"/>
        <w:spacing w:before="60" w:after="6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A726B2" w:rsidRPr="00286CD9">
        <w:rPr>
          <w:rFonts w:asciiTheme="minorHAnsi" w:hAnsiTheme="minorHAnsi" w:cstheme="minorHAnsi"/>
          <w:b/>
          <w:bCs w:val="0"/>
          <w:sz w:val="24"/>
          <w:szCs w:val="24"/>
        </w:rPr>
        <w:t>King Salman Humanitarian Aid &amp; Relief Centre of Saudi Arabia</w:t>
      </w:r>
      <w:r w:rsidR="00A726B2" w:rsidRPr="00D30454">
        <w:rPr>
          <w:rFonts w:asciiTheme="minorHAnsi" w:hAnsiTheme="minorHAnsi" w:cstheme="minorHAnsi"/>
          <w:sz w:val="24"/>
          <w:szCs w:val="24"/>
        </w:rPr>
        <w:t xml:space="preserve">, with a signed financial contribution </w:t>
      </w:r>
      <w:r w:rsidR="00D30454" w:rsidRPr="00D30454">
        <w:rPr>
          <w:rFonts w:asciiTheme="minorHAnsi" w:hAnsiTheme="minorHAnsi" w:cstheme="minorHAnsi"/>
          <w:sz w:val="24"/>
          <w:szCs w:val="24"/>
        </w:rPr>
        <w:t xml:space="preserve">of about </w:t>
      </w:r>
      <w:r w:rsidR="00D30454" w:rsidRPr="00286CD9">
        <w:rPr>
          <w:rFonts w:asciiTheme="minorHAnsi" w:hAnsiTheme="minorHAnsi" w:cstheme="minorHAnsi"/>
          <w:b/>
          <w:bCs w:val="0"/>
          <w:sz w:val="24"/>
          <w:szCs w:val="24"/>
        </w:rPr>
        <w:t>USD 562,500</w:t>
      </w:r>
      <w:r w:rsidR="00D30454" w:rsidRPr="00D304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B962FE4" w14:textId="07E37189" w:rsidR="00555318" w:rsidRDefault="00555318" w:rsidP="00C61DED">
      <w:pPr>
        <w:pStyle w:val="Default"/>
        <w:autoSpaceDE/>
        <w:autoSpaceDN/>
        <w:adjustRightInd/>
        <w:snapToGrid w:val="0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graphs show the allocations </w:t>
      </w:r>
      <w:r w:rsidR="00AC51E4">
        <w:rPr>
          <w:rFonts w:asciiTheme="minorHAnsi" w:hAnsiTheme="minorHAnsi" w:cstheme="minorHAnsi"/>
        </w:rPr>
        <w:t>of financial</w:t>
      </w:r>
      <w:r>
        <w:rPr>
          <w:rFonts w:asciiTheme="minorHAnsi" w:hAnsiTheme="minorHAnsi" w:cstheme="minorHAnsi"/>
        </w:rPr>
        <w:t xml:space="preserve"> </w:t>
      </w:r>
      <w:r w:rsidR="00AC51E4">
        <w:rPr>
          <w:rFonts w:asciiTheme="minorHAnsi" w:hAnsiTheme="minorHAnsi" w:cstheme="minorHAnsi"/>
        </w:rPr>
        <w:t>contributions from</w:t>
      </w:r>
      <w:r>
        <w:rPr>
          <w:rFonts w:asciiTheme="minorHAnsi" w:hAnsiTheme="minorHAnsi" w:cstheme="minorHAnsi"/>
        </w:rPr>
        <w:t xml:space="preserve"> the signed agreements per region and per thematic </w:t>
      </w:r>
      <w:r w:rsidR="00AC51E4">
        <w:rPr>
          <w:rFonts w:asciiTheme="minorHAnsi" w:hAnsiTheme="minorHAnsi" w:cstheme="minorHAnsi"/>
        </w:rPr>
        <w:t>priority</w:t>
      </w:r>
      <w:r>
        <w:rPr>
          <w:rFonts w:asciiTheme="minorHAnsi" w:hAnsiTheme="minorHAnsi" w:cstheme="minorHAnsi"/>
        </w:rPr>
        <w:t xml:space="preserve">. </w:t>
      </w:r>
    </w:p>
    <w:p w14:paraId="193EB2F2" w14:textId="16F07772" w:rsidR="005D54DF" w:rsidRDefault="00C6285B" w:rsidP="00286CD9">
      <w:pPr>
        <w:pStyle w:val="Default"/>
        <w:autoSpaceDE/>
        <w:autoSpaceDN/>
        <w:adjustRightInd/>
        <w:snapToGrid w:val="0"/>
        <w:spacing w:before="40" w:after="4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2230EAE" wp14:editId="6DFFC8EB">
            <wp:extent cx="4562475" cy="2743200"/>
            <wp:effectExtent l="0" t="0" r="9525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8C1337B1-E78F-49DA-8265-AE08D9CBE3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B7F233" w14:textId="51945F25" w:rsidR="00555318" w:rsidRDefault="00555318" w:rsidP="00555318">
      <w:pPr>
        <w:pStyle w:val="Default"/>
        <w:autoSpaceDE/>
        <w:autoSpaceDN/>
        <w:adjustRightInd/>
        <w:snapToGrid w:val="0"/>
        <w:spacing w:before="40" w:after="40"/>
        <w:rPr>
          <w:rFonts w:asciiTheme="minorHAnsi" w:hAnsiTheme="minorHAnsi" w:cstheme="minorHAnsi"/>
        </w:rPr>
      </w:pPr>
    </w:p>
    <w:p w14:paraId="70E68FF3" w14:textId="3242BD6E" w:rsidR="00555318" w:rsidRDefault="00E13F43" w:rsidP="00555318">
      <w:pPr>
        <w:spacing w:after="120"/>
        <w:rPr>
          <w:lang w:val="en-US"/>
        </w:rPr>
      </w:pPr>
      <w:r>
        <w:rPr>
          <w:noProof/>
        </w:rPr>
        <w:lastRenderedPageBreak/>
        <mc:AlternateContent>
          <mc:Choice Requires="cx2">
            <w:drawing>
              <wp:inline distT="0" distB="0" distL="0" distR="0" wp14:anchorId="4569F390" wp14:editId="73347A84">
                <wp:extent cx="5699760" cy="2531165"/>
                <wp:effectExtent l="0" t="0" r="15240" b="2540"/>
                <wp:docPr id="22" name="Char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4293F-07D1-45AD-8A45-DBEA01CAA7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7"/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>
            <w:drawing>
              <wp:inline distT="0" distB="0" distL="0" distR="0" wp14:anchorId="0C77546C" wp14:editId="73347A84">
                <wp:extent cx="5699760" cy="2531165"/>
                <wp:effectExtent l="0" t="0" r="15240" b="2540"/>
                <wp:docPr id="847138364" name="Char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4293F-07D1-45AD-8A45-DBEA01CAA701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hart 22">
                          <a:extLst>
                            <a:ext uri="{FF2B5EF4-FFF2-40B4-BE49-F238E27FC236}">
                              <a16:creationId xmlns:a16="http://schemas.microsoft.com/office/drawing/2014/main" id="{B964293F-07D1-45AD-8A45-DBEA01CAA701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9760" cy="2531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1AA53FC" w14:textId="61C1C250" w:rsidR="002969B4" w:rsidRPr="00022741" w:rsidRDefault="00221D75" w:rsidP="00C61DED">
      <w:pPr>
        <w:pStyle w:val="BDTcontributionH1"/>
        <w:keepLines w:val="0"/>
        <w:numPr>
          <w:ilvl w:val="1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022741">
        <w:rPr>
          <w:rFonts w:asciiTheme="minorHAnsi" w:hAnsiTheme="minorHAnsi" w:cs="Calibri"/>
          <w:sz w:val="24"/>
          <w:szCs w:val="24"/>
          <w:lang w:val="en-US"/>
        </w:rPr>
        <w:t xml:space="preserve">Partnership Agreements in </w:t>
      </w:r>
      <w:r w:rsidR="00774F64" w:rsidRPr="00022741">
        <w:rPr>
          <w:rFonts w:asciiTheme="minorHAnsi" w:hAnsiTheme="minorHAnsi" w:cs="Calibri"/>
          <w:sz w:val="24"/>
          <w:szCs w:val="24"/>
          <w:lang w:val="en-US"/>
        </w:rPr>
        <w:t>2020</w:t>
      </w:r>
    </w:p>
    <w:p w14:paraId="009A4C29" w14:textId="7DDE2D02" w:rsidR="00121163" w:rsidRPr="00022741" w:rsidRDefault="00E36FCF" w:rsidP="00C61DED">
      <w:pPr>
        <w:snapToGrid w:val="0"/>
        <w:spacing w:after="120"/>
        <w:rPr>
          <w:szCs w:val="24"/>
          <w:lang w:val="en-US"/>
        </w:rPr>
      </w:pPr>
      <w:r w:rsidRPr="00022741">
        <w:rPr>
          <w:szCs w:val="24"/>
        </w:rPr>
        <w:t>In 2020, BDT signed 4</w:t>
      </w:r>
      <w:r w:rsidR="004B0A56" w:rsidRPr="00022741">
        <w:rPr>
          <w:szCs w:val="24"/>
        </w:rPr>
        <w:t>3</w:t>
      </w:r>
      <w:r w:rsidRPr="00022741">
        <w:rPr>
          <w:szCs w:val="24"/>
        </w:rPr>
        <w:t xml:space="preserve"> agreements</w:t>
      </w:r>
      <w:r w:rsidR="00D57B04" w:rsidRPr="00022741">
        <w:rPr>
          <w:szCs w:val="24"/>
        </w:rPr>
        <w:t xml:space="preserve"> with partners</w:t>
      </w:r>
      <w:r w:rsidRPr="00022741">
        <w:rPr>
          <w:szCs w:val="24"/>
        </w:rPr>
        <w:t>, out of which 2</w:t>
      </w:r>
      <w:r w:rsidR="004B0A56" w:rsidRPr="00022741">
        <w:rPr>
          <w:szCs w:val="24"/>
        </w:rPr>
        <w:t>8</w:t>
      </w:r>
      <w:r w:rsidRPr="00022741">
        <w:rPr>
          <w:szCs w:val="24"/>
        </w:rPr>
        <w:t xml:space="preserve"> </w:t>
      </w:r>
      <w:r w:rsidR="0062306F" w:rsidRPr="00022741">
        <w:rPr>
          <w:szCs w:val="24"/>
        </w:rPr>
        <w:t>had</w:t>
      </w:r>
      <w:r w:rsidR="002E6E00" w:rsidRPr="00022741">
        <w:rPr>
          <w:szCs w:val="24"/>
        </w:rPr>
        <w:t xml:space="preserve"> </w:t>
      </w:r>
      <w:r w:rsidRPr="00022741">
        <w:rPr>
          <w:szCs w:val="24"/>
        </w:rPr>
        <w:t>financial contributions amounting to around USD 15</w:t>
      </w:r>
      <w:r w:rsidR="00753B73" w:rsidRPr="00022741">
        <w:rPr>
          <w:szCs w:val="24"/>
        </w:rPr>
        <w:t>.2</w:t>
      </w:r>
      <w:r w:rsidRPr="00022741">
        <w:rPr>
          <w:szCs w:val="24"/>
        </w:rPr>
        <w:t xml:space="preserve"> million. The list of these agreements </w:t>
      </w:r>
      <w:r w:rsidR="000C2D3A" w:rsidRPr="00022741">
        <w:rPr>
          <w:szCs w:val="24"/>
          <w:lang w:val="en-US"/>
        </w:rPr>
        <w:t xml:space="preserve">can be found in </w:t>
      </w:r>
      <w:hyperlink r:id="rId19" w:history="1">
        <w:r w:rsidR="000C2D3A" w:rsidRPr="005556E7">
          <w:rPr>
            <w:rStyle w:val="Hyperlink"/>
            <w:b/>
            <w:bCs/>
            <w:szCs w:val="24"/>
            <w:lang w:val="en-US"/>
          </w:rPr>
          <w:t>Document INF/2</w:t>
        </w:r>
      </w:hyperlink>
      <w:r w:rsidR="00863790" w:rsidRPr="00022741">
        <w:rPr>
          <w:szCs w:val="24"/>
          <w:lang w:val="en-US"/>
        </w:rPr>
        <w:t>.</w:t>
      </w:r>
      <w:r w:rsidR="00637FC5" w:rsidRPr="00022741">
        <w:rPr>
          <w:szCs w:val="24"/>
          <w:lang w:val="en-US"/>
        </w:rPr>
        <w:t xml:space="preserve"> </w:t>
      </w:r>
    </w:p>
    <w:p w14:paraId="4CE67262" w14:textId="538538BE" w:rsidR="00C43EAE" w:rsidRPr="00022741" w:rsidRDefault="000F5390" w:rsidP="00C61DED">
      <w:pPr>
        <w:snapToGrid w:val="0"/>
        <w:spacing w:after="120"/>
        <w:rPr>
          <w:szCs w:val="24"/>
          <w:lang w:val="en-US"/>
        </w:rPr>
      </w:pPr>
      <w:r w:rsidRPr="00022741">
        <w:rPr>
          <w:szCs w:val="24"/>
          <w:lang w:val="en-US"/>
        </w:rPr>
        <w:t xml:space="preserve">The </w:t>
      </w:r>
      <w:r w:rsidR="007476C4" w:rsidRPr="00022741">
        <w:rPr>
          <w:szCs w:val="24"/>
          <w:lang w:val="en-US"/>
        </w:rPr>
        <w:t>graph below shows the composition of</w:t>
      </w:r>
      <w:r w:rsidRPr="00022741">
        <w:rPr>
          <w:szCs w:val="24"/>
          <w:lang w:val="en-US"/>
        </w:rPr>
        <w:t xml:space="preserve"> co-financing </w:t>
      </w:r>
      <w:r w:rsidR="007476C4" w:rsidRPr="00022741">
        <w:rPr>
          <w:szCs w:val="24"/>
          <w:lang w:val="en-US"/>
        </w:rPr>
        <w:t>arrangements between</w:t>
      </w:r>
      <w:r w:rsidRPr="00022741">
        <w:rPr>
          <w:szCs w:val="24"/>
          <w:lang w:val="en-US"/>
        </w:rPr>
        <w:t xml:space="preserve"> BDT and </w:t>
      </w:r>
      <w:r w:rsidR="00C83F09" w:rsidRPr="00022741">
        <w:rPr>
          <w:szCs w:val="24"/>
          <w:lang w:val="en-US"/>
        </w:rPr>
        <w:t xml:space="preserve">its </w:t>
      </w:r>
      <w:r w:rsidRPr="00022741">
        <w:rPr>
          <w:szCs w:val="24"/>
          <w:lang w:val="en-US"/>
        </w:rPr>
        <w:t>partners</w:t>
      </w:r>
      <w:r w:rsidR="005F7EE6" w:rsidRPr="00022741">
        <w:rPr>
          <w:szCs w:val="24"/>
          <w:lang w:val="en-US"/>
        </w:rPr>
        <w:t xml:space="preserve"> in 2020</w:t>
      </w:r>
      <w:r w:rsidR="007476C4" w:rsidRPr="00022741">
        <w:rPr>
          <w:szCs w:val="24"/>
          <w:lang w:val="en-US"/>
        </w:rPr>
        <w:t>.</w:t>
      </w:r>
      <w:r w:rsidRPr="00022741">
        <w:rPr>
          <w:szCs w:val="24"/>
          <w:lang w:val="en-US"/>
        </w:rPr>
        <w:t xml:space="preserve"> </w:t>
      </w:r>
    </w:p>
    <w:p w14:paraId="406CD058" w14:textId="7B8AB0AA" w:rsidR="008221EE" w:rsidRPr="00022741" w:rsidRDefault="008221EE" w:rsidP="00022741">
      <w:pPr>
        <w:snapToGrid w:val="0"/>
        <w:spacing w:after="120"/>
        <w:jc w:val="center"/>
        <w:rPr>
          <w:rFonts w:cs="Calibri"/>
          <w:b/>
          <w:bCs/>
          <w:szCs w:val="24"/>
          <w:lang w:val="en-US"/>
        </w:rPr>
      </w:pPr>
      <w:r w:rsidRPr="00022741">
        <w:rPr>
          <w:rFonts w:cs="Calibri"/>
          <w:b/>
          <w:bCs/>
          <w:szCs w:val="24"/>
          <w:lang w:val="en-US"/>
        </w:rPr>
        <w:t>Partnership agreements with</w:t>
      </w:r>
      <w:r w:rsidR="002E6E00" w:rsidRPr="00022741">
        <w:rPr>
          <w:rFonts w:cs="Calibri"/>
          <w:b/>
          <w:bCs/>
          <w:szCs w:val="24"/>
          <w:lang w:val="en-US"/>
        </w:rPr>
        <w:t xml:space="preserve"> signed</w:t>
      </w:r>
      <w:r w:rsidRPr="00022741">
        <w:rPr>
          <w:rFonts w:cs="Calibri"/>
          <w:b/>
          <w:bCs/>
          <w:szCs w:val="24"/>
          <w:lang w:val="en-US"/>
        </w:rPr>
        <w:t xml:space="preserve"> financial contributions (</w:t>
      </w:r>
      <w:r w:rsidR="00C25752" w:rsidRPr="00022741">
        <w:rPr>
          <w:rFonts w:cs="Calibri"/>
          <w:b/>
          <w:bCs/>
          <w:szCs w:val="24"/>
          <w:lang w:val="en-US"/>
        </w:rPr>
        <w:t xml:space="preserve">in </w:t>
      </w:r>
      <w:r w:rsidRPr="00022741">
        <w:rPr>
          <w:rFonts w:cs="Calibri"/>
          <w:b/>
          <w:bCs/>
          <w:szCs w:val="24"/>
          <w:lang w:val="en-US"/>
        </w:rPr>
        <w:t>2020)</w:t>
      </w:r>
    </w:p>
    <w:p w14:paraId="56FF631D" w14:textId="025933B1" w:rsidR="00545001" w:rsidRDefault="004B0A56" w:rsidP="00022741">
      <w:pPr>
        <w:snapToGrid w:val="0"/>
        <w:spacing w:after="120"/>
        <w:jc w:val="center"/>
        <w:rPr>
          <w:rFonts w:cs="Calibri"/>
          <w:b/>
          <w:bCs/>
          <w:color w:val="17365D" w:themeColor="text2" w:themeShade="BF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320AFB2" wp14:editId="4F71B045">
            <wp:extent cx="4221801" cy="2220686"/>
            <wp:effectExtent l="0" t="0" r="7620" b="825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4047D29-AC52-413B-AB62-49FBB0891F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B018027" w14:textId="30904FC1" w:rsidR="00B4346C" w:rsidRPr="00303BD0" w:rsidRDefault="00B4346C" w:rsidP="00C61DED">
      <w:pPr>
        <w:spacing w:after="120"/>
        <w:rPr>
          <w:lang w:val="en-US"/>
        </w:rPr>
      </w:pPr>
      <w:r w:rsidRPr="05565369">
        <w:rPr>
          <w:lang w:val="en-US"/>
        </w:rPr>
        <w:t>In 2020, BDT</w:t>
      </w:r>
      <w:r w:rsidR="0062306F" w:rsidRPr="05565369">
        <w:rPr>
          <w:lang w:val="en-US"/>
        </w:rPr>
        <w:t>’s</w:t>
      </w:r>
      <w:r w:rsidRPr="05565369">
        <w:rPr>
          <w:lang w:val="en-US"/>
        </w:rPr>
        <w:t xml:space="preserve"> </w:t>
      </w:r>
      <w:r w:rsidR="27682464" w:rsidRPr="05565369">
        <w:rPr>
          <w:lang w:val="en-US"/>
        </w:rPr>
        <w:t>main</w:t>
      </w:r>
      <w:r w:rsidRPr="05565369">
        <w:rPr>
          <w:lang w:val="en-US"/>
        </w:rPr>
        <w:t xml:space="preserve"> funding partners were primarily ITU Member States and other Governmental entities followed by International and Regional Organizations and Associations, Private sector entities, UN organizations, Foundations and Academia.</w:t>
      </w:r>
    </w:p>
    <w:p w14:paraId="5DA6B11D" w14:textId="262E71FD" w:rsidR="0099324B" w:rsidRDefault="007C3717" w:rsidP="00B24C81">
      <w:pPr>
        <w:spacing w:after="120"/>
        <w:jc w:val="both"/>
        <w:rPr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ED7C8CE" wp14:editId="74A95348">
            <wp:extent cx="5937250" cy="2656936"/>
            <wp:effectExtent l="0" t="0" r="6350" b="1016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E6531901-5BC8-4508-AD38-DAAC9DAF11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C13FCCD" w14:textId="5D8DCEE2" w:rsidR="00DF1FEB" w:rsidRPr="0075016A" w:rsidRDefault="00121163" w:rsidP="12BAB675">
      <w:pPr>
        <w:spacing w:after="120"/>
        <w:rPr>
          <w:lang w:val="en-US"/>
        </w:rPr>
      </w:pPr>
      <w:r w:rsidRPr="12BAB675">
        <w:rPr>
          <w:lang w:val="en-US"/>
        </w:rPr>
        <w:t xml:space="preserve">The </w:t>
      </w:r>
      <w:r w:rsidR="00DF1FEB" w:rsidRPr="12BAB675">
        <w:rPr>
          <w:lang w:val="en-US"/>
        </w:rPr>
        <w:t xml:space="preserve">three  </w:t>
      </w:r>
      <w:r w:rsidR="008E4C5F" w:rsidRPr="12BAB675">
        <w:rPr>
          <w:lang w:val="en-US"/>
        </w:rPr>
        <w:t xml:space="preserve">funding partners </w:t>
      </w:r>
      <w:r w:rsidR="2D2AE6B9" w:rsidRPr="12BAB675">
        <w:rPr>
          <w:lang w:val="en-US"/>
        </w:rPr>
        <w:t xml:space="preserve">with the largest financial contributions </w:t>
      </w:r>
      <w:r w:rsidR="00C83F09" w:rsidRPr="12BAB675">
        <w:rPr>
          <w:lang w:val="en-US"/>
        </w:rPr>
        <w:t xml:space="preserve">in </w:t>
      </w:r>
      <w:r w:rsidR="00720E7F" w:rsidRPr="12BAB675">
        <w:rPr>
          <w:lang w:val="en-US"/>
        </w:rPr>
        <w:t xml:space="preserve">2020 </w:t>
      </w:r>
      <w:r w:rsidR="009E1EA1" w:rsidRPr="12BAB675">
        <w:rPr>
          <w:lang w:val="en-US"/>
        </w:rPr>
        <w:t>were</w:t>
      </w:r>
      <w:r w:rsidR="00DF1FEB" w:rsidRPr="12BAB675">
        <w:rPr>
          <w:lang w:val="en-US"/>
        </w:rPr>
        <w:t xml:space="preserve">: </w:t>
      </w:r>
    </w:p>
    <w:p w14:paraId="35D6116D" w14:textId="5DA264ED" w:rsidR="0004770E" w:rsidRPr="00434A48" w:rsidRDefault="00DF1FEB" w:rsidP="00C61DED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357" w:hanging="357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B96D4D">
        <w:rPr>
          <w:rFonts w:asciiTheme="minorHAnsi" w:hAnsiTheme="minorHAnsi" w:cstheme="minorHAnsi"/>
          <w:sz w:val="24"/>
          <w:szCs w:val="24"/>
        </w:rPr>
        <w:t xml:space="preserve">The </w:t>
      </w:r>
      <w:r w:rsidR="00720E7F" w:rsidRPr="00286CD9">
        <w:rPr>
          <w:rFonts w:asciiTheme="minorHAnsi" w:hAnsiTheme="minorHAnsi" w:cstheme="minorHAnsi"/>
          <w:b/>
          <w:bCs w:val="0"/>
          <w:sz w:val="24"/>
          <w:szCs w:val="24"/>
        </w:rPr>
        <w:t>Norwegian Agency for Development Cooperation (N</w:t>
      </w:r>
      <w:r w:rsidR="00AC51E4" w:rsidRPr="00286CD9">
        <w:rPr>
          <w:rFonts w:asciiTheme="minorHAnsi" w:hAnsiTheme="minorHAnsi" w:cstheme="minorHAnsi"/>
          <w:b/>
          <w:bCs w:val="0"/>
          <w:sz w:val="24"/>
          <w:szCs w:val="24"/>
        </w:rPr>
        <w:t>ORAD</w:t>
      </w:r>
      <w:r w:rsidR="00720E7F" w:rsidRPr="00B96D4D">
        <w:rPr>
          <w:rFonts w:asciiTheme="minorHAnsi" w:hAnsiTheme="minorHAnsi" w:cstheme="minorHAnsi"/>
          <w:sz w:val="24"/>
          <w:szCs w:val="24"/>
        </w:rPr>
        <w:t>)</w:t>
      </w:r>
      <w:r w:rsidR="00173F75" w:rsidRPr="00B96D4D">
        <w:rPr>
          <w:rFonts w:asciiTheme="minorHAnsi" w:hAnsiTheme="minorHAnsi" w:cstheme="minorHAnsi"/>
          <w:sz w:val="24"/>
          <w:szCs w:val="24"/>
        </w:rPr>
        <w:t>,</w:t>
      </w:r>
      <w:r w:rsidRPr="00B96D4D">
        <w:rPr>
          <w:rFonts w:asciiTheme="minorHAnsi" w:hAnsiTheme="minorHAnsi" w:cstheme="minorHAnsi"/>
          <w:sz w:val="24"/>
          <w:szCs w:val="24"/>
        </w:rPr>
        <w:t xml:space="preserve"> </w:t>
      </w:r>
      <w:r w:rsidR="008F487F" w:rsidRPr="00B96D4D">
        <w:rPr>
          <w:rFonts w:asciiTheme="minorHAnsi" w:hAnsiTheme="minorHAnsi" w:cstheme="minorHAnsi"/>
          <w:sz w:val="24"/>
          <w:szCs w:val="24"/>
        </w:rPr>
        <w:t xml:space="preserve">with a </w:t>
      </w:r>
      <w:r w:rsidR="00431360" w:rsidRPr="00B96D4D">
        <w:rPr>
          <w:rFonts w:asciiTheme="minorHAnsi" w:hAnsiTheme="minorHAnsi" w:cstheme="minorHAnsi"/>
          <w:sz w:val="24"/>
          <w:szCs w:val="24"/>
        </w:rPr>
        <w:t xml:space="preserve">signed </w:t>
      </w:r>
      <w:r w:rsidRPr="00B96D4D">
        <w:rPr>
          <w:rFonts w:asciiTheme="minorHAnsi" w:hAnsiTheme="minorHAnsi" w:cstheme="minorHAnsi"/>
          <w:sz w:val="24"/>
          <w:szCs w:val="24"/>
        </w:rPr>
        <w:t xml:space="preserve">financial contribution </w:t>
      </w:r>
      <w:r w:rsidR="008F487F" w:rsidRPr="00B96D4D">
        <w:rPr>
          <w:rFonts w:asciiTheme="minorHAnsi" w:hAnsiTheme="minorHAnsi" w:cstheme="minorHAnsi"/>
          <w:sz w:val="24"/>
          <w:szCs w:val="24"/>
        </w:rPr>
        <w:t xml:space="preserve">of </w:t>
      </w:r>
      <w:r w:rsidR="008F487F" w:rsidRPr="00286CD9">
        <w:rPr>
          <w:rFonts w:asciiTheme="minorHAnsi" w:hAnsiTheme="minorHAnsi" w:cstheme="minorHAnsi"/>
          <w:b/>
          <w:bCs w:val="0"/>
          <w:sz w:val="24"/>
          <w:szCs w:val="24"/>
        </w:rPr>
        <w:t>USD</w:t>
      </w:r>
      <w:r w:rsidR="00022741">
        <w:rPr>
          <w:rFonts w:asciiTheme="minorHAnsi" w:hAnsiTheme="minorHAnsi" w:cstheme="minorHAnsi"/>
          <w:b/>
          <w:bCs w:val="0"/>
          <w:sz w:val="24"/>
          <w:szCs w:val="24"/>
        </w:rPr>
        <w:t xml:space="preserve"> </w:t>
      </w:r>
      <w:r w:rsidR="00720E7F" w:rsidRPr="00286CD9">
        <w:rPr>
          <w:rFonts w:asciiTheme="minorHAnsi" w:hAnsiTheme="minorHAnsi" w:cstheme="minorHAnsi"/>
          <w:b/>
          <w:bCs w:val="0"/>
          <w:sz w:val="24"/>
          <w:szCs w:val="24"/>
        </w:rPr>
        <w:t>3.</w:t>
      </w:r>
      <w:r w:rsidR="00500043" w:rsidRPr="00286CD9">
        <w:rPr>
          <w:rFonts w:asciiTheme="minorHAnsi" w:hAnsiTheme="minorHAnsi" w:cstheme="minorHAnsi"/>
          <w:b/>
          <w:bCs w:val="0"/>
          <w:sz w:val="24"/>
          <w:szCs w:val="24"/>
        </w:rPr>
        <w:t>3</w:t>
      </w:r>
      <w:r w:rsidR="00524DAD" w:rsidRPr="00286CD9">
        <w:rPr>
          <w:rFonts w:asciiTheme="minorHAnsi" w:hAnsiTheme="minorHAnsi" w:cstheme="minorHAnsi"/>
          <w:b/>
          <w:bCs w:val="0"/>
          <w:sz w:val="24"/>
          <w:szCs w:val="24"/>
        </w:rPr>
        <w:t xml:space="preserve"> million</w:t>
      </w:r>
      <w:r w:rsidR="00C83F09" w:rsidRPr="00B96D4D">
        <w:rPr>
          <w:rFonts w:asciiTheme="minorHAnsi" w:hAnsiTheme="minorHAnsi" w:cstheme="minorHAnsi"/>
          <w:sz w:val="24"/>
          <w:szCs w:val="24"/>
        </w:rPr>
        <w:t>.</w:t>
      </w:r>
      <w:r w:rsidR="000227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74AFA" w14:textId="7822F79C" w:rsidR="00DF1FEB" w:rsidRPr="00434A48" w:rsidRDefault="00DF1FEB" w:rsidP="00C61DED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357" w:hanging="357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B96D4D">
        <w:rPr>
          <w:rFonts w:asciiTheme="minorHAnsi" w:hAnsiTheme="minorHAnsi" w:cstheme="minorHAnsi"/>
          <w:sz w:val="24"/>
          <w:szCs w:val="24"/>
        </w:rPr>
        <w:t xml:space="preserve">The </w:t>
      </w:r>
      <w:r w:rsidR="00500043" w:rsidRPr="00286CD9">
        <w:rPr>
          <w:rStyle w:val="normaltextrun"/>
          <w:rFonts w:asciiTheme="minorHAnsi" w:hAnsiTheme="minorHAnsi" w:cstheme="minorHAnsi"/>
          <w:b/>
          <w:bCs w:val="0"/>
          <w:color w:val="000000"/>
          <w:sz w:val="24"/>
          <w:szCs w:val="24"/>
        </w:rPr>
        <w:t>National Cybersecurity Authority (NCA)</w:t>
      </w:r>
      <w:r w:rsidR="00500043" w:rsidRPr="00286CD9">
        <w:rPr>
          <w:rStyle w:val="normaltextrun"/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00043" w:rsidRPr="00286CD9">
        <w:rPr>
          <w:rStyle w:val="normaltextrun"/>
          <w:rFonts w:asciiTheme="minorHAnsi" w:hAnsiTheme="minorHAnsi" w:cstheme="minorHAnsi"/>
          <w:b/>
          <w:bCs w:val="0"/>
          <w:color w:val="000000"/>
          <w:sz w:val="24"/>
          <w:szCs w:val="24"/>
        </w:rPr>
        <w:t>Saudi Arabia</w:t>
      </w:r>
      <w:r w:rsidR="00173F75" w:rsidRPr="00B96D4D">
        <w:rPr>
          <w:rFonts w:asciiTheme="minorHAnsi" w:hAnsiTheme="minorHAnsi" w:cstheme="minorHAnsi"/>
          <w:sz w:val="24"/>
          <w:szCs w:val="24"/>
        </w:rPr>
        <w:t>,</w:t>
      </w:r>
      <w:r w:rsidRPr="00434A48">
        <w:rPr>
          <w:rFonts w:asciiTheme="minorHAnsi" w:hAnsiTheme="minorHAnsi" w:cstheme="minorHAnsi"/>
          <w:sz w:val="24"/>
          <w:szCs w:val="24"/>
        </w:rPr>
        <w:t xml:space="preserve"> with a </w:t>
      </w:r>
      <w:r w:rsidR="00431360" w:rsidRPr="00434A48">
        <w:rPr>
          <w:rFonts w:asciiTheme="minorHAnsi" w:hAnsiTheme="minorHAnsi" w:cstheme="minorHAnsi"/>
          <w:sz w:val="24"/>
          <w:szCs w:val="24"/>
        </w:rPr>
        <w:t xml:space="preserve">signed </w:t>
      </w:r>
      <w:r w:rsidRPr="00B96D4D">
        <w:rPr>
          <w:rFonts w:asciiTheme="minorHAnsi" w:hAnsiTheme="minorHAnsi" w:cstheme="minorHAnsi"/>
          <w:sz w:val="24"/>
          <w:szCs w:val="24"/>
        </w:rPr>
        <w:t xml:space="preserve">financial contribution of </w:t>
      </w:r>
      <w:r w:rsidR="00500043" w:rsidRPr="00286CD9">
        <w:rPr>
          <w:rFonts w:asciiTheme="minorHAnsi" w:hAnsiTheme="minorHAnsi" w:cstheme="minorHAnsi"/>
          <w:b/>
          <w:bCs w:val="0"/>
          <w:sz w:val="24"/>
          <w:szCs w:val="24"/>
        </w:rPr>
        <w:t>USD 1.6</w:t>
      </w:r>
      <w:r w:rsidR="00524DAD" w:rsidRPr="00286CD9">
        <w:rPr>
          <w:rFonts w:asciiTheme="minorHAnsi" w:hAnsiTheme="minorHAnsi" w:cstheme="minorHAnsi"/>
          <w:b/>
          <w:bCs w:val="0"/>
          <w:sz w:val="24"/>
          <w:szCs w:val="24"/>
        </w:rPr>
        <w:t xml:space="preserve"> </w:t>
      </w:r>
      <w:r w:rsidR="009C2D03" w:rsidRPr="00286CD9">
        <w:rPr>
          <w:rFonts w:asciiTheme="minorHAnsi" w:hAnsiTheme="minorHAnsi" w:cstheme="minorHAnsi"/>
          <w:b/>
          <w:bCs w:val="0"/>
          <w:sz w:val="24"/>
          <w:szCs w:val="24"/>
        </w:rPr>
        <w:t>million</w:t>
      </w:r>
      <w:r w:rsidR="00C83F09" w:rsidRPr="00B96D4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B4447E" w14:textId="0FCF7056" w:rsidR="00DF1FEB" w:rsidRPr="00B96D4D" w:rsidRDefault="007B442A" w:rsidP="00C61DED">
      <w:pPr>
        <w:pStyle w:val="Default"/>
        <w:numPr>
          <w:ilvl w:val="0"/>
          <w:numId w:val="23"/>
        </w:numPr>
        <w:overflowPunct w:val="0"/>
        <w:spacing w:before="60" w:after="60"/>
        <w:ind w:left="357" w:hanging="357"/>
        <w:textAlignment w:val="baseline"/>
        <w:rPr>
          <w:rFonts w:asciiTheme="minorHAnsi" w:hAnsiTheme="minorHAnsi" w:cstheme="minorHAnsi"/>
        </w:rPr>
      </w:pPr>
      <w:r w:rsidRPr="00434A48">
        <w:rPr>
          <w:rFonts w:asciiTheme="minorHAnsi" w:hAnsiTheme="minorHAnsi" w:cstheme="minorHAnsi"/>
        </w:rPr>
        <w:t xml:space="preserve">The </w:t>
      </w:r>
      <w:r w:rsidR="00500043" w:rsidRPr="00286CD9">
        <w:rPr>
          <w:rStyle w:val="normaltextrun"/>
          <w:rFonts w:asciiTheme="minorHAnsi" w:eastAsia="SimHei" w:hAnsiTheme="minorHAnsi" w:cstheme="minorHAnsi"/>
          <w:b/>
        </w:rPr>
        <w:t>Communications and Information Technology (CITC)</w:t>
      </w:r>
      <w:r w:rsidRPr="00286CD9">
        <w:rPr>
          <w:rFonts w:asciiTheme="minorHAnsi" w:hAnsiTheme="minorHAnsi" w:cstheme="minorHAnsi"/>
          <w:b/>
        </w:rPr>
        <w:t xml:space="preserve">, Saudi </w:t>
      </w:r>
      <w:r w:rsidR="00DF1FEB" w:rsidRPr="00286CD9">
        <w:rPr>
          <w:rFonts w:asciiTheme="minorHAnsi" w:hAnsiTheme="minorHAnsi" w:cstheme="minorHAnsi"/>
          <w:b/>
        </w:rPr>
        <w:t>Arabia</w:t>
      </w:r>
      <w:r w:rsidR="00DF1FEB" w:rsidRPr="00B96D4D">
        <w:rPr>
          <w:rFonts w:asciiTheme="minorHAnsi" w:hAnsiTheme="minorHAnsi" w:cstheme="minorHAnsi"/>
        </w:rPr>
        <w:t xml:space="preserve">, with a </w:t>
      </w:r>
      <w:r w:rsidR="00431360" w:rsidRPr="00434A48">
        <w:rPr>
          <w:rFonts w:asciiTheme="minorHAnsi" w:hAnsiTheme="minorHAnsi" w:cstheme="minorHAnsi"/>
        </w:rPr>
        <w:t xml:space="preserve">signed </w:t>
      </w:r>
      <w:r w:rsidR="00DF1FEB" w:rsidRPr="00434A48">
        <w:rPr>
          <w:rFonts w:asciiTheme="minorHAnsi" w:hAnsiTheme="minorHAnsi" w:cstheme="minorHAnsi"/>
        </w:rPr>
        <w:t xml:space="preserve">financial contribution of </w:t>
      </w:r>
      <w:r w:rsidR="00DF1FEB" w:rsidRPr="00286CD9">
        <w:rPr>
          <w:rFonts w:asciiTheme="minorHAnsi" w:hAnsiTheme="minorHAnsi" w:cstheme="minorHAnsi"/>
          <w:b/>
          <w:bCs/>
        </w:rPr>
        <w:t>USD 1</w:t>
      </w:r>
      <w:r w:rsidR="00524DAD" w:rsidRPr="00286CD9">
        <w:rPr>
          <w:rFonts w:asciiTheme="minorHAnsi" w:hAnsiTheme="minorHAnsi" w:cstheme="minorHAnsi"/>
          <w:b/>
          <w:bCs/>
        </w:rPr>
        <w:t>.</w:t>
      </w:r>
      <w:r w:rsidR="00E431B2" w:rsidRPr="00286CD9">
        <w:rPr>
          <w:rFonts w:asciiTheme="minorHAnsi" w:hAnsiTheme="minorHAnsi" w:cstheme="minorHAnsi"/>
          <w:b/>
          <w:bCs/>
        </w:rPr>
        <w:t>45</w:t>
      </w:r>
      <w:r w:rsidR="00524DAD" w:rsidRPr="00286CD9">
        <w:rPr>
          <w:rFonts w:asciiTheme="minorHAnsi" w:hAnsiTheme="minorHAnsi" w:cstheme="minorHAnsi"/>
          <w:b/>
          <w:bCs/>
        </w:rPr>
        <w:t xml:space="preserve"> million</w:t>
      </w:r>
      <w:r w:rsidR="00EC647A" w:rsidRPr="00286CD9">
        <w:rPr>
          <w:rFonts w:asciiTheme="minorHAnsi" w:hAnsiTheme="minorHAnsi" w:cstheme="minorHAnsi"/>
          <w:b/>
          <w:bCs/>
        </w:rPr>
        <w:t>.</w:t>
      </w:r>
    </w:p>
    <w:p w14:paraId="14B0C40F" w14:textId="1CEA3FCA" w:rsidR="00CB10FD" w:rsidRDefault="00CB10FD" w:rsidP="00C61DED">
      <w:pPr>
        <w:pStyle w:val="Default"/>
        <w:overflowPunct w:val="0"/>
        <w:spacing w:before="120" w:after="1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graphs show the </w:t>
      </w:r>
      <w:r w:rsidR="00AC51E4">
        <w:rPr>
          <w:rFonts w:asciiTheme="minorHAnsi" w:hAnsiTheme="minorHAnsi" w:cstheme="minorHAnsi"/>
        </w:rPr>
        <w:t>of financial</w:t>
      </w:r>
      <w:r>
        <w:rPr>
          <w:rFonts w:asciiTheme="minorHAnsi" w:hAnsiTheme="minorHAnsi" w:cstheme="minorHAnsi"/>
        </w:rPr>
        <w:t xml:space="preserve"> </w:t>
      </w:r>
      <w:r w:rsidR="00AC51E4">
        <w:rPr>
          <w:rFonts w:asciiTheme="minorHAnsi" w:hAnsiTheme="minorHAnsi" w:cstheme="minorHAnsi"/>
        </w:rPr>
        <w:t>contributions from</w:t>
      </w:r>
      <w:r w:rsidR="0075277D">
        <w:rPr>
          <w:rFonts w:asciiTheme="minorHAnsi" w:hAnsiTheme="minorHAnsi" w:cstheme="minorHAnsi"/>
        </w:rPr>
        <w:t xml:space="preserve"> the signed agreements</w:t>
      </w:r>
      <w:r w:rsidR="0062306F">
        <w:rPr>
          <w:rFonts w:asciiTheme="minorHAnsi" w:hAnsiTheme="minorHAnsi" w:cstheme="minorHAnsi"/>
        </w:rPr>
        <w:t xml:space="preserve"> by</w:t>
      </w:r>
      <w:r>
        <w:rPr>
          <w:rFonts w:asciiTheme="minorHAnsi" w:hAnsiTheme="minorHAnsi" w:cstheme="minorHAnsi"/>
        </w:rPr>
        <w:t xml:space="preserve"> region and thematic </w:t>
      </w:r>
      <w:r w:rsidR="00AC51E4">
        <w:rPr>
          <w:rFonts w:asciiTheme="minorHAnsi" w:hAnsiTheme="minorHAnsi" w:cstheme="minorHAnsi"/>
        </w:rPr>
        <w:t>priority</w:t>
      </w:r>
      <w:r>
        <w:rPr>
          <w:rFonts w:asciiTheme="minorHAnsi" w:hAnsiTheme="minorHAnsi" w:cstheme="minorHAnsi"/>
        </w:rPr>
        <w:t xml:space="preserve">. </w:t>
      </w:r>
    </w:p>
    <w:p w14:paraId="0A9B9F8D" w14:textId="6EAAFC86" w:rsidR="00CB10FD" w:rsidRDefault="00CB10FD" w:rsidP="004A4948">
      <w:pPr>
        <w:pStyle w:val="Default"/>
        <w:autoSpaceDE/>
        <w:autoSpaceDN/>
        <w:adjustRightInd/>
        <w:snapToGrid w:val="0"/>
        <w:spacing w:before="40" w:after="40"/>
        <w:jc w:val="center"/>
        <w:rPr>
          <w:rFonts w:asciiTheme="minorHAnsi" w:hAnsiTheme="minorHAnsi" w:cstheme="minorHAnsi"/>
        </w:rPr>
      </w:pPr>
      <w:bookmarkStart w:id="6" w:name="_GoBack"/>
      <w:r w:rsidRPr="000C1471">
        <w:rPr>
          <w:noProof/>
          <w:color w:val="auto"/>
        </w:rPr>
        <w:drawing>
          <wp:inline distT="0" distB="0" distL="0" distR="0" wp14:anchorId="54882AB1" wp14:editId="144473B6">
            <wp:extent cx="5493146" cy="2398143"/>
            <wp:effectExtent l="0" t="0" r="12700" b="254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6CBB127E-1330-4140-965C-1172648234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6"/>
    </w:p>
    <w:p w14:paraId="7117A89C" w14:textId="2501DC94" w:rsidR="00083B59" w:rsidRDefault="002375D1" w:rsidP="004A4948">
      <w:pPr>
        <w:spacing w:after="120"/>
        <w:jc w:val="center"/>
        <w:rPr>
          <w:lang w:val="en-US"/>
        </w:rPr>
      </w:pPr>
      <w:r>
        <w:rPr>
          <w:noProof/>
        </w:rPr>
        <w:lastRenderedPageBreak/>
        <mc:AlternateContent>
          <mc:Choice Requires="cx2">
            <w:drawing>
              <wp:inline distT="0" distB="0" distL="0" distR="0" wp14:anchorId="7C4C19CB" wp14:editId="619DF8A1">
                <wp:extent cx="5177155" cy="2406770"/>
                <wp:effectExtent l="0" t="0" r="4445" b="12700"/>
                <wp:docPr id="23" name="Char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6FCF76-459F-4F37-9CC5-F40B2E2A3A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3"/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="http://schemas.microsoft.com/office/drawing/2014/main" xmlns:c="http://schemas.openxmlformats.org/drawingml/2006/chart">
            <w:drawing>
              <wp:inline distT="0" distB="0" distL="0" distR="0" wp14:anchorId="2CBECA6A" wp14:editId="619DF8A1">
                <wp:extent cx="5177155" cy="2406770"/>
                <wp:effectExtent l="0" t="0" r="4445" b="12700"/>
                <wp:docPr id="1305131762" name="Char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6FCF76-459F-4F37-9CC5-F40B2E2A3A52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hart 23">
                          <a:extLst>
                            <a:ext uri="{FF2B5EF4-FFF2-40B4-BE49-F238E27FC236}">
                              <a16:creationId xmlns:a16="http://schemas.microsoft.com/office/drawing/2014/main" id="{096FCF76-459F-4F37-9CC5-F40B2E2A3A52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7155" cy="2406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7B7FF73" w14:textId="4BF0F36F" w:rsidR="006B67BF" w:rsidRPr="00742714" w:rsidRDefault="006B67BF" w:rsidP="00022741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</w:rPr>
      </w:pPr>
      <w:r w:rsidRPr="00286CD9">
        <w:rPr>
          <w:rFonts w:asciiTheme="minorHAnsi" w:hAnsiTheme="minorHAnsi" w:cs="Calibri"/>
          <w:sz w:val="24"/>
          <w:szCs w:val="24"/>
          <w:lang w:val="en-US"/>
        </w:rPr>
        <w:t>Key Actions and Outcomes</w:t>
      </w:r>
    </w:p>
    <w:p w14:paraId="44956416" w14:textId="2446A505" w:rsidR="00A36513" w:rsidRPr="007F1A2A" w:rsidRDefault="00A36513" w:rsidP="12BAB675">
      <w:pPr>
        <w:pStyle w:val="CEOParagraph1"/>
        <w:numPr>
          <w:ilvl w:val="0"/>
          <w:numId w:val="0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/>
          <w:sz w:val="24"/>
          <w:szCs w:val="24"/>
        </w:rPr>
      </w:pPr>
      <w:r w:rsidRPr="12BAB675">
        <w:rPr>
          <w:rFonts w:asciiTheme="minorHAnsi" w:hAnsiTheme="minorHAnsi"/>
          <w:b w:val="0"/>
          <w:bCs w:val="0"/>
          <w:sz w:val="24"/>
          <w:szCs w:val="24"/>
        </w:rPr>
        <w:t>BDT ha</w:t>
      </w:r>
      <w:r w:rsidR="2E6A4CC0" w:rsidRPr="12BAB675">
        <w:rPr>
          <w:rFonts w:asciiTheme="minorHAnsi" w:hAnsiTheme="minorHAnsi"/>
          <w:b w:val="0"/>
          <w:bCs w:val="0"/>
          <w:sz w:val="24"/>
          <w:szCs w:val="24"/>
        </w:rPr>
        <w:t>s</w:t>
      </w:r>
      <w:r w:rsidRPr="12BAB675">
        <w:rPr>
          <w:rFonts w:asciiTheme="minorHAnsi" w:hAnsiTheme="minorHAnsi"/>
          <w:b w:val="0"/>
          <w:bCs w:val="0"/>
          <w:sz w:val="24"/>
          <w:szCs w:val="24"/>
        </w:rPr>
        <w:t xml:space="preserve"> been conducting a series of strategic actions including the development and enhancement of its internal products and external services to enhance partnerships and resource mobilization</w:t>
      </w:r>
      <w:r w:rsidR="00C13860" w:rsidRPr="12BAB675">
        <w:rPr>
          <w:rFonts w:asciiTheme="minorHAnsi" w:hAnsiTheme="minorHAnsi"/>
          <w:b w:val="0"/>
          <w:bCs w:val="0"/>
          <w:sz w:val="24"/>
          <w:szCs w:val="24"/>
        </w:rPr>
        <w:t>, such as:</w:t>
      </w:r>
    </w:p>
    <w:p w14:paraId="40EB3BD0" w14:textId="692D451A" w:rsidR="00D40696" w:rsidRPr="00C13860" w:rsidRDefault="00A23C8E" w:rsidP="12BAB67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Bidi"/>
          <w:sz w:val="24"/>
          <w:szCs w:val="24"/>
          <w:lang w:val="en"/>
        </w:rPr>
      </w:pPr>
      <w:r w:rsidRPr="12BAB675">
        <w:rPr>
          <w:rFonts w:asciiTheme="minorHAnsi" w:hAnsiTheme="minorHAnsi" w:cstheme="minorBidi"/>
          <w:b/>
          <w:sz w:val="24"/>
          <w:szCs w:val="24"/>
        </w:rPr>
        <w:t>S</w:t>
      </w:r>
      <w:r w:rsidR="002B776E" w:rsidRPr="12BAB675">
        <w:rPr>
          <w:rFonts w:asciiTheme="minorHAnsi" w:hAnsiTheme="minorHAnsi" w:cstheme="minorBidi"/>
          <w:b/>
          <w:sz w:val="24"/>
          <w:szCs w:val="24"/>
        </w:rPr>
        <w:t>trengthen</w:t>
      </w:r>
      <w:r w:rsidRPr="12BAB675">
        <w:rPr>
          <w:rFonts w:asciiTheme="minorHAnsi" w:hAnsiTheme="minorHAnsi" w:cstheme="minorBidi"/>
          <w:b/>
          <w:sz w:val="24"/>
          <w:szCs w:val="24"/>
        </w:rPr>
        <w:t>ing</w:t>
      </w:r>
      <w:r w:rsidR="002B776E" w:rsidRPr="12BAB675">
        <w:rPr>
          <w:rFonts w:asciiTheme="minorHAnsi" w:hAnsiTheme="minorHAnsi" w:cstheme="minorBidi"/>
          <w:b/>
          <w:sz w:val="24"/>
          <w:szCs w:val="24"/>
        </w:rPr>
        <w:t xml:space="preserve"> resource mobilization and partnership building</w:t>
      </w:r>
      <w:r w:rsidRPr="12BAB675">
        <w:rPr>
          <w:rFonts w:asciiTheme="minorHAnsi" w:hAnsiTheme="minorHAnsi" w:cstheme="minorBidi"/>
          <w:sz w:val="24"/>
          <w:szCs w:val="24"/>
        </w:rPr>
        <w:t>:</w:t>
      </w:r>
      <w:r w:rsidR="002B776E" w:rsidRPr="12BAB675">
        <w:rPr>
          <w:rFonts w:asciiTheme="minorHAnsi" w:hAnsiTheme="minorHAnsi" w:cstheme="minorBidi"/>
          <w:sz w:val="24"/>
          <w:szCs w:val="24"/>
        </w:rPr>
        <w:t xml:space="preserve"> </w:t>
      </w:r>
      <w:r w:rsidR="003A485C" w:rsidRPr="12BAB675">
        <w:rPr>
          <w:rFonts w:asciiTheme="minorHAnsi" w:hAnsiTheme="minorHAnsi" w:cstheme="minorBidi"/>
          <w:sz w:val="24"/>
          <w:szCs w:val="24"/>
        </w:rPr>
        <w:t>A</w:t>
      </w:r>
      <w:r w:rsidR="002B776E" w:rsidRPr="12BAB675">
        <w:rPr>
          <w:rFonts w:asciiTheme="minorHAnsi" w:hAnsiTheme="minorHAnsi" w:cstheme="minorBidi"/>
          <w:sz w:val="24"/>
          <w:szCs w:val="24"/>
        </w:rPr>
        <w:t xml:space="preserve"> consultancy </w:t>
      </w:r>
      <w:r w:rsidR="00AC51E4" w:rsidRPr="12BAB675">
        <w:rPr>
          <w:rFonts w:asciiTheme="minorHAnsi" w:hAnsiTheme="minorHAnsi" w:cstheme="minorBidi"/>
          <w:sz w:val="24"/>
          <w:szCs w:val="24"/>
        </w:rPr>
        <w:t xml:space="preserve">firm </w:t>
      </w:r>
      <w:r w:rsidR="002B776E" w:rsidRPr="12BAB675">
        <w:rPr>
          <w:rFonts w:asciiTheme="minorHAnsi" w:hAnsiTheme="minorHAnsi" w:cstheme="minorBidi"/>
          <w:sz w:val="24"/>
          <w:szCs w:val="24"/>
        </w:rPr>
        <w:t xml:space="preserve">hired to </w:t>
      </w:r>
      <w:r w:rsidR="002D509D" w:rsidRPr="12BAB675">
        <w:rPr>
          <w:rFonts w:asciiTheme="minorHAnsi" w:hAnsiTheme="minorHAnsi" w:cstheme="minorBidi"/>
          <w:sz w:val="24"/>
          <w:szCs w:val="24"/>
        </w:rPr>
        <w:t xml:space="preserve">assist the BDT </w:t>
      </w:r>
      <w:r w:rsidR="001F7D61" w:rsidRPr="12BAB675">
        <w:rPr>
          <w:rFonts w:asciiTheme="minorHAnsi" w:hAnsiTheme="minorHAnsi" w:cstheme="minorBidi"/>
          <w:sz w:val="24"/>
          <w:szCs w:val="24"/>
        </w:rPr>
        <w:t xml:space="preserve">in </w:t>
      </w:r>
      <w:r w:rsidR="002B776E" w:rsidRPr="12BAB675">
        <w:rPr>
          <w:rFonts w:asciiTheme="minorHAnsi" w:hAnsiTheme="minorHAnsi" w:cstheme="minorBidi"/>
          <w:sz w:val="24"/>
          <w:szCs w:val="24"/>
        </w:rPr>
        <w:t>develop</w:t>
      </w:r>
      <w:r w:rsidR="002D509D" w:rsidRPr="12BAB675">
        <w:rPr>
          <w:rFonts w:asciiTheme="minorHAnsi" w:hAnsiTheme="minorHAnsi" w:cstheme="minorBidi"/>
          <w:sz w:val="24"/>
          <w:szCs w:val="24"/>
        </w:rPr>
        <w:t xml:space="preserve">ing </w:t>
      </w:r>
      <w:r w:rsidR="002B776E" w:rsidRPr="12BAB675">
        <w:rPr>
          <w:rFonts w:asciiTheme="minorHAnsi" w:hAnsiTheme="minorHAnsi" w:cstheme="minorBidi"/>
          <w:sz w:val="24"/>
          <w:szCs w:val="24"/>
        </w:rPr>
        <w:t xml:space="preserve">a </w:t>
      </w:r>
      <w:r w:rsidR="00767ABE" w:rsidRPr="12BAB675">
        <w:rPr>
          <w:rFonts w:asciiTheme="minorHAnsi" w:hAnsiTheme="minorHAnsi" w:cstheme="minorBidi"/>
          <w:b/>
          <w:sz w:val="24"/>
          <w:szCs w:val="24"/>
        </w:rPr>
        <w:t xml:space="preserve">new </w:t>
      </w:r>
      <w:r w:rsidR="002B776E" w:rsidRPr="12BAB675">
        <w:rPr>
          <w:rFonts w:asciiTheme="minorHAnsi" w:hAnsiTheme="minorHAnsi" w:cstheme="minorBidi"/>
          <w:b/>
          <w:sz w:val="24"/>
          <w:szCs w:val="24"/>
        </w:rPr>
        <w:t>robust</w:t>
      </w:r>
      <w:r w:rsidR="00767ABE" w:rsidRPr="12BAB675">
        <w:rPr>
          <w:rFonts w:asciiTheme="minorHAnsi" w:hAnsiTheme="minorHAnsi" w:cstheme="minorBidi"/>
          <w:b/>
          <w:sz w:val="24"/>
          <w:szCs w:val="24"/>
        </w:rPr>
        <w:t xml:space="preserve"> and </w:t>
      </w:r>
      <w:r w:rsidR="002B776E" w:rsidRPr="12BAB675">
        <w:rPr>
          <w:rFonts w:asciiTheme="minorHAnsi" w:hAnsiTheme="minorHAnsi" w:cstheme="minorBidi"/>
          <w:b/>
          <w:sz w:val="24"/>
          <w:szCs w:val="24"/>
        </w:rPr>
        <w:t xml:space="preserve">forward-looking resource mobilization strategy and </w:t>
      </w:r>
      <w:r w:rsidR="002A6189" w:rsidRPr="12BAB675">
        <w:rPr>
          <w:rFonts w:asciiTheme="minorHAnsi" w:hAnsiTheme="minorHAnsi" w:cstheme="minorBidi"/>
          <w:b/>
          <w:sz w:val="24"/>
          <w:szCs w:val="24"/>
        </w:rPr>
        <w:t xml:space="preserve">action </w:t>
      </w:r>
      <w:r w:rsidR="002B776E" w:rsidRPr="12BAB675">
        <w:rPr>
          <w:rFonts w:asciiTheme="minorHAnsi" w:hAnsiTheme="minorHAnsi" w:cstheme="minorBidi"/>
          <w:b/>
          <w:sz w:val="24"/>
          <w:szCs w:val="24"/>
        </w:rPr>
        <w:t>plan</w:t>
      </w:r>
      <w:r w:rsidR="002A6189" w:rsidRPr="12BAB675">
        <w:rPr>
          <w:rFonts w:asciiTheme="minorHAnsi" w:hAnsiTheme="minorHAnsi" w:cstheme="minorBidi"/>
          <w:sz w:val="24"/>
          <w:szCs w:val="24"/>
        </w:rPr>
        <w:t xml:space="preserve"> </w:t>
      </w:r>
      <w:r w:rsidR="37A97630" w:rsidRPr="12BAB675">
        <w:rPr>
          <w:rFonts w:asciiTheme="minorHAnsi" w:hAnsiTheme="minorHAnsi" w:cstheme="minorBidi"/>
          <w:sz w:val="24"/>
          <w:szCs w:val="24"/>
        </w:rPr>
        <w:t>completed and submitted</w:t>
      </w:r>
      <w:r w:rsidR="003A485C" w:rsidRPr="12BAB675">
        <w:rPr>
          <w:rFonts w:asciiTheme="minorHAnsi" w:hAnsiTheme="minorHAnsi" w:cstheme="minorBidi"/>
          <w:sz w:val="24"/>
          <w:szCs w:val="24"/>
        </w:rPr>
        <w:t xml:space="preserve"> its work </w:t>
      </w:r>
      <w:r w:rsidR="0062306F" w:rsidRPr="12BAB675">
        <w:rPr>
          <w:rFonts w:asciiTheme="minorHAnsi" w:hAnsiTheme="minorHAnsi" w:cstheme="minorBidi"/>
          <w:sz w:val="24"/>
          <w:szCs w:val="24"/>
        </w:rPr>
        <w:t xml:space="preserve">at the </w:t>
      </w:r>
      <w:r w:rsidR="003A485C" w:rsidRPr="12BAB675">
        <w:rPr>
          <w:rFonts w:asciiTheme="minorHAnsi" w:hAnsiTheme="minorHAnsi" w:cstheme="minorBidi"/>
          <w:sz w:val="24"/>
          <w:szCs w:val="24"/>
        </w:rPr>
        <w:t xml:space="preserve">end of 2020. BDT further developed a combined Partnerships and Resource Mobilization </w:t>
      </w:r>
      <w:r w:rsidR="00180A6E" w:rsidRPr="12BAB675">
        <w:rPr>
          <w:rFonts w:asciiTheme="minorHAnsi" w:hAnsiTheme="minorHAnsi" w:cstheme="minorBidi"/>
          <w:sz w:val="24"/>
          <w:szCs w:val="24"/>
        </w:rPr>
        <w:t>S</w:t>
      </w:r>
      <w:r w:rsidR="003A485C" w:rsidRPr="12BAB675">
        <w:rPr>
          <w:rFonts w:asciiTheme="minorHAnsi" w:hAnsiTheme="minorHAnsi" w:cstheme="minorBidi"/>
          <w:sz w:val="24"/>
          <w:szCs w:val="24"/>
        </w:rPr>
        <w:t xml:space="preserve">trategy aimed at harmonizing the two elements of fundraising </w:t>
      </w:r>
      <w:r w:rsidR="00AC51E4" w:rsidRPr="12BAB675">
        <w:rPr>
          <w:rFonts w:asciiTheme="minorHAnsi" w:hAnsiTheme="minorHAnsi" w:cstheme="minorBidi"/>
          <w:sz w:val="24"/>
          <w:szCs w:val="24"/>
        </w:rPr>
        <w:t>i.e.,</w:t>
      </w:r>
      <w:r w:rsidR="003A485C" w:rsidRPr="12BAB675">
        <w:rPr>
          <w:rFonts w:asciiTheme="minorHAnsi" w:hAnsiTheme="minorHAnsi" w:cstheme="minorBidi"/>
          <w:sz w:val="24"/>
          <w:szCs w:val="24"/>
        </w:rPr>
        <w:t xml:space="preserve"> partnerships and resource mobilization. The new strategy is already under implementation. </w:t>
      </w:r>
    </w:p>
    <w:p w14:paraId="6667A6F8" w14:textId="72520B6A" w:rsidR="00D168AC" w:rsidRPr="00C13860" w:rsidRDefault="003A485C" w:rsidP="12BAB675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12BAB675">
        <w:rPr>
          <w:rFonts w:asciiTheme="minorHAnsi" w:eastAsia="Times New Roman" w:hAnsiTheme="minorHAnsi" w:cstheme="minorBidi"/>
          <w:b/>
          <w:sz w:val="24"/>
          <w:szCs w:val="24"/>
          <w:lang w:eastAsia="en-US"/>
        </w:rPr>
        <w:t>E</w:t>
      </w:r>
      <w:r w:rsidR="00303661" w:rsidRPr="12BAB675">
        <w:rPr>
          <w:rFonts w:asciiTheme="minorHAnsi" w:eastAsia="Times New Roman" w:hAnsiTheme="minorHAnsi" w:cstheme="minorBidi"/>
          <w:b/>
          <w:sz w:val="24"/>
          <w:szCs w:val="24"/>
          <w:lang w:eastAsia="en-US"/>
        </w:rPr>
        <w:t>nhanc</w:t>
      </w:r>
      <w:r w:rsidRPr="12BAB675">
        <w:rPr>
          <w:rFonts w:asciiTheme="minorHAnsi" w:eastAsia="Times New Roman" w:hAnsiTheme="minorHAnsi" w:cstheme="minorBidi"/>
          <w:b/>
          <w:sz w:val="24"/>
          <w:szCs w:val="24"/>
          <w:lang w:eastAsia="en-US"/>
        </w:rPr>
        <w:t>ing</w:t>
      </w:r>
      <w:r w:rsidR="00303661" w:rsidRPr="12BAB675">
        <w:rPr>
          <w:rFonts w:asciiTheme="minorHAnsi" w:eastAsia="Times New Roman" w:hAnsiTheme="minorHAnsi" w:cstheme="minorBidi"/>
          <w:b/>
          <w:sz w:val="24"/>
          <w:szCs w:val="24"/>
          <w:lang w:eastAsia="en-US"/>
        </w:rPr>
        <w:t xml:space="preserve"> staff expertise in resource mobilization</w:t>
      </w:r>
      <w:r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: </w:t>
      </w:r>
      <w:r w:rsidR="00AC51E4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>a</w:t>
      </w:r>
      <w:r w:rsidR="00303661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</w:t>
      </w:r>
      <w:r w:rsidR="00487435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>virtual training on r</w:t>
      </w:r>
      <w:r w:rsidR="007E2171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>esource mobilization</w:t>
      </w:r>
      <w:r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was organized and successfully delivered through the services of a resource mobilization training</w:t>
      </w:r>
      <w:r w:rsidRPr="00CC0C97">
        <w:rPr>
          <w:rFonts w:asciiTheme="minorHAnsi" w:eastAsia="Times New Roman" w:hAnsiTheme="minorHAnsi" w:cstheme="minorBidi"/>
          <w:bCs w:val="0"/>
          <w:sz w:val="24"/>
          <w:szCs w:val="24"/>
          <w:lang w:eastAsia="en-US"/>
        </w:rPr>
        <w:t xml:space="preserve"> </w:t>
      </w:r>
      <w:r w:rsidR="00AC51E4" w:rsidRPr="00CC0C97">
        <w:rPr>
          <w:rFonts w:asciiTheme="minorHAnsi" w:eastAsia="Times New Roman" w:hAnsiTheme="minorHAnsi" w:cstheme="minorBidi"/>
          <w:bCs w:val="0"/>
          <w:sz w:val="24"/>
          <w:szCs w:val="24"/>
          <w:lang w:eastAsia="en-US"/>
        </w:rPr>
        <w:t>consultancy</w:t>
      </w:r>
      <w:r w:rsidR="00AC51E4" w:rsidRPr="12BAB675">
        <w:rPr>
          <w:rFonts w:asciiTheme="minorHAnsi" w:eastAsia="Times New Roman" w:hAnsiTheme="minorHAnsi" w:cstheme="minorBidi"/>
          <w:b/>
          <w:sz w:val="24"/>
          <w:szCs w:val="24"/>
          <w:lang w:eastAsia="en-US"/>
        </w:rPr>
        <w:t xml:space="preserve">. </w:t>
      </w:r>
      <w:r w:rsidR="00AC51E4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>The</w:t>
      </w:r>
      <w:r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training</w:t>
      </w:r>
      <w:r w:rsidR="069AF510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>,</w:t>
      </w:r>
      <w:r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which was based on the BDT’s partnerships and resource mobilization strategy,</w:t>
      </w:r>
      <w:r w:rsidRPr="12BAB675">
        <w:rPr>
          <w:rFonts w:asciiTheme="minorHAnsi" w:eastAsia="Times New Roman" w:hAnsiTheme="minorHAnsi" w:cstheme="minorBidi"/>
          <w:b/>
          <w:sz w:val="24"/>
          <w:szCs w:val="24"/>
          <w:lang w:eastAsia="en-US"/>
        </w:rPr>
        <w:t xml:space="preserve"> </w:t>
      </w:r>
      <w:r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>was</w:t>
      </w:r>
      <w:r w:rsidR="00487435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</w:t>
      </w:r>
      <w:r w:rsidR="0001418D" w:rsidRPr="12BAB675">
        <w:rPr>
          <w:rFonts w:asciiTheme="minorHAnsi" w:eastAsia="Times New Roman" w:hAnsiTheme="minorHAnsi" w:cstheme="minorBidi"/>
          <w:sz w:val="24"/>
          <w:szCs w:val="24"/>
          <w:lang w:eastAsia="en-US"/>
        </w:rPr>
        <w:t>delivered</w:t>
      </w:r>
      <w:r w:rsidR="0001418D" w:rsidRPr="12BAB675">
        <w:rPr>
          <w:rFonts w:asciiTheme="minorHAnsi" w:eastAsia="Times New Roman" w:hAnsiTheme="minorHAnsi" w:cstheme="minorBidi"/>
          <w:b/>
          <w:sz w:val="24"/>
          <w:szCs w:val="24"/>
          <w:lang w:eastAsia="en-US"/>
        </w:rPr>
        <w:t xml:space="preserve"> </w:t>
      </w:r>
      <w:r w:rsidR="00303661"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to </w:t>
      </w:r>
      <w:r w:rsidR="0001418D"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91 staff (78 from BDT and 13 from other </w:t>
      </w:r>
      <w:r w:rsidR="009C0145"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>bureaux</w:t>
      </w:r>
      <w:r w:rsidR="0001418D"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>)</w:t>
      </w:r>
      <w:r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>.</w:t>
      </w:r>
      <w:r w:rsidR="00022741"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00D168AC"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The training </w:t>
      </w:r>
      <w:r w:rsidR="0094558F" w:rsidRPr="12BAB675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provided fundamentals of resource mobilization to staff in the field and at headquarters to equip them with skills to engage, manage, and conclude both financial and non-financial partnership and resource mobilization arrangements with stakeholders. </w:t>
      </w:r>
    </w:p>
    <w:p w14:paraId="7CBD4FD6" w14:textId="78DC4861" w:rsidR="00E7214F" w:rsidRPr="00990CBD" w:rsidRDefault="0094558F" w:rsidP="00022741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86CD9">
        <w:rPr>
          <w:rFonts w:asciiTheme="minorHAnsi" w:hAnsiTheme="minorHAnsi" w:cstheme="minorHAnsi"/>
          <w:b/>
          <w:bCs w:val="0"/>
          <w:sz w:val="24"/>
          <w:szCs w:val="24"/>
        </w:rPr>
        <w:t>Enhancing Research Tools</w:t>
      </w:r>
      <w:r>
        <w:rPr>
          <w:rFonts w:asciiTheme="minorHAnsi" w:hAnsiTheme="minorHAnsi" w:cstheme="minorHAnsi"/>
          <w:sz w:val="24"/>
          <w:szCs w:val="24"/>
        </w:rPr>
        <w:t>:</w:t>
      </w:r>
      <w:r w:rsidR="00022741">
        <w:rPr>
          <w:rFonts w:asciiTheme="minorHAnsi" w:hAnsiTheme="minorHAnsi" w:cstheme="minorHAnsi"/>
          <w:sz w:val="24"/>
          <w:szCs w:val="24"/>
        </w:rPr>
        <w:t xml:space="preserve"> </w:t>
      </w:r>
      <w:r w:rsidR="007B5C87">
        <w:rPr>
          <w:rFonts w:asciiTheme="minorHAnsi" w:hAnsiTheme="minorHAnsi" w:cstheme="minorHAnsi"/>
          <w:sz w:val="24"/>
          <w:szCs w:val="24"/>
        </w:rPr>
        <w:t>The</w:t>
      </w:r>
      <w:r w:rsidR="00767ABE">
        <w:rPr>
          <w:rFonts w:asciiTheme="minorHAnsi" w:hAnsiTheme="minorHAnsi" w:cstheme="minorHAnsi"/>
          <w:sz w:val="24"/>
          <w:szCs w:val="24"/>
        </w:rPr>
        <w:t xml:space="preserve"> </w:t>
      </w:r>
      <w:r w:rsidR="004D768E" w:rsidRPr="00286CD9">
        <w:rPr>
          <w:rFonts w:asciiTheme="minorHAnsi" w:hAnsiTheme="minorHAnsi" w:cstheme="minorHAnsi"/>
          <w:sz w:val="24"/>
          <w:szCs w:val="24"/>
        </w:rPr>
        <w:t xml:space="preserve">BDT </w:t>
      </w:r>
      <w:r w:rsidR="007B5C87" w:rsidRPr="00286CD9">
        <w:rPr>
          <w:rFonts w:asciiTheme="minorHAnsi" w:hAnsiTheme="minorHAnsi" w:cstheme="minorHAnsi"/>
          <w:sz w:val="24"/>
          <w:szCs w:val="24"/>
        </w:rPr>
        <w:t>R</w:t>
      </w:r>
      <w:r w:rsidR="004D768E" w:rsidRPr="00286CD9">
        <w:rPr>
          <w:rFonts w:asciiTheme="minorHAnsi" w:hAnsiTheme="minorHAnsi" w:cstheme="minorHAnsi"/>
          <w:sz w:val="24"/>
          <w:szCs w:val="24"/>
        </w:rPr>
        <w:t xml:space="preserve">esource </w:t>
      </w:r>
      <w:r w:rsidR="007B5C87" w:rsidRPr="00286CD9">
        <w:rPr>
          <w:rFonts w:asciiTheme="minorHAnsi" w:hAnsiTheme="minorHAnsi" w:cstheme="minorHAnsi"/>
          <w:sz w:val="24"/>
          <w:szCs w:val="24"/>
        </w:rPr>
        <w:t>M</w:t>
      </w:r>
      <w:r w:rsidR="004D768E" w:rsidRPr="00286CD9">
        <w:rPr>
          <w:rFonts w:asciiTheme="minorHAnsi" w:hAnsiTheme="minorHAnsi" w:cstheme="minorHAnsi"/>
          <w:sz w:val="24"/>
          <w:szCs w:val="24"/>
        </w:rPr>
        <w:t xml:space="preserve">obilization </w:t>
      </w:r>
      <w:r w:rsidR="007B5C87" w:rsidRPr="00286CD9">
        <w:rPr>
          <w:rFonts w:asciiTheme="minorHAnsi" w:hAnsiTheme="minorHAnsi" w:cstheme="minorHAnsi"/>
          <w:sz w:val="24"/>
          <w:szCs w:val="24"/>
        </w:rPr>
        <w:t>D</w:t>
      </w:r>
      <w:r w:rsidR="004D768E" w:rsidRPr="00286CD9">
        <w:rPr>
          <w:rFonts w:asciiTheme="minorHAnsi" w:hAnsiTheme="minorHAnsi" w:cstheme="minorHAnsi"/>
          <w:sz w:val="24"/>
          <w:szCs w:val="24"/>
        </w:rPr>
        <w:t xml:space="preserve">atabase </w:t>
      </w:r>
      <w:r w:rsidR="007B5C87" w:rsidRPr="00286CD9">
        <w:rPr>
          <w:rFonts w:asciiTheme="minorHAnsi" w:hAnsiTheme="minorHAnsi" w:cstheme="minorHAnsi"/>
          <w:sz w:val="24"/>
          <w:szCs w:val="24"/>
        </w:rPr>
        <w:t>and the Funding Partners Prospects Database</w:t>
      </w:r>
      <w:r w:rsidR="007B5C87">
        <w:rPr>
          <w:rFonts w:asciiTheme="minorHAnsi" w:hAnsiTheme="minorHAnsi" w:cstheme="minorHAnsi"/>
          <w:sz w:val="24"/>
          <w:szCs w:val="24"/>
        </w:rPr>
        <w:t xml:space="preserve"> </w:t>
      </w:r>
      <w:r w:rsidR="004D768E" w:rsidRPr="00990CBD">
        <w:rPr>
          <w:rFonts w:asciiTheme="minorHAnsi" w:hAnsiTheme="minorHAnsi" w:cstheme="minorHAnsi"/>
          <w:sz w:val="24"/>
          <w:szCs w:val="24"/>
        </w:rPr>
        <w:t xml:space="preserve">have been entirely </w:t>
      </w:r>
      <w:r w:rsidR="00133489" w:rsidRPr="00990CBD">
        <w:rPr>
          <w:rFonts w:asciiTheme="minorHAnsi" w:hAnsiTheme="minorHAnsi" w:cstheme="minorHAnsi"/>
          <w:sz w:val="24"/>
          <w:szCs w:val="24"/>
        </w:rPr>
        <w:t>redesigned</w:t>
      </w:r>
      <w:r w:rsidR="007B5C87">
        <w:rPr>
          <w:rFonts w:asciiTheme="minorHAnsi" w:hAnsiTheme="minorHAnsi" w:cstheme="minorHAnsi"/>
          <w:sz w:val="24"/>
          <w:szCs w:val="24"/>
        </w:rPr>
        <w:t>. The two databases</w:t>
      </w:r>
      <w:r w:rsidR="00022741">
        <w:rPr>
          <w:rFonts w:asciiTheme="minorHAnsi" w:hAnsiTheme="minorHAnsi" w:cstheme="minorHAnsi"/>
          <w:sz w:val="24"/>
          <w:szCs w:val="24"/>
        </w:rPr>
        <w:t xml:space="preserve"> </w:t>
      </w:r>
      <w:r w:rsidR="00AC51E4">
        <w:rPr>
          <w:rFonts w:asciiTheme="minorHAnsi" w:hAnsiTheme="minorHAnsi" w:cstheme="minorHAnsi"/>
          <w:sz w:val="24"/>
          <w:szCs w:val="24"/>
        </w:rPr>
        <w:t>provide</w:t>
      </w:r>
      <w:r w:rsidR="00AC51E4" w:rsidRPr="00990CBD">
        <w:rPr>
          <w:rFonts w:asciiTheme="minorHAnsi" w:hAnsiTheme="minorHAnsi" w:cstheme="minorHAnsi"/>
          <w:sz w:val="24"/>
          <w:szCs w:val="24"/>
        </w:rPr>
        <w:t xml:space="preserve"> information</w:t>
      </w:r>
      <w:r w:rsidR="00B607E1" w:rsidRPr="00990CBD">
        <w:rPr>
          <w:rFonts w:asciiTheme="minorHAnsi" w:hAnsiTheme="minorHAnsi" w:cstheme="minorHAnsi"/>
          <w:sz w:val="24"/>
          <w:szCs w:val="24"/>
        </w:rPr>
        <w:t xml:space="preserve"> on </w:t>
      </w:r>
      <w:r w:rsidR="007B5C87">
        <w:rPr>
          <w:rFonts w:asciiTheme="minorHAnsi" w:hAnsiTheme="minorHAnsi" w:cstheme="minorHAnsi"/>
          <w:sz w:val="24"/>
          <w:szCs w:val="24"/>
        </w:rPr>
        <w:t>prospect</w:t>
      </w:r>
      <w:r w:rsidR="00C2684A">
        <w:rPr>
          <w:rFonts w:asciiTheme="minorHAnsi" w:hAnsiTheme="minorHAnsi" w:cstheme="minorHAnsi"/>
          <w:sz w:val="24"/>
          <w:szCs w:val="24"/>
        </w:rPr>
        <w:t>ive</w:t>
      </w:r>
      <w:r w:rsidR="00B607E1" w:rsidRPr="00990CBD">
        <w:rPr>
          <w:rFonts w:asciiTheme="minorHAnsi" w:hAnsiTheme="minorHAnsi" w:cstheme="minorHAnsi"/>
          <w:sz w:val="24"/>
          <w:szCs w:val="24"/>
        </w:rPr>
        <w:t xml:space="preserve"> funding partners</w:t>
      </w:r>
      <w:r w:rsidR="00133489" w:rsidRPr="00990CBD">
        <w:rPr>
          <w:rFonts w:asciiTheme="minorHAnsi" w:hAnsiTheme="minorHAnsi" w:cstheme="minorHAnsi"/>
          <w:sz w:val="24"/>
          <w:szCs w:val="24"/>
        </w:rPr>
        <w:t xml:space="preserve"> </w:t>
      </w:r>
      <w:r w:rsidR="007B5C87">
        <w:rPr>
          <w:rFonts w:asciiTheme="minorHAnsi" w:hAnsiTheme="minorHAnsi" w:cstheme="minorHAnsi"/>
          <w:sz w:val="24"/>
          <w:szCs w:val="24"/>
        </w:rPr>
        <w:t xml:space="preserve">(bilateral agencies, development banks, foundations, </w:t>
      </w:r>
      <w:r w:rsidR="00AC51E4">
        <w:rPr>
          <w:rFonts w:asciiTheme="minorHAnsi" w:hAnsiTheme="minorHAnsi" w:cstheme="minorHAnsi"/>
          <w:sz w:val="24"/>
          <w:szCs w:val="24"/>
        </w:rPr>
        <w:t>etc.</w:t>
      </w:r>
      <w:r w:rsidR="007B5C87">
        <w:rPr>
          <w:rFonts w:asciiTheme="minorHAnsi" w:hAnsiTheme="minorHAnsi" w:cstheme="minorHAnsi"/>
          <w:sz w:val="24"/>
          <w:szCs w:val="24"/>
        </w:rPr>
        <w:t xml:space="preserve">) </w:t>
      </w:r>
      <w:r w:rsidR="00B607E1" w:rsidRPr="00990CBD">
        <w:rPr>
          <w:rFonts w:asciiTheme="minorHAnsi" w:hAnsiTheme="minorHAnsi" w:cstheme="minorHAnsi"/>
          <w:sz w:val="24"/>
          <w:szCs w:val="24"/>
        </w:rPr>
        <w:t xml:space="preserve">including </w:t>
      </w:r>
      <w:r w:rsidR="007B5C87">
        <w:rPr>
          <w:rFonts w:asciiTheme="minorHAnsi" w:hAnsiTheme="minorHAnsi" w:cstheme="minorHAnsi"/>
          <w:sz w:val="24"/>
          <w:szCs w:val="24"/>
        </w:rPr>
        <w:t xml:space="preserve">their </w:t>
      </w:r>
      <w:r w:rsidR="00B607E1" w:rsidRPr="00990CBD">
        <w:rPr>
          <w:rFonts w:asciiTheme="minorHAnsi" w:hAnsiTheme="minorHAnsi" w:cstheme="minorHAnsi"/>
          <w:sz w:val="24"/>
          <w:szCs w:val="24"/>
        </w:rPr>
        <w:t>thematic and geographical priorities</w:t>
      </w:r>
      <w:r w:rsidR="007B5C87">
        <w:rPr>
          <w:rFonts w:asciiTheme="minorHAnsi" w:hAnsiTheme="minorHAnsi" w:cstheme="minorHAnsi"/>
          <w:sz w:val="24"/>
          <w:szCs w:val="24"/>
        </w:rPr>
        <w:t>.</w:t>
      </w:r>
      <w:r w:rsidR="007B6EB7" w:rsidRPr="00990C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453F90" w14:textId="7C097061" w:rsidR="00186C12" w:rsidRDefault="007B5C87" w:rsidP="00022741">
      <w:pPr>
        <w:pStyle w:val="ListParagraph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286CD9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Raising Visibility</w:t>
      </w:r>
      <w:r w:rsidRPr="00B02443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>: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 xml:space="preserve"> </w:t>
      </w:r>
      <w:r w:rsidR="00B72D16" w:rsidRPr="00286CD9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 xml:space="preserve">A new </w:t>
      </w:r>
      <w:r w:rsidR="00AC51E4" w:rsidRPr="00286CD9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>common webpage</w:t>
      </w:r>
      <w:r w:rsidR="00B72D16" w:rsidRPr="00286CD9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 xml:space="preserve"> for Partnerships and ITU-D Members was created and </w:t>
      </w:r>
      <w:r w:rsidR="00B72D16" w:rsidRPr="002B12F4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>launched.</w:t>
      </w:r>
      <w:r w:rsidR="00B72D1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 xml:space="preserve"> </w:t>
      </w:r>
      <w:r w:rsidR="00B72D16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>The page promote</w:t>
      </w:r>
      <w:r w:rsidR="00C2684A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>s</w:t>
      </w:r>
      <w:r w:rsidR="00B72D16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 xml:space="preserve"> partnerships among ITU-D members and encourage</w:t>
      </w:r>
      <w:r w:rsidR="00C2684A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>s</w:t>
      </w:r>
      <w:r w:rsidR="00B72D16">
        <w:rPr>
          <w:rFonts w:asciiTheme="minorHAnsi" w:eastAsia="Times New Roman" w:hAnsiTheme="minorHAnsi" w:cstheme="minorHAnsi"/>
          <w:bCs w:val="0"/>
          <w:sz w:val="24"/>
          <w:szCs w:val="24"/>
          <w:lang w:eastAsia="en-US"/>
        </w:rPr>
        <w:t xml:space="preserve"> current members to become partners.</w:t>
      </w:r>
      <w:r w:rsidR="005D716C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 xml:space="preserve"> </w:t>
      </w:r>
      <w:r w:rsidR="00B72D16">
        <w:rPr>
          <w:rFonts w:asciiTheme="minorHAnsi" w:hAnsiTheme="minorHAnsi" w:cstheme="minorHAnsi"/>
          <w:sz w:val="24"/>
          <w:szCs w:val="24"/>
        </w:rPr>
        <w:t xml:space="preserve">The </w:t>
      </w:r>
      <w:r w:rsidR="00186C12" w:rsidRPr="00990CBD">
        <w:rPr>
          <w:rFonts w:asciiTheme="minorHAnsi" w:hAnsiTheme="minorHAnsi" w:cstheme="minorHAnsi"/>
          <w:sz w:val="24"/>
          <w:szCs w:val="24"/>
        </w:rPr>
        <w:t xml:space="preserve">common landing page </w:t>
      </w:r>
      <w:r w:rsidR="00B72D16">
        <w:rPr>
          <w:rFonts w:asciiTheme="minorHAnsi" w:hAnsiTheme="minorHAnsi" w:cstheme="minorHAnsi"/>
          <w:sz w:val="24"/>
          <w:szCs w:val="24"/>
        </w:rPr>
        <w:t xml:space="preserve">is available </w:t>
      </w:r>
      <w:r w:rsidR="00AC51E4">
        <w:rPr>
          <w:rFonts w:asciiTheme="minorHAnsi" w:hAnsiTheme="minorHAnsi" w:cstheme="minorHAnsi"/>
          <w:sz w:val="24"/>
          <w:szCs w:val="24"/>
        </w:rPr>
        <w:t xml:space="preserve">here </w:t>
      </w:r>
      <w:r w:rsidR="00AC51E4" w:rsidRPr="00990CBD">
        <w:rPr>
          <w:rFonts w:asciiTheme="minorHAnsi" w:hAnsiTheme="minorHAnsi" w:cstheme="minorHAnsi"/>
          <w:sz w:val="24"/>
          <w:szCs w:val="24"/>
        </w:rPr>
        <w:t>“</w:t>
      </w:r>
      <w:hyperlink r:id="rId25" w:history="1">
        <w:r w:rsidR="00186C12" w:rsidRPr="00990CBD">
          <w:rPr>
            <w:rStyle w:val="Hyperlink"/>
            <w:rFonts w:asciiTheme="minorHAnsi" w:hAnsiTheme="minorHAnsi" w:cstheme="minorHAnsi"/>
            <w:sz w:val="24"/>
            <w:szCs w:val="24"/>
          </w:rPr>
          <w:t>Join ITU-D</w:t>
        </w:r>
      </w:hyperlink>
      <w:r w:rsidR="00186C12" w:rsidRPr="00990CBD">
        <w:rPr>
          <w:rFonts w:asciiTheme="minorHAnsi" w:hAnsiTheme="minorHAnsi" w:cstheme="minorHAnsi"/>
          <w:sz w:val="24"/>
          <w:szCs w:val="24"/>
        </w:rPr>
        <w:t xml:space="preserve">”. </w:t>
      </w:r>
      <w:r w:rsidR="00B72D16">
        <w:rPr>
          <w:rFonts w:asciiTheme="minorHAnsi" w:hAnsiTheme="minorHAnsi" w:cstheme="minorHAnsi"/>
          <w:sz w:val="24"/>
          <w:szCs w:val="24"/>
        </w:rPr>
        <w:t xml:space="preserve">The new landing page also provides better visibility for </w:t>
      </w:r>
      <w:r w:rsidR="0081775A">
        <w:rPr>
          <w:rFonts w:asciiTheme="minorHAnsi" w:hAnsiTheme="minorHAnsi" w:cstheme="minorHAnsi"/>
          <w:sz w:val="24"/>
          <w:szCs w:val="24"/>
        </w:rPr>
        <w:t xml:space="preserve">our </w:t>
      </w:r>
      <w:r w:rsidR="00B72D16">
        <w:rPr>
          <w:rFonts w:asciiTheme="minorHAnsi" w:hAnsiTheme="minorHAnsi" w:cstheme="minorHAnsi"/>
          <w:sz w:val="24"/>
          <w:szCs w:val="24"/>
        </w:rPr>
        <w:t>partners</w:t>
      </w:r>
      <w:r w:rsidR="0081775A">
        <w:rPr>
          <w:rFonts w:asciiTheme="minorHAnsi" w:hAnsiTheme="minorHAnsi" w:cstheme="minorHAnsi"/>
          <w:sz w:val="24"/>
          <w:szCs w:val="24"/>
        </w:rPr>
        <w:t xml:space="preserve"> </w:t>
      </w:r>
      <w:r w:rsidR="00C2684A">
        <w:rPr>
          <w:rFonts w:asciiTheme="minorHAnsi" w:hAnsiTheme="minorHAnsi" w:cstheme="minorHAnsi"/>
          <w:sz w:val="24"/>
          <w:szCs w:val="24"/>
        </w:rPr>
        <w:t xml:space="preserve">the work we accomplish </w:t>
      </w:r>
      <w:r w:rsidR="0081775A">
        <w:rPr>
          <w:rFonts w:asciiTheme="minorHAnsi" w:hAnsiTheme="minorHAnsi" w:cstheme="minorHAnsi"/>
          <w:sz w:val="24"/>
          <w:szCs w:val="24"/>
        </w:rPr>
        <w:t xml:space="preserve">and with them. </w:t>
      </w:r>
    </w:p>
    <w:p w14:paraId="70E76823" w14:textId="6ECB8CDF" w:rsidR="008B5772" w:rsidRPr="0075016A" w:rsidRDefault="00C70B37" w:rsidP="00022741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Way</w:t>
      </w:r>
      <w:r w:rsidR="00417970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F0B6F">
        <w:rPr>
          <w:rFonts w:asciiTheme="minorHAnsi" w:hAnsiTheme="minorHAnsi" w:cs="Calibri"/>
          <w:sz w:val="24"/>
          <w:szCs w:val="24"/>
          <w:lang w:val="en-US"/>
        </w:rPr>
        <w:t>f</w:t>
      </w:r>
      <w:r w:rsidR="0023382C" w:rsidRPr="0075016A">
        <w:rPr>
          <w:rFonts w:asciiTheme="minorHAnsi" w:hAnsiTheme="minorHAnsi" w:cs="Calibri"/>
          <w:sz w:val="24"/>
          <w:szCs w:val="24"/>
          <w:lang w:val="en-US"/>
        </w:rPr>
        <w:t>orward</w:t>
      </w:r>
    </w:p>
    <w:p w14:paraId="56BCED03" w14:textId="66369A47" w:rsidR="00C84E15" w:rsidRDefault="0081775A" w:rsidP="00022741">
      <w:pPr>
        <w:pStyle w:val="CEONormal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During the period under review, BDT has made remarkable progress in negotiating and concluding new partnerships and resource mobilization agreements with a diverse group of partners. Ongoing efforts are aimed at consolidating existing partners and attracting new diverse partners that bring </w:t>
      </w:r>
      <w:r w:rsidR="00AC51E4">
        <w:rPr>
          <w:rFonts w:asciiTheme="minorHAnsi" w:hAnsiTheme="minorHAnsi" w:cs="Calibri"/>
          <w:sz w:val="24"/>
          <w:szCs w:val="24"/>
          <w:lang w:val="en-US"/>
        </w:rPr>
        <w:t>more resources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to finance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>large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-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 xml:space="preserve">scale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and impactful 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>projects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for the </w:t>
      </w:r>
      <w:r>
        <w:rPr>
          <w:rFonts w:asciiTheme="minorHAnsi" w:hAnsiTheme="minorHAnsi" w:cs="Calibri"/>
          <w:sz w:val="24"/>
          <w:szCs w:val="24"/>
          <w:lang w:val="en-US"/>
        </w:rPr>
        <w:lastRenderedPageBreak/>
        <w:t>successful implementation of</w:t>
      </w:r>
      <w:r w:rsidR="00022741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WTDC-17 </w:t>
      </w:r>
      <w:r w:rsidR="00D77ACB">
        <w:rPr>
          <w:rFonts w:asciiTheme="minorHAnsi" w:hAnsiTheme="minorHAnsi" w:cs="Calibri"/>
          <w:sz w:val="24"/>
          <w:szCs w:val="24"/>
          <w:lang w:val="en-US"/>
        </w:rPr>
        <w:t xml:space="preserve">and WTDC-21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p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rogrammes and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r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egional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i</w:t>
      </w:r>
      <w:r w:rsidR="009C2D03" w:rsidRPr="0075016A">
        <w:rPr>
          <w:rFonts w:asciiTheme="minorHAnsi" w:hAnsiTheme="minorHAnsi" w:cs="Calibri"/>
          <w:sz w:val="24"/>
          <w:szCs w:val="24"/>
          <w:lang w:val="en-US"/>
        </w:rPr>
        <w:t>nitiative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s at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global, regional and national </w:t>
      </w:r>
      <w:r w:rsidR="00055EE4">
        <w:rPr>
          <w:rFonts w:asciiTheme="minorHAnsi" w:hAnsiTheme="minorHAnsi" w:cs="Calibri"/>
          <w:sz w:val="24"/>
          <w:szCs w:val="24"/>
          <w:lang w:val="en-US"/>
        </w:rPr>
        <w:t>levels.</w:t>
      </w:r>
    </w:p>
    <w:p w14:paraId="41845125" w14:textId="77777777" w:rsidR="00BE27BF" w:rsidRPr="0075016A" w:rsidRDefault="00E250B6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BE27BF" w:rsidRPr="0075016A" w:rsidSect="005B1696">
      <w:headerReference w:type="default" r:id="rId26"/>
      <w:footerReference w:type="first" r:id="rId27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05F7C" w14:textId="77777777" w:rsidR="00770096" w:rsidRDefault="00770096">
      <w:r>
        <w:separator/>
      </w:r>
    </w:p>
    <w:p w14:paraId="3BEBD57D" w14:textId="77777777" w:rsidR="00770096" w:rsidRDefault="00770096"/>
  </w:endnote>
  <w:endnote w:type="continuationSeparator" w:id="0">
    <w:p w14:paraId="38C84A8B" w14:textId="77777777" w:rsidR="00770096" w:rsidRDefault="00770096">
      <w:r>
        <w:continuationSeparator/>
      </w:r>
    </w:p>
    <w:p w14:paraId="76E0902F" w14:textId="77777777" w:rsidR="00770096" w:rsidRDefault="00770096"/>
  </w:endnote>
  <w:endnote w:type="continuationNotice" w:id="1">
    <w:p w14:paraId="78528A9D" w14:textId="77777777" w:rsidR="00770096" w:rsidRDefault="007700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50814" w:rsidRPr="009359B8" w14:paraId="52EFC519" w14:textId="77777777" w:rsidTr="0009539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644287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FD0F489" w14:textId="77777777" w:rsidR="00650814" w:rsidRPr="004D495C" w:rsidRDefault="00650814" w:rsidP="0065081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E41F20D" w14:textId="77777777" w:rsidR="00650814" w:rsidRPr="00103886" w:rsidRDefault="002A5083" w:rsidP="002A5083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Dr Cosmas Zavazava</w:t>
          </w:r>
          <w:r w:rsidR="00650814">
            <w:rPr>
              <w:sz w:val="18"/>
              <w:szCs w:val="18"/>
              <w:lang w:val="en-US"/>
            </w:rPr>
            <w:t xml:space="preserve">, Chief, </w:t>
          </w:r>
          <w:r>
            <w:rPr>
              <w:sz w:val="18"/>
              <w:szCs w:val="18"/>
              <w:lang w:val="en-US"/>
            </w:rPr>
            <w:t xml:space="preserve">Partnerships for Digital Development </w:t>
          </w:r>
          <w:r w:rsidR="00650814">
            <w:rPr>
              <w:sz w:val="18"/>
              <w:szCs w:val="18"/>
              <w:lang w:val="en-US"/>
            </w:rPr>
            <w:t xml:space="preserve">Department </w:t>
          </w:r>
          <w:r w:rsidR="00650814"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650814" w:rsidRPr="009359B8" w14:paraId="685F7FD8" w14:textId="77777777" w:rsidTr="00095399">
      <w:tc>
        <w:tcPr>
          <w:tcW w:w="1526" w:type="dxa"/>
          <w:shd w:val="clear" w:color="auto" w:fill="auto"/>
        </w:tcPr>
        <w:p w14:paraId="53692AE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49F72BB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40113BF" w14:textId="77777777" w:rsidR="00650814" w:rsidRPr="00103886" w:rsidRDefault="00650814" w:rsidP="002A50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+41 22 730 </w:t>
          </w:r>
          <w:r w:rsidR="002A5083">
            <w:rPr>
              <w:sz w:val="18"/>
              <w:szCs w:val="18"/>
              <w:lang w:val="en-US"/>
            </w:rPr>
            <w:t>5447</w:t>
          </w:r>
        </w:p>
      </w:tc>
    </w:tr>
    <w:tr w:rsidR="00650814" w:rsidRPr="009359B8" w14:paraId="3A9889F8" w14:textId="77777777" w:rsidTr="00095399">
      <w:tc>
        <w:tcPr>
          <w:tcW w:w="1526" w:type="dxa"/>
          <w:shd w:val="clear" w:color="auto" w:fill="auto"/>
        </w:tcPr>
        <w:p w14:paraId="32B86C3E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1D5A24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180C31" w14:textId="341EDFCA" w:rsidR="00DE26A9" w:rsidRPr="00103886" w:rsidRDefault="002A5083" w:rsidP="0002274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 w:rsidR="0065081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8F1C497" w14:textId="48B00FE9" w:rsidR="007156A3" w:rsidRPr="00DE26A9" w:rsidRDefault="000C7A29" w:rsidP="00DE26A9">
    <w:pPr>
      <w:pStyle w:val="Footer"/>
      <w:jc w:val="center"/>
      <w:rPr>
        <w:lang w:val="en-GB"/>
      </w:rPr>
    </w:pPr>
    <w:hyperlink r:id="rId1" w:history="1">
      <w:r w:rsidR="00DE26A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21D4" w14:textId="77777777" w:rsidR="00770096" w:rsidRDefault="00770096" w:rsidP="00AD5B8E">
      <w:r>
        <w:separator/>
      </w:r>
    </w:p>
  </w:footnote>
  <w:footnote w:type="continuationSeparator" w:id="0">
    <w:p w14:paraId="76FA495E" w14:textId="77777777" w:rsidR="00770096" w:rsidRDefault="00770096">
      <w:r>
        <w:continuationSeparator/>
      </w:r>
    </w:p>
    <w:p w14:paraId="7ADD9CC5" w14:textId="77777777" w:rsidR="00770096" w:rsidRDefault="00770096"/>
  </w:footnote>
  <w:footnote w:type="continuationNotice" w:id="1">
    <w:p w14:paraId="42EA9447" w14:textId="77777777" w:rsidR="00770096" w:rsidRDefault="0077009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255D" w14:textId="1FEC7687" w:rsidR="000B6330" w:rsidRPr="00172694" w:rsidRDefault="00A525CC" w:rsidP="008E3E1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lang w:val="de-DE"/>
      </w:rPr>
    </w:pPr>
    <w:r w:rsidRPr="00972BCD">
      <w:rPr>
        <w:sz w:val="22"/>
        <w:szCs w:val="22"/>
      </w:rPr>
      <w:tab/>
    </w:r>
    <w:bookmarkStart w:id="7" w:name="DocRef2"/>
    <w:bookmarkEnd w:id="7"/>
    <w:r w:rsidRPr="00C53BAD">
      <w:rPr>
        <w:sz w:val="22"/>
        <w:szCs w:val="22"/>
        <w:lang w:val="de-CH"/>
      </w:rPr>
      <w:t>TDAG</w:t>
    </w:r>
    <w:r w:rsidR="004440D4" w:rsidRPr="00C53BAD">
      <w:rPr>
        <w:sz w:val="22"/>
        <w:szCs w:val="22"/>
        <w:lang w:val="de-CH"/>
      </w:rPr>
      <w:t>-</w:t>
    </w:r>
    <w:r w:rsidR="005B4E24" w:rsidRPr="00C53BAD">
      <w:rPr>
        <w:sz w:val="22"/>
        <w:szCs w:val="22"/>
        <w:lang w:val="de-CH"/>
      </w:rPr>
      <w:t>21</w:t>
    </w:r>
    <w:r w:rsidRPr="00C53BAD">
      <w:rPr>
        <w:sz w:val="22"/>
        <w:szCs w:val="22"/>
        <w:lang w:val="de-CH"/>
      </w:rPr>
      <w:t>/</w:t>
    </w:r>
    <w:bookmarkStart w:id="8" w:name="DocNo2"/>
    <w:bookmarkEnd w:id="8"/>
    <w:r w:rsidR="005B4E24" w:rsidRPr="00C53BAD">
      <w:rPr>
        <w:sz w:val="22"/>
        <w:szCs w:val="22"/>
        <w:lang w:val="de-CH"/>
      </w:rPr>
      <w:t>7</w:t>
    </w:r>
    <w:r w:rsidRPr="00C53BAD">
      <w:rPr>
        <w:sz w:val="22"/>
        <w:szCs w:val="22"/>
        <w:lang w:val="de-CH"/>
      </w:rPr>
      <w:t>-E</w:t>
    </w:r>
    <w:r w:rsidRPr="00C53BAD">
      <w:rPr>
        <w:sz w:val="22"/>
        <w:szCs w:val="22"/>
        <w:lang w:val="de-CH"/>
      </w:rPr>
      <w:tab/>
      <w:t xml:space="preserve">Page </w:t>
    </w:r>
    <w:r w:rsidRPr="00C53BAD">
      <w:rPr>
        <w:sz w:val="22"/>
        <w:szCs w:val="22"/>
      </w:rPr>
      <w:fldChar w:fldCharType="begin"/>
    </w:r>
    <w:r w:rsidRPr="00C53BAD">
      <w:rPr>
        <w:sz w:val="22"/>
        <w:szCs w:val="22"/>
        <w:lang w:val="de-CH"/>
      </w:rPr>
      <w:instrText xml:space="preserve"> PAGE </w:instrText>
    </w:r>
    <w:r w:rsidRPr="00C53BAD">
      <w:rPr>
        <w:sz w:val="22"/>
        <w:szCs w:val="22"/>
      </w:rPr>
      <w:fldChar w:fldCharType="separate"/>
    </w:r>
    <w:r w:rsidR="0065166C" w:rsidRPr="00C53BAD">
      <w:rPr>
        <w:noProof/>
        <w:sz w:val="22"/>
        <w:szCs w:val="22"/>
        <w:lang w:val="de-CH"/>
      </w:rPr>
      <w:t>4</w:t>
    </w:r>
    <w:r w:rsidRPr="00C53BA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23F327E"/>
    <w:multiLevelType w:val="hybridMultilevel"/>
    <w:tmpl w:val="ABAC5C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66ED4"/>
    <w:multiLevelType w:val="hybridMultilevel"/>
    <w:tmpl w:val="22F2F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7055"/>
    <w:multiLevelType w:val="hybridMultilevel"/>
    <w:tmpl w:val="5E8EF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47AB6"/>
    <w:multiLevelType w:val="hybridMultilevel"/>
    <w:tmpl w:val="EB44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80BBE"/>
    <w:multiLevelType w:val="hybridMultilevel"/>
    <w:tmpl w:val="D626EEDA"/>
    <w:lvl w:ilvl="0" w:tplc="080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8" w15:restartNumberingAfterBreak="0">
    <w:nsid w:val="2A5B2CE7"/>
    <w:multiLevelType w:val="hybridMultilevel"/>
    <w:tmpl w:val="CCA8F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530916"/>
    <w:multiLevelType w:val="hybridMultilevel"/>
    <w:tmpl w:val="059695D6"/>
    <w:lvl w:ilvl="0" w:tplc="178CC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D3D40"/>
    <w:multiLevelType w:val="hybridMultilevel"/>
    <w:tmpl w:val="23BA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A297C"/>
    <w:multiLevelType w:val="hybridMultilevel"/>
    <w:tmpl w:val="72DCF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33D38"/>
    <w:multiLevelType w:val="hybridMultilevel"/>
    <w:tmpl w:val="C1DE07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F129B1"/>
    <w:multiLevelType w:val="hybridMultilevel"/>
    <w:tmpl w:val="6DC8F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19"/>
  </w:num>
  <w:num w:numId="14">
    <w:abstractNumId w:val="8"/>
  </w:num>
  <w:num w:numId="15">
    <w:abstractNumId w:val="6"/>
  </w:num>
  <w:num w:numId="16">
    <w:abstractNumId w:val="13"/>
  </w:num>
  <w:num w:numId="17">
    <w:abstractNumId w:val="12"/>
  </w:num>
  <w:num w:numId="18">
    <w:abstractNumId w:val="3"/>
  </w:num>
  <w:num w:numId="19">
    <w:abstractNumId w:val="11"/>
  </w:num>
  <w:num w:numId="20">
    <w:abstractNumId w:val="18"/>
  </w:num>
  <w:num w:numId="21">
    <w:abstractNumId w:val="4"/>
  </w:num>
  <w:num w:numId="22">
    <w:abstractNumId w:val="7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63"/>
    <w:rsid w:val="00000673"/>
    <w:rsid w:val="00000FF1"/>
    <w:rsid w:val="00001467"/>
    <w:rsid w:val="00001D4E"/>
    <w:rsid w:val="00001E46"/>
    <w:rsid w:val="00002716"/>
    <w:rsid w:val="00005791"/>
    <w:rsid w:val="0001346E"/>
    <w:rsid w:val="00013A55"/>
    <w:rsid w:val="00013B7A"/>
    <w:rsid w:val="000140F6"/>
    <w:rsid w:val="0001418D"/>
    <w:rsid w:val="00015A3F"/>
    <w:rsid w:val="00016A33"/>
    <w:rsid w:val="0001746F"/>
    <w:rsid w:val="000212AA"/>
    <w:rsid w:val="00021E50"/>
    <w:rsid w:val="000222F9"/>
    <w:rsid w:val="00022741"/>
    <w:rsid w:val="000234B4"/>
    <w:rsid w:val="0002520B"/>
    <w:rsid w:val="000253AA"/>
    <w:rsid w:val="0002664E"/>
    <w:rsid w:val="00027E4F"/>
    <w:rsid w:val="00030B0E"/>
    <w:rsid w:val="00030DD0"/>
    <w:rsid w:val="00031F00"/>
    <w:rsid w:val="0003285D"/>
    <w:rsid w:val="00033228"/>
    <w:rsid w:val="00034D75"/>
    <w:rsid w:val="00035BA5"/>
    <w:rsid w:val="00035FA7"/>
    <w:rsid w:val="00037A9E"/>
    <w:rsid w:val="00037F91"/>
    <w:rsid w:val="000431A5"/>
    <w:rsid w:val="00043371"/>
    <w:rsid w:val="00046E97"/>
    <w:rsid w:val="00047072"/>
    <w:rsid w:val="0004770E"/>
    <w:rsid w:val="00047B46"/>
    <w:rsid w:val="0005150C"/>
    <w:rsid w:val="000539F1"/>
    <w:rsid w:val="00054B21"/>
    <w:rsid w:val="00055A2A"/>
    <w:rsid w:val="00055DE9"/>
    <w:rsid w:val="00055EE4"/>
    <w:rsid w:val="00056BED"/>
    <w:rsid w:val="00056E48"/>
    <w:rsid w:val="000615C1"/>
    <w:rsid w:val="00063432"/>
    <w:rsid w:val="00064903"/>
    <w:rsid w:val="00066E28"/>
    <w:rsid w:val="00067C7B"/>
    <w:rsid w:val="000700D0"/>
    <w:rsid w:val="000727B0"/>
    <w:rsid w:val="000733D7"/>
    <w:rsid w:val="00073974"/>
    <w:rsid w:val="00073C8A"/>
    <w:rsid w:val="00074EA2"/>
    <w:rsid w:val="0007692F"/>
    <w:rsid w:val="000769F8"/>
    <w:rsid w:val="00076C8F"/>
    <w:rsid w:val="00076D3D"/>
    <w:rsid w:val="00077155"/>
    <w:rsid w:val="0007786F"/>
    <w:rsid w:val="00080170"/>
    <w:rsid w:val="000806BC"/>
    <w:rsid w:val="00080F8B"/>
    <w:rsid w:val="00082CF2"/>
    <w:rsid w:val="00083B59"/>
    <w:rsid w:val="00084CA2"/>
    <w:rsid w:val="00087675"/>
    <w:rsid w:val="00090DAB"/>
    <w:rsid w:val="0009225C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38B"/>
    <w:rsid w:val="000A4BB3"/>
    <w:rsid w:val="000A6BF3"/>
    <w:rsid w:val="000B20E5"/>
    <w:rsid w:val="000B2352"/>
    <w:rsid w:val="000B39A9"/>
    <w:rsid w:val="000B5260"/>
    <w:rsid w:val="000B58D6"/>
    <w:rsid w:val="000B6330"/>
    <w:rsid w:val="000B76D5"/>
    <w:rsid w:val="000C1471"/>
    <w:rsid w:val="000C2D3A"/>
    <w:rsid w:val="000C3B26"/>
    <w:rsid w:val="000C4987"/>
    <w:rsid w:val="000C4D19"/>
    <w:rsid w:val="000C5AF7"/>
    <w:rsid w:val="000C7A29"/>
    <w:rsid w:val="000C7B84"/>
    <w:rsid w:val="000C7DA6"/>
    <w:rsid w:val="000D261B"/>
    <w:rsid w:val="000D2CA5"/>
    <w:rsid w:val="000D3EF0"/>
    <w:rsid w:val="000D4337"/>
    <w:rsid w:val="000D43D7"/>
    <w:rsid w:val="000D5479"/>
    <w:rsid w:val="000D58A3"/>
    <w:rsid w:val="000D5BB4"/>
    <w:rsid w:val="000D60C5"/>
    <w:rsid w:val="000D6963"/>
    <w:rsid w:val="000E1E12"/>
    <w:rsid w:val="000E2A41"/>
    <w:rsid w:val="000E2E10"/>
    <w:rsid w:val="000E37E6"/>
    <w:rsid w:val="000E3ED4"/>
    <w:rsid w:val="000E3F9C"/>
    <w:rsid w:val="000E5FDF"/>
    <w:rsid w:val="000F1550"/>
    <w:rsid w:val="000F17F3"/>
    <w:rsid w:val="000F2A9D"/>
    <w:rsid w:val="000F2BCA"/>
    <w:rsid w:val="000F512C"/>
    <w:rsid w:val="000F5373"/>
    <w:rsid w:val="000F5390"/>
    <w:rsid w:val="000F6644"/>
    <w:rsid w:val="00100335"/>
    <w:rsid w:val="00100833"/>
    <w:rsid w:val="00101B3B"/>
    <w:rsid w:val="00102F72"/>
    <w:rsid w:val="00103464"/>
    <w:rsid w:val="0010390A"/>
    <w:rsid w:val="001061C7"/>
    <w:rsid w:val="00106263"/>
    <w:rsid w:val="001068F4"/>
    <w:rsid w:val="00112CC1"/>
    <w:rsid w:val="00113C2C"/>
    <w:rsid w:val="00113EE8"/>
    <w:rsid w:val="00113FA3"/>
    <w:rsid w:val="0011455A"/>
    <w:rsid w:val="00114A65"/>
    <w:rsid w:val="00116121"/>
    <w:rsid w:val="00116C5F"/>
    <w:rsid w:val="00121163"/>
    <w:rsid w:val="00123357"/>
    <w:rsid w:val="00127C68"/>
    <w:rsid w:val="00127E0A"/>
    <w:rsid w:val="00131739"/>
    <w:rsid w:val="00132D41"/>
    <w:rsid w:val="00132FD8"/>
    <w:rsid w:val="00133061"/>
    <w:rsid w:val="00133489"/>
    <w:rsid w:val="00134AB7"/>
    <w:rsid w:val="00136869"/>
    <w:rsid w:val="00137E91"/>
    <w:rsid w:val="00141489"/>
    <w:rsid w:val="00141699"/>
    <w:rsid w:val="00141D0A"/>
    <w:rsid w:val="00141FAC"/>
    <w:rsid w:val="00143033"/>
    <w:rsid w:val="00146F49"/>
    <w:rsid w:val="00147000"/>
    <w:rsid w:val="00151734"/>
    <w:rsid w:val="0015260A"/>
    <w:rsid w:val="00153B9E"/>
    <w:rsid w:val="001546CC"/>
    <w:rsid w:val="00163091"/>
    <w:rsid w:val="001636CF"/>
    <w:rsid w:val="001644C4"/>
    <w:rsid w:val="001645CB"/>
    <w:rsid w:val="00165B1D"/>
    <w:rsid w:val="00166305"/>
    <w:rsid w:val="00166467"/>
    <w:rsid w:val="001703C6"/>
    <w:rsid w:val="0017143D"/>
    <w:rsid w:val="00172546"/>
    <w:rsid w:val="00172694"/>
    <w:rsid w:val="00173781"/>
    <w:rsid w:val="00173F75"/>
    <w:rsid w:val="00175331"/>
    <w:rsid w:val="00175CAE"/>
    <w:rsid w:val="001764E9"/>
    <w:rsid w:val="001778C3"/>
    <w:rsid w:val="00177B08"/>
    <w:rsid w:val="001800DE"/>
    <w:rsid w:val="00180A6E"/>
    <w:rsid w:val="0018112A"/>
    <w:rsid w:val="001828DB"/>
    <w:rsid w:val="001833F6"/>
    <w:rsid w:val="001850FE"/>
    <w:rsid w:val="00185135"/>
    <w:rsid w:val="001855FE"/>
    <w:rsid w:val="0018567C"/>
    <w:rsid w:val="00186C12"/>
    <w:rsid w:val="00186CAE"/>
    <w:rsid w:val="0019037C"/>
    <w:rsid w:val="001905A9"/>
    <w:rsid w:val="00190D0D"/>
    <w:rsid w:val="00191273"/>
    <w:rsid w:val="00192E18"/>
    <w:rsid w:val="001942A7"/>
    <w:rsid w:val="0019526F"/>
    <w:rsid w:val="0019587B"/>
    <w:rsid w:val="00195B6E"/>
    <w:rsid w:val="001A163D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B8D"/>
    <w:rsid w:val="001C03D9"/>
    <w:rsid w:val="001C1680"/>
    <w:rsid w:val="001C291A"/>
    <w:rsid w:val="001C3702"/>
    <w:rsid w:val="001C4656"/>
    <w:rsid w:val="001C4B94"/>
    <w:rsid w:val="001C5D17"/>
    <w:rsid w:val="001C6703"/>
    <w:rsid w:val="001C6AEB"/>
    <w:rsid w:val="001C7AD4"/>
    <w:rsid w:val="001D2CB2"/>
    <w:rsid w:val="001D371D"/>
    <w:rsid w:val="001D42A3"/>
    <w:rsid w:val="001D5FA0"/>
    <w:rsid w:val="001D6D8A"/>
    <w:rsid w:val="001D76C6"/>
    <w:rsid w:val="001E16A4"/>
    <w:rsid w:val="001E3FCA"/>
    <w:rsid w:val="001E5172"/>
    <w:rsid w:val="001E5A87"/>
    <w:rsid w:val="001F237C"/>
    <w:rsid w:val="001F23E6"/>
    <w:rsid w:val="001F28E6"/>
    <w:rsid w:val="001F3BE0"/>
    <w:rsid w:val="001F4238"/>
    <w:rsid w:val="001F4875"/>
    <w:rsid w:val="001F50BD"/>
    <w:rsid w:val="001F5729"/>
    <w:rsid w:val="001F5C81"/>
    <w:rsid w:val="001F6F86"/>
    <w:rsid w:val="001F7433"/>
    <w:rsid w:val="001F7D61"/>
    <w:rsid w:val="00200A38"/>
    <w:rsid w:val="00200A46"/>
    <w:rsid w:val="0020182F"/>
    <w:rsid w:val="00203B72"/>
    <w:rsid w:val="00203E00"/>
    <w:rsid w:val="0020513A"/>
    <w:rsid w:val="00206EB5"/>
    <w:rsid w:val="002075D2"/>
    <w:rsid w:val="00211B6F"/>
    <w:rsid w:val="00211E87"/>
    <w:rsid w:val="00213048"/>
    <w:rsid w:val="00214DA8"/>
    <w:rsid w:val="00217CC3"/>
    <w:rsid w:val="002201E6"/>
    <w:rsid w:val="00220A81"/>
    <w:rsid w:val="00220AB6"/>
    <w:rsid w:val="0022120F"/>
    <w:rsid w:val="00221D75"/>
    <w:rsid w:val="00222820"/>
    <w:rsid w:val="00224BA8"/>
    <w:rsid w:val="002259DC"/>
    <w:rsid w:val="002266DB"/>
    <w:rsid w:val="0022754A"/>
    <w:rsid w:val="00230826"/>
    <w:rsid w:val="002320D1"/>
    <w:rsid w:val="00232209"/>
    <w:rsid w:val="0023382C"/>
    <w:rsid w:val="00236560"/>
    <w:rsid w:val="0023662E"/>
    <w:rsid w:val="002375D1"/>
    <w:rsid w:val="00237ECB"/>
    <w:rsid w:val="002405DF"/>
    <w:rsid w:val="00241828"/>
    <w:rsid w:val="002455E0"/>
    <w:rsid w:val="00245D0F"/>
    <w:rsid w:val="002463BF"/>
    <w:rsid w:val="00252947"/>
    <w:rsid w:val="00252CCB"/>
    <w:rsid w:val="002548C3"/>
    <w:rsid w:val="00254957"/>
    <w:rsid w:val="00254C8C"/>
    <w:rsid w:val="002563FC"/>
    <w:rsid w:val="00257ACD"/>
    <w:rsid w:val="00260D80"/>
    <w:rsid w:val="002614DD"/>
    <w:rsid w:val="002625D8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6CD9"/>
    <w:rsid w:val="00287D3F"/>
    <w:rsid w:val="002909B3"/>
    <w:rsid w:val="00291AA3"/>
    <w:rsid w:val="00294A96"/>
    <w:rsid w:val="00295077"/>
    <w:rsid w:val="002961D5"/>
    <w:rsid w:val="002967B0"/>
    <w:rsid w:val="002969B4"/>
    <w:rsid w:val="00296BAB"/>
    <w:rsid w:val="002970A3"/>
    <w:rsid w:val="0029748A"/>
    <w:rsid w:val="002A1500"/>
    <w:rsid w:val="002A5083"/>
    <w:rsid w:val="002A6189"/>
    <w:rsid w:val="002A6CD4"/>
    <w:rsid w:val="002B049F"/>
    <w:rsid w:val="002B12F4"/>
    <w:rsid w:val="002B3E20"/>
    <w:rsid w:val="002B4AE9"/>
    <w:rsid w:val="002B57A1"/>
    <w:rsid w:val="002B74A8"/>
    <w:rsid w:val="002B776E"/>
    <w:rsid w:val="002C127B"/>
    <w:rsid w:val="002C1EC7"/>
    <w:rsid w:val="002C27BB"/>
    <w:rsid w:val="002C2BB1"/>
    <w:rsid w:val="002C3A92"/>
    <w:rsid w:val="002C7D9F"/>
    <w:rsid w:val="002C7EA3"/>
    <w:rsid w:val="002D1F75"/>
    <w:rsid w:val="002D20AE"/>
    <w:rsid w:val="002D2572"/>
    <w:rsid w:val="002D4896"/>
    <w:rsid w:val="002D509D"/>
    <w:rsid w:val="002D6C61"/>
    <w:rsid w:val="002D6D39"/>
    <w:rsid w:val="002D7225"/>
    <w:rsid w:val="002D72EB"/>
    <w:rsid w:val="002D7541"/>
    <w:rsid w:val="002E2104"/>
    <w:rsid w:val="002E29BE"/>
    <w:rsid w:val="002E302D"/>
    <w:rsid w:val="002E3204"/>
    <w:rsid w:val="002E340C"/>
    <w:rsid w:val="002E3790"/>
    <w:rsid w:val="002E42F6"/>
    <w:rsid w:val="002E5800"/>
    <w:rsid w:val="002E5BA6"/>
    <w:rsid w:val="002E6963"/>
    <w:rsid w:val="002E6E00"/>
    <w:rsid w:val="002E701F"/>
    <w:rsid w:val="002F05D8"/>
    <w:rsid w:val="002F0A42"/>
    <w:rsid w:val="002F1592"/>
    <w:rsid w:val="002F2AE5"/>
    <w:rsid w:val="002F2CFA"/>
    <w:rsid w:val="002F2DE0"/>
    <w:rsid w:val="002F2E06"/>
    <w:rsid w:val="002F4EB4"/>
    <w:rsid w:val="002F5E25"/>
    <w:rsid w:val="002F7E7A"/>
    <w:rsid w:val="0030036B"/>
    <w:rsid w:val="003028A3"/>
    <w:rsid w:val="00303661"/>
    <w:rsid w:val="00303BD0"/>
    <w:rsid w:val="00303F1F"/>
    <w:rsid w:val="003043F4"/>
    <w:rsid w:val="003069AC"/>
    <w:rsid w:val="00306CD6"/>
    <w:rsid w:val="0031209F"/>
    <w:rsid w:val="003125C3"/>
    <w:rsid w:val="003127AA"/>
    <w:rsid w:val="00312AE6"/>
    <w:rsid w:val="00312CC8"/>
    <w:rsid w:val="003170F9"/>
    <w:rsid w:val="0031783D"/>
    <w:rsid w:val="00317D1A"/>
    <w:rsid w:val="003205CE"/>
    <w:rsid w:val="0032087E"/>
    <w:rsid w:val="003211FF"/>
    <w:rsid w:val="003218E4"/>
    <w:rsid w:val="00321F94"/>
    <w:rsid w:val="003227BD"/>
    <w:rsid w:val="003227FC"/>
    <w:rsid w:val="00322E6F"/>
    <w:rsid w:val="00324877"/>
    <w:rsid w:val="003255ED"/>
    <w:rsid w:val="00327247"/>
    <w:rsid w:val="00327A9D"/>
    <w:rsid w:val="0033130E"/>
    <w:rsid w:val="003314BF"/>
    <w:rsid w:val="00332B68"/>
    <w:rsid w:val="00333B1E"/>
    <w:rsid w:val="00334771"/>
    <w:rsid w:val="00335AFE"/>
    <w:rsid w:val="0033664C"/>
    <w:rsid w:val="00337869"/>
    <w:rsid w:val="003424DD"/>
    <w:rsid w:val="00342EBC"/>
    <w:rsid w:val="00343049"/>
    <w:rsid w:val="00343828"/>
    <w:rsid w:val="0034689A"/>
    <w:rsid w:val="00350F7E"/>
    <w:rsid w:val="00352AFB"/>
    <w:rsid w:val="00355A4C"/>
    <w:rsid w:val="00356321"/>
    <w:rsid w:val="00357B28"/>
    <w:rsid w:val="00360B73"/>
    <w:rsid w:val="00360C9B"/>
    <w:rsid w:val="00367481"/>
    <w:rsid w:val="00367536"/>
    <w:rsid w:val="00370703"/>
    <w:rsid w:val="0037445E"/>
    <w:rsid w:val="00375248"/>
    <w:rsid w:val="003752BA"/>
    <w:rsid w:val="00375D75"/>
    <w:rsid w:val="0037616F"/>
    <w:rsid w:val="00377261"/>
    <w:rsid w:val="0037795A"/>
    <w:rsid w:val="003810A6"/>
    <w:rsid w:val="00382329"/>
    <w:rsid w:val="0038365A"/>
    <w:rsid w:val="00385758"/>
    <w:rsid w:val="00386658"/>
    <w:rsid w:val="00386A89"/>
    <w:rsid w:val="00391FF3"/>
    <w:rsid w:val="003921B3"/>
    <w:rsid w:val="0039494E"/>
    <w:rsid w:val="0039648E"/>
    <w:rsid w:val="003A30E5"/>
    <w:rsid w:val="003A43E8"/>
    <w:rsid w:val="003A485C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54E6"/>
    <w:rsid w:val="003B6779"/>
    <w:rsid w:val="003B6FA4"/>
    <w:rsid w:val="003C05CC"/>
    <w:rsid w:val="003C1746"/>
    <w:rsid w:val="003C19A2"/>
    <w:rsid w:val="003C256F"/>
    <w:rsid w:val="003C3D4C"/>
    <w:rsid w:val="003C4DE9"/>
    <w:rsid w:val="003C58BF"/>
    <w:rsid w:val="003D023C"/>
    <w:rsid w:val="003D088A"/>
    <w:rsid w:val="003D36D6"/>
    <w:rsid w:val="003D36E8"/>
    <w:rsid w:val="003D3812"/>
    <w:rsid w:val="003D451D"/>
    <w:rsid w:val="003D4B6C"/>
    <w:rsid w:val="003D57E7"/>
    <w:rsid w:val="003D70A1"/>
    <w:rsid w:val="003D73CF"/>
    <w:rsid w:val="003E2C03"/>
    <w:rsid w:val="003E4AB0"/>
    <w:rsid w:val="003E6492"/>
    <w:rsid w:val="003E66DE"/>
    <w:rsid w:val="003F043A"/>
    <w:rsid w:val="003F2DD8"/>
    <w:rsid w:val="003F50B2"/>
    <w:rsid w:val="003F5CE2"/>
    <w:rsid w:val="003F6147"/>
    <w:rsid w:val="003F63FD"/>
    <w:rsid w:val="00400408"/>
    <w:rsid w:val="00400D2F"/>
    <w:rsid w:val="00401BFF"/>
    <w:rsid w:val="00401FBD"/>
    <w:rsid w:val="00402A7E"/>
    <w:rsid w:val="00402CFA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241"/>
    <w:rsid w:val="00415E93"/>
    <w:rsid w:val="00416DDE"/>
    <w:rsid w:val="00416F89"/>
    <w:rsid w:val="00417970"/>
    <w:rsid w:val="00422899"/>
    <w:rsid w:val="0042426F"/>
    <w:rsid w:val="00425F08"/>
    <w:rsid w:val="0043048E"/>
    <w:rsid w:val="00431360"/>
    <w:rsid w:val="00432273"/>
    <w:rsid w:val="00434A48"/>
    <w:rsid w:val="00435FED"/>
    <w:rsid w:val="00436A2D"/>
    <w:rsid w:val="00436B08"/>
    <w:rsid w:val="004375BF"/>
    <w:rsid w:val="00440BC2"/>
    <w:rsid w:val="00441250"/>
    <w:rsid w:val="004422A8"/>
    <w:rsid w:val="00442412"/>
    <w:rsid w:val="004440D4"/>
    <w:rsid w:val="0044411E"/>
    <w:rsid w:val="00444C8D"/>
    <w:rsid w:val="00450952"/>
    <w:rsid w:val="0045096D"/>
    <w:rsid w:val="00453435"/>
    <w:rsid w:val="004545B7"/>
    <w:rsid w:val="0045603B"/>
    <w:rsid w:val="00457D62"/>
    <w:rsid w:val="00461F71"/>
    <w:rsid w:val="00463119"/>
    <w:rsid w:val="00464ED0"/>
    <w:rsid w:val="004650EB"/>
    <w:rsid w:val="00465A95"/>
    <w:rsid w:val="004661AF"/>
    <w:rsid w:val="00466398"/>
    <w:rsid w:val="00467BD2"/>
    <w:rsid w:val="00470C13"/>
    <w:rsid w:val="00470E19"/>
    <w:rsid w:val="00471D35"/>
    <w:rsid w:val="00472C0F"/>
    <w:rsid w:val="00476C4C"/>
    <w:rsid w:val="00476C9F"/>
    <w:rsid w:val="00480364"/>
    <w:rsid w:val="004819A6"/>
    <w:rsid w:val="0048295E"/>
    <w:rsid w:val="00483954"/>
    <w:rsid w:val="00485C14"/>
    <w:rsid w:val="00487435"/>
    <w:rsid w:val="0049128B"/>
    <w:rsid w:val="0049338E"/>
    <w:rsid w:val="00493B49"/>
    <w:rsid w:val="00493DC2"/>
    <w:rsid w:val="00495501"/>
    <w:rsid w:val="004A00B5"/>
    <w:rsid w:val="004A070A"/>
    <w:rsid w:val="004A0874"/>
    <w:rsid w:val="004A100E"/>
    <w:rsid w:val="004A22D1"/>
    <w:rsid w:val="004A320E"/>
    <w:rsid w:val="004A47DE"/>
    <w:rsid w:val="004A4948"/>
    <w:rsid w:val="004A4E9C"/>
    <w:rsid w:val="004A67A3"/>
    <w:rsid w:val="004B09A8"/>
    <w:rsid w:val="004B0A56"/>
    <w:rsid w:val="004B1A3C"/>
    <w:rsid w:val="004B1E59"/>
    <w:rsid w:val="004B2531"/>
    <w:rsid w:val="004B325D"/>
    <w:rsid w:val="004B424A"/>
    <w:rsid w:val="004B4D00"/>
    <w:rsid w:val="004B5C84"/>
    <w:rsid w:val="004B5EFF"/>
    <w:rsid w:val="004C3093"/>
    <w:rsid w:val="004C3EF5"/>
    <w:rsid w:val="004C439C"/>
    <w:rsid w:val="004C6351"/>
    <w:rsid w:val="004D29BC"/>
    <w:rsid w:val="004D2CC3"/>
    <w:rsid w:val="004D33C9"/>
    <w:rsid w:val="004D35CB"/>
    <w:rsid w:val="004D3816"/>
    <w:rsid w:val="004D3F0A"/>
    <w:rsid w:val="004D496D"/>
    <w:rsid w:val="004D5ED2"/>
    <w:rsid w:val="004D768E"/>
    <w:rsid w:val="004E02B8"/>
    <w:rsid w:val="004E057D"/>
    <w:rsid w:val="004E1A1B"/>
    <w:rsid w:val="004E20E5"/>
    <w:rsid w:val="004E5B04"/>
    <w:rsid w:val="004E64EA"/>
    <w:rsid w:val="004E6BF6"/>
    <w:rsid w:val="004E6F66"/>
    <w:rsid w:val="004E7342"/>
    <w:rsid w:val="004E7828"/>
    <w:rsid w:val="004F3883"/>
    <w:rsid w:val="004F46AA"/>
    <w:rsid w:val="004F5E54"/>
    <w:rsid w:val="004F6A70"/>
    <w:rsid w:val="004F7144"/>
    <w:rsid w:val="00500043"/>
    <w:rsid w:val="00501D31"/>
    <w:rsid w:val="0050239A"/>
    <w:rsid w:val="00502ABF"/>
    <w:rsid w:val="00503683"/>
    <w:rsid w:val="00503720"/>
    <w:rsid w:val="005039AF"/>
    <w:rsid w:val="00504DB0"/>
    <w:rsid w:val="00504F61"/>
    <w:rsid w:val="005064DE"/>
    <w:rsid w:val="00507C35"/>
    <w:rsid w:val="00514D2F"/>
    <w:rsid w:val="005159DC"/>
    <w:rsid w:val="0052080D"/>
    <w:rsid w:val="0052160B"/>
    <w:rsid w:val="00521C73"/>
    <w:rsid w:val="00523E53"/>
    <w:rsid w:val="00524DAD"/>
    <w:rsid w:val="005271E1"/>
    <w:rsid w:val="0052779A"/>
    <w:rsid w:val="00530BA0"/>
    <w:rsid w:val="0053343F"/>
    <w:rsid w:val="00534D4D"/>
    <w:rsid w:val="00536C63"/>
    <w:rsid w:val="005378F0"/>
    <w:rsid w:val="00540A19"/>
    <w:rsid w:val="00541309"/>
    <w:rsid w:val="0054175C"/>
    <w:rsid w:val="0054246D"/>
    <w:rsid w:val="00544035"/>
    <w:rsid w:val="0054420E"/>
    <w:rsid w:val="00544D1B"/>
    <w:rsid w:val="00545001"/>
    <w:rsid w:val="00545DC0"/>
    <w:rsid w:val="00545F6C"/>
    <w:rsid w:val="00547039"/>
    <w:rsid w:val="00547255"/>
    <w:rsid w:val="00547D12"/>
    <w:rsid w:val="00550175"/>
    <w:rsid w:val="0055203A"/>
    <w:rsid w:val="0055221F"/>
    <w:rsid w:val="00552536"/>
    <w:rsid w:val="0055277F"/>
    <w:rsid w:val="00552C80"/>
    <w:rsid w:val="005536AF"/>
    <w:rsid w:val="00555318"/>
    <w:rsid w:val="005556E7"/>
    <w:rsid w:val="00555A7A"/>
    <w:rsid w:val="0055720C"/>
    <w:rsid w:val="005617FF"/>
    <w:rsid w:val="00561ED4"/>
    <w:rsid w:val="005621E5"/>
    <w:rsid w:val="005634E0"/>
    <w:rsid w:val="0056423B"/>
    <w:rsid w:val="00567B43"/>
    <w:rsid w:val="00573424"/>
    <w:rsid w:val="0057402F"/>
    <w:rsid w:val="00574ECB"/>
    <w:rsid w:val="005756B1"/>
    <w:rsid w:val="00575E2F"/>
    <w:rsid w:val="00576D6B"/>
    <w:rsid w:val="00576F71"/>
    <w:rsid w:val="00577576"/>
    <w:rsid w:val="00581E15"/>
    <w:rsid w:val="005849D6"/>
    <w:rsid w:val="00585367"/>
    <w:rsid w:val="005857A2"/>
    <w:rsid w:val="005857F4"/>
    <w:rsid w:val="00586034"/>
    <w:rsid w:val="0058737E"/>
    <w:rsid w:val="00591476"/>
    <w:rsid w:val="00592518"/>
    <w:rsid w:val="00592B84"/>
    <w:rsid w:val="00592E87"/>
    <w:rsid w:val="005940F3"/>
    <w:rsid w:val="00594C4D"/>
    <w:rsid w:val="005967FA"/>
    <w:rsid w:val="00596EE9"/>
    <w:rsid w:val="00597DEB"/>
    <w:rsid w:val="005A2CB0"/>
    <w:rsid w:val="005A33B0"/>
    <w:rsid w:val="005A3E51"/>
    <w:rsid w:val="005A4204"/>
    <w:rsid w:val="005A59F5"/>
    <w:rsid w:val="005A73DE"/>
    <w:rsid w:val="005B1696"/>
    <w:rsid w:val="005B21F5"/>
    <w:rsid w:val="005B2826"/>
    <w:rsid w:val="005B4E24"/>
    <w:rsid w:val="005B5372"/>
    <w:rsid w:val="005B7FD8"/>
    <w:rsid w:val="005C0AD5"/>
    <w:rsid w:val="005C1B02"/>
    <w:rsid w:val="005C2DC2"/>
    <w:rsid w:val="005C304A"/>
    <w:rsid w:val="005C34F6"/>
    <w:rsid w:val="005C3502"/>
    <w:rsid w:val="005C6AC0"/>
    <w:rsid w:val="005C6D6E"/>
    <w:rsid w:val="005C7801"/>
    <w:rsid w:val="005C7A7D"/>
    <w:rsid w:val="005C7C98"/>
    <w:rsid w:val="005D180D"/>
    <w:rsid w:val="005D2D59"/>
    <w:rsid w:val="005D34A6"/>
    <w:rsid w:val="005D3761"/>
    <w:rsid w:val="005D40BF"/>
    <w:rsid w:val="005D4D80"/>
    <w:rsid w:val="005D5289"/>
    <w:rsid w:val="005D54DF"/>
    <w:rsid w:val="005D57C8"/>
    <w:rsid w:val="005D605E"/>
    <w:rsid w:val="005D6C59"/>
    <w:rsid w:val="005D716C"/>
    <w:rsid w:val="005D7761"/>
    <w:rsid w:val="005E0278"/>
    <w:rsid w:val="005E090D"/>
    <w:rsid w:val="005E27AD"/>
    <w:rsid w:val="005E29E1"/>
    <w:rsid w:val="005E3CA0"/>
    <w:rsid w:val="005E414C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205F"/>
    <w:rsid w:val="005F22CC"/>
    <w:rsid w:val="005F3E01"/>
    <w:rsid w:val="005F43DD"/>
    <w:rsid w:val="005F51A9"/>
    <w:rsid w:val="005F5767"/>
    <w:rsid w:val="005F658D"/>
    <w:rsid w:val="005F6A71"/>
    <w:rsid w:val="005F7416"/>
    <w:rsid w:val="005F7EE6"/>
    <w:rsid w:val="005F7FDB"/>
    <w:rsid w:val="006005C9"/>
    <w:rsid w:val="00600C11"/>
    <w:rsid w:val="00600FFB"/>
    <w:rsid w:val="00601464"/>
    <w:rsid w:val="00601A35"/>
    <w:rsid w:val="00603A9B"/>
    <w:rsid w:val="0060615B"/>
    <w:rsid w:val="00606B89"/>
    <w:rsid w:val="0061066F"/>
    <w:rsid w:val="00612BBB"/>
    <w:rsid w:val="00614AAE"/>
    <w:rsid w:val="006153BB"/>
    <w:rsid w:val="00616532"/>
    <w:rsid w:val="0062133C"/>
    <w:rsid w:val="00621AA5"/>
    <w:rsid w:val="0062306F"/>
    <w:rsid w:val="0062344B"/>
    <w:rsid w:val="00623F30"/>
    <w:rsid w:val="00624490"/>
    <w:rsid w:val="00624FCB"/>
    <w:rsid w:val="006252DA"/>
    <w:rsid w:val="00625758"/>
    <w:rsid w:val="00625E4C"/>
    <w:rsid w:val="00625FB8"/>
    <w:rsid w:val="006261BD"/>
    <w:rsid w:val="00626841"/>
    <w:rsid w:val="00627146"/>
    <w:rsid w:val="00627C2A"/>
    <w:rsid w:val="006314FB"/>
    <w:rsid w:val="00631B8E"/>
    <w:rsid w:val="00631DCE"/>
    <w:rsid w:val="00631FFD"/>
    <w:rsid w:val="006335DC"/>
    <w:rsid w:val="0063411B"/>
    <w:rsid w:val="00637FC5"/>
    <w:rsid w:val="00640134"/>
    <w:rsid w:val="00640718"/>
    <w:rsid w:val="00643576"/>
    <w:rsid w:val="0064382F"/>
    <w:rsid w:val="00644BB3"/>
    <w:rsid w:val="00645D78"/>
    <w:rsid w:val="0064734E"/>
    <w:rsid w:val="00650137"/>
    <w:rsid w:val="00650814"/>
    <w:rsid w:val="006509D7"/>
    <w:rsid w:val="0065166C"/>
    <w:rsid w:val="0065195E"/>
    <w:rsid w:val="00651CE8"/>
    <w:rsid w:val="00651F30"/>
    <w:rsid w:val="00653AD6"/>
    <w:rsid w:val="0065445C"/>
    <w:rsid w:val="00654B5A"/>
    <w:rsid w:val="006550B1"/>
    <w:rsid w:val="0065521B"/>
    <w:rsid w:val="00656EFA"/>
    <w:rsid w:val="00657707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3212"/>
    <w:rsid w:val="006748F8"/>
    <w:rsid w:val="00680489"/>
    <w:rsid w:val="00681608"/>
    <w:rsid w:val="006818F8"/>
    <w:rsid w:val="0068213F"/>
    <w:rsid w:val="00683C32"/>
    <w:rsid w:val="00683E6F"/>
    <w:rsid w:val="006858B4"/>
    <w:rsid w:val="00687701"/>
    <w:rsid w:val="0069009D"/>
    <w:rsid w:val="00690BB2"/>
    <w:rsid w:val="00691ABF"/>
    <w:rsid w:val="00692B64"/>
    <w:rsid w:val="00693C16"/>
    <w:rsid w:val="006A0016"/>
    <w:rsid w:val="006A00B2"/>
    <w:rsid w:val="006A2FB3"/>
    <w:rsid w:val="006A572A"/>
    <w:rsid w:val="006A63A4"/>
    <w:rsid w:val="006A7710"/>
    <w:rsid w:val="006A7A0B"/>
    <w:rsid w:val="006A7A61"/>
    <w:rsid w:val="006B0223"/>
    <w:rsid w:val="006B1E59"/>
    <w:rsid w:val="006B2FFB"/>
    <w:rsid w:val="006B362B"/>
    <w:rsid w:val="006B45C5"/>
    <w:rsid w:val="006B4A01"/>
    <w:rsid w:val="006B67BF"/>
    <w:rsid w:val="006C074B"/>
    <w:rsid w:val="006C10A2"/>
    <w:rsid w:val="006C10AA"/>
    <w:rsid w:val="006C1D80"/>
    <w:rsid w:val="006C1F18"/>
    <w:rsid w:val="006C22A8"/>
    <w:rsid w:val="006C294F"/>
    <w:rsid w:val="006C5727"/>
    <w:rsid w:val="006C61C9"/>
    <w:rsid w:val="006C70C5"/>
    <w:rsid w:val="006C7DAE"/>
    <w:rsid w:val="006D11E0"/>
    <w:rsid w:val="006D1BE4"/>
    <w:rsid w:val="006D40D5"/>
    <w:rsid w:val="006D615B"/>
    <w:rsid w:val="006D62CA"/>
    <w:rsid w:val="006D7847"/>
    <w:rsid w:val="006E1567"/>
    <w:rsid w:val="006E1808"/>
    <w:rsid w:val="006E663B"/>
    <w:rsid w:val="006E693F"/>
    <w:rsid w:val="006E791C"/>
    <w:rsid w:val="006F009A"/>
    <w:rsid w:val="006F0FAB"/>
    <w:rsid w:val="006F16E0"/>
    <w:rsid w:val="006F1B55"/>
    <w:rsid w:val="006F318B"/>
    <w:rsid w:val="006F3D93"/>
    <w:rsid w:val="006F42B6"/>
    <w:rsid w:val="006F4652"/>
    <w:rsid w:val="006F60F8"/>
    <w:rsid w:val="007019B1"/>
    <w:rsid w:val="0070259A"/>
    <w:rsid w:val="00703D4D"/>
    <w:rsid w:val="007055EC"/>
    <w:rsid w:val="007073BA"/>
    <w:rsid w:val="007073FA"/>
    <w:rsid w:val="007073FB"/>
    <w:rsid w:val="007077BF"/>
    <w:rsid w:val="00710593"/>
    <w:rsid w:val="0071082E"/>
    <w:rsid w:val="00712F8C"/>
    <w:rsid w:val="007156A3"/>
    <w:rsid w:val="007165B6"/>
    <w:rsid w:val="00720E7F"/>
    <w:rsid w:val="00721524"/>
    <w:rsid w:val="00721657"/>
    <w:rsid w:val="00721A36"/>
    <w:rsid w:val="00723824"/>
    <w:rsid w:val="00727B1A"/>
    <w:rsid w:val="0073110E"/>
    <w:rsid w:val="0073301E"/>
    <w:rsid w:val="007339A8"/>
    <w:rsid w:val="00733BF8"/>
    <w:rsid w:val="007348F6"/>
    <w:rsid w:val="00734A4F"/>
    <w:rsid w:val="007370F2"/>
    <w:rsid w:val="0073713B"/>
    <w:rsid w:val="00740FAC"/>
    <w:rsid w:val="0074139C"/>
    <w:rsid w:val="00742714"/>
    <w:rsid w:val="007437FD"/>
    <w:rsid w:val="00745E63"/>
    <w:rsid w:val="00746BAF"/>
    <w:rsid w:val="007476C4"/>
    <w:rsid w:val="0075016A"/>
    <w:rsid w:val="00750400"/>
    <w:rsid w:val="00751AA4"/>
    <w:rsid w:val="00751FCE"/>
    <w:rsid w:val="00752258"/>
    <w:rsid w:val="0075277D"/>
    <w:rsid w:val="00753B73"/>
    <w:rsid w:val="00753EDA"/>
    <w:rsid w:val="00755384"/>
    <w:rsid w:val="007562CB"/>
    <w:rsid w:val="00756808"/>
    <w:rsid w:val="00756D48"/>
    <w:rsid w:val="00757E7A"/>
    <w:rsid w:val="00762880"/>
    <w:rsid w:val="00762AD6"/>
    <w:rsid w:val="00762D05"/>
    <w:rsid w:val="00762F99"/>
    <w:rsid w:val="00763258"/>
    <w:rsid w:val="00763DBD"/>
    <w:rsid w:val="00764626"/>
    <w:rsid w:val="00765B6F"/>
    <w:rsid w:val="00766B88"/>
    <w:rsid w:val="00767ABE"/>
    <w:rsid w:val="00767D1E"/>
    <w:rsid w:val="00770096"/>
    <w:rsid w:val="007714F0"/>
    <w:rsid w:val="00772290"/>
    <w:rsid w:val="00773170"/>
    <w:rsid w:val="00774F64"/>
    <w:rsid w:val="0077525C"/>
    <w:rsid w:val="00775392"/>
    <w:rsid w:val="00777265"/>
    <w:rsid w:val="007805E7"/>
    <w:rsid w:val="0078162F"/>
    <w:rsid w:val="00781B4F"/>
    <w:rsid w:val="0078222A"/>
    <w:rsid w:val="00783CFB"/>
    <w:rsid w:val="00785B16"/>
    <w:rsid w:val="00787D48"/>
    <w:rsid w:val="0079032C"/>
    <w:rsid w:val="007903C1"/>
    <w:rsid w:val="00790D8F"/>
    <w:rsid w:val="00792520"/>
    <w:rsid w:val="00794CB5"/>
    <w:rsid w:val="0079572C"/>
    <w:rsid w:val="00796DAF"/>
    <w:rsid w:val="00797614"/>
    <w:rsid w:val="0079768B"/>
    <w:rsid w:val="007A0EAC"/>
    <w:rsid w:val="007A1154"/>
    <w:rsid w:val="007A2AE4"/>
    <w:rsid w:val="007A35BB"/>
    <w:rsid w:val="007A4E50"/>
    <w:rsid w:val="007A59A9"/>
    <w:rsid w:val="007A60EF"/>
    <w:rsid w:val="007B18A7"/>
    <w:rsid w:val="007B250E"/>
    <w:rsid w:val="007B442A"/>
    <w:rsid w:val="007B57D4"/>
    <w:rsid w:val="007B5C87"/>
    <w:rsid w:val="007B5DD0"/>
    <w:rsid w:val="007B6EB7"/>
    <w:rsid w:val="007C0EAF"/>
    <w:rsid w:val="007C2467"/>
    <w:rsid w:val="007C27FC"/>
    <w:rsid w:val="007C3717"/>
    <w:rsid w:val="007C51FF"/>
    <w:rsid w:val="007C5C00"/>
    <w:rsid w:val="007C6618"/>
    <w:rsid w:val="007C6F70"/>
    <w:rsid w:val="007D0AF0"/>
    <w:rsid w:val="007D2834"/>
    <w:rsid w:val="007D50E4"/>
    <w:rsid w:val="007D54B9"/>
    <w:rsid w:val="007D5867"/>
    <w:rsid w:val="007D5D21"/>
    <w:rsid w:val="007D75DF"/>
    <w:rsid w:val="007D765B"/>
    <w:rsid w:val="007E0CBC"/>
    <w:rsid w:val="007E1626"/>
    <w:rsid w:val="007E2171"/>
    <w:rsid w:val="007E22C3"/>
    <w:rsid w:val="007E249F"/>
    <w:rsid w:val="007E47A3"/>
    <w:rsid w:val="007E5686"/>
    <w:rsid w:val="007E5CD4"/>
    <w:rsid w:val="007E6B95"/>
    <w:rsid w:val="007F0014"/>
    <w:rsid w:val="007F0B6F"/>
    <w:rsid w:val="007F1A2A"/>
    <w:rsid w:val="007F2395"/>
    <w:rsid w:val="007F25EA"/>
    <w:rsid w:val="007F2B4E"/>
    <w:rsid w:val="007F3AA0"/>
    <w:rsid w:val="007F435B"/>
    <w:rsid w:val="007F594E"/>
    <w:rsid w:val="007F64B0"/>
    <w:rsid w:val="00800B73"/>
    <w:rsid w:val="008027AC"/>
    <w:rsid w:val="008028CE"/>
    <w:rsid w:val="0080332E"/>
    <w:rsid w:val="00806301"/>
    <w:rsid w:val="00807B31"/>
    <w:rsid w:val="00811024"/>
    <w:rsid w:val="00811FC8"/>
    <w:rsid w:val="008126AE"/>
    <w:rsid w:val="0081285B"/>
    <w:rsid w:val="008132AC"/>
    <w:rsid w:val="008141E0"/>
    <w:rsid w:val="00814871"/>
    <w:rsid w:val="00816EE1"/>
    <w:rsid w:val="00816F88"/>
    <w:rsid w:val="0081775A"/>
    <w:rsid w:val="00817D3E"/>
    <w:rsid w:val="0082109F"/>
    <w:rsid w:val="008212BA"/>
    <w:rsid w:val="00821D37"/>
    <w:rsid w:val="008221EE"/>
    <w:rsid w:val="00822323"/>
    <w:rsid w:val="00824C81"/>
    <w:rsid w:val="00826A61"/>
    <w:rsid w:val="00827123"/>
    <w:rsid w:val="008274BF"/>
    <w:rsid w:val="00827DB1"/>
    <w:rsid w:val="00833024"/>
    <w:rsid w:val="00833205"/>
    <w:rsid w:val="00834D1B"/>
    <w:rsid w:val="008402B0"/>
    <w:rsid w:val="00840CD5"/>
    <w:rsid w:val="008419B1"/>
    <w:rsid w:val="00843152"/>
    <w:rsid w:val="008439F5"/>
    <w:rsid w:val="00843ECD"/>
    <w:rsid w:val="00844A56"/>
    <w:rsid w:val="0084589A"/>
    <w:rsid w:val="008459D2"/>
    <w:rsid w:val="00847E71"/>
    <w:rsid w:val="00850812"/>
    <w:rsid w:val="00852081"/>
    <w:rsid w:val="00852B98"/>
    <w:rsid w:val="008561E9"/>
    <w:rsid w:val="00857AD7"/>
    <w:rsid w:val="008614E8"/>
    <w:rsid w:val="0086299A"/>
    <w:rsid w:val="00862D5B"/>
    <w:rsid w:val="00863790"/>
    <w:rsid w:val="008642AD"/>
    <w:rsid w:val="00867A5C"/>
    <w:rsid w:val="00867B76"/>
    <w:rsid w:val="00867E39"/>
    <w:rsid w:val="00870096"/>
    <w:rsid w:val="00871604"/>
    <w:rsid w:val="00872A6C"/>
    <w:rsid w:val="00873010"/>
    <w:rsid w:val="00873615"/>
    <w:rsid w:val="00873DA8"/>
    <w:rsid w:val="00874DFD"/>
    <w:rsid w:val="0087573D"/>
    <w:rsid w:val="00877A02"/>
    <w:rsid w:val="008802F9"/>
    <w:rsid w:val="008809F5"/>
    <w:rsid w:val="008816A7"/>
    <w:rsid w:val="00881BF7"/>
    <w:rsid w:val="00882777"/>
    <w:rsid w:val="00882944"/>
    <w:rsid w:val="00882E82"/>
    <w:rsid w:val="00883086"/>
    <w:rsid w:val="0088403F"/>
    <w:rsid w:val="00884E68"/>
    <w:rsid w:val="00886184"/>
    <w:rsid w:val="008879FD"/>
    <w:rsid w:val="008933F8"/>
    <w:rsid w:val="00894C37"/>
    <w:rsid w:val="00894CEF"/>
    <w:rsid w:val="008A00EA"/>
    <w:rsid w:val="008A154F"/>
    <w:rsid w:val="008A3F93"/>
    <w:rsid w:val="008A5C0E"/>
    <w:rsid w:val="008A5E5F"/>
    <w:rsid w:val="008A6236"/>
    <w:rsid w:val="008A68AC"/>
    <w:rsid w:val="008A6E1C"/>
    <w:rsid w:val="008A72FD"/>
    <w:rsid w:val="008B2EDF"/>
    <w:rsid w:val="008B386B"/>
    <w:rsid w:val="008B3D7E"/>
    <w:rsid w:val="008B4CE9"/>
    <w:rsid w:val="008B54CB"/>
    <w:rsid w:val="008B5772"/>
    <w:rsid w:val="008B5A3D"/>
    <w:rsid w:val="008B6C4A"/>
    <w:rsid w:val="008B7A57"/>
    <w:rsid w:val="008C2889"/>
    <w:rsid w:val="008C3AC6"/>
    <w:rsid w:val="008C4010"/>
    <w:rsid w:val="008C4FDF"/>
    <w:rsid w:val="008C6B1F"/>
    <w:rsid w:val="008C7F88"/>
    <w:rsid w:val="008D151B"/>
    <w:rsid w:val="008D2D8F"/>
    <w:rsid w:val="008D3572"/>
    <w:rsid w:val="008D5785"/>
    <w:rsid w:val="008D5E4F"/>
    <w:rsid w:val="008D6127"/>
    <w:rsid w:val="008D72DD"/>
    <w:rsid w:val="008E19AF"/>
    <w:rsid w:val="008E2FD3"/>
    <w:rsid w:val="008E330E"/>
    <w:rsid w:val="008E3D3A"/>
    <w:rsid w:val="008E3E1B"/>
    <w:rsid w:val="008E468F"/>
    <w:rsid w:val="008E4C5F"/>
    <w:rsid w:val="008E69E3"/>
    <w:rsid w:val="008E6EE0"/>
    <w:rsid w:val="008F14F5"/>
    <w:rsid w:val="008F22D6"/>
    <w:rsid w:val="008F487F"/>
    <w:rsid w:val="008F59CF"/>
    <w:rsid w:val="008F6DD5"/>
    <w:rsid w:val="008F71C1"/>
    <w:rsid w:val="00900E6D"/>
    <w:rsid w:val="00902777"/>
    <w:rsid w:val="00902D41"/>
    <w:rsid w:val="00902F49"/>
    <w:rsid w:val="009032C8"/>
    <w:rsid w:val="00904486"/>
    <w:rsid w:val="00904AE0"/>
    <w:rsid w:val="00911036"/>
    <w:rsid w:val="009111C9"/>
    <w:rsid w:val="00914004"/>
    <w:rsid w:val="009157BC"/>
    <w:rsid w:val="00917CA1"/>
    <w:rsid w:val="0092197F"/>
    <w:rsid w:val="00921D5B"/>
    <w:rsid w:val="00922EC1"/>
    <w:rsid w:val="00926992"/>
    <w:rsid w:val="00926D94"/>
    <w:rsid w:val="009272DD"/>
    <w:rsid w:val="00927934"/>
    <w:rsid w:val="009301F1"/>
    <w:rsid w:val="009305B6"/>
    <w:rsid w:val="00930EF3"/>
    <w:rsid w:val="00932651"/>
    <w:rsid w:val="009336D5"/>
    <w:rsid w:val="00933B66"/>
    <w:rsid w:val="00934AAE"/>
    <w:rsid w:val="009359B8"/>
    <w:rsid w:val="009369C9"/>
    <w:rsid w:val="00937843"/>
    <w:rsid w:val="009405B2"/>
    <w:rsid w:val="00941F3E"/>
    <w:rsid w:val="009420B6"/>
    <w:rsid w:val="009421D9"/>
    <w:rsid w:val="0094229B"/>
    <w:rsid w:val="009431F8"/>
    <w:rsid w:val="00943905"/>
    <w:rsid w:val="00943BD5"/>
    <w:rsid w:val="009454CB"/>
    <w:rsid w:val="0094558F"/>
    <w:rsid w:val="00947A35"/>
    <w:rsid w:val="00947A74"/>
    <w:rsid w:val="009507F6"/>
    <w:rsid w:val="0095107D"/>
    <w:rsid w:val="00951C2A"/>
    <w:rsid w:val="009549EF"/>
    <w:rsid w:val="00954F38"/>
    <w:rsid w:val="00960B85"/>
    <w:rsid w:val="00960D36"/>
    <w:rsid w:val="00960DF0"/>
    <w:rsid w:val="009611BC"/>
    <w:rsid w:val="009625CF"/>
    <w:rsid w:val="00962E18"/>
    <w:rsid w:val="009641D4"/>
    <w:rsid w:val="00964E57"/>
    <w:rsid w:val="00965B1A"/>
    <w:rsid w:val="00965E4B"/>
    <w:rsid w:val="00966CB5"/>
    <w:rsid w:val="009673F7"/>
    <w:rsid w:val="009713A6"/>
    <w:rsid w:val="009719B9"/>
    <w:rsid w:val="00973004"/>
    <w:rsid w:val="00973355"/>
    <w:rsid w:val="009733DE"/>
    <w:rsid w:val="00975786"/>
    <w:rsid w:val="00976CA0"/>
    <w:rsid w:val="009772E1"/>
    <w:rsid w:val="0098070F"/>
    <w:rsid w:val="00981CB7"/>
    <w:rsid w:val="0098270A"/>
    <w:rsid w:val="00983E1F"/>
    <w:rsid w:val="0098422E"/>
    <w:rsid w:val="009848B2"/>
    <w:rsid w:val="00985BE1"/>
    <w:rsid w:val="00986235"/>
    <w:rsid w:val="00987E4F"/>
    <w:rsid w:val="00990CBD"/>
    <w:rsid w:val="00991752"/>
    <w:rsid w:val="00991C71"/>
    <w:rsid w:val="009922E2"/>
    <w:rsid w:val="0099324B"/>
    <w:rsid w:val="00993F46"/>
    <w:rsid w:val="0099432B"/>
    <w:rsid w:val="00994993"/>
    <w:rsid w:val="0099651E"/>
    <w:rsid w:val="00996579"/>
    <w:rsid w:val="00996D45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5237"/>
    <w:rsid w:val="009B5DB0"/>
    <w:rsid w:val="009B6D31"/>
    <w:rsid w:val="009B74C3"/>
    <w:rsid w:val="009C0145"/>
    <w:rsid w:val="009C05C7"/>
    <w:rsid w:val="009C080E"/>
    <w:rsid w:val="009C110B"/>
    <w:rsid w:val="009C1998"/>
    <w:rsid w:val="009C2D03"/>
    <w:rsid w:val="009C34EC"/>
    <w:rsid w:val="009C5441"/>
    <w:rsid w:val="009C5C60"/>
    <w:rsid w:val="009C6263"/>
    <w:rsid w:val="009D119F"/>
    <w:rsid w:val="009D1418"/>
    <w:rsid w:val="009D2055"/>
    <w:rsid w:val="009D277D"/>
    <w:rsid w:val="009D35C3"/>
    <w:rsid w:val="009D3CD9"/>
    <w:rsid w:val="009D49A2"/>
    <w:rsid w:val="009D6EDF"/>
    <w:rsid w:val="009E0578"/>
    <w:rsid w:val="009E0739"/>
    <w:rsid w:val="009E08DA"/>
    <w:rsid w:val="009E1364"/>
    <w:rsid w:val="009E1AEE"/>
    <w:rsid w:val="009E1EA1"/>
    <w:rsid w:val="009E258F"/>
    <w:rsid w:val="009E43EB"/>
    <w:rsid w:val="009E52E9"/>
    <w:rsid w:val="009E69A9"/>
    <w:rsid w:val="009E7934"/>
    <w:rsid w:val="009F3940"/>
    <w:rsid w:val="009F3EB2"/>
    <w:rsid w:val="009F6682"/>
    <w:rsid w:val="009F6D67"/>
    <w:rsid w:val="009F6EB1"/>
    <w:rsid w:val="009F71CC"/>
    <w:rsid w:val="00A0000C"/>
    <w:rsid w:val="00A02E0C"/>
    <w:rsid w:val="00A06976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3296"/>
    <w:rsid w:val="00A1338A"/>
    <w:rsid w:val="00A144D0"/>
    <w:rsid w:val="00A15456"/>
    <w:rsid w:val="00A15C67"/>
    <w:rsid w:val="00A1699D"/>
    <w:rsid w:val="00A173EF"/>
    <w:rsid w:val="00A20267"/>
    <w:rsid w:val="00A23C8E"/>
    <w:rsid w:val="00A25157"/>
    <w:rsid w:val="00A25498"/>
    <w:rsid w:val="00A257BD"/>
    <w:rsid w:val="00A25C79"/>
    <w:rsid w:val="00A26890"/>
    <w:rsid w:val="00A30F89"/>
    <w:rsid w:val="00A3158C"/>
    <w:rsid w:val="00A3165F"/>
    <w:rsid w:val="00A317BD"/>
    <w:rsid w:val="00A3274C"/>
    <w:rsid w:val="00A32DF3"/>
    <w:rsid w:val="00A33398"/>
    <w:rsid w:val="00A33750"/>
    <w:rsid w:val="00A33E32"/>
    <w:rsid w:val="00A34306"/>
    <w:rsid w:val="00A35E20"/>
    <w:rsid w:val="00A36513"/>
    <w:rsid w:val="00A3722F"/>
    <w:rsid w:val="00A3765C"/>
    <w:rsid w:val="00A40D40"/>
    <w:rsid w:val="00A42046"/>
    <w:rsid w:val="00A42715"/>
    <w:rsid w:val="00A43972"/>
    <w:rsid w:val="00A439F7"/>
    <w:rsid w:val="00A44AA2"/>
    <w:rsid w:val="00A46426"/>
    <w:rsid w:val="00A5093B"/>
    <w:rsid w:val="00A5188D"/>
    <w:rsid w:val="00A525CC"/>
    <w:rsid w:val="00A526A3"/>
    <w:rsid w:val="00A52A03"/>
    <w:rsid w:val="00A53E7C"/>
    <w:rsid w:val="00A546E8"/>
    <w:rsid w:val="00A55E5E"/>
    <w:rsid w:val="00A565EE"/>
    <w:rsid w:val="00A569F6"/>
    <w:rsid w:val="00A60087"/>
    <w:rsid w:val="00A632E3"/>
    <w:rsid w:val="00A649A3"/>
    <w:rsid w:val="00A65C4B"/>
    <w:rsid w:val="00A66A8F"/>
    <w:rsid w:val="00A702EF"/>
    <w:rsid w:val="00A705E8"/>
    <w:rsid w:val="00A726B2"/>
    <w:rsid w:val="00A72C20"/>
    <w:rsid w:val="00A735DA"/>
    <w:rsid w:val="00A73AF2"/>
    <w:rsid w:val="00A75EF6"/>
    <w:rsid w:val="00A7722F"/>
    <w:rsid w:val="00A87D0B"/>
    <w:rsid w:val="00A90865"/>
    <w:rsid w:val="00A9129A"/>
    <w:rsid w:val="00A92BF3"/>
    <w:rsid w:val="00A9392C"/>
    <w:rsid w:val="00A9462B"/>
    <w:rsid w:val="00A97D59"/>
    <w:rsid w:val="00AA0E92"/>
    <w:rsid w:val="00AA22DD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4976"/>
    <w:rsid w:val="00AB6E73"/>
    <w:rsid w:val="00AB734E"/>
    <w:rsid w:val="00AB740F"/>
    <w:rsid w:val="00AC3F72"/>
    <w:rsid w:val="00AC44F4"/>
    <w:rsid w:val="00AC51E4"/>
    <w:rsid w:val="00AC5EB4"/>
    <w:rsid w:val="00AC717C"/>
    <w:rsid w:val="00AC7221"/>
    <w:rsid w:val="00AD1ACC"/>
    <w:rsid w:val="00AD1BA7"/>
    <w:rsid w:val="00AD1D5E"/>
    <w:rsid w:val="00AD2E82"/>
    <w:rsid w:val="00AD410D"/>
    <w:rsid w:val="00AD44E1"/>
    <w:rsid w:val="00AD5B8E"/>
    <w:rsid w:val="00AD5F0B"/>
    <w:rsid w:val="00AD7121"/>
    <w:rsid w:val="00AD7267"/>
    <w:rsid w:val="00AE3836"/>
    <w:rsid w:val="00AE4A7D"/>
    <w:rsid w:val="00AE5961"/>
    <w:rsid w:val="00AE6026"/>
    <w:rsid w:val="00AE612E"/>
    <w:rsid w:val="00AF167A"/>
    <w:rsid w:val="00AF3EFD"/>
    <w:rsid w:val="00AF43FA"/>
    <w:rsid w:val="00AF4971"/>
    <w:rsid w:val="00AF4A94"/>
    <w:rsid w:val="00AF5580"/>
    <w:rsid w:val="00B01046"/>
    <w:rsid w:val="00B022A1"/>
    <w:rsid w:val="00B02443"/>
    <w:rsid w:val="00B025C1"/>
    <w:rsid w:val="00B0652C"/>
    <w:rsid w:val="00B06A28"/>
    <w:rsid w:val="00B073B5"/>
    <w:rsid w:val="00B07ED8"/>
    <w:rsid w:val="00B11176"/>
    <w:rsid w:val="00B12F57"/>
    <w:rsid w:val="00B20631"/>
    <w:rsid w:val="00B213C5"/>
    <w:rsid w:val="00B21793"/>
    <w:rsid w:val="00B219E7"/>
    <w:rsid w:val="00B22114"/>
    <w:rsid w:val="00B2270B"/>
    <w:rsid w:val="00B24C81"/>
    <w:rsid w:val="00B26734"/>
    <w:rsid w:val="00B26C9E"/>
    <w:rsid w:val="00B27915"/>
    <w:rsid w:val="00B30707"/>
    <w:rsid w:val="00B310F9"/>
    <w:rsid w:val="00B331D9"/>
    <w:rsid w:val="00B339D3"/>
    <w:rsid w:val="00B35835"/>
    <w:rsid w:val="00B36275"/>
    <w:rsid w:val="00B37414"/>
    <w:rsid w:val="00B37866"/>
    <w:rsid w:val="00B37D67"/>
    <w:rsid w:val="00B411CF"/>
    <w:rsid w:val="00B412CF"/>
    <w:rsid w:val="00B412FB"/>
    <w:rsid w:val="00B415C2"/>
    <w:rsid w:val="00B42735"/>
    <w:rsid w:val="00B42E86"/>
    <w:rsid w:val="00B42EA5"/>
    <w:rsid w:val="00B4346C"/>
    <w:rsid w:val="00B44D27"/>
    <w:rsid w:val="00B4576B"/>
    <w:rsid w:val="00B46350"/>
    <w:rsid w:val="00B51B8D"/>
    <w:rsid w:val="00B53310"/>
    <w:rsid w:val="00B53743"/>
    <w:rsid w:val="00B53DBD"/>
    <w:rsid w:val="00B5528A"/>
    <w:rsid w:val="00B55BFB"/>
    <w:rsid w:val="00B57D99"/>
    <w:rsid w:val="00B600D3"/>
    <w:rsid w:val="00B607E1"/>
    <w:rsid w:val="00B62E2D"/>
    <w:rsid w:val="00B642E0"/>
    <w:rsid w:val="00B65CE4"/>
    <w:rsid w:val="00B66D8A"/>
    <w:rsid w:val="00B66E8F"/>
    <w:rsid w:val="00B67170"/>
    <w:rsid w:val="00B674AE"/>
    <w:rsid w:val="00B67AEC"/>
    <w:rsid w:val="00B72D16"/>
    <w:rsid w:val="00B73285"/>
    <w:rsid w:val="00B753B7"/>
    <w:rsid w:val="00B75640"/>
    <w:rsid w:val="00B7628C"/>
    <w:rsid w:val="00B76DC0"/>
    <w:rsid w:val="00B806BF"/>
    <w:rsid w:val="00B81A0B"/>
    <w:rsid w:val="00B836D7"/>
    <w:rsid w:val="00B83D5E"/>
    <w:rsid w:val="00B84528"/>
    <w:rsid w:val="00B8460A"/>
    <w:rsid w:val="00B85A70"/>
    <w:rsid w:val="00B8650D"/>
    <w:rsid w:val="00B877CA"/>
    <w:rsid w:val="00B879B4"/>
    <w:rsid w:val="00B90F07"/>
    <w:rsid w:val="00B91E09"/>
    <w:rsid w:val="00B92ABF"/>
    <w:rsid w:val="00B933CE"/>
    <w:rsid w:val="00B943DD"/>
    <w:rsid w:val="00B95BEE"/>
    <w:rsid w:val="00B964A2"/>
    <w:rsid w:val="00B96D4D"/>
    <w:rsid w:val="00B97BB9"/>
    <w:rsid w:val="00BA0009"/>
    <w:rsid w:val="00BA0DB3"/>
    <w:rsid w:val="00BA1A88"/>
    <w:rsid w:val="00BA2577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2A03"/>
    <w:rsid w:val="00BB363A"/>
    <w:rsid w:val="00BB420F"/>
    <w:rsid w:val="00BB4ED7"/>
    <w:rsid w:val="00BB5DA2"/>
    <w:rsid w:val="00BB69BC"/>
    <w:rsid w:val="00BB7655"/>
    <w:rsid w:val="00BB7680"/>
    <w:rsid w:val="00BC10A0"/>
    <w:rsid w:val="00BC15B7"/>
    <w:rsid w:val="00BC1C54"/>
    <w:rsid w:val="00BC3666"/>
    <w:rsid w:val="00BC3689"/>
    <w:rsid w:val="00BC44B5"/>
    <w:rsid w:val="00BC54F6"/>
    <w:rsid w:val="00BC6611"/>
    <w:rsid w:val="00BC79E3"/>
    <w:rsid w:val="00BC7BA2"/>
    <w:rsid w:val="00BC7CDE"/>
    <w:rsid w:val="00BD426B"/>
    <w:rsid w:val="00BD49D6"/>
    <w:rsid w:val="00BD545E"/>
    <w:rsid w:val="00BD56EB"/>
    <w:rsid w:val="00BD7829"/>
    <w:rsid w:val="00BD79F0"/>
    <w:rsid w:val="00BD7C18"/>
    <w:rsid w:val="00BE27BF"/>
    <w:rsid w:val="00BE2B4D"/>
    <w:rsid w:val="00BE402E"/>
    <w:rsid w:val="00BE5661"/>
    <w:rsid w:val="00BE7B85"/>
    <w:rsid w:val="00BF02A8"/>
    <w:rsid w:val="00BF0363"/>
    <w:rsid w:val="00BF04DF"/>
    <w:rsid w:val="00BF1109"/>
    <w:rsid w:val="00BF3699"/>
    <w:rsid w:val="00BF4D7D"/>
    <w:rsid w:val="00BF5C91"/>
    <w:rsid w:val="00BF67CA"/>
    <w:rsid w:val="00BF71EB"/>
    <w:rsid w:val="00BF72B0"/>
    <w:rsid w:val="00C015F8"/>
    <w:rsid w:val="00C01D12"/>
    <w:rsid w:val="00C02B4C"/>
    <w:rsid w:val="00C03080"/>
    <w:rsid w:val="00C03132"/>
    <w:rsid w:val="00C032A0"/>
    <w:rsid w:val="00C03B17"/>
    <w:rsid w:val="00C04CC0"/>
    <w:rsid w:val="00C075BF"/>
    <w:rsid w:val="00C07B06"/>
    <w:rsid w:val="00C07E26"/>
    <w:rsid w:val="00C1011C"/>
    <w:rsid w:val="00C101B1"/>
    <w:rsid w:val="00C11E27"/>
    <w:rsid w:val="00C1260C"/>
    <w:rsid w:val="00C12E45"/>
    <w:rsid w:val="00C12F94"/>
    <w:rsid w:val="00C13860"/>
    <w:rsid w:val="00C14AAD"/>
    <w:rsid w:val="00C177C5"/>
    <w:rsid w:val="00C21857"/>
    <w:rsid w:val="00C21DCA"/>
    <w:rsid w:val="00C21E0E"/>
    <w:rsid w:val="00C226E4"/>
    <w:rsid w:val="00C249F1"/>
    <w:rsid w:val="00C24EDB"/>
    <w:rsid w:val="00C2526A"/>
    <w:rsid w:val="00C25752"/>
    <w:rsid w:val="00C2684A"/>
    <w:rsid w:val="00C27127"/>
    <w:rsid w:val="00C3103C"/>
    <w:rsid w:val="00C33216"/>
    <w:rsid w:val="00C34242"/>
    <w:rsid w:val="00C34EC3"/>
    <w:rsid w:val="00C3778E"/>
    <w:rsid w:val="00C37D73"/>
    <w:rsid w:val="00C37F4A"/>
    <w:rsid w:val="00C4038C"/>
    <w:rsid w:val="00C4056B"/>
    <w:rsid w:val="00C40710"/>
    <w:rsid w:val="00C41B23"/>
    <w:rsid w:val="00C42BA2"/>
    <w:rsid w:val="00C43812"/>
    <w:rsid w:val="00C43EAE"/>
    <w:rsid w:val="00C44066"/>
    <w:rsid w:val="00C44E13"/>
    <w:rsid w:val="00C47D12"/>
    <w:rsid w:val="00C513B7"/>
    <w:rsid w:val="00C53BAD"/>
    <w:rsid w:val="00C55C30"/>
    <w:rsid w:val="00C561A9"/>
    <w:rsid w:val="00C60430"/>
    <w:rsid w:val="00C60A41"/>
    <w:rsid w:val="00C61DC4"/>
    <w:rsid w:val="00C61DED"/>
    <w:rsid w:val="00C6285B"/>
    <w:rsid w:val="00C62B71"/>
    <w:rsid w:val="00C62DE8"/>
    <w:rsid w:val="00C62DFB"/>
    <w:rsid w:val="00C65093"/>
    <w:rsid w:val="00C660BF"/>
    <w:rsid w:val="00C66630"/>
    <w:rsid w:val="00C66F4D"/>
    <w:rsid w:val="00C67992"/>
    <w:rsid w:val="00C70B37"/>
    <w:rsid w:val="00C724A2"/>
    <w:rsid w:val="00C74DDB"/>
    <w:rsid w:val="00C7518D"/>
    <w:rsid w:val="00C75672"/>
    <w:rsid w:val="00C75827"/>
    <w:rsid w:val="00C7757D"/>
    <w:rsid w:val="00C77F3C"/>
    <w:rsid w:val="00C80F16"/>
    <w:rsid w:val="00C820CE"/>
    <w:rsid w:val="00C83BAC"/>
    <w:rsid w:val="00C83CA5"/>
    <w:rsid w:val="00C83F09"/>
    <w:rsid w:val="00C84E15"/>
    <w:rsid w:val="00C85971"/>
    <w:rsid w:val="00C861D8"/>
    <w:rsid w:val="00C86600"/>
    <w:rsid w:val="00C87246"/>
    <w:rsid w:val="00C8757E"/>
    <w:rsid w:val="00C87BCA"/>
    <w:rsid w:val="00C91604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78C3"/>
    <w:rsid w:val="00C97B05"/>
    <w:rsid w:val="00C97BA6"/>
    <w:rsid w:val="00CA1F0B"/>
    <w:rsid w:val="00CA3EAE"/>
    <w:rsid w:val="00CA654F"/>
    <w:rsid w:val="00CA76EE"/>
    <w:rsid w:val="00CA7E7B"/>
    <w:rsid w:val="00CB10FD"/>
    <w:rsid w:val="00CB110F"/>
    <w:rsid w:val="00CB2A2E"/>
    <w:rsid w:val="00CB2FA3"/>
    <w:rsid w:val="00CB338A"/>
    <w:rsid w:val="00CB486D"/>
    <w:rsid w:val="00CB5F38"/>
    <w:rsid w:val="00CB79C5"/>
    <w:rsid w:val="00CC01E8"/>
    <w:rsid w:val="00CC0C97"/>
    <w:rsid w:val="00CC3C87"/>
    <w:rsid w:val="00CC3DDF"/>
    <w:rsid w:val="00CC4019"/>
    <w:rsid w:val="00CC401D"/>
    <w:rsid w:val="00CC411F"/>
    <w:rsid w:val="00CC4B75"/>
    <w:rsid w:val="00CC6B31"/>
    <w:rsid w:val="00CC6DA8"/>
    <w:rsid w:val="00CC732E"/>
    <w:rsid w:val="00CC7B8F"/>
    <w:rsid w:val="00CD16A6"/>
    <w:rsid w:val="00CD40BB"/>
    <w:rsid w:val="00CD527B"/>
    <w:rsid w:val="00CD7207"/>
    <w:rsid w:val="00CD7548"/>
    <w:rsid w:val="00CE0767"/>
    <w:rsid w:val="00CE07CE"/>
    <w:rsid w:val="00CE0DBE"/>
    <w:rsid w:val="00CE0F79"/>
    <w:rsid w:val="00CE3ACC"/>
    <w:rsid w:val="00CE4734"/>
    <w:rsid w:val="00CE5E4D"/>
    <w:rsid w:val="00CF02C4"/>
    <w:rsid w:val="00CF1295"/>
    <w:rsid w:val="00CF15CA"/>
    <w:rsid w:val="00CF167F"/>
    <w:rsid w:val="00CF2409"/>
    <w:rsid w:val="00CF2958"/>
    <w:rsid w:val="00CF3A3C"/>
    <w:rsid w:val="00CF4238"/>
    <w:rsid w:val="00CF59B3"/>
    <w:rsid w:val="00CF72E5"/>
    <w:rsid w:val="00D0080F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16F7"/>
    <w:rsid w:val="00D1570B"/>
    <w:rsid w:val="00D1680B"/>
    <w:rsid w:val="00D168AC"/>
    <w:rsid w:val="00D171E8"/>
    <w:rsid w:val="00D209FE"/>
    <w:rsid w:val="00D20A7D"/>
    <w:rsid w:val="00D20E99"/>
    <w:rsid w:val="00D21C83"/>
    <w:rsid w:val="00D23D68"/>
    <w:rsid w:val="00D23EF0"/>
    <w:rsid w:val="00D2546D"/>
    <w:rsid w:val="00D301A7"/>
    <w:rsid w:val="00D30454"/>
    <w:rsid w:val="00D31210"/>
    <w:rsid w:val="00D3139C"/>
    <w:rsid w:val="00D336E4"/>
    <w:rsid w:val="00D353D3"/>
    <w:rsid w:val="00D35BDD"/>
    <w:rsid w:val="00D35C44"/>
    <w:rsid w:val="00D35C64"/>
    <w:rsid w:val="00D40696"/>
    <w:rsid w:val="00D452FF"/>
    <w:rsid w:val="00D4770B"/>
    <w:rsid w:val="00D53917"/>
    <w:rsid w:val="00D577D6"/>
    <w:rsid w:val="00D57B04"/>
    <w:rsid w:val="00D61024"/>
    <w:rsid w:val="00D61310"/>
    <w:rsid w:val="00D62CBE"/>
    <w:rsid w:val="00D63006"/>
    <w:rsid w:val="00D63271"/>
    <w:rsid w:val="00D656E3"/>
    <w:rsid w:val="00D65A2A"/>
    <w:rsid w:val="00D66338"/>
    <w:rsid w:val="00D664BF"/>
    <w:rsid w:val="00D67B98"/>
    <w:rsid w:val="00D71F2A"/>
    <w:rsid w:val="00D72301"/>
    <w:rsid w:val="00D72CF5"/>
    <w:rsid w:val="00D74E69"/>
    <w:rsid w:val="00D77ACB"/>
    <w:rsid w:val="00D81B3E"/>
    <w:rsid w:val="00D82402"/>
    <w:rsid w:val="00D82848"/>
    <w:rsid w:val="00D85873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7AD"/>
    <w:rsid w:val="00DA0829"/>
    <w:rsid w:val="00DA0B53"/>
    <w:rsid w:val="00DA1A7B"/>
    <w:rsid w:val="00DA31E6"/>
    <w:rsid w:val="00DA328C"/>
    <w:rsid w:val="00DA4D98"/>
    <w:rsid w:val="00DA5D91"/>
    <w:rsid w:val="00DA6086"/>
    <w:rsid w:val="00DA75B1"/>
    <w:rsid w:val="00DB1171"/>
    <w:rsid w:val="00DB1519"/>
    <w:rsid w:val="00DB2642"/>
    <w:rsid w:val="00DB2840"/>
    <w:rsid w:val="00DB3F8C"/>
    <w:rsid w:val="00DB5C1A"/>
    <w:rsid w:val="00DB7054"/>
    <w:rsid w:val="00DC0287"/>
    <w:rsid w:val="00DC0B5C"/>
    <w:rsid w:val="00DC1824"/>
    <w:rsid w:val="00DC1BD3"/>
    <w:rsid w:val="00DC2F3D"/>
    <w:rsid w:val="00DC4A9D"/>
    <w:rsid w:val="00DC683B"/>
    <w:rsid w:val="00DC7777"/>
    <w:rsid w:val="00DD13A4"/>
    <w:rsid w:val="00DD444A"/>
    <w:rsid w:val="00DD461E"/>
    <w:rsid w:val="00DD66B4"/>
    <w:rsid w:val="00DD6C92"/>
    <w:rsid w:val="00DD717D"/>
    <w:rsid w:val="00DE077C"/>
    <w:rsid w:val="00DE1972"/>
    <w:rsid w:val="00DE26A9"/>
    <w:rsid w:val="00DE27AB"/>
    <w:rsid w:val="00DE45EA"/>
    <w:rsid w:val="00DE6921"/>
    <w:rsid w:val="00DE791C"/>
    <w:rsid w:val="00DE791D"/>
    <w:rsid w:val="00DF1D87"/>
    <w:rsid w:val="00DF1FEB"/>
    <w:rsid w:val="00DF2AB3"/>
    <w:rsid w:val="00DF5323"/>
    <w:rsid w:val="00DF7250"/>
    <w:rsid w:val="00DF7FB1"/>
    <w:rsid w:val="00E00CAA"/>
    <w:rsid w:val="00E02572"/>
    <w:rsid w:val="00E03058"/>
    <w:rsid w:val="00E03EBF"/>
    <w:rsid w:val="00E04AFD"/>
    <w:rsid w:val="00E05209"/>
    <w:rsid w:val="00E1036D"/>
    <w:rsid w:val="00E125E5"/>
    <w:rsid w:val="00E13516"/>
    <w:rsid w:val="00E13AFC"/>
    <w:rsid w:val="00E13F43"/>
    <w:rsid w:val="00E15AC0"/>
    <w:rsid w:val="00E17FB2"/>
    <w:rsid w:val="00E21B56"/>
    <w:rsid w:val="00E2258E"/>
    <w:rsid w:val="00E23018"/>
    <w:rsid w:val="00E23460"/>
    <w:rsid w:val="00E23A05"/>
    <w:rsid w:val="00E250B6"/>
    <w:rsid w:val="00E2547B"/>
    <w:rsid w:val="00E260C2"/>
    <w:rsid w:val="00E3000B"/>
    <w:rsid w:val="00E300F8"/>
    <w:rsid w:val="00E30B92"/>
    <w:rsid w:val="00E30D1B"/>
    <w:rsid w:val="00E314D2"/>
    <w:rsid w:val="00E32596"/>
    <w:rsid w:val="00E326CD"/>
    <w:rsid w:val="00E32AD8"/>
    <w:rsid w:val="00E34838"/>
    <w:rsid w:val="00E368F7"/>
    <w:rsid w:val="00E36EB8"/>
    <w:rsid w:val="00E36FCF"/>
    <w:rsid w:val="00E37FB8"/>
    <w:rsid w:val="00E40075"/>
    <w:rsid w:val="00E40B07"/>
    <w:rsid w:val="00E4180C"/>
    <w:rsid w:val="00E42326"/>
    <w:rsid w:val="00E42ADD"/>
    <w:rsid w:val="00E43164"/>
    <w:rsid w:val="00E431B2"/>
    <w:rsid w:val="00E43271"/>
    <w:rsid w:val="00E43544"/>
    <w:rsid w:val="00E43996"/>
    <w:rsid w:val="00E43E47"/>
    <w:rsid w:val="00E44D89"/>
    <w:rsid w:val="00E4530E"/>
    <w:rsid w:val="00E465C4"/>
    <w:rsid w:val="00E47667"/>
    <w:rsid w:val="00E477EA"/>
    <w:rsid w:val="00E52312"/>
    <w:rsid w:val="00E52DB2"/>
    <w:rsid w:val="00E531B9"/>
    <w:rsid w:val="00E53BB1"/>
    <w:rsid w:val="00E5446B"/>
    <w:rsid w:val="00E54E15"/>
    <w:rsid w:val="00E558B2"/>
    <w:rsid w:val="00E5601A"/>
    <w:rsid w:val="00E56359"/>
    <w:rsid w:val="00E60394"/>
    <w:rsid w:val="00E61308"/>
    <w:rsid w:val="00E6134F"/>
    <w:rsid w:val="00E62435"/>
    <w:rsid w:val="00E62A8A"/>
    <w:rsid w:val="00E63048"/>
    <w:rsid w:val="00E63B14"/>
    <w:rsid w:val="00E64705"/>
    <w:rsid w:val="00E65CA0"/>
    <w:rsid w:val="00E67273"/>
    <w:rsid w:val="00E7118A"/>
    <w:rsid w:val="00E7214F"/>
    <w:rsid w:val="00E72918"/>
    <w:rsid w:val="00E741BC"/>
    <w:rsid w:val="00E74542"/>
    <w:rsid w:val="00E7488E"/>
    <w:rsid w:val="00E75507"/>
    <w:rsid w:val="00E77E75"/>
    <w:rsid w:val="00E80EBC"/>
    <w:rsid w:val="00E817AF"/>
    <w:rsid w:val="00E83810"/>
    <w:rsid w:val="00E83B9D"/>
    <w:rsid w:val="00E86933"/>
    <w:rsid w:val="00E86CF1"/>
    <w:rsid w:val="00E87736"/>
    <w:rsid w:val="00E87916"/>
    <w:rsid w:val="00E92D3F"/>
    <w:rsid w:val="00E9521A"/>
    <w:rsid w:val="00E97298"/>
    <w:rsid w:val="00E97753"/>
    <w:rsid w:val="00EA5E97"/>
    <w:rsid w:val="00EA7DE7"/>
    <w:rsid w:val="00EA7E28"/>
    <w:rsid w:val="00EA7E7D"/>
    <w:rsid w:val="00EB1FE7"/>
    <w:rsid w:val="00EB2399"/>
    <w:rsid w:val="00EB7A8A"/>
    <w:rsid w:val="00EC009A"/>
    <w:rsid w:val="00EC4343"/>
    <w:rsid w:val="00EC4C08"/>
    <w:rsid w:val="00EC58A0"/>
    <w:rsid w:val="00EC5F29"/>
    <w:rsid w:val="00EC6135"/>
    <w:rsid w:val="00EC647A"/>
    <w:rsid w:val="00EC6909"/>
    <w:rsid w:val="00EC75D6"/>
    <w:rsid w:val="00EC7705"/>
    <w:rsid w:val="00ED08B9"/>
    <w:rsid w:val="00ED161D"/>
    <w:rsid w:val="00ED2081"/>
    <w:rsid w:val="00ED2C92"/>
    <w:rsid w:val="00ED2FBF"/>
    <w:rsid w:val="00ED340F"/>
    <w:rsid w:val="00ED45FD"/>
    <w:rsid w:val="00ED5B31"/>
    <w:rsid w:val="00ED75D2"/>
    <w:rsid w:val="00EE11E1"/>
    <w:rsid w:val="00EE3A64"/>
    <w:rsid w:val="00EE3CB2"/>
    <w:rsid w:val="00EE3EBB"/>
    <w:rsid w:val="00EE4A40"/>
    <w:rsid w:val="00EE50E5"/>
    <w:rsid w:val="00EE6084"/>
    <w:rsid w:val="00EF01CF"/>
    <w:rsid w:val="00EF032D"/>
    <w:rsid w:val="00EF1132"/>
    <w:rsid w:val="00EF2C9A"/>
    <w:rsid w:val="00EF41A6"/>
    <w:rsid w:val="00EF4C17"/>
    <w:rsid w:val="00EF4D12"/>
    <w:rsid w:val="00EF5806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358C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005"/>
    <w:rsid w:val="00F31498"/>
    <w:rsid w:val="00F31E81"/>
    <w:rsid w:val="00F3247E"/>
    <w:rsid w:val="00F3297C"/>
    <w:rsid w:val="00F32FEF"/>
    <w:rsid w:val="00F33A71"/>
    <w:rsid w:val="00F33B37"/>
    <w:rsid w:val="00F3433C"/>
    <w:rsid w:val="00F36A83"/>
    <w:rsid w:val="00F37C13"/>
    <w:rsid w:val="00F401EB"/>
    <w:rsid w:val="00F417BE"/>
    <w:rsid w:val="00F428B9"/>
    <w:rsid w:val="00F42E13"/>
    <w:rsid w:val="00F42F1C"/>
    <w:rsid w:val="00F43AAA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40B4"/>
    <w:rsid w:val="00F65BAC"/>
    <w:rsid w:val="00F664E4"/>
    <w:rsid w:val="00F66C68"/>
    <w:rsid w:val="00F67F1F"/>
    <w:rsid w:val="00F732A7"/>
    <w:rsid w:val="00F736A5"/>
    <w:rsid w:val="00F74A95"/>
    <w:rsid w:val="00F80754"/>
    <w:rsid w:val="00F85ECB"/>
    <w:rsid w:val="00F90469"/>
    <w:rsid w:val="00F90577"/>
    <w:rsid w:val="00F912A4"/>
    <w:rsid w:val="00F9211C"/>
    <w:rsid w:val="00F92208"/>
    <w:rsid w:val="00F9267A"/>
    <w:rsid w:val="00F930A2"/>
    <w:rsid w:val="00F93C89"/>
    <w:rsid w:val="00FA095D"/>
    <w:rsid w:val="00FA0F10"/>
    <w:rsid w:val="00FA68A3"/>
    <w:rsid w:val="00FA69FE"/>
    <w:rsid w:val="00FA6C8B"/>
    <w:rsid w:val="00FA721A"/>
    <w:rsid w:val="00FB22F6"/>
    <w:rsid w:val="00FB2911"/>
    <w:rsid w:val="00FB3589"/>
    <w:rsid w:val="00FB3CB4"/>
    <w:rsid w:val="00FB4139"/>
    <w:rsid w:val="00FB4604"/>
    <w:rsid w:val="00FB476E"/>
    <w:rsid w:val="00FB53FD"/>
    <w:rsid w:val="00FB5CFB"/>
    <w:rsid w:val="00FB6F51"/>
    <w:rsid w:val="00FB7DD2"/>
    <w:rsid w:val="00FC0D90"/>
    <w:rsid w:val="00FC16B5"/>
    <w:rsid w:val="00FC213D"/>
    <w:rsid w:val="00FC3560"/>
    <w:rsid w:val="00FC38A7"/>
    <w:rsid w:val="00FC3E92"/>
    <w:rsid w:val="00FC77EC"/>
    <w:rsid w:val="00FC7D8C"/>
    <w:rsid w:val="00FD3980"/>
    <w:rsid w:val="00FD431E"/>
    <w:rsid w:val="00FD5A2C"/>
    <w:rsid w:val="00FD76A5"/>
    <w:rsid w:val="00FE0D47"/>
    <w:rsid w:val="00FE1D5C"/>
    <w:rsid w:val="00FE2406"/>
    <w:rsid w:val="00FE2F8B"/>
    <w:rsid w:val="00FE3669"/>
    <w:rsid w:val="00FE5204"/>
    <w:rsid w:val="00FE6562"/>
    <w:rsid w:val="00FE7929"/>
    <w:rsid w:val="00FE7D3C"/>
    <w:rsid w:val="00FF0EC5"/>
    <w:rsid w:val="00FF287F"/>
    <w:rsid w:val="00FF3CB3"/>
    <w:rsid w:val="00FF501F"/>
    <w:rsid w:val="00FF7150"/>
    <w:rsid w:val="00FF74A8"/>
    <w:rsid w:val="00FF7F19"/>
    <w:rsid w:val="05565369"/>
    <w:rsid w:val="069AF510"/>
    <w:rsid w:val="06C808DA"/>
    <w:rsid w:val="11CEE108"/>
    <w:rsid w:val="12BAB675"/>
    <w:rsid w:val="159A2553"/>
    <w:rsid w:val="1E84F91A"/>
    <w:rsid w:val="25474536"/>
    <w:rsid w:val="27682464"/>
    <w:rsid w:val="2C37EBED"/>
    <w:rsid w:val="2D2AE6B9"/>
    <w:rsid w:val="2E6A4CC0"/>
    <w:rsid w:val="37A97630"/>
    <w:rsid w:val="566C38B0"/>
    <w:rsid w:val="666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5F2ABA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8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val="en-GB"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B4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40A19"/>
  </w:style>
  <w:style w:type="character" w:customStyle="1" w:styleId="eop">
    <w:name w:val="eop"/>
    <w:basedOn w:val="DefaultParagraphFont"/>
    <w:rsid w:val="00540A19"/>
  </w:style>
  <w:style w:type="paragraph" w:customStyle="1" w:styleId="paragraph">
    <w:name w:val="paragraph"/>
    <w:basedOn w:val="Normal"/>
    <w:rsid w:val="00540A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scxw211206627">
    <w:name w:val="scxw211206627"/>
    <w:basedOn w:val="DefaultParagraphFont"/>
    <w:rsid w:val="004819A6"/>
  </w:style>
  <w:style w:type="character" w:styleId="UnresolvedMention">
    <w:name w:val="Unresolved Mention"/>
    <w:basedOn w:val="DefaultParagraphFont"/>
    <w:uiPriority w:val="99"/>
    <w:semiHidden/>
    <w:unhideWhenUsed/>
    <w:rsid w:val="00A13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8-INF-0002/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hart" Target="charts/chart5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microsoft.com/office/2014/relationships/chartEx" Target="charts/chartEx1.xml"/><Relationship Id="rId25" Type="http://schemas.openxmlformats.org/officeDocument/2006/relationships/hyperlink" Target="https://www.itu.int/en/ITU-D/MembersPartner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microsoft.com/office/2014/relationships/chartEx" Target="charts/chartEx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TDAG28-INF-000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chart" Target="charts/chart6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Desktop/Quaterly_Report/Q1%202021/Work_2021_26March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Desktop/Quaterly_Report/Q1%202021/Work_2021_26March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Desktop/Quaterly_Report/Q1%202021/Work_2021_26March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Desktop/TDAG/TDAG%202021/2020_TDAG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OneDrive%20-%20ITU\Desktop\TDAG\TDAG%202021\2021_TDAG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sandrine_guyot_itu_int/Documents/Desktop/Quaterly_Report/Q4%202020/Work_Q4_2020_7Jan202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https://ituint-my.sharepoint.com/personal/sandrine_guyot_itu_int/Documents/Desktop/Quaterly_Report/Q1%202021/Work_2021_26March21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C:\Users\GUYOTS\OneDrive%20-%20ITU\Desktop\TDAG\TDAG%202021\2021_TDA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469135802469133E-2"/>
          <c:y val="4.1817995519308716E-3"/>
          <c:w val="0.94753086419753096"/>
          <c:h val="0.91893163000243527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7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BC-41EF-9B36-F9FE1D22A5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BC-41EF-9B36-F9FE1D22A5DA}"/>
              </c:ext>
            </c:extLst>
          </c:dPt>
          <c:dLbls>
            <c:dLbl>
              <c:idx val="0"/>
              <c:layout>
                <c:manualLayout>
                  <c:x val="6.5497980814315765E-2"/>
                  <c:y val="5.8790380262632329E-2"/>
                </c:manualLayout>
              </c:layout>
              <c:tx>
                <c:rich>
                  <a:bodyPr/>
                  <a:lstStyle/>
                  <a:p>
                    <a:fld id="{583DCF5F-5EC8-404B-A8F7-816105B19133}" type="VALUE">
                      <a:rPr lang="en-US" b="1"/>
                      <a:pPr/>
                      <a:t>[VALUE]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3BC-41EF-9B36-F9FE1D22A5DA}"/>
                </c:ext>
              </c:extLst>
            </c:dLbl>
            <c:dLbl>
              <c:idx val="1"/>
              <c:layout>
                <c:manualLayout>
                  <c:x val="-5.1354199657081698E-2"/>
                  <c:y val="-9.74477201977659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BC-41EF-9B36-F9FE1D22A5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'2021 agreements'!$C$29:$C$30</c:f>
              <c:strCache>
                <c:ptCount val="2"/>
                <c:pt idx="0">
                  <c:v>ITU component</c:v>
                </c:pt>
                <c:pt idx="1">
                  <c:v>Partners' component</c:v>
                </c:pt>
              </c:strCache>
            </c:strRef>
          </c:cat>
          <c:val>
            <c:numRef>
              <c:f>'2021 agreements'!$D$29:$D$30</c:f>
              <c:numCache>
                <c:formatCode>0%</c:formatCode>
                <c:ptCount val="2"/>
                <c:pt idx="0">
                  <c:v>0.24151599747525054</c:v>
                </c:pt>
                <c:pt idx="1">
                  <c:v>0.75848400252474957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BC-41EF-9B36-F9FE1D22A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93520948770292"/>
          <c:y val="0.89126856887734396"/>
          <c:w val="0.57847526003693983"/>
          <c:h val="0.108731431122656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Partners' signed</a:t>
            </a: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  <a:ea typeface="+mn-ea"/>
                <a:cs typeface="+mn-cs"/>
              </a:rPr>
              <a:t> </a:t>
            </a: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financial contributions per type (Q1 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'2020 Type &amp; Memberhip'!$B$66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'2020 Type &amp; Memberhip'!$A$67:$A$71</c:f>
              <c:strCache>
                <c:ptCount val="5"/>
                <c:pt idx="0">
                  <c:v>ITU Member States &amp; other Gov. Entities</c:v>
                </c:pt>
                <c:pt idx="1">
                  <c:v>UN Organizations</c:v>
                </c:pt>
                <c:pt idx="2">
                  <c:v>Academia</c:v>
                </c:pt>
                <c:pt idx="3">
                  <c:v>Private Sector entities</c:v>
                </c:pt>
                <c:pt idx="4">
                  <c:v>Other entities</c:v>
                </c:pt>
              </c:strCache>
            </c:strRef>
          </c:cat>
          <c:val>
            <c:numRef>
              <c:f>'2020 Type &amp; Memberhip'!$B$67:$B$71</c:f>
              <c:numCache>
                <c:formatCode>0.0%</c:formatCode>
                <c:ptCount val="5"/>
                <c:pt idx="0">
                  <c:v>0.66057069936349455</c:v>
                </c:pt>
                <c:pt idx="1">
                  <c:v>0.14994206969865043</c:v>
                </c:pt>
                <c:pt idx="2">
                  <c:v>1.5447328609064263E-3</c:v>
                </c:pt>
                <c:pt idx="3">
                  <c:v>4.1192876290838031E-2</c:v>
                </c:pt>
                <c:pt idx="4">
                  <c:v>0.14674962178611048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C1-4E74-AA18-25FFCFDF84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"/>
        <c:axId val="723942640"/>
        <c:axId val="723950128"/>
      </c:barChart>
      <c:catAx>
        <c:axId val="723942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950128"/>
        <c:crosses val="autoZero"/>
        <c:auto val="1"/>
        <c:lblAlgn val="ctr"/>
        <c:lblOffset val="100"/>
        <c:noMultiLvlLbl val="0"/>
      </c:catAx>
      <c:valAx>
        <c:axId val="7239501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72394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Signed</a:t>
            </a:r>
            <a:r>
              <a:rPr lang="en-US" sz="1100" b="1" baseline="0"/>
              <a:t> financial contributions </a:t>
            </a:r>
            <a:r>
              <a:rPr lang="en-US" sz="1100" b="1"/>
              <a:t>per regions (Q1 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'2020 regions'!$B$71</c:f>
              <c:strCache>
                <c:ptCount val="1"/>
                <c:pt idx="0">
                  <c:v>Funds signed per regions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4C-4FD1-A265-5AC1D92A83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4C-4FD1-A265-5AC1D92A83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4C-4FD1-A265-5AC1D92A83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4C-4FD1-A265-5AC1D92A83CC}"/>
              </c:ext>
            </c:extLst>
          </c:dPt>
          <c:dLbls>
            <c:dLbl>
              <c:idx val="0"/>
              <c:layout>
                <c:manualLayout>
                  <c:x val="0.10020876826722339"/>
                  <c:y val="-0.1250000000000000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4C-4FD1-A265-5AC1D92A83CC}"/>
                </c:ext>
              </c:extLst>
            </c:dLbl>
            <c:dLbl>
              <c:idx val="1"/>
              <c:layout>
                <c:manualLayout>
                  <c:x val="0.1475295755045232"/>
                  <c:y val="1.3888888888888888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4C-4FD1-A265-5AC1D92A83CC}"/>
                </c:ext>
              </c:extLst>
            </c:dLbl>
            <c:dLbl>
              <c:idx val="2"/>
              <c:layout>
                <c:manualLayout>
                  <c:x val="6.2630480167014613E-2"/>
                  <c:y val="7.87037037037035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9136EA-6715-428C-9973-EC75FF8FABA5}" type="CATEGORYNAME">
                      <a:rPr lang="en-US"/>
                      <a:pPr>
                        <a:defRPr b="1"/>
                      </a:pPr>
                      <a:t>[CATEGORY NAME]</a:t>
                    </a:fld>
                    <a:r>
                      <a:rPr lang="en-US"/>
                      <a:t>; 0,2%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285744031474145"/>
                      <c:h val="7.400481189851268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24C-4FD1-A265-5AC1D92A83CC}"/>
                </c:ext>
              </c:extLst>
            </c:dLbl>
            <c:dLbl>
              <c:idx val="3"/>
              <c:layout>
                <c:manualLayout>
                  <c:x val="-0.10855949895615868"/>
                  <c:y val="-0.25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4C-4FD1-A265-5AC1D92A83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'2020 regions'!$A$72:$A$75</c:f>
              <c:strCache>
                <c:ptCount val="4"/>
                <c:pt idx="0">
                  <c:v>Africa</c:v>
                </c:pt>
                <c:pt idx="1">
                  <c:v>Americas</c:v>
                </c:pt>
                <c:pt idx="2">
                  <c:v>Europe</c:v>
                </c:pt>
                <c:pt idx="3">
                  <c:v>Multi-regions</c:v>
                </c:pt>
              </c:strCache>
            </c:strRef>
          </c:cat>
          <c:val>
            <c:numRef>
              <c:f>'2020 regions'!$B$72:$B$75</c:f>
              <c:numCache>
                <c:formatCode>0.0%</c:formatCode>
                <c:ptCount val="4"/>
                <c:pt idx="0">
                  <c:v>0.32742751325935482</c:v>
                </c:pt>
                <c:pt idx="1">
                  <c:v>9.1467215920067582E-2</c:v>
                </c:pt>
                <c:pt idx="2">
                  <c:v>1.726551102217911E-3</c:v>
                </c:pt>
                <c:pt idx="3">
                  <c:v>0.57937871971835975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4C-4FD1-A265-5AC1D92A83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65037498218751E-2"/>
          <c:y val="0.23751162197081754"/>
          <c:w val="0.96521695149362774"/>
          <c:h val="0.6928292845405899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37F-4672-B1D6-D04D0DAF3A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37F-4672-B1D6-D04D0DAF3AFD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7D4DCF6-355D-437A-8C10-6BD9AB18E0BD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 component</a:t>
                    </a:r>
                    <a:r>
                      <a:rPr lang="en-US" baseline="0"/>
                      <a:t>
</a:t>
                    </a:r>
                    <a:fld id="{27BE06AC-046B-437A-BF42-863210A21B83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7F-4672-B1D6-D04D0DAF3AFD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C65BCA4-CC1A-48E1-A176-2ACE1C61B1B8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[CATEGORY NAME]</a:t>
                    </a:fld>
                    <a:r>
                      <a:rPr lang="en-US"/>
                      <a:t> component</a:t>
                    </a:r>
                    <a:r>
                      <a:rPr lang="en-US" baseline="0"/>
                      <a:t>
</a:t>
                    </a:r>
                    <a:fld id="{835329BD-6959-4A12-BDB2-563754BC403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30110278696619"/>
                      <c:h val="0.27031756649661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7F-4672-B1D6-D04D0DAF3AF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'2020 agreements'!$J$59:$J$60</c:f>
              <c:strCache>
                <c:ptCount val="2"/>
                <c:pt idx="0">
                  <c:v> ITU </c:v>
                </c:pt>
                <c:pt idx="1">
                  <c:v> Partners </c:v>
                </c:pt>
              </c:strCache>
            </c:strRef>
          </c:cat>
          <c:val>
            <c:numRef>
              <c:f>'2020 agreements'!$K$59:$K$60</c:f>
              <c:numCache>
                <c:formatCode>0%</c:formatCode>
                <c:ptCount val="2"/>
                <c:pt idx="0">
                  <c:v>0.20360062999724637</c:v>
                </c:pt>
                <c:pt idx="1">
                  <c:v>0.79639943597881535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7F-4672-B1D6-D04D0DAF3AF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Calibri" panose="020F0502020204030204"/>
                <a:ea typeface="Calibri" panose="020F0502020204030204" pitchFamily="34" charset="0"/>
                <a:cs typeface="Calibri" panose="020F0502020204030204" pitchFamily="34" charset="0"/>
              </a:rPr>
              <a:t>Partners' signed financial contributions per type (in 2020)</a:t>
            </a:r>
            <a:endParaRPr lang="en-US" sz="11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'2020 Type &amp; Memberhip'!$G$129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'2020 Type &amp; Memberhip'!$F$131:$F$136</c:f>
              <c:strCache>
                <c:ptCount val="6"/>
                <c:pt idx="0">
                  <c:v>ITU Member States &amp; other Gov. Entities</c:v>
                </c:pt>
                <c:pt idx="1">
                  <c:v>Foundations</c:v>
                </c:pt>
                <c:pt idx="2">
                  <c:v>UN Organizations</c:v>
                </c:pt>
                <c:pt idx="3">
                  <c:v>Int'l &amp; Reg. Organizations &amp; Associations</c:v>
                </c:pt>
                <c:pt idx="4">
                  <c:v>Academia</c:v>
                </c:pt>
                <c:pt idx="5">
                  <c:v>Private Sector entities</c:v>
                </c:pt>
              </c:strCache>
            </c:strRef>
          </c:cat>
          <c:val>
            <c:numRef>
              <c:f>'2020 Type &amp; Memberhip'!$G$131:$G$136</c:f>
              <c:numCache>
                <c:formatCode>0.0%</c:formatCode>
                <c:ptCount val="6"/>
                <c:pt idx="0">
                  <c:v>0.78968388948418966</c:v>
                </c:pt>
                <c:pt idx="1">
                  <c:v>3.3137171491479572E-2</c:v>
                </c:pt>
                <c:pt idx="2">
                  <c:v>5.0486717526344801E-2</c:v>
                </c:pt>
                <c:pt idx="3">
                  <c:v>7.4401565662959426E-2</c:v>
                </c:pt>
                <c:pt idx="4">
                  <c:v>2.4852878618609677E-3</c:v>
                </c:pt>
                <c:pt idx="5">
                  <c:v>4.9805367973165683E-2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3-4F3A-8D08-E2BE73FE98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"/>
        <c:axId val="822100304"/>
        <c:axId val="822100720"/>
      </c:barChart>
      <c:catAx>
        <c:axId val="822100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2100720"/>
        <c:crosses val="autoZero"/>
        <c:auto val="1"/>
        <c:lblAlgn val="ctr"/>
        <c:lblOffset val="100"/>
        <c:noMultiLvlLbl val="0"/>
      </c:catAx>
      <c:valAx>
        <c:axId val="8221007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82210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 i="0" baseline="0">
                <a:effectLst/>
              </a:rPr>
              <a:t>Signed financial contributions per regions (in 2020)</a:t>
            </a:r>
            <a:endParaRPr lang="en-GB" sz="1100">
              <a:effectLst/>
            </a:endParaRPr>
          </a:p>
        </c:rich>
      </c:tx>
      <c:layout>
        <c:manualLayout>
          <c:xMode val="edge"/>
          <c:yMode val="edge"/>
          <c:x val="0.12828277133616053"/>
          <c:y val="2.23273525235575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5048746373808537"/>
          <c:y val="0.20589858549166976"/>
          <c:w val="0.29723445519327008"/>
          <c:h val="0.7356573516833154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CF-4AC6-87F7-E2BD9111AD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CF-4AC6-87F7-E2BD9111AD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CF-4AC6-87F7-E2BD9111AD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CF-4AC6-87F7-E2BD9111AD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4CF-4AC6-87F7-E2BD9111ADE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4CF-4AC6-87F7-E2BD9111ADE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4CF-4AC6-87F7-E2BD9111ADE1}"/>
              </c:ext>
            </c:extLst>
          </c:dPt>
          <c:dLbls>
            <c:dLbl>
              <c:idx val="0"/>
              <c:layout>
                <c:manualLayout>
                  <c:x val="5.4222583706113594E-3"/>
                  <c:y val="-0.105726872246696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CF-4AC6-87F7-E2BD9111ADE1}"/>
                </c:ext>
              </c:extLst>
            </c:dLbl>
            <c:dLbl>
              <c:idx val="1"/>
              <c:layout>
                <c:manualLayout>
                  <c:x val="4.6089196150196556E-2"/>
                  <c:y val="-8.2232011747430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CF-4AC6-87F7-E2BD9111ADE1}"/>
                </c:ext>
              </c:extLst>
            </c:dLbl>
            <c:dLbl>
              <c:idx val="2"/>
              <c:layout>
                <c:manualLayout>
                  <c:x val="5.9644842076724859E-2"/>
                  <c:y val="5.3841766659467811E-1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CF-4AC6-87F7-E2BD9111ADE1}"/>
                </c:ext>
              </c:extLst>
            </c:dLbl>
            <c:dLbl>
              <c:idx val="3"/>
              <c:layout>
                <c:manualLayout>
                  <c:x val="4.0666937779585195E-2"/>
                  <c:y val="7.04845814977972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CF-4AC6-87F7-E2BD9111ADE1}"/>
                </c:ext>
              </c:extLst>
            </c:dLbl>
            <c:dLbl>
              <c:idx val="4"/>
              <c:layout>
                <c:manualLayout>
                  <c:x val="1.6266775111834077E-2"/>
                  <c:y val="8.81057268722467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CF-4AC6-87F7-E2BD9111ADE1}"/>
                </c:ext>
              </c:extLst>
            </c:dLbl>
            <c:dLbl>
              <c:idx val="5"/>
              <c:layout>
                <c:manualLayout>
                  <c:x val="-1.8977904297139858E-2"/>
                  <c:y val="8.81057268722467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CF-4AC6-87F7-E2BD9111ADE1}"/>
                </c:ext>
              </c:extLst>
            </c:dLbl>
            <c:dLbl>
              <c:idx val="6"/>
              <c:layout>
                <c:manualLayout>
                  <c:x val="-6.5267766701996785E-2"/>
                  <c:y val="-0.1339951669036965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81C3B81-9B85-495A-A14B-F2B93F38C01A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[VALUE]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0466314219872576E-2"/>
                      <c:h val="9.389156751881785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4CF-4AC6-87F7-E2BD9111AD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'2020 regions'!$A$102:$A$108</c:f>
              <c:strCache>
                <c:ptCount val="7"/>
                <c:pt idx="0">
                  <c:v>Africa</c:v>
                </c:pt>
                <c:pt idx="1">
                  <c:v>Americas</c:v>
                </c:pt>
                <c:pt idx="2">
                  <c:v>Arab States</c:v>
                </c:pt>
                <c:pt idx="3">
                  <c:v>Asia-Pacific</c:v>
                </c:pt>
                <c:pt idx="4">
                  <c:v>CIS</c:v>
                </c:pt>
                <c:pt idx="5">
                  <c:v>Europe</c:v>
                </c:pt>
                <c:pt idx="6">
                  <c:v>Multi-regions</c:v>
                </c:pt>
              </c:strCache>
            </c:strRef>
          </c:cat>
          <c:val>
            <c:numRef>
              <c:f>'2020 regions'!$B$102:$B$108</c:f>
              <c:numCache>
                <c:formatCode>0%</c:formatCode>
                <c:ptCount val="7"/>
                <c:pt idx="0">
                  <c:v>6.3447758966303308E-2</c:v>
                </c:pt>
                <c:pt idx="1">
                  <c:v>3.2330000655566321E-2</c:v>
                </c:pt>
                <c:pt idx="2">
                  <c:v>0.27868821053487514</c:v>
                </c:pt>
                <c:pt idx="3">
                  <c:v>7.5160160250273556E-2</c:v>
                </c:pt>
                <c:pt idx="4">
                  <c:v>2.7213298836926997E-2</c:v>
                </c:pt>
                <c:pt idx="5">
                  <c:v>6.5281576754312648E-2</c:v>
                </c:pt>
                <c:pt idx="6">
                  <c:v>0.45787899400174203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4CF-4AC6-87F7-E2BD9111A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868350128458411E-2"/>
          <c:y val="0.26377468749761179"/>
          <c:w val="0.22798354963661263"/>
          <c:h val="0.588890353463526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'2020 Thematic'!$A$76:$A$80</cx:f>
        <cx:lvl ptCount="5">
          <cx:pt idx="0">Digital inclusion</cx:pt>
          <cx:pt idx="1">Digital services &amp; app.</cx:pt>
          <cx:pt idx="2">Environment</cx:pt>
          <cx:pt idx="3">Mutli-thematic</cx:pt>
          <cx:pt idx="4">Network &amp; digital infrast.</cx:pt>
        </cx:lvl>
      </cx:strDim>
      <cx:numDim type="val">
        <cx:f>'2020 Thematic'!$B$76:$B$80</cx:f>
        <cx:lvl ptCount="5" formatCode="0%">
          <cx:pt idx="0">0.32918956099015589</cx:pt>
          <cx:pt idx="1">0.025921575213700823</cx:pt>
          <cx:pt idx="2">0.072955063765450995</cx:pt>
          <cx:pt idx="3">0.48288800485658728</cx:pt>
          <cx:pt idx="4">0.089045795174105075</cx:pt>
        </cx:lvl>
      </cx:numDim>
    </cx:data>
  </cx:chartData>
  <cx:chart>
    <cx:title pos="t" align="ctr" overlay="0">
      <cx:tx>
        <cx:txData>
          <cx:v>Signed financial contributions per thematic priorities (Q1 2021)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100" b="1"/>
          </a:pPr>
          <a:r>
            <a:rPr lang="en-US" sz="11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/>
            </a:rPr>
            <a:t>Signed financial contributions per thematic priorities (Q1 2021)</a:t>
          </a:r>
        </a:p>
      </cx:txPr>
    </cx:title>
    <cx:plotArea>
      <cx:plotAreaRegion>
        <cx:series layoutId="funnel" uniqueId="{8F87CE60-5BF5-4B81-B46F-522E37C581D6}">
          <cx:tx>
            <cx:txData>
              <cx:f>'2020 Thematic'!$B$75</cx:f>
              <cx:v>Funds signed per thematics %</cx:v>
            </cx:txData>
          </cx:tx>
          <cx:dataLabels>
            <cx:txPr>
              <a:bodyPr vertOverflow="overflow" horzOverflow="overflow" wrap="square" lIns="0" tIns="0" rIns="0" bIns="0"/>
              <a:lstStyle/>
              <a:p>
                <a:pPr algn="ctr" rtl="0">
                  <a:defRPr sz="900" b="1" i="0">
                    <a:solidFill>
                      <a:srgbClr val="595959"/>
                    </a:solidFill>
                    <a:latin typeface="Calibri" panose="020F0502020204030204" pitchFamily="34" charset="0"/>
                    <a:ea typeface="Calibri" panose="020F0502020204030204" pitchFamily="34" charset="0"/>
                    <a:cs typeface="Calibri" panose="020F0502020204030204" pitchFamily="34" charset="0"/>
                  </a:defRPr>
                </a:pPr>
                <a:endParaRPr lang="en-GB" b="1"/>
              </a:p>
            </cx:txPr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  <cx:txPr>
          <a:bodyPr vertOverflow="overflow" horzOverflow="overflow" wrap="square" lIns="0" tIns="0" rIns="0" bIns="0"/>
          <a:lstStyle/>
          <a:p>
            <a:pPr algn="ctr" rtl="0">
              <a:defRPr sz="900" b="0" i="0">
                <a:solidFill>
                  <a:srgbClr val="595959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endParaRPr lang="en-GB" b="0"/>
          </a:p>
        </cx:txPr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'2020 Thematic'!$A$126:$A$133</cx:f>
        <cx:lvl ptCount="8">
          <cx:pt idx="0">Network &amp; digital infrast.</cx:pt>
          <cx:pt idx="1">Mutli-thematic</cx:pt>
          <cx:pt idx="2">Environment</cx:pt>
          <cx:pt idx="3">Digital services &amp; app.</cx:pt>
          <cx:pt idx="4">Digital innovation</cx:pt>
          <cx:pt idx="5">Digital inclusion</cx:pt>
          <cx:pt idx="6">Cybersecurity</cx:pt>
          <cx:pt idx="7">Capacity development</cx:pt>
        </cx:lvl>
      </cx:strDim>
      <cx:numDim type="val">
        <cx:f>'2020 Thematic'!$B$126:$B$133</cx:f>
        <cx:lvl ptCount="8" formatCode="0%">
          <cx:pt idx="0">0.19661885520447595</cx:pt>
          <cx:pt idx="1">0.058532774685005257</cx:pt>
          <cx:pt idx="2">0.014722162390930849</cx:pt>
          <cx:pt idx="3">0.1024673827074233</cx:pt>
          <cx:pt idx="4">0.018497972422269235</cx:pt>
          <cx:pt idx="5">0.12470204948889399</cx:pt>
          <cx:pt idx="6">0.20854806653405833</cx:pt>
          <cx:pt idx="7">0.2759107365669432</cx:pt>
        </cx:lvl>
      </cx:numDim>
    </cx:data>
  </cx:chartData>
  <cx:chart>
    <cx:title pos="t" align="ctr" overlay="0">
      <cx:tx>
        <cx:txData>
          <cx:v>Signed financial contributions per thematic priorities (in 2020)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100" b="1"/>
          </a:pPr>
          <a:r>
            <a:rPr lang="en-US" sz="1100" b="1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/>
            </a:rPr>
            <a:t>Signed financial contributions per thematic priorities (in 2020)</a:t>
          </a:r>
        </a:p>
      </cx:txPr>
    </cx:title>
    <cx:plotArea>
      <cx:plotAreaRegion>
        <cx:series layoutId="funnel" uniqueId="{E9D7690D-8DF6-4600-90FE-36A52532EE26}">
          <cx:tx>
            <cx:txData>
              <cx:f>'2020 Thematic'!$B$125</cx:f>
              <cx:v>Fund signed per thematic</cx:v>
            </cx:txData>
          </cx:tx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>
                    <a:solidFill>
                      <a:schemeClr val="bg1"/>
                    </a:solidFill>
                  </a:defRPr>
                </a:pPr>
                <a:endParaRPr lang="en-US" sz="900" b="0" i="0" u="none" strike="noStrike" baseline="0">
                  <a:solidFill>
                    <a:schemeClr val="bg1"/>
                  </a:solidFill>
                  <a:latin typeface="Calibri"/>
                </a:endParaRPr>
              </a:p>
            </cx:txPr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4" ma:contentTypeDescription="Create a new document." ma:contentTypeScope="" ma:versionID="676e86ca681381ac488cae9981ed9d9a">
  <xsd:schema xmlns:xsd="http://www.w3.org/2001/XMLSchema" xmlns:xs="http://www.w3.org/2001/XMLSchema" xmlns:p="http://schemas.microsoft.com/office/2006/metadata/properties" xmlns:ns2="d4ea696a-cca3-460b-a983-57ac2621983a" targetNamespace="http://schemas.microsoft.com/office/2006/metadata/properties" ma:root="true" ma:fieldsID="22b671f61671e000d241c341587c1af1" ns2:_="">
    <xsd:import namespace="d4ea696a-cca3-460b-a983-57ac26219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CFAF-FA7B-4752-966D-2C70E3CA0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4B367-F780-4CB1-9427-552290469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81E26-A0E6-4EEB-8961-E7EBFCCB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2</TotalTime>
  <Pages>7</Pages>
  <Words>1070</Words>
  <Characters>6671</Characters>
  <Application>Microsoft Office Word</Application>
  <DocSecurity>0</DocSecurity>
  <Lines>55</Lines>
  <Paragraphs>15</Paragraphs>
  <ScaleCrop>false</ScaleCrop>
  <Manager>General Secretariat - Pool</Manager>
  <Company>International Telecommunication Union (ITU)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BDT-nd</cp:lastModifiedBy>
  <cp:revision>4</cp:revision>
  <cp:lastPrinted>2020-02-07T12:13:00Z</cp:lastPrinted>
  <dcterms:created xsi:type="dcterms:W3CDTF">2021-04-21T06:52:00Z</dcterms:created>
  <dcterms:modified xsi:type="dcterms:W3CDTF">2021-04-22T06:31:00Z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_dlc_DocIdItemGuid">
    <vt:lpwstr>36760fcd-ab37-4d63-99b1-fe60a94c9bbf</vt:lpwstr>
  </property>
</Properties>
</file>