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3F6E841E" w:rsidR="00AD4677" w:rsidRDefault="00B54D3D" w:rsidP="00AD4677">
            <w:pPr>
              <w:tabs>
                <w:tab w:val="clear" w:pos="1191"/>
                <w:tab w:val="clear" w:pos="1588"/>
                <w:tab w:val="clear" w:pos="1985"/>
              </w:tabs>
              <w:spacing w:after="120"/>
              <w:ind w:left="34"/>
              <w:rPr>
                <w:b/>
                <w:bCs/>
                <w:sz w:val="32"/>
                <w:szCs w:val="32"/>
              </w:rPr>
            </w:pPr>
            <w:r>
              <w:rPr>
                <w:rFonts w:cstheme="minorHAnsi"/>
                <w:b/>
                <w:bCs/>
                <w:noProof/>
                <w:sz w:val="32"/>
                <w:szCs w:val="32"/>
                <w:lang w:val="en-US"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B38A5AF"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sidR="001347CC">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D26A17"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57B5A308" w:rsidR="00683C32" w:rsidRPr="00D26A17" w:rsidRDefault="00B54D3D" w:rsidP="00EA68C4">
            <w:pPr>
              <w:spacing w:before="0"/>
              <w:jc w:val="both"/>
              <w:rPr>
                <w:bCs/>
                <w:szCs w:val="24"/>
                <w:lang w:val="en-US"/>
              </w:rPr>
            </w:pPr>
            <w:proofErr w:type="spellStart"/>
            <w:r w:rsidRPr="00D26A17">
              <w:rPr>
                <w:b/>
                <w:bCs/>
                <w:lang w:val="en-US"/>
              </w:rPr>
              <w:t>文件</w:t>
            </w:r>
            <w:proofErr w:type="spellEnd"/>
            <w:r w:rsidR="0096201B" w:rsidRPr="00D26A17">
              <w:rPr>
                <w:b/>
                <w:bCs/>
                <w:lang w:val="en-US"/>
              </w:rPr>
              <w:t xml:space="preserve"> </w:t>
            </w:r>
            <w:bookmarkStart w:id="0" w:name="DocRef1"/>
            <w:bookmarkEnd w:id="0"/>
            <w:r w:rsidR="0096201B" w:rsidRPr="00D26A17">
              <w:rPr>
                <w:b/>
                <w:bCs/>
                <w:lang w:val="en-US"/>
              </w:rPr>
              <w:t>TDAG</w:t>
            </w:r>
            <w:r w:rsidR="003242AB" w:rsidRPr="00D26A17">
              <w:rPr>
                <w:b/>
                <w:bCs/>
                <w:lang w:val="en-US"/>
              </w:rPr>
              <w:t>-</w:t>
            </w:r>
            <w:r w:rsidR="00B648C7" w:rsidRPr="00D26A17">
              <w:rPr>
                <w:b/>
                <w:bCs/>
                <w:lang w:val="en-US"/>
              </w:rPr>
              <w:t>2</w:t>
            </w:r>
            <w:bookmarkStart w:id="1" w:name="DocNo1"/>
            <w:bookmarkEnd w:id="1"/>
            <w:r w:rsidR="00AD4677" w:rsidRPr="00D26A17">
              <w:rPr>
                <w:b/>
                <w:bCs/>
                <w:lang w:val="en-US"/>
              </w:rPr>
              <w:t>1</w:t>
            </w:r>
            <w:r w:rsidR="0009076F" w:rsidRPr="00D26A17">
              <w:rPr>
                <w:b/>
                <w:bCs/>
                <w:lang w:val="en-US"/>
              </w:rPr>
              <w:t>/</w:t>
            </w:r>
            <w:r w:rsidR="00EA68C4">
              <w:rPr>
                <w:b/>
                <w:bCs/>
                <w:lang w:val="en-US"/>
              </w:rPr>
              <w:t>7</w:t>
            </w:r>
            <w:r w:rsidR="0096201B" w:rsidRPr="00D26A17">
              <w:rPr>
                <w:b/>
                <w:bCs/>
                <w:lang w:val="en-US"/>
              </w:rPr>
              <w:t>-</w:t>
            </w:r>
            <w:r w:rsidRPr="00D26A17">
              <w:rPr>
                <w:rFonts w:hint="eastAsia"/>
                <w:b/>
                <w:bCs/>
                <w:lang w:val="en-US" w:eastAsia="zh-CN"/>
              </w:rPr>
              <w:t>C</w:t>
            </w:r>
          </w:p>
        </w:tc>
      </w:tr>
      <w:tr w:rsidR="00683C32" w:rsidRPr="00D26A17" w14:paraId="24D04936" w14:textId="77777777" w:rsidTr="0009076F">
        <w:trPr>
          <w:cantSplit/>
        </w:trPr>
        <w:tc>
          <w:tcPr>
            <w:tcW w:w="6379" w:type="dxa"/>
            <w:gridSpan w:val="2"/>
          </w:tcPr>
          <w:p w14:paraId="12CE4DBF" w14:textId="77777777" w:rsidR="00683C32" w:rsidRPr="00D26A17" w:rsidRDefault="00683C32" w:rsidP="00400CCF">
            <w:pPr>
              <w:spacing w:before="0"/>
              <w:rPr>
                <w:b/>
                <w:bCs/>
                <w:smallCaps/>
                <w:szCs w:val="24"/>
                <w:lang w:val="en-US"/>
              </w:rPr>
            </w:pPr>
          </w:p>
        </w:tc>
        <w:tc>
          <w:tcPr>
            <w:tcW w:w="3509" w:type="dxa"/>
            <w:gridSpan w:val="2"/>
          </w:tcPr>
          <w:p w14:paraId="0F89640F" w14:textId="77070DD6" w:rsidR="00683C32" w:rsidRPr="00D26A17" w:rsidRDefault="00B54D3D" w:rsidP="00EA68C4">
            <w:pPr>
              <w:spacing w:before="0"/>
              <w:rPr>
                <w:b/>
                <w:szCs w:val="24"/>
              </w:rPr>
            </w:pPr>
            <w:bookmarkStart w:id="2" w:name="CreationDate"/>
            <w:bookmarkEnd w:id="2"/>
            <w:r w:rsidRPr="00D26A17">
              <w:rPr>
                <w:b/>
                <w:bCs/>
                <w:szCs w:val="28"/>
              </w:rPr>
              <w:t>2021</w:t>
            </w:r>
            <w:r w:rsidRPr="00D26A17">
              <w:rPr>
                <w:b/>
                <w:bCs/>
                <w:szCs w:val="28"/>
              </w:rPr>
              <w:t>年</w:t>
            </w:r>
            <w:r w:rsidR="00EA68C4">
              <w:rPr>
                <w:b/>
                <w:bCs/>
                <w:szCs w:val="28"/>
              </w:rPr>
              <w:t>4</w:t>
            </w:r>
            <w:r w:rsidRPr="00D26A17">
              <w:rPr>
                <w:b/>
                <w:bCs/>
                <w:szCs w:val="28"/>
              </w:rPr>
              <w:t>月</w:t>
            </w:r>
            <w:r w:rsidR="00EA68C4">
              <w:rPr>
                <w:b/>
                <w:bCs/>
                <w:szCs w:val="28"/>
              </w:rPr>
              <w:t>13</w:t>
            </w:r>
            <w:r w:rsidRPr="00D26A17">
              <w:rPr>
                <w:b/>
                <w:bCs/>
                <w:szCs w:val="28"/>
              </w:rPr>
              <w:t>日</w:t>
            </w:r>
          </w:p>
        </w:tc>
      </w:tr>
      <w:tr w:rsidR="00683C32" w:rsidRPr="00D26A17" w14:paraId="7B96545F" w14:textId="77777777" w:rsidTr="0009076F">
        <w:trPr>
          <w:cantSplit/>
        </w:trPr>
        <w:tc>
          <w:tcPr>
            <w:tcW w:w="6379" w:type="dxa"/>
            <w:gridSpan w:val="2"/>
          </w:tcPr>
          <w:p w14:paraId="65956FD3" w14:textId="77777777" w:rsidR="00683C32" w:rsidRPr="00D26A17" w:rsidRDefault="00683C32" w:rsidP="00400CCF">
            <w:pPr>
              <w:spacing w:before="0"/>
              <w:rPr>
                <w:b/>
                <w:bCs/>
                <w:smallCaps/>
                <w:szCs w:val="24"/>
              </w:rPr>
            </w:pPr>
          </w:p>
        </w:tc>
        <w:tc>
          <w:tcPr>
            <w:tcW w:w="3509" w:type="dxa"/>
            <w:gridSpan w:val="2"/>
          </w:tcPr>
          <w:p w14:paraId="30EFD39F" w14:textId="3F9B6699" w:rsidR="00514D2F" w:rsidRPr="00D26A17" w:rsidRDefault="00B54D3D" w:rsidP="00400CCF">
            <w:pPr>
              <w:spacing w:before="0"/>
              <w:rPr>
                <w:szCs w:val="24"/>
              </w:rPr>
            </w:pPr>
            <w:proofErr w:type="spellStart"/>
            <w:r w:rsidRPr="00D26A17">
              <w:rPr>
                <w:b/>
              </w:rPr>
              <w:t>原文：</w:t>
            </w:r>
            <w:r w:rsidRPr="00D26A17">
              <w:rPr>
                <w:rFonts w:hint="eastAsia"/>
                <w:b/>
              </w:rPr>
              <w:t>英文</w:t>
            </w:r>
            <w:proofErr w:type="spellEnd"/>
          </w:p>
        </w:tc>
      </w:tr>
      <w:tr w:rsidR="00EA68C4" w:rsidRPr="00D26A17" w14:paraId="31656E31" w14:textId="77777777" w:rsidTr="00107E85">
        <w:trPr>
          <w:cantSplit/>
          <w:trHeight w:val="852"/>
        </w:trPr>
        <w:tc>
          <w:tcPr>
            <w:tcW w:w="9888" w:type="dxa"/>
            <w:gridSpan w:val="4"/>
          </w:tcPr>
          <w:p w14:paraId="512FCA01" w14:textId="10983335" w:rsidR="00EA68C4" w:rsidRPr="00D26A17" w:rsidRDefault="00EA68C4" w:rsidP="00EA68C4">
            <w:pPr>
              <w:pStyle w:val="Source"/>
            </w:pPr>
            <w:bookmarkStart w:id="3" w:name="Source"/>
            <w:bookmarkEnd w:id="3"/>
            <w:r w:rsidRPr="00DE4507">
              <w:rPr>
                <w:rFonts w:hint="eastAsia"/>
                <w:szCs w:val="28"/>
                <w:lang w:eastAsia="zh-CN"/>
              </w:rPr>
              <w:t>电</w:t>
            </w:r>
            <w:r w:rsidRPr="00DE4507">
              <w:rPr>
                <w:szCs w:val="28"/>
                <w:lang w:eastAsia="zh-CN"/>
              </w:rPr>
              <w:t>信发展局主任</w:t>
            </w:r>
          </w:p>
        </w:tc>
      </w:tr>
      <w:tr w:rsidR="00EA68C4" w:rsidRPr="00D26A17" w14:paraId="2CBD3A36" w14:textId="77777777" w:rsidTr="00A949E4">
        <w:trPr>
          <w:cantSplit/>
        </w:trPr>
        <w:tc>
          <w:tcPr>
            <w:tcW w:w="9888" w:type="dxa"/>
            <w:gridSpan w:val="4"/>
            <w:vAlign w:val="center"/>
          </w:tcPr>
          <w:p w14:paraId="1B4121DF" w14:textId="31E235D4" w:rsidR="00EA68C4" w:rsidRPr="00D26A17" w:rsidRDefault="00EA68C4" w:rsidP="008D3F93">
            <w:pPr>
              <w:pStyle w:val="Title1"/>
              <w:rPr>
                <w:lang w:eastAsia="zh-CN"/>
              </w:rPr>
            </w:pPr>
            <w:bookmarkStart w:id="4" w:name="Title"/>
            <w:bookmarkEnd w:id="4"/>
            <w:r w:rsidRPr="00F82898">
              <w:rPr>
                <w:bCs/>
                <w:szCs w:val="28"/>
                <w:lang w:eastAsia="zh-CN"/>
              </w:rPr>
              <w:t>ITU-D</w:t>
            </w:r>
            <w:r>
              <w:rPr>
                <w:rFonts w:hint="eastAsia"/>
                <w:bCs/>
                <w:szCs w:val="28"/>
                <w:lang w:eastAsia="zh-CN"/>
              </w:rPr>
              <w:t>的伙伴关系</w:t>
            </w:r>
            <w:r w:rsidRPr="00F82898">
              <w:rPr>
                <w:rFonts w:hint="eastAsia"/>
                <w:bCs/>
                <w:szCs w:val="28"/>
                <w:lang w:eastAsia="zh-CN"/>
              </w:rPr>
              <w:t>和资源筹措</w:t>
            </w:r>
          </w:p>
        </w:tc>
      </w:tr>
      <w:tr w:rsidR="00A721F4" w:rsidRPr="00D26A17" w14:paraId="23A30231" w14:textId="77777777" w:rsidTr="00A721F4">
        <w:trPr>
          <w:cantSplit/>
        </w:trPr>
        <w:tc>
          <w:tcPr>
            <w:tcW w:w="9888" w:type="dxa"/>
            <w:gridSpan w:val="4"/>
            <w:tcBorders>
              <w:bottom w:val="single" w:sz="4" w:space="0" w:color="auto"/>
            </w:tcBorders>
          </w:tcPr>
          <w:p w14:paraId="726EE70E" w14:textId="77777777" w:rsidR="00A721F4" w:rsidRPr="00D26A17" w:rsidRDefault="00A721F4" w:rsidP="0030353C">
            <w:pPr>
              <w:rPr>
                <w:lang w:eastAsia="zh-CN"/>
              </w:rPr>
            </w:pPr>
          </w:p>
        </w:tc>
      </w:tr>
      <w:tr w:rsidR="00A721F4" w:rsidRPr="00D26A1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3A2454F" w14:textId="77777777" w:rsidR="00EA68C4" w:rsidRPr="00EA68C4" w:rsidRDefault="00EA68C4" w:rsidP="00EA68C4">
            <w:pPr>
              <w:rPr>
                <w:b/>
                <w:bCs/>
                <w:szCs w:val="24"/>
                <w:lang w:eastAsia="zh-CN"/>
              </w:rPr>
            </w:pPr>
            <w:r w:rsidRPr="00EA68C4">
              <w:rPr>
                <w:rFonts w:hint="eastAsia"/>
                <w:b/>
                <w:bCs/>
                <w:lang w:eastAsia="zh-CN"/>
              </w:rPr>
              <w:t>概要</w:t>
            </w:r>
            <w:r w:rsidRPr="00EA68C4">
              <w:rPr>
                <w:b/>
                <w:bCs/>
                <w:lang w:eastAsia="zh-CN"/>
              </w:rPr>
              <w:t>：</w:t>
            </w:r>
          </w:p>
          <w:p w14:paraId="1349CB35" w14:textId="633C699E" w:rsidR="00EA68C4" w:rsidRPr="00EA68C4" w:rsidRDefault="00EA68C4" w:rsidP="00EA68C4">
            <w:pPr>
              <w:ind w:firstLineChars="200" w:firstLine="480"/>
              <w:rPr>
                <w:szCs w:val="24"/>
                <w:lang w:eastAsia="zh-CN"/>
              </w:rPr>
            </w:pPr>
            <w:r w:rsidRPr="00EA68C4">
              <w:rPr>
                <w:szCs w:val="24"/>
                <w:lang w:eastAsia="zh-CN"/>
              </w:rPr>
              <w:t>2017</w:t>
            </w:r>
            <w:r w:rsidRPr="00EA68C4">
              <w:rPr>
                <w:rFonts w:hint="eastAsia"/>
                <w:szCs w:val="24"/>
                <w:lang w:eastAsia="zh-CN"/>
              </w:rPr>
              <w:t>年世界电信发展大会（</w:t>
            </w:r>
            <w:r w:rsidRPr="00EA68C4">
              <w:rPr>
                <w:szCs w:val="24"/>
                <w:lang w:eastAsia="zh-CN"/>
              </w:rPr>
              <w:t>WTDC-17</w:t>
            </w:r>
            <w:r w:rsidRPr="00EA68C4">
              <w:rPr>
                <w:rFonts w:hint="eastAsia"/>
                <w:szCs w:val="24"/>
                <w:lang w:eastAsia="zh-CN"/>
              </w:rPr>
              <w:t>）强调了伙伴关系和资源筹措的重要性。本文件报告了</w:t>
            </w:r>
            <w:r w:rsidRPr="00EA68C4">
              <w:rPr>
                <w:rFonts w:hint="eastAsia"/>
                <w:szCs w:val="24"/>
                <w:lang w:eastAsia="zh-CN"/>
              </w:rPr>
              <w:t>2</w:t>
            </w:r>
            <w:r w:rsidRPr="00EA68C4">
              <w:rPr>
                <w:szCs w:val="24"/>
                <w:lang w:eastAsia="zh-CN"/>
              </w:rPr>
              <w:t>0</w:t>
            </w:r>
            <w:r w:rsidR="00DF264C">
              <w:rPr>
                <w:szCs w:val="24"/>
                <w:lang w:eastAsia="zh-CN"/>
              </w:rPr>
              <w:t>20</w:t>
            </w:r>
            <w:r w:rsidR="00DF264C">
              <w:rPr>
                <w:rFonts w:hint="eastAsia"/>
                <w:szCs w:val="24"/>
                <w:lang w:eastAsia="zh-CN"/>
              </w:rPr>
              <w:t>年和</w:t>
            </w:r>
            <w:r w:rsidR="00DF264C">
              <w:rPr>
                <w:rFonts w:hint="eastAsia"/>
                <w:szCs w:val="24"/>
                <w:lang w:eastAsia="zh-CN"/>
              </w:rPr>
              <w:t>2</w:t>
            </w:r>
            <w:r w:rsidR="00DF264C">
              <w:rPr>
                <w:szCs w:val="24"/>
                <w:lang w:eastAsia="zh-CN"/>
              </w:rPr>
              <w:t>021</w:t>
            </w:r>
            <w:r w:rsidR="00DF264C">
              <w:rPr>
                <w:rFonts w:hint="eastAsia"/>
                <w:szCs w:val="24"/>
                <w:lang w:eastAsia="zh-CN"/>
              </w:rPr>
              <w:t>年一季度</w:t>
            </w:r>
            <w:r w:rsidRPr="00EA68C4">
              <w:rPr>
                <w:rFonts w:hint="eastAsia"/>
                <w:szCs w:val="24"/>
                <w:lang w:eastAsia="zh-CN"/>
              </w:rPr>
              <w:t>年开展的伙伴关系和资源筹措活动。</w:t>
            </w:r>
          </w:p>
          <w:p w14:paraId="11056C20" w14:textId="77777777" w:rsidR="00EA68C4" w:rsidRPr="00EA68C4" w:rsidRDefault="00EA68C4" w:rsidP="00EA68C4">
            <w:pPr>
              <w:rPr>
                <w:b/>
                <w:bCs/>
                <w:szCs w:val="24"/>
                <w:lang w:eastAsia="zh-CN"/>
              </w:rPr>
            </w:pPr>
            <w:r w:rsidRPr="00EA68C4">
              <w:rPr>
                <w:rFonts w:hint="eastAsia"/>
                <w:b/>
                <w:bCs/>
                <w:lang w:eastAsia="zh-CN"/>
              </w:rPr>
              <w:t>需</w:t>
            </w:r>
            <w:r w:rsidRPr="00EA68C4">
              <w:rPr>
                <w:b/>
                <w:bCs/>
                <w:lang w:eastAsia="zh-CN"/>
              </w:rPr>
              <w:t>采取</w:t>
            </w:r>
            <w:r w:rsidRPr="00EA68C4">
              <w:rPr>
                <w:rFonts w:hint="eastAsia"/>
                <w:b/>
                <w:bCs/>
                <w:lang w:eastAsia="zh-CN"/>
              </w:rPr>
              <w:t>的</w:t>
            </w:r>
            <w:r w:rsidRPr="00EA68C4">
              <w:rPr>
                <w:b/>
                <w:bCs/>
                <w:lang w:eastAsia="zh-CN"/>
              </w:rPr>
              <w:t>行动：</w:t>
            </w:r>
          </w:p>
          <w:p w14:paraId="1811C020" w14:textId="77777777" w:rsidR="00EA68C4" w:rsidRPr="00EA68C4" w:rsidRDefault="00EA68C4" w:rsidP="00EA68C4">
            <w:pPr>
              <w:ind w:firstLineChars="200" w:firstLine="480"/>
              <w:rPr>
                <w:szCs w:val="24"/>
                <w:lang w:eastAsia="zh-CN"/>
              </w:rPr>
            </w:pPr>
            <w:r w:rsidRPr="00EA68C4">
              <w:rPr>
                <w:rFonts w:hint="eastAsia"/>
                <w:szCs w:val="24"/>
                <w:lang w:eastAsia="zh-CN"/>
              </w:rPr>
              <w:t>请电信发展顾问组（</w:t>
            </w:r>
            <w:r w:rsidRPr="00EA68C4">
              <w:rPr>
                <w:szCs w:val="24"/>
                <w:lang w:eastAsia="zh-CN"/>
              </w:rPr>
              <w:t>TDAG</w:t>
            </w:r>
            <w:r w:rsidRPr="00EA68C4">
              <w:rPr>
                <w:rFonts w:hint="eastAsia"/>
                <w:szCs w:val="24"/>
                <w:lang w:eastAsia="zh-CN"/>
              </w:rPr>
              <w:t>）将本文件记录在案并酌情提供指导。</w:t>
            </w:r>
          </w:p>
          <w:p w14:paraId="7C043D73" w14:textId="77777777" w:rsidR="00EA68C4" w:rsidRPr="00EA68C4" w:rsidRDefault="00EA68C4" w:rsidP="00EA68C4">
            <w:pPr>
              <w:rPr>
                <w:b/>
                <w:bCs/>
                <w:szCs w:val="24"/>
                <w:lang w:eastAsia="zh-CN"/>
              </w:rPr>
            </w:pPr>
            <w:r w:rsidRPr="00EA68C4">
              <w:rPr>
                <w:rFonts w:hint="eastAsia"/>
                <w:b/>
                <w:bCs/>
                <w:lang w:eastAsia="zh-CN"/>
              </w:rPr>
              <w:t>参考文件</w:t>
            </w:r>
            <w:r w:rsidRPr="00EA68C4">
              <w:rPr>
                <w:b/>
                <w:bCs/>
                <w:lang w:eastAsia="zh-CN"/>
              </w:rPr>
              <w:t>：</w:t>
            </w:r>
          </w:p>
          <w:p w14:paraId="49B65CF6" w14:textId="77777777" w:rsidR="00EA68C4" w:rsidRPr="00EA68C4" w:rsidRDefault="00EA68C4" w:rsidP="00937D4B">
            <w:pPr>
              <w:spacing w:after="120"/>
              <w:ind w:firstLineChars="200" w:firstLine="480"/>
              <w:rPr>
                <w:lang w:eastAsia="zh-CN"/>
              </w:rPr>
            </w:pPr>
            <w:r w:rsidRPr="00EA68C4">
              <w:rPr>
                <w:rFonts w:hint="eastAsia"/>
                <w:lang w:eastAsia="zh-CN"/>
              </w:rPr>
              <w:t>国际电联目标</w:t>
            </w:r>
            <w:r w:rsidRPr="00EA68C4">
              <w:rPr>
                <w:rFonts w:hint="eastAsia"/>
                <w:lang w:eastAsia="zh-CN"/>
              </w:rPr>
              <w:t>5</w:t>
            </w:r>
          </w:p>
          <w:p w14:paraId="741930B1" w14:textId="77777777" w:rsidR="00EA68C4" w:rsidRPr="00EA68C4" w:rsidRDefault="00EA68C4" w:rsidP="00937D4B">
            <w:pPr>
              <w:spacing w:after="120"/>
              <w:ind w:firstLineChars="200" w:firstLine="480"/>
              <w:rPr>
                <w:lang w:eastAsia="zh-CN"/>
              </w:rPr>
            </w:pPr>
            <w:r w:rsidRPr="00EA68C4">
              <w:rPr>
                <w:rFonts w:hint="eastAsia"/>
                <w:lang w:eastAsia="zh-CN"/>
              </w:rPr>
              <w:t>《布宜诺斯艾利斯行动计划》、《</w:t>
            </w:r>
            <w:r w:rsidRPr="00EA68C4">
              <w:rPr>
                <w:rFonts w:hint="eastAsia"/>
                <w:lang w:eastAsia="zh-CN"/>
              </w:rPr>
              <w:t>WTDC</w:t>
            </w:r>
            <w:r w:rsidRPr="00EA68C4">
              <w:rPr>
                <w:lang w:eastAsia="zh-CN"/>
              </w:rPr>
              <w:t>-17</w:t>
            </w:r>
            <w:r w:rsidRPr="00EA68C4">
              <w:rPr>
                <w:rFonts w:hint="eastAsia"/>
                <w:lang w:eastAsia="zh-CN"/>
              </w:rPr>
              <w:t>最后报告》第</w:t>
            </w:r>
            <w:r w:rsidRPr="00EA68C4">
              <w:rPr>
                <w:rFonts w:hint="eastAsia"/>
                <w:lang w:eastAsia="zh-CN"/>
              </w:rPr>
              <w:t>4</w:t>
            </w:r>
            <w:r w:rsidRPr="00EA68C4">
              <w:rPr>
                <w:lang w:eastAsia="zh-CN"/>
              </w:rPr>
              <w:t>.5</w:t>
            </w:r>
            <w:r w:rsidRPr="00EA68C4">
              <w:rPr>
                <w:rFonts w:hint="eastAsia"/>
                <w:lang w:eastAsia="zh-CN"/>
              </w:rPr>
              <w:t>节</w:t>
            </w:r>
          </w:p>
          <w:p w14:paraId="1ECDD20E" w14:textId="056DE2A7" w:rsidR="00A721F4" w:rsidRPr="00D26A17" w:rsidRDefault="00EA68C4" w:rsidP="00937D4B">
            <w:pPr>
              <w:spacing w:after="120"/>
              <w:ind w:firstLineChars="200" w:firstLine="480"/>
              <w:rPr>
                <w:lang w:eastAsia="zh-CN"/>
              </w:rPr>
            </w:pPr>
            <w:r w:rsidRPr="00EA68C4">
              <w:rPr>
                <w:lang w:eastAsia="zh-CN"/>
              </w:rPr>
              <w:t>WTDC</w:t>
            </w:r>
            <w:r w:rsidRPr="00EA68C4">
              <w:rPr>
                <w:rFonts w:hint="eastAsia"/>
                <w:lang w:eastAsia="zh-CN"/>
              </w:rPr>
              <w:t>第</w:t>
            </w:r>
            <w:r w:rsidRPr="00EA68C4">
              <w:rPr>
                <w:lang w:eastAsia="zh-CN"/>
              </w:rPr>
              <w:t>17</w:t>
            </w:r>
            <w:r w:rsidRPr="00EA68C4">
              <w:rPr>
                <w:rFonts w:hint="eastAsia"/>
                <w:lang w:eastAsia="zh-CN"/>
              </w:rPr>
              <w:t>号决议（</w:t>
            </w:r>
            <w:r w:rsidRPr="00EA68C4">
              <w:rPr>
                <w:lang w:eastAsia="zh-CN"/>
              </w:rPr>
              <w:t>2017</w:t>
            </w:r>
            <w:r w:rsidRPr="00EA68C4">
              <w:rPr>
                <w:rFonts w:hint="eastAsia"/>
                <w:lang w:eastAsia="zh-CN"/>
              </w:rPr>
              <w:t>年，布宜诺斯艾利斯，修订版）和</w:t>
            </w:r>
            <w:r w:rsidRPr="00EA68C4">
              <w:rPr>
                <w:szCs w:val="24"/>
                <w:lang w:val="en-US" w:eastAsia="zh-CN"/>
              </w:rPr>
              <w:t>WTDC</w:t>
            </w:r>
            <w:r w:rsidRPr="00EA68C4">
              <w:rPr>
                <w:rFonts w:hint="eastAsia"/>
                <w:szCs w:val="24"/>
                <w:lang w:val="en-US" w:eastAsia="zh-CN"/>
              </w:rPr>
              <w:t>第</w:t>
            </w:r>
            <w:r w:rsidRPr="00EA68C4">
              <w:rPr>
                <w:szCs w:val="24"/>
                <w:lang w:val="en-US" w:eastAsia="zh-CN"/>
              </w:rPr>
              <w:t>71</w:t>
            </w:r>
            <w:r w:rsidRPr="00EA68C4">
              <w:rPr>
                <w:rFonts w:hint="eastAsia"/>
                <w:szCs w:val="24"/>
                <w:lang w:val="en-US" w:eastAsia="zh-CN"/>
              </w:rPr>
              <w:t>号决议（</w:t>
            </w:r>
            <w:r w:rsidRPr="00EA68C4">
              <w:rPr>
                <w:szCs w:val="24"/>
                <w:lang w:val="en-US" w:eastAsia="zh-CN"/>
              </w:rPr>
              <w:t>2017</w:t>
            </w:r>
            <w:r w:rsidRPr="00EA68C4">
              <w:rPr>
                <w:rFonts w:hint="eastAsia"/>
                <w:szCs w:val="24"/>
                <w:lang w:val="en-US" w:eastAsia="zh-CN"/>
              </w:rPr>
              <w:t>年，布宜诺斯艾利斯，修订版）</w:t>
            </w:r>
          </w:p>
        </w:tc>
      </w:tr>
    </w:tbl>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BBB8D05" w14:textId="77777777" w:rsidR="00EA68C4" w:rsidRPr="00B85A96" w:rsidRDefault="00EA68C4" w:rsidP="00EA68C4">
      <w:pPr>
        <w:pStyle w:val="Heading1"/>
        <w:ind w:left="0" w:firstLine="0"/>
        <w:rPr>
          <w:rFonts w:ascii="Calibri" w:hAnsi="Calibri" w:cs="Calibri"/>
          <w:sz w:val="24"/>
          <w:szCs w:val="24"/>
          <w:lang w:val="en-US" w:eastAsia="zh-CN"/>
        </w:rPr>
      </w:pPr>
      <w:r w:rsidRPr="00B85A96">
        <w:rPr>
          <w:rFonts w:ascii="Calibri" w:hAnsi="Calibri" w:cs="Calibri" w:hint="eastAsia"/>
          <w:sz w:val="24"/>
          <w:szCs w:val="24"/>
          <w:lang w:val="fr-FR" w:eastAsia="zh-CN"/>
        </w:rPr>
        <w:lastRenderedPageBreak/>
        <w:t>1</w:t>
      </w:r>
      <w:r w:rsidRPr="00B85A96">
        <w:rPr>
          <w:rFonts w:ascii="Calibri" w:hAnsi="Calibri" w:cs="Calibri"/>
          <w:sz w:val="24"/>
          <w:szCs w:val="24"/>
          <w:lang w:val="fr-FR" w:eastAsia="zh-CN"/>
        </w:rPr>
        <w:tab/>
      </w:r>
      <w:r w:rsidRPr="00B85A96">
        <w:rPr>
          <w:rFonts w:ascii="Calibri" w:hAnsi="Calibri" w:cs="Calibri" w:hint="eastAsia"/>
          <w:sz w:val="24"/>
          <w:szCs w:val="24"/>
          <w:lang w:val="fr-FR" w:eastAsia="zh-CN"/>
        </w:rPr>
        <w:t>背景</w:t>
      </w:r>
    </w:p>
    <w:p w14:paraId="569FEB7A" w14:textId="77777777" w:rsidR="005562CB" w:rsidRDefault="00EA68C4" w:rsidP="005562CB">
      <w:pPr>
        <w:ind w:firstLineChars="200" w:firstLine="480"/>
        <w:rPr>
          <w:lang w:eastAsia="zh-CN"/>
        </w:rPr>
      </w:pPr>
      <w:r>
        <w:rPr>
          <w:rFonts w:hint="eastAsia"/>
          <w:lang w:eastAsia="zh-CN"/>
        </w:rPr>
        <w:t>2017</w:t>
      </w:r>
      <w:r>
        <w:rPr>
          <w:rFonts w:hint="eastAsia"/>
          <w:lang w:eastAsia="zh-CN"/>
        </w:rPr>
        <w:t>年世界电信发展大会（</w:t>
      </w:r>
      <w:r>
        <w:rPr>
          <w:rFonts w:hint="eastAsia"/>
          <w:lang w:eastAsia="zh-CN"/>
        </w:rPr>
        <w:t>WTDC-17</w:t>
      </w:r>
      <w:r>
        <w:rPr>
          <w:rFonts w:hint="eastAsia"/>
          <w:lang w:eastAsia="zh-CN"/>
        </w:rPr>
        <w:t>）强调了伙伴关系以及资源筹措在支持实施《布宜诺斯艾利斯行动计划》、信息社会世界峰会（</w:t>
      </w:r>
      <w:r>
        <w:rPr>
          <w:rFonts w:hint="eastAsia"/>
          <w:lang w:eastAsia="zh-CN"/>
        </w:rPr>
        <w:t>WSIS</w:t>
      </w:r>
      <w:r>
        <w:rPr>
          <w:rFonts w:hint="eastAsia"/>
          <w:lang w:eastAsia="zh-CN"/>
        </w:rPr>
        <w:t>）行动方面和可持续发展目标（</w:t>
      </w:r>
      <w:r>
        <w:rPr>
          <w:rFonts w:hint="eastAsia"/>
          <w:lang w:eastAsia="zh-CN"/>
        </w:rPr>
        <w:t>SDG</w:t>
      </w:r>
      <w:r>
        <w:rPr>
          <w:rFonts w:hint="eastAsia"/>
          <w:lang w:eastAsia="zh-CN"/>
        </w:rPr>
        <w:t>）方面的关键作用。</w:t>
      </w:r>
    </w:p>
    <w:p w14:paraId="69B70EE0" w14:textId="7E9FE1A1" w:rsidR="00EC6FED" w:rsidRDefault="004D7A76" w:rsidP="005562CB">
      <w:pPr>
        <w:ind w:firstLineChars="200" w:firstLine="480"/>
        <w:rPr>
          <w:lang w:eastAsia="zh-CN"/>
        </w:rPr>
      </w:pPr>
      <w:r w:rsidRPr="004D7A76">
        <w:rPr>
          <w:rFonts w:hint="eastAsia"/>
          <w:lang w:val="en-US" w:eastAsia="zh-CN"/>
        </w:rPr>
        <w:t>WTDC-17</w:t>
      </w:r>
      <w:r>
        <w:rPr>
          <w:rFonts w:hint="eastAsia"/>
          <w:lang w:val="en-US" w:eastAsia="zh-CN"/>
        </w:rPr>
        <w:t>《</w:t>
      </w:r>
      <w:r w:rsidRPr="004D7A76">
        <w:rPr>
          <w:rFonts w:hint="eastAsia"/>
          <w:lang w:val="en-US" w:eastAsia="zh-CN"/>
        </w:rPr>
        <w:t>行动计划</w:t>
      </w:r>
      <w:r>
        <w:rPr>
          <w:rFonts w:hint="eastAsia"/>
          <w:lang w:val="en-US" w:eastAsia="zh-CN"/>
        </w:rPr>
        <w:t>》</w:t>
      </w:r>
      <w:r w:rsidRPr="004D7A76">
        <w:rPr>
          <w:rFonts w:hint="eastAsia"/>
          <w:lang w:val="en-US" w:eastAsia="zh-CN"/>
        </w:rPr>
        <w:t>指出，在可能的情况下，应与广泛的利益攸关方合作实施各</w:t>
      </w:r>
      <w:r w:rsidR="00202C2F">
        <w:rPr>
          <w:rFonts w:hint="eastAsia"/>
          <w:lang w:val="en-US" w:eastAsia="zh-CN"/>
        </w:rPr>
        <w:t>项目</w:t>
      </w:r>
      <w:r w:rsidRPr="004D7A76">
        <w:rPr>
          <w:rFonts w:hint="eastAsia"/>
          <w:lang w:val="en-US" w:eastAsia="zh-CN"/>
        </w:rPr>
        <w:t>和区域举措</w:t>
      </w:r>
      <w:r>
        <w:rPr>
          <w:rFonts w:hint="eastAsia"/>
          <w:lang w:val="en-US" w:eastAsia="zh-CN"/>
        </w:rPr>
        <w:t>。</w:t>
      </w:r>
      <w:bookmarkStart w:id="5" w:name="lt_pId034"/>
      <w:r w:rsidR="00EA68C4" w:rsidRPr="00EA68C4">
        <w:rPr>
          <w:rFonts w:hint="eastAsia"/>
          <w:lang w:val="en-US" w:eastAsia="zh-CN"/>
        </w:rPr>
        <w:t>第</w:t>
      </w:r>
      <w:r w:rsidR="00EA68C4" w:rsidRPr="00EA68C4">
        <w:rPr>
          <w:rFonts w:hint="eastAsia"/>
          <w:lang w:val="en-US" w:eastAsia="zh-CN"/>
        </w:rPr>
        <w:t>17</w:t>
      </w:r>
      <w:r w:rsidR="00EA68C4" w:rsidRPr="00EA68C4">
        <w:rPr>
          <w:rFonts w:hint="eastAsia"/>
          <w:lang w:val="en-US" w:eastAsia="zh-CN"/>
        </w:rPr>
        <w:t>号</w:t>
      </w:r>
      <w:r w:rsidR="00EA68C4" w:rsidRPr="00EA68C4">
        <w:rPr>
          <w:lang w:val="en-US" w:eastAsia="zh-CN"/>
        </w:rPr>
        <w:t>决议</w:t>
      </w:r>
      <w:r w:rsidR="00EA68C4" w:rsidRPr="00EA68C4">
        <w:rPr>
          <w:rFonts w:hint="eastAsia"/>
          <w:lang w:val="en-US" w:eastAsia="zh-CN"/>
        </w:rPr>
        <w:t>（</w:t>
      </w:r>
      <w:r w:rsidR="00EA68C4" w:rsidRPr="00EA68C4">
        <w:rPr>
          <w:rFonts w:hint="eastAsia"/>
          <w:lang w:val="en-US" w:eastAsia="zh-CN"/>
        </w:rPr>
        <w:t>2017</w:t>
      </w:r>
      <w:r w:rsidR="00EA68C4" w:rsidRPr="00EA68C4">
        <w:rPr>
          <w:rFonts w:hint="eastAsia"/>
          <w:lang w:val="en-US" w:eastAsia="zh-CN"/>
        </w:rPr>
        <w:t>年，布宜诺斯艾利斯，修订版）责成电信发展局</w:t>
      </w:r>
      <w:r w:rsidR="00EA68C4" w:rsidRPr="00EA68C4">
        <w:rPr>
          <w:lang w:eastAsia="zh-CN"/>
        </w:rPr>
        <w:t>继续</w:t>
      </w:r>
      <w:r w:rsidR="00EA68C4" w:rsidRPr="00EA68C4">
        <w:rPr>
          <w:rFonts w:hint="eastAsia"/>
          <w:lang w:eastAsia="zh-CN"/>
        </w:rPr>
        <w:t>积极</w:t>
      </w:r>
      <w:r w:rsidR="00EA68C4" w:rsidRPr="00EA68C4">
        <w:rPr>
          <w:lang w:eastAsia="zh-CN"/>
        </w:rPr>
        <w:t>与成员国、</w:t>
      </w:r>
      <w:r w:rsidR="00EA68C4" w:rsidRPr="00EA68C4">
        <w:rPr>
          <w:lang w:eastAsia="zh-CN"/>
        </w:rPr>
        <w:t>ITU-D</w:t>
      </w:r>
      <w:r w:rsidR="00EA68C4" w:rsidRPr="00EA68C4">
        <w:rPr>
          <w:lang w:eastAsia="zh-CN"/>
        </w:rPr>
        <w:t>部门成员、金融机构和国际组织结成伙伴关系，以便资助</w:t>
      </w:r>
      <w:r w:rsidR="00EA68C4" w:rsidRPr="00EA68C4">
        <w:rPr>
          <w:rFonts w:hint="eastAsia"/>
          <w:lang w:eastAsia="zh-CN"/>
        </w:rPr>
        <w:t>区域性</w:t>
      </w:r>
      <w:r w:rsidR="00EA68C4" w:rsidRPr="00EA68C4">
        <w:rPr>
          <w:lang w:eastAsia="zh-CN"/>
        </w:rPr>
        <w:t>举措</w:t>
      </w:r>
      <w:r w:rsidR="00EA68C4" w:rsidRPr="00EA68C4">
        <w:rPr>
          <w:rFonts w:hint="eastAsia"/>
          <w:lang w:eastAsia="zh-CN"/>
        </w:rPr>
        <w:t>的</w:t>
      </w:r>
      <w:r w:rsidR="00EA68C4" w:rsidRPr="00EA68C4">
        <w:rPr>
          <w:lang w:eastAsia="zh-CN"/>
        </w:rPr>
        <w:t>活动实施</w:t>
      </w:r>
      <w:r w:rsidR="00EA68C4" w:rsidRPr="00EA68C4">
        <w:rPr>
          <w:rFonts w:hint="eastAsia"/>
          <w:lang w:eastAsia="zh-CN"/>
        </w:rPr>
        <w:t>。该决议</w:t>
      </w:r>
      <w:r w:rsidR="00EA68C4" w:rsidRPr="00EA68C4">
        <w:rPr>
          <w:rFonts w:hint="eastAsia"/>
          <w:lang w:val="en-US" w:eastAsia="zh-CN"/>
        </w:rPr>
        <w:t>同时呼吁</w:t>
      </w:r>
      <w:r w:rsidR="00EA68C4" w:rsidRPr="00EA68C4">
        <w:rPr>
          <w:lang w:eastAsia="zh-CN"/>
        </w:rPr>
        <w:t>国际金融组织</w:t>
      </w:r>
      <w:r w:rsidR="00EA68C4" w:rsidRPr="00EA68C4">
        <w:rPr>
          <w:lang w:eastAsia="zh-CN"/>
        </w:rPr>
        <w:t>/</w:t>
      </w:r>
      <w:r w:rsidR="00EA68C4" w:rsidRPr="00EA68C4">
        <w:rPr>
          <w:lang w:eastAsia="zh-CN"/>
        </w:rPr>
        <w:t>机构、设备供应商和运营商</w:t>
      </w:r>
      <w:r w:rsidR="00EA68C4" w:rsidRPr="00EA68C4">
        <w:rPr>
          <w:lang w:eastAsia="zh-CN"/>
        </w:rPr>
        <w:t>/</w:t>
      </w:r>
      <w:r w:rsidR="00EA68C4" w:rsidRPr="00EA68C4">
        <w:rPr>
          <w:lang w:eastAsia="zh-CN"/>
        </w:rPr>
        <w:t>业务提供商全面或部分资助这些区域批准的举措</w:t>
      </w:r>
      <w:bookmarkEnd w:id="5"/>
      <w:r w:rsidR="00EA68C4" w:rsidRPr="00EA68C4">
        <w:rPr>
          <w:rFonts w:hint="eastAsia"/>
          <w:lang w:eastAsia="zh-CN"/>
        </w:rPr>
        <w:t>。</w:t>
      </w:r>
    </w:p>
    <w:p w14:paraId="76312F44" w14:textId="77777777" w:rsidR="00EA68C4" w:rsidRPr="00B63FAC" w:rsidRDefault="00EA68C4" w:rsidP="00EA68C4">
      <w:pPr>
        <w:pStyle w:val="Heading1"/>
        <w:ind w:left="0" w:firstLine="0"/>
        <w:rPr>
          <w:rFonts w:ascii="Calibri" w:hAnsi="Calibri" w:cs="Calibri"/>
          <w:sz w:val="24"/>
          <w:szCs w:val="24"/>
          <w:lang w:val="en-US" w:eastAsia="zh-CN"/>
        </w:rPr>
      </w:pPr>
      <w:bookmarkStart w:id="6" w:name="Proposal"/>
      <w:bookmarkEnd w:id="6"/>
      <w:r>
        <w:rPr>
          <w:rFonts w:ascii="Calibri" w:hAnsi="Calibri" w:cs="Calibri" w:hint="eastAsia"/>
          <w:sz w:val="24"/>
          <w:szCs w:val="24"/>
          <w:lang w:val="fr-FR" w:eastAsia="zh-CN"/>
        </w:rPr>
        <w:t>2</w:t>
      </w:r>
      <w:r>
        <w:rPr>
          <w:rFonts w:ascii="Calibri" w:hAnsi="Calibri" w:cs="Calibri"/>
          <w:sz w:val="24"/>
          <w:szCs w:val="24"/>
          <w:lang w:val="fr-FR" w:eastAsia="zh-CN"/>
        </w:rPr>
        <w:tab/>
      </w:r>
      <w:r w:rsidRPr="00B85A96">
        <w:rPr>
          <w:rFonts w:ascii="Calibri" w:hAnsi="Calibri" w:cs="Calibri" w:hint="eastAsia"/>
          <w:sz w:val="24"/>
          <w:szCs w:val="24"/>
          <w:lang w:val="fr-FR" w:eastAsia="zh-CN"/>
        </w:rPr>
        <w:t>ITU</w:t>
      </w:r>
      <w:r w:rsidRPr="00B85A96">
        <w:rPr>
          <w:rFonts w:ascii="Calibri" w:hAnsi="Calibri" w:cs="Calibri"/>
          <w:sz w:val="24"/>
          <w:szCs w:val="24"/>
          <w:lang w:val="fr-FR" w:eastAsia="zh-CN"/>
        </w:rPr>
        <w:t>-</w:t>
      </w:r>
      <w:r w:rsidRPr="00B85A96">
        <w:rPr>
          <w:rFonts w:ascii="Calibri" w:hAnsi="Calibri" w:cs="Calibri" w:hint="eastAsia"/>
          <w:sz w:val="24"/>
          <w:szCs w:val="24"/>
          <w:lang w:val="fr-FR" w:eastAsia="zh-CN"/>
        </w:rPr>
        <w:t>D</w:t>
      </w:r>
      <w:r w:rsidRPr="00B85A96">
        <w:rPr>
          <w:rFonts w:ascii="Calibri" w:hAnsi="Calibri" w:cs="Calibri" w:hint="eastAsia"/>
          <w:sz w:val="24"/>
          <w:szCs w:val="24"/>
          <w:lang w:val="fr-FR" w:eastAsia="zh-CN"/>
        </w:rPr>
        <w:t>伙伴关系和资源筹措战略目标</w:t>
      </w:r>
    </w:p>
    <w:p w14:paraId="57EF3897" w14:textId="72CD3388" w:rsidR="00EA68C4" w:rsidRPr="00B63FAC" w:rsidRDefault="004D7A76" w:rsidP="00937D4B">
      <w:pPr>
        <w:ind w:firstLineChars="200" w:firstLine="480"/>
        <w:rPr>
          <w:lang w:val="en-US" w:eastAsia="zh-CN"/>
        </w:rPr>
      </w:pPr>
      <w:r>
        <w:rPr>
          <w:rFonts w:hint="eastAsia"/>
          <w:lang w:val="en-US" w:eastAsia="zh-CN"/>
        </w:rPr>
        <w:t>根据</w:t>
      </w:r>
      <w:r w:rsidRPr="004D7A76">
        <w:rPr>
          <w:lang w:val="en-US" w:eastAsia="zh-CN"/>
        </w:rPr>
        <w:t>WTDC-17</w:t>
      </w:r>
      <w:r>
        <w:rPr>
          <w:rFonts w:hint="eastAsia"/>
          <w:lang w:val="en-US" w:eastAsia="zh-CN"/>
        </w:rPr>
        <w:t>的成果，</w:t>
      </w:r>
      <w:r w:rsidR="00EA68C4" w:rsidRPr="00B63FAC">
        <w:rPr>
          <w:rFonts w:hint="eastAsia"/>
          <w:lang w:val="en-US" w:eastAsia="zh-CN"/>
        </w:rPr>
        <w:t>目标是促进、发展和加强与来自发达国家和发展中国家的合作伙伴尽可能广泛的协作，加强资源筹措，落实促进可持续发展的项目和区域性举措。</w:t>
      </w:r>
    </w:p>
    <w:p w14:paraId="0F5AE07C" w14:textId="77777777" w:rsidR="00EA68C4" w:rsidRPr="00B63FAC" w:rsidRDefault="00EA68C4" w:rsidP="00EA68C4">
      <w:pPr>
        <w:pStyle w:val="Heading1"/>
        <w:ind w:left="0" w:firstLine="0"/>
        <w:rPr>
          <w:rFonts w:ascii="Calibri" w:hAnsi="Calibri" w:cs="Calibri"/>
          <w:sz w:val="24"/>
          <w:szCs w:val="24"/>
          <w:lang w:val="en-US" w:eastAsia="zh-CN"/>
        </w:rPr>
      </w:pPr>
      <w:r>
        <w:rPr>
          <w:rFonts w:ascii="Calibri" w:hAnsi="Calibri" w:cs="Calibri" w:hint="eastAsia"/>
          <w:sz w:val="24"/>
          <w:szCs w:val="24"/>
          <w:lang w:val="fr-FR" w:eastAsia="zh-CN"/>
        </w:rPr>
        <w:t>3</w:t>
      </w:r>
      <w:r>
        <w:rPr>
          <w:rFonts w:ascii="Calibri" w:hAnsi="Calibri" w:cs="Calibri"/>
          <w:sz w:val="24"/>
          <w:szCs w:val="24"/>
          <w:lang w:val="fr-FR" w:eastAsia="zh-CN"/>
        </w:rPr>
        <w:tab/>
      </w:r>
      <w:r w:rsidRPr="00B85A96">
        <w:rPr>
          <w:rFonts w:ascii="Calibri" w:hAnsi="Calibri" w:cs="Calibri" w:hint="eastAsia"/>
          <w:sz w:val="24"/>
          <w:szCs w:val="24"/>
          <w:lang w:val="fr-FR" w:eastAsia="zh-CN"/>
        </w:rPr>
        <w:t>伙伴关系和资源筹措成果</w:t>
      </w:r>
    </w:p>
    <w:p w14:paraId="709363A3" w14:textId="4BB177BA" w:rsidR="00EA68C4" w:rsidRPr="00E27869" w:rsidRDefault="00EA68C4" w:rsidP="00EA68C4">
      <w:pPr>
        <w:ind w:firstLineChars="200" w:firstLine="480"/>
        <w:rPr>
          <w:rFonts w:ascii="Calibri" w:hAnsi="Calibri" w:cs="Calibri"/>
          <w:b/>
          <w:color w:val="800000"/>
          <w:sz w:val="22"/>
          <w:lang w:eastAsia="zh-CN"/>
        </w:rPr>
      </w:pPr>
      <w:r>
        <w:rPr>
          <w:rFonts w:asciiTheme="minorEastAsia" w:hAnsiTheme="minorEastAsia" w:hint="eastAsia"/>
          <w:color w:val="333333"/>
          <w:lang w:eastAsia="zh-CN"/>
        </w:rPr>
        <w:t>由于国际电联成员和合作伙伴以及电信发展局外</w:t>
      </w:r>
      <w:r w:rsidRPr="006B3619">
        <w:rPr>
          <w:rFonts w:asciiTheme="minorEastAsia" w:hAnsiTheme="minorEastAsia" w:hint="eastAsia"/>
          <w:color w:val="333333"/>
          <w:lang w:eastAsia="zh-CN"/>
        </w:rPr>
        <w:t>地和总部工作人员的共同努力，这些协议得以缔结。</w:t>
      </w:r>
    </w:p>
    <w:p w14:paraId="3B5B99CE" w14:textId="5E7FADD3" w:rsidR="00EA68C4" w:rsidRPr="00022741" w:rsidRDefault="00EA68C4" w:rsidP="00EA68C4">
      <w:pPr>
        <w:pStyle w:val="Heading2"/>
        <w:rPr>
          <w:rFonts w:cs="Calibri"/>
          <w:szCs w:val="24"/>
          <w:lang w:val="en-US" w:eastAsia="zh-CN"/>
        </w:rPr>
      </w:pPr>
      <w:r>
        <w:rPr>
          <w:rFonts w:cs="Calibri" w:hint="eastAsia"/>
          <w:szCs w:val="24"/>
          <w:lang w:val="en-US" w:eastAsia="zh-CN"/>
        </w:rPr>
        <w:t>3.1</w:t>
      </w:r>
      <w:r>
        <w:rPr>
          <w:rFonts w:cs="Calibri"/>
          <w:szCs w:val="24"/>
          <w:lang w:val="en-US" w:eastAsia="zh-CN"/>
        </w:rPr>
        <w:tab/>
      </w:r>
      <w:r w:rsidR="00D567B4">
        <w:rPr>
          <w:rFonts w:hint="eastAsia"/>
          <w:szCs w:val="24"/>
          <w:lang w:eastAsia="zh-CN"/>
        </w:rPr>
        <w:t>2</w:t>
      </w:r>
      <w:r w:rsidR="00D567B4">
        <w:rPr>
          <w:szCs w:val="24"/>
          <w:lang w:eastAsia="zh-CN"/>
        </w:rPr>
        <w:t>021</w:t>
      </w:r>
      <w:r w:rsidR="00D567B4">
        <w:rPr>
          <w:rFonts w:hint="eastAsia"/>
          <w:szCs w:val="24"/>
          <w:lang w:eastAsia="zh-CN"/>
        </w:rPr>
        <w:t>年一季度签署的合作伙伴协议</w:t>
      </w:r>
    </w:p>
    <w:p w14:paraId="442852C5" w14:textId="6AC8FE96" w:rsidR="00EA68C4" w:rsidRDefault="003E4C5B" w:rsidP="00445780">
      <w:pPr>
        <w:snapToGrid w:val="0"/>
        <w:ind w:firstLineChars="200" w:firstLine="480"/>
        <w:rPr>
          <w:lang w:eastAsia="zh-CN"/>
        </w:rPr>
      </w:pPr>
      <w:r w:rsidRPr="003E4C5B">
        <w:rPr>
          <w:rFonts w:hint="eastAsia"/>
          <w:lang w:eastAsia="zh-CN"/>
        </w:rPr>
        <w:t>2021</w:t>
      </w:r>
      <w:r w:rsidRPr="003E4C5B">
        <w:rPr>
          <w:rFonts w:hint="eastAsia"/>
          <w:lang w:eastAsia="zh-CN"/>
        </w:rPr>
        <w:t>年一季度，</w:t>
      </w:r>
      <w:r w:rsidR="00D567B4">
        <w:rPr>
          <w:rFonts w:hint="eastAsia"/>
          <w:lang w:eastAsia="zh-CN"/>
        </w:rPr>
        <w:t>电信发展局</w:t>
      </w:r>
      <w:r w:rsidRPr="003E4C5B">
        <w:rPr>
          <w:rFonts w:hint="eastAsia"/>
          <w:lang w:eastAsia="zh-CN"/>
        </w:rPr>
        <w:t>与合作伙伴签署了</w:t>
      </w:r>
      <w:r w:rsidRPr="003E4C5B">
        <w:rPr>
          <w:rFonts w:hint="eastAsia"/>
          <w:lang w:eastAsia="zh-CN"/>
        </w:rPr>
        <w:t>19</w:t>
      </w:r>
      <w:r w:rsidRPr="003E4C5B">
        <w:rPr>
          <w:rFonts w:hint="eastAsia"/>
          <w:lang w:eastAsia="zh-CN"/>
        </w:rPr>
        <w:t>项协议，其中</w:t>
      </w:r>
      <w:r w:rsidRPr="003E4C5B">
        <w:rPr>
          <w:rFonts w:hint="eastAsia"/>
          <w:lang w:eastAsia="zh-CN"/>
        </w:rPr>
        <w:t>14</w:t>
      </w:r>
      <w:r w:rsidRPr="003E4C5B">
        <w:rPr>
          <w:rFonts w:hint="eastAsia"/>
          <w:lang w:eastAsia="zh-CN"/>
        </w:rPr>
        <w:t>项协议</w:t>
      </w:r>
      <w:r w:rsidR="00D567B4">
        <w:rPr>
          <w:rFonts w:hint="eastAsia"/>
          <w:lang w:eastAsia="zh-CN"/>
        </w:rPr>
        <w:t>涉及</w:t>
      </w:r>
      <w:r w:rsidRPr="003E4C5B">
        <w:rPr>
          <w:rFonts w:hint="eastAsia"/>
          <w:lang w:eastAsia="zh-CN"/>
        </w:rPr>
        <w:t>的</w:t>
      </w:r>
      <w:r w:rsidR="00D567B4">
        <w:rPr>
          <w:rFonts w:hint="eastAsia"/>
          <w:lang w:eastAsia="zh-CN"/>
        </w:rPr>
        <w:t>财务</w:t>
      </w:r>
      <w:r w:rsidRPr="003E4C5B">
        <w:rPr>
          <w:rFonts w:hint="eastAsia"/>
          <w:lang w:eastAsia="zh-CN"/>
        </w:rPr>
        <w:t>捐款约为</w:t>
      </w:r>
      <w:r w:rsidRPr="003E4C5B">
        <w:rPr>
          <w:rFonts w:hint="eastAsia"/>
          <w:lang w:eastAsia="zh-CN"/>
        </w:rPr>
        <w:t>640</w:t>
      </w:r>
      <w:r w:rsidRPr="003E4C5B">
        <w:rPr>
          <w:rFonts w:hint="eastAsia"/>
          <w:lang w:eastAsia="zh-CN"/>
        </w:rPr>
        <w:t>万美元。这些协定的清单见</w:t>
      </w:r>
      <w:hyperlink r:id="rId10" w:history="1">
        <w:r w:rsidR="00D567B4" w:rsidRPr="00F83CD5">
          <w:rPr>
            <w:rStyle w:val="Hyperlink"/>
            <w:rFonts w:ascii="Calibri" w:hAnsi="Calibri"/>
            <w:b/>
            <w:bCs/>
            <w:lang w:eastAsia="zh-CN"/>
          </w:rPr>
          <w:t>INF/2</w:t>
        </w:r>
        <w:r w:rsidR="00D567B4" w:rsidRPr="00F83CD5">
          <w:rPr>
            <w:rStyle w:val="Hyperlink"/>
            <w:rFonts w:ascii="Calibri" w:hAnsi="Calibri"/>
            <w:b/>
            <w:bCs/>
            <w:lang w:eastAsia="zh-CN"/>
          </w:rPr>
          <w:t>号文件</w:t>
        </w:r>
      </w:hyperlink>
      <w:r w:rsidR="00D567B4">
        <w:rPr>
          <w:rFonts w:hint="eastAsia"/>
          <w:lang w:eastAsia="zh-CN"/>
        </w:rPr>
        <w:t>。</w:t>
      </w:r>
    </w:p>
    <w:p w14:paraId="59FC2EB9" w14:textId="217E6E0D" w:rsidR="00EA68C4" w:rsidRPr="00E27869" w:rsidRDefault="00EA68C4" w:rsidP="00CB324E">
      <w:pPr>
        <w:snapToGrid w:val="0"/>
        <w:ind w:firstLineChars="200" w:firstLine="480"/>
        <w:rPr>
          <w:rFonts w:ascii="Calibri" w:hAnsi="Calibri" w:cs="Calibri"/>
          <w:b/>
          <w:color w:val="800000"/>
          <w:sz w:val="22"/>
          <w:lang w:val="en-US" w:eastAsia="zh-CN"/>
        </w:rPr>
      </w:pPr>
      <w:r w:rsidRPr="002D55E1">
        <w:rPr>
          <w:rFonts w:hint="eastAsia"/>
          <w:lang w:val="en-US" w:eastAsia="zh-CN"/>
        </w:rPr>
        <w:t>下</w:t>
      </w:r>
      <w:r>
        <w:rPr>
          <w:rFonts w:hint="eastAsia"/>
          <w:lang w:val="en-US" w:eastAsia="zh-CN"/>
        </w:rPr>
        <w:t>图展示</w:t>
      </w:r>
      <w:r w:rsidRPr="002D55E1">
        <w:rPr>
          <w:rFonts w:hint="eastAsia"/>
          <w:lang w:val="en-US" w:eastAsia="zh-CN"/>
        </w:rPr>
        <w:t>了</w:t>
      </w:r>
      <w:r w:rsidR="00D567B4" w:rsidRPr="003E4C5B">
        <w:rPr>
          <w:rFonts w:hint="eastAsia"/>
          <w:lang w:eastAsia="zh-CN"/>
        </w:rPr>
        <w:t>2021</w:t>
      </w:r>
      <w:r w:rsidR="00D567B4" w:rsidRPr="003E4C5B">
        <w:rPr>
          <w:rFonts w:hint="eastAsia"/>
          <w:lang w:eastAsia="zh-CN"/>
        </w:rPr>
        <w:t>年一季度</w:t>
      </w:r>
      <w:r w:rsidRPr="002D55E1">
        <w:rPr>
          <w:rFonts w:hint="eastAsia"/>
          <w:lang w:val="en-US" w:eastAsia="zh-CN"/>
        </w:rPr>
        <w:t>电信发展局与合作伙伴之间共同</w:t>
      </w:r>
      <w:r>
        <w:rPr>
          <w:rFonts w:hint="eastAsia"/>
          <w:lang w:val="en-US" w:eastAsia="zh-CN"/>
        </w:rPr>
        <w:t>出资</w:t>
      </w:r>
      <w:r w:rsidRPr="002D55E1">
        <w:rPr>
          <w:rFonts w:hint="eastAsia"/>
          <w:lang w:val="en-US" w:eastAsia="zh-CN"/>
        </w:rPr>
        <w:t>安排的</w:t>
      </w:r>
      <w:r>
        <w:rPr>
          <w:rFonts w:hint="eastAsia"/>
          <w:lang w:val="en-US" w:eastAsia="zh-CN"/>
        </w:rPr>
        <w:t>构成</w:t>
      </w:r>
      <w:r w:rsidRPr="002D55E1">
        <w:rPr>
          <w:rFonts w:hint="eastAsia"/>
          <w:lang w:val="en-US" w:eastAsia="zh-CN"/>
        </w:rPr>
        <w:t>。</w:t>
      </w:r>
    </w:p>
    <w:p w14:paraId="3A996346" w14:textId="18FC3C13" w:rsidR="00EA68C4" w:rsidRPr="00022741" w:rsidRDefault="006C53DC" w:rsidP="00F83CD5">
      <w:pPr>
        <w:pStyle w:val="Figuretitle"/>
        <w:keepNext/>
        <w:spacing w:before="240" w:after="240"/>
        <w:rPr>
          <w:rFonts w:cs="Calibri"/>
          <w:b w:val="0"/>
          <w:bCs/>
          <w:szCs w:val="24"/>
          <w:lang w:val="en-US" w:eastAsia="zh-CN"/>
        </w:rPr>
      </w:pPr>
      <w:r w:rsidRPr="00F4204D">
        <w:rPr>
          <w:rFonts w:cs="Calibri" w:hint="eastAsia"/>
          <w:bCs/>
          <w:szCs w:val="24"/>
          <w:lang w:val="en-US" w:eastAsia="zh-CN"/>
        </w:rPr>
        <w:t>已签署</w:t>
      </w:r>
      <w:r>
        <w:rPr>
          <w:rFonts w:cs="Calibri" w:hint="eastAsia"/>
          <w:bCs/>
          <w:szCs w:val="24"/>
          <w:lang w:val="en-US" w:eastAsia="zh-CN"/>
        </w:rPr>
        <w:t>的包含</w:t>
      </w:r>
      <w:r w:rsidR="00F4204D">
        <w:rPr>
          <w:rFonts w:cs="Calibri" w:hint="eastAsia"/>
          <w:bCs/>
          <w:szCs w:val="24"/>
          <w:lang w:val="en-US" w:eastAsia="zh-CN"/>
        </w:rPr>
        <w:t>财务</w:t>
      </w:r>
      <w:r>
        <w:rPr>
          <w:rFonts w:cs="Calibri" w:hint="eastAsia"/>
          <w:bCs/>
          <w:szCs w:val="24"/>
          <w:lang w:val="en-US" w:eastAsia="zh-CN"/>
        </w:rPr>
        <w:t>捐款</w:t>
      </w:r>
      <w:r w:rsidR="00F4204D" w:rsidRPr="00F4204D">
        <w:rPr>
          <w:rFonts w:cs="Calibri" w:hint="eastAsia"/>
          <w:bCs/>
          <w:szCs w:val="24"/>
          <w:lang w:val="en-US" w:eastAsia="zh-CN"/>
        </w:rPr>
        <w:t>的伙伴关系</w:t>
      </w:r>
      <w:r w:rsidR="00F4204D">
        <w:rPr>
          <w:rFonts w:cs="Calibri" w:hint="eastAsia"/>
          <w:bCs/>
          <w:szCs w:val="24"/>
          <w:lang w:val="en-US" w:eastAsia="zh-CN"/>
        </w:rPr>
        <w:t>协议（</w:t>
      </w:r>
      <w:r w:rsidR="00F4204D" w:rsidRPr="00F4204D">
        <w:rPr>
          <w:rFonts w:cs="Calibri" w:hint="eastAsia"/>
          <w:bCs/>
          <w:szCs w:val="24"/>
          <w:lang w:val="en-US" w:eastAsia="zh-CN"/>
        </w:rPr>
        <w:t>2021</w:t>
      </w:r>
      <w:r w:rsidR="00F4204D">
        <w:rPr>
          <w:rFonts w:cs="Calibri" w:hint="eastAsia"/>
          <w:bCs/>
          <w:szCs w:val="24"/>
          <w:lang w:val="en-US" w:eastAsia="zh-CN"/>
        </w:rPr>
        <w:t>年一季度）</w:t>
      </w:r>
    </w:p>
    <w:p w14:paraId="298235C5" w14:textId="6EE94351" w:rsidR="00EA68C4" w:rsidRPr="007F4254" w:rsidRDefault="00F83CD5" w:rsidP="007F4254">
      <w:pPr>
        <w:pStyle w:val="Figure"/>
        <w:rPr>
          <w:noProof w:val="0"/>
          <w:lang w:val="fr-FR"/>
        </w:rPr>
      </w:pPr>
      <w:r w:rsidRPr="007F4254">
        <w:rPr>
          <w:noProof w:val="0"/>
          <w:lang w:val="fr-FR"/>
        </w:rPr>
        <w:drawing>
          <wp:inline distT="0" distB="0" distL="0" distR="0" wp14:anchorId="05C86042" wp14:editId="25212133">
            <wp:extent cx="3709987" cy="2303463"/>
            <wp:effectExtent l="0" t="0" r="5080" b="1905"/>
            <wp:docPr id="4" name="Chart 4">
              <a:extLst xmlns:a="http://schemas.openxmlformats.org/drawingml/2006/main">
                <a:ext uri="{FF2B5EF4-FFF2-40B4-BE49-F238E27FC236}">
                  <a16:creationId xmlns:a16="http://schemas.microsoft.com/office/drawing/2014/main" id="{25A61C04-B51A-4319-AD49-D7C736883B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558908" w14:textId="1900FE31" w:rsidR="00EA68C4" w:rsidRPr="00D1570B" w:rsidRDefault="003E4C5B" w:rsidP="00280F17">
      <w:pPr>
        <w:spacing w:before="240" w:after="240"/>
        <w:ind w:firstLineChars="200" w:firstLine="480"/>
        <w:rPr>
          <w:lang w:val="en-US" w:eastAsia="zh-CN"/>
        </w:rPr>
      </w:pPr>
      <w:r w:rsidRPr="003E4C5B">
        <w:rPr>
          <w:rFonts w:hint="eastAsia"/>
          <w:lang w:val="en-US" w:eastAsia="zh-CN"/>
        </w:rPr>
        <w:t>2021</w:t>
      </w:r>
      <w:r w:rsidRPr="003E4C5B">
        <w:rPr>
          <w:rFonts w:hint="eastAsia"/>
          <w:lang w:val="en-US" w:eastAsia="zh-CN"/>
        </w:rPr>
        <w:t>年一季度，</w:t>
      </w:r>
      <w:r w:rsidR="00F4204D">
        <w:rPr>
          <w:rFonts w:hint="eastAsia"/>
          <w:lang w:val="en-US" w:eastAsia="zh-CN"/>
        </w:rPr>
        <w:t>电信发展局</w:t>
      </w:r>
      <w:r w:rsidRPr="003E4C5B">
        <w:rPr>
          <w:rFonts w:hint="eastAsia"/>
          <w:lang w:val="en-US" w:eastAsia="zh-CN"/>
        </w:rPr>
        <w:t>的供资伙伴主要是国际电联成员国和其他政府实体，其次是联合国组织和私营部门实体，具体如下</w:t>
      </w:r>
      <w:r w:rsidR="00F4204D">
        <w:rPr>
          <w:rFonts w:hint="eastAsia"/>
          <w:lang w:val="en-US" w:eastAsia="zh-CN"/>
        </w:rPr>
        <w:t>：</w:t>
      </w:r>
    </w:p>
    <w:p w14:paraId="0376AFCF" w14:textId="76BABE61" w:rsidR="00EA68C4" w:rsidRPr="007F4254" w:rsidRDefault="000D42AF" w:rsidP="007F4254">
      <w:pPr>
        <w:pStyle w:val="Figure"/>
        <w:rPr>
          <w:noProof w:val="0"/>
          <w:lang w:val="fr-FR"/>
        </w:rPr>
      </w:pPr>
      <w:r w:rsidRPr="007F4254">
        <w:rPr>
          <w:noProof w:val="0"/>
          <w:lang w:val="fr-FR"/>
        </w:rPr>
        <w:lastRenderedPageBreak/>
        <w:drawing>
          <wp:inline distT="0" distB="0" distL="0" distR="0" wp14:anchorId="752688C5" wp14:editId="7D55334A">
            <wp:extent cx="5781674" cy="2981643"/>
            <wp:effectExtent l="0" t="0" r="10160" b="9525"/>
            <wp:docPr id="5" name="Chart 5">
              <a:extLst xmlns:a="http://schemas.openxmlformats.org/drawingml/2006/main">
                <a:ext uri="{FF2B5EF4-FFF2-40B4-BE49-F238E27FC236}">
                  <a16:creationId xmlns:a16="http://schemas.microsoft.com/office/drawing/2014/main" id="{A06E3F62-B97D-4FB7-8F78-9881DD54E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4338A4" w14:textId="2DCA8804" w:rsidR="00EA68C4" w:rsidRPr="00D30454" w:rsidRDefault="003E4C5B" w:rsidP="004007CC">
      <w:pPr>
        <w:spacing w:before="360"/>
        <w:rPr>
          <w:lang w:val="en-US" w:eastAsia="zh-CN"/>
        </w:rPr>
      </w:pPr>
      <w:r w:rsidRPr="003E4C5B">
        <w:rPr>
          <w:rFonts w:hint="eastAsia"/>
          <w:lang w:val="en-US" w:eastAsia="zh-CN"/>
        </w:rPr>
        <w:t>2021</w:t>
      </w:r>
      <w:r w:rsidRPr="003E4C5B">
        <w:rPr>
          <w:rFonts w:hint="eastAsia"/>
          <w:lang w:val="en-US" w:eastAsia="zh-CN"/>
        </w:rPr>
        <w:t>年一季度捐款最多的三个供资伙伴是</w:t>
      </w:r>
      <w:r w:rsidR="00F4204D">
        <w:rPr>
          <w:rFonts w:hint="eastAsia"/>
          <w:lang w:val="en-US" w:eastAsia="zh-CN"/>
        </w:rPr>
        <w:t>：</w:t>
      </w:r>
    </w:p>
    <w:p w14:paraId="5CE0DE5E" w14:textId="55D9CACF" w:rsidR="00EA68C4" w:rsidRPr="00D30454" w:rsidRDefault="00C90297" w:rsidP="00C90297">
      <w:pPr>
        <w:pStyle w:val="enumlev1"/>
        <w:rPr>
          <w:lang w:eastAsia="zh-CN"/>
        </w:rPr>
      </w:pPr>
      <w:r w:rsidRPr="00C90297">
        <w:rPr>
          <w:lang w:eastAsia="zh-CN"/>
        </w:rPr>
        <w:t>–</w:t>
      </w:r>
      <w:r>
        <w:rPr>
          <w:lang w:eastAsia="zh-CN"/>
        </w:rPr>
        <w:tab/>
      </w:r>
      <w:r w:rsidR="003E4C5B" w:rsidRPr="00F4204D">
        <w:rPr>
          <w:rFonts w:hint="eastAsia"/>
          <w:b/>
          <w:bCs/>
          <w:lang w:eastAsia="zh-CN"/>
        </w:rPr>
        <w:t>中华人民共和国工业和信息化部</w:t>
      </w:r>
      <w:r w:rsidR="00F4204D" w:rsidRPr="00F4204D">
        <w:rPr>
          <w:rFonts w:hint="eastAsia"/>
          <w:b/>
          <w:bCs/>
          <w:lang w:eastAsia="zh-CN"/>
        </w:rPr>
        <w:t>（</w:t>
      </w:r>
      <w:r w:rsidR="003E4C5B" w:rsidRPr="00F4204D">
        <w:rPr>
          <w:rFonts w:hint="eastAsia"/>
          <w:b/>
          <w:bCs/>
          <w:lang w:eastAsia="zh-CN"/>
        </w:rPr>
        <w:t>MIIT</w:t>
      </w:r>
      <w:r w:rsidR="00F4204D" w:rsidRPr="00F4204D">
        <w:rPr>
          <w:rFonts w:hint="eastAsia"/>
          <w:b/>
          <w:bCs/>
          <w:lang w:eastAsia="zh-CN"/>
        </w:rPr>
        <w:t>）</w:t>
      </w:r>
      <w:r w:rsidR="003E4C5B" w:rsidRPr="003E4C5B">
        <w:rPr>
          <w:rFonts w:hint="eastAsia"/>
          <w:lang w:eastAsia="zh-CN"/>
        </w:rPr>
        <w:t>，</w:t>
      </w:r>
      <w:r w:rsidR="006C53DC">
        <w:rPr>
          <w:rFonts w:cstheme="minorHAnsi" w:hint="eastAsia"/>
          <w:szCs w:val="24"/>
          <w:lang w:eastAsia="zh-CN"/>
        </w:rPr>
        <w:t>签约出资金额</w:t>
      </w:r>
      <w:r w:rsidR="003E4C5B" w:rsidRPr="003E4C5B">
        <w:rPr>
          <w:rFonts w:hint="eastAsia"/>
          <w:lang w:eastAsia="zh-CN"/>
        </w:rPr>
        <w:t>约</w:t>
      </w:r>
      <w:r w:rsidR="003E4C5B" w:rsidRPr="00F4204D">
        <w:rPr>
          <w:rFonts w:hint="eastAsia"/>
          <w:b/>
          <w:bCs/>
          <w:lang w:eastAsia="zh-CN"/>
        </w:rPr>
        <w:t>180</w:t>
      </w:r>
      <w:r w:rsidR="003E4C5B" w:rsidRPr="00F4204D">
        <w:rPr>
          <w:rFonts w:hint="eastAsia"/>
          <w:b/>
          <w:bCs/>
          <w:lang w:eastAsia="zh-CN"/>
        </w:rPr>
        <w:t>万美元</w:t>
      </w:r>
      <w:r w:rsidR="00F4204D">
        <w:rPr>
          <w:rFonts w:hint="eastAsia"/>
          <w:lang w:eastAsia="zh-CN"/>
        </w:rPr>
        <w:t>。</w:t>
      </w:r>
    </w:p>
    <w:p w14:paraId="39BFA07A" w14:textId="40D1305F" w:rsidR="00EA68C4" w:rsidRPr="00D30454" w:rsidRDefault="00C90297" w:rsidP="00C90297">
      <w:pPr>
        <w:pStyle w:val="enumlev1"/>
        <w:rPr>
          <w:rFonts w:cstheme="minorHAnsi"/>
          <w:szCs w:val="24"/>
          <w:lang w:eastAsia="zh-CN"/>
        </w:rPr>
      </w:pPr>
      <w:r w:rsidRPr="00C90297">
        <w:rPr>
          <w:lang w:eastAsia="zh-CN"/>
        </w:rPr>
        <w:t>–</w:t>
      </w:r>
      <w:r>
        <w:rPr>
          <w:lang w:eastAsia="zh-CN"/>
        </w:rPr>
        <w:tab/>
      </w:r>
      <w:r w:rsidR="00F4204D">
        <w:rPr>
          <w:rFonts w:cstheme="minorHAnsi" w:hint="eastAsia"/>
          <w:szCs w:val="24"/>
          <w:lang w:eastAsia="zh-CN"/>
        </w:rPr>
        <w:t>英国</w:t>
      </w:r>
      <w:r w:rsidR="00F4204D" w:rsidRPr="003E4C5B">
        <w:rPr>
          <w:rFonts w:cstheme="minorHAnsi" w:hint="eastAsia"/>
          <w:szCs w:val="24"/>
          <w:lang w:eastAsia="zh-CN"/>
        </w:rPr>
        <w:t>外交、联邦和发展部</w:t>
      </w:r>
      <w:r w:rsidR="00F4204D">
        <w:rPr>
          <w:rFonts w:cstheme="minorHAnsi" w:hint="eastAsia"/>
          <w:szCs w:val="24"/>
          <w:lang w:eastAsia="zh-CN"/>
        </w:rPr>
        <w:t>代表</w:t>
      </w:r>
      <w:r w:rsidR="003E4C5B" w:rsidRPr="003E4C5B">
        <w:rPr>
          <w:rFonts w:cstheme="minorHAnsi" w:hint="eastAsia"/>
          <w:szCs w:val="24"/>
          <w:lang w:eastAsia="zh-CN"/>
        </w:rPr>
        <w:t>大</w:t>
      </w:r>
      <w:r w:rsidR="003E4C5B" w:rsidRPr="00F4204D">
        <w:rPr>
          <w:rFonts w:cstheme="minorHAnsi" w:hint="eastAsia"/>
          <w:b/>
          <w:bCs/>
          <w:szCs w:val="24"/>
          <w:lang w:eastAsia="zh-CN"/>
        </w:rPr>
        <w:t>不列颠及北爱尔兰联合王国政府</w:t>
      </w:r>
      <w:r w:rsidR="003E4C5B" w:rsidRPr="003E4C5B">
        <w:rPr>
          <w:rFonts w:cstheme="minorHAnsi" w:hint="eastAsia"/>
          <w:szCs w:val="24"/>
          <w:lang w:eastAsia="zh-CN"/>
        </w:rPr>
        <w:t>，</w:t>
      </w:r>
      <w:r w:rsidR="006C53DC">
        <w:rPr>
          <w:rFonts w:cstheme="minorHAnsi" w:hint="eastAsia"/>
          <w:szCs w:val="24"/>
          <w:lang w:eastAsia="zh-CN"/>
        </w:rPr>
        <w:t>签约出资金额</w:t>
      </w:r>
      <w:r w:rsidR="003E4C5B" w:rsidRPr="003E4C5B">
        <w:rPr>
          <w:rFonts w:cstheme="minorHAnsi" w:hint="eastAsia"/>
          <w:szCs w:val="24"/>
          <w:lang w:eastAsia="zh-CN"/>
        </w:rPr>
        <w:t>约</w:t>
      </w:r>
      <w:r w:rsidR="003E4C5B" w:rsidRPr="00F4204D">
        <w:rPr>
          <w:rFonts w:cstheme="minorHAnsi" w:hint="eastAsia"/>
          <w:b/>
          <w:bCs/>
          <w:szCs w:val="24"/>
          <w:lang w:eastAsia="zh-CN"/>
        </w:rPr>
        <w:t>140</w:t>
      </w:r>
      <w:r w:rsidR="003E4C5B" w:rsidRPr="00F4204D">
        <w:rPr>
          <w:rFonts w:cstheme="minorHAnsi" w:hint="eastAsia"/>
          <w:b/>
          <w:bCs/>
          <w:szCs w:val="24"/>
          <w:lang w:eastAsia="zh-CN"/>
        </w:rPr>
        <w:t>万美元</w:t>
      </w:r>
      <w:r w:rsidR="00F4204D">
        <w:rPr>
          <w:rFonts w:cstheme="minorHAnsi" w:hint="eastAsia"/>
          <w:szCs w:val="24"/>
          <w:lang w:eastAsia="zh-CN"/>
        </w:rPr>
        <w:t>。</w:t>
      </w:r>
    </w:p>
    <w:p w14:paraId="077C4A7B" w14:textId="1353BC8F" w:rsidR="00EA68C4" w:rsidRPr="00D30454" w:rsidRDefault="00C90297" w:rsidP="00C90297">
      <w:pPr>
        <w:pStyle w:val="enumlev1"/>
        <w:rPr>
          <w:rFonts w:cstheme="minorHAnsi"/>
          <w:szCs w:val="24"/>
          <w:lang w:eastAsia="zh-CN"/>
        </w:rPr>
      </w:pPr>
      <w:r w:rsidRPr="00C90297">
        <w:rPr>
          <w:lang w:eastAsia="zh-CN"/>
        </w:rPr>
        <w:t>–</w:t>
      </w:r>
      <w:r>
        <w:rPr>
          <w:lang w:eastAsia="zh-CN"/>
        </w:rPr>
        <w:tab/>
      </w:r>
      <w:r w:rsidR="003E4C5B" w:rsidRPr="00F4204D">
        <w:rPr>
          <w:rFonts w:cstheme="minorHAnsi" w:hint="eastAsia"/>
          <w:b/>
          <w:bCs/>
          <w:szCs w:val="24"/>
          <w:lang w:eastAsia="zh-CN"/>
        </w:rPr>
        <w:t>沙特阿拉伯</w:t>
      </w:r>
      <w:r w:rsidR="00B640CD" w:rsidRPr="00B640CD">
        <w:rPr>
          <w:rFonts w:cstheme="minorHAnsi" w:hint="eastAsia"/>
          <w:b/>
          <w:bCs/>
          <w:szCs w:val="24"/>
          <w:lang w:eastAsia="zh-CN"/>
        </w:rPr>
        <w:t>萨勒曼</w:t>
      </w:r>
      <w:r w:rsidR="003E4C5B" w:rsidRPr="00F4204D">
        <w:rPr>
          <w:rFonts w:cstheme="minorHAnsi" w:hint="eastAsia"/>
          <w:b/>
          <w:bCs/>
          <w:szCs w:val="24"/>
          <w:lang w:eastAsia="zh-CN"/>
        </w:rPr>
        <w:t>国王人道主义援助与救济中心</w:t>
      </w:r>
      <w:r w:rsidR="003E4C5B" w:rsidRPr="003E4C5B">
        <w:rPr>
          <w:rFonts w:cstheme="minorHAnsi" w:hint="eastAsia"/>
          <w:szCs w:val="24"/>
          <w:lang w:eastAsia="zh-CN"/>
        </w:rPr>
        <w:t>，</w:t>
      </w:r>
      <w:r w:rsidR="006C53DC">
        <w:rPr>
          <w:rFonts w:cstheme="minorHAnsi" w:hint="eastAsia"/>
          <w:szCs w:val="24"/>
          <w:lang w:eastAsia="zh-CN"/>
        </w:rPr>
        <w:t>签约出资金额</w:t>
      </w:r>
      <w:r w:rsidR="003E4C5B" w:rsidRPr="003E4C5B">
        <w:rPr>
          <w:rFonts w:cstheme="minorHAnsi" w:hint="eastAsia"/>
          <w:szCs w:val="24"/>
          <w:lang w:eastAsia="zh-CN"/>
        </w:rPr>
        <w:t>约</w:t>
      </w:r>
      <w:r w:rsidR="00B640CD" w:rsidRPr="00286CD9">
        <w:rPr>
          <w:rFonts w:cstheme="minorHAnsi"/>
          <w:b/>
          <w:szCs w:val="24"/>
          <w:lang w:eastAsia="zh-CN"/>
        </w:rPr>
        <w:t>562</w:t>
      </w:r>
      <w:r w:rsidR="00E87334">
        <w:rPr>
          <w:rFonts w:cstheme="minorHAnsi"/>
          <w:b/>
          <w:szCs w:val="24"/>
          <w:lang w:eastAsia="zh-CN"/>
        </w:rPr>
        <w:t xml:space="preserve"> </w:t>
      </w:r>
      <w:r w:rsidR="00B640CD" w:rsidRPr="00286CD9">
        <w:rPr>
          <w:rFonts w:cstheme="minorHAnsi"/>
          <w:b/>
          <w:szCs w:val="24"/>
          <w:lang w:eastAsia="zh-CN"/>
        </w:rPr>
        <w:t>500</w:t>
      </w:r>
      <w:r w:rsidR="003E4C5B" w:rsidRPr="00B640CD">
        <w:rPr>
          <w:rFonts w:cstheme="minorHAnsi" w:hint="eastAsia"/>
          <w:b/>
          <w:bCs/>
          <w:szCs w:val="24"/>
          <w:lang w:eastAsia="zh-CN"/>
        </w:rPr>
        <w:t>美元</w:t>
      </w:r>
      <w:r w:rsidR="00B640CD">
        <w:rPr>
          <w:rFonts w:cstheme="minorHAnsi" w:hint="eastAsia"/>
          <w:szCs w:val="24"/>
          <w:lang w:eastAsia="zh-CN"/>
        </w:rPr>
        <w:t>。</w:t>
      </w:r>
    </w:p>
    <w:p w14:paraId="46420236" w14:textId="278BBB54" w:rsidR="00EA68C4" w:rsidRDefault="003E4C5B" w:rsidP="000B18E5">
      <w:pPr>
        <w:spacing w:after="240"/>
        <w:ind w:firstLineChars="200" w:firstLine="480"/>
        <w:rPr>
          <w:rFonts w:cstheme="minorHAnsi"/>
          <w:lang w:eastAsia="zh-CN"/>
        </w:rPr>
      </w:pPr>
      <w:r w:rsidRPr="003E4C5B">
        <w:rPr>
          <w:rFonts w:hint="eastAsia"/>
          <w:lang w:eastAsia="zh-CN"/>
        </w:rPr>
        <w:t>下图显示了已签署协议的</w:t>
      </w:r>
      <w:r w:rsidR="00F4204D">
        <w:rPr>
          <w:rFonts w:hint="eastAsia"/>
          <w:lang w:eastAsia="zh-CN"/>
        </w:rPr>
        <w:t>财务捐款</w:t>
      </w:r>
      <w:r w:rsidRPr="003E4C5B">
        <w:rPr>
          <w:rFonts w:hint="eastAsia"/>
          <w:lang w:eastAsia="zh-CN"/>
        </w:rPr>
        <w:t>在</w:t>
      </w:r>
      <w:r w:rsidR="009E2FDC">
        <w:rPr>
          <w:rFonts w:hint="eastAsia"/>
          <w:lang w:eastAsia="zh-CN"/>
        </w:rPr>
        <w:t>各</w:t>
      </w:r>
      <w:r w:rsidRPr="003E4C5B">
        <w:rPr>
          <w:rFonts w:hint="eastAsia"/>
          <w:lang w:eastAsia="zh-CN"/>
        </w:rPr>
        <w:t>地区和</w:t>
      </w:r>
      <w:r w:rsidR="009E2FDC">
        <w:rPr>
          <w:rFonts w:hint="eastAsia"/>
          <w:lang w:eastAsia="zh-CN"/>
        </w:rPr>
        <w:t>各</w:t>
      </w:r>
      <w:r w:rsidRPr="003E4C5B">
        <w:rPr>
          <w:rFonts w:hint="eastAsia"/>
          <w:lang w:eastAsia="zh-CN"/>
        </w:rPr>
        <w:t>专题</w:t>
      </w:r>
      <w:r w:rsidR="00B640CD">
        <w:rPr>
          <w:rFonts w:hint="eastAsia"/>
          <w:lang w:eastAsia="zh-CN"/>
        </w:rPr>
        <w:t>重点工作</w:t>
      </w:r>
      <w:r w:rsidRPr="003E4C5B">
        <w:rPr>
          <w:rFonts w:hint="eastAsia"/>
          <w:lang w:eastAsia="zh-CN"/>
        </w:rPr>
        <w:t>中的分配情况</w:t>
      </w:r>
      <w:r w:rsidR="00B640CD">
        <w:rPr>
          <w:rFonts w:hint="eastAsia"/>
          <w:lang w:eastAsia="zh-CN"/>
        </w:rPr>
        <w:t>。</w:t>
      </w:r>
    </w:p>
    <w:p w14:paraId="6D5BADED" w14:textId="7677B697" w:rsidR="00EA68C4" w:rsidRPr="007F4254" w:rsidRDefault="006C3ABF" w:rsidP="007F4254">
      <w:pPr>
        <w:pStyle w:val="Figure"/>
        <w:rPr>
          <w:noProof w:val="0"/>
          <w:lang w:val="fr-FR"/>
        </w:rPr>
      </w:pPr>
      <w:r w:rsidRPr="007F4254">
        <w:rPr>
          <w:noProof w:val="0"/>
          <w:lang w:val="fr-FR"/>
        </w:rPr>
        <w:drawing>
          <wp:inline distT="0" distB="0" distL="0" distR="0" wp14:anchorId="69A4BADC" wp14:editId="2D12B6AB">
            <wp:extent cx="4572000" cy="2778125"/>
            <wp:effectExtent l="0" t="0" r="0" b="3175"/>
            <wp:docPr id="8" name="Chart 8">
              <a:extLst xmlns:a="http://schemas.openxmlformats.org/drawingml/2006/main">
                <a:ext uri="{FF2B5EF4-FFF2-40B4-BE49-F238E27FC236}">
                  <a16:creationId xmlns:a16="http://schemas.microsoft.com/office/drawing/2014/main" id="{2C5D5477-6AE3-472B-9EF5-0A01A1E3D3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C23334" w14:textId="5ED44440" w:rsidR="00EA68C4" w:rsidRPr="007F4254" w:rsidRDefault="006C3ABF" w:rsidP="007F4254">
      <w:pPr>
        <w:pStyle w:val="Figure"/>
        <w:rPr>
          <w:noProof w:val="0"/>
          <w:lang w:val="fr-FR"/>
        </w:rPr>
      </w:pPr>
      <w:r w:rsidRPr="007F4254">
        <w:rPr>
          <w:noProof w:val="0"/>
          <w:lang w:val="fr-FR"/>
        </w:rPr>
        <w:lastRenderedPageBreak/>
        <w:drawing>
          <wp:inline distT="0" distB="0" distL="0" distR="0" wp14:anchorId="104B3FD7" wp14:editId="34D82970">
            <wp:extent cx="5373764" cy="24085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89318-1.png"/>
                    <pic:cNvPicPr/>
                  </pic:nvPicPr>
                  <pic:blipFill rotWithShape="1">
                    <a:blip r:embed="rId14">
                      <a:extLst>
                        <a:ext uri="{28A0092B-C50C-407E-A947-70E740481C1C}">
                          <a14:useLocalDpi xmlns:a14="http://schemas.microsoft.com/office/drawing/2010/main" val="0"/>
                        </a:ext>
                      </a:extLst>
                    </a:blip>
                    <a:srcRect l="1437" t="11407" r="10736" b="18613"/>
                    <a:stretch/>
                  </pic:blipFill>
                  <pic:spPr bwMode="auto">
                    <a:xfrm>
                      <a:off x="0" y="0"/>
                      <a:ext cx="5375614" cy="2409384"/>
                    </a:xfrm>
                    <a:prstGeom prst="rect">
                      <a:avLst/>
                    </a:prstGeom>
                    <a:ln>
                      <a:noFill/>
                    </a:ln>
                    <a:extLst>
                      <a:ext uri="{53640926-AAD7-44D8-BBD7-CCE9431645EC}">
                        <a14:shadowObscured xmlns:a14="http://schemas.microsoft.com/office/drawing/2010/main"/>
                      </a:ext>
                    </a:extLst>
                  </pic:spPr>
                </pic:pic>
              </a:graphicData>
            </a:graphic>
          </wp:inline>
        </w:drawing>
      </w:r>
    </w:p>
    <w:p w14:paraId="51333385" w14:textId="1C3C3B94" w:rsidR="00EA68C4" w:rsidRPr="00022741" w:rsidRDefault="009F7011" w:rsidP="009F7011">
      <w:pPr>
        <w:pStyle w:val="Heading2"/>
        <w:rPr>
          <w:rFonts w:cs="Calibri"/>
          <w:szCs w:val="24"/>
          <w:lang w:val="en-US" w:eastAsia="zh-CN"/>
        </w:rPr>
      </w:pPr>
      <w:r>
        <w:rPr>
          <w:rFonts w:cs="Calibri" w:hint="eastAsia"/>
          <w:szCs w:val="24"/>
          <w:lang w:val="en-US" w:eastAsia="zh-CN"/>
        </w:rPr>
        <w:t>3.2</w:t>
      </w:r>
      <w:r>
        <w:rPr>
          <w:rFonts w:cs="Calibri"/>
          <w:szCs w:val="24"/>
          <w:lang w:val="en-US" w:eastAsia="zh-CN"/>
        </w:rPr>
        <w:tab/>
      </w:r>
      <w:r w:rsidR="009E2FDC">
        <w:rPr>
          <w:rFonts w:cs="Calibri"/>
          <w:szCs w:val="24"/>
          <w:lang w:val="en-US" w:eastAsia="zh-CN"/>
        </w:rPr>
        <w:t>2020</w:t>
      </w:r>
      <w:r w:rsidR="009E2FDC">
        <w:rPr>
          <w:rFonts w:cs="Calibri" w:hint="eastAsia"/>
          <w:szCs w:val="24"/>
          <w:lang w:val="en-US" w:eastAsia="zh-CN"/>
        </w:rPr>
        <w:t>年达成的合作伙伴协议</w:t>
      </w:r>
    </w:p>
    <w:p w14:paraId="344C6928" w14:textId="3F8F037A" w:rsidR="00EA68C4" w:rsidRPr="00022741" w:rsidRDefault="003E4C5B" w:rsidP="00705426">
      <w:pPr>
        <w:snapToGrid w:val="0"/>
        <w:ind w:firstLineChars="200" w:firstLine="480"/>
        <w:rPr>
          <w:szCs w:val="24"/>
          <w:lang w:val="en-US" w:eastAsia="zh-CN"/>
        </w:rPr>
      </w:pPr>
      <w:r w:rsidRPr="003E4C5B">
        <w:rPr>
          <w:rFonts w:hint="eastAsia"/>
          <w:szCs w:val="24"/>
          <w:lang w:eastAsia="zh-CN"/>
        </w:rPr>
        <w:t>2020</w:t>
      </w:r>
      <w:r w:rsidRPr="003E4C5B">
        <w:rPr>
          <w:rFonts w:hint="eastAsia"/>
          <w:szCs w:val="24"/>
          <w:lang w:eastAsia="zh-CN"/>
        </w:rPr>
        <w:t>年，</w:t>
      </w:r>
      <w:r w:rsidR="009E2FDC">
        <w:rPr>
          <w:rFonts w:hint="eastAsia"/>
          <w:szCs w:val="24"/>
          <w:lang w:eastAsia="zh-CN"/>
        </w:rPr>
        <w:t>电信发展局</w:t>
      </w:r>
      <w:r w:rsidRPr="003E4C5B">
        <w:rPr>
          <w:rFonts w:hint="eastAsia"/>
          <w:szCs w:val="24"/>
          <w:lang w:eastAsia="zh-CN"/>
        </w:rPr>
        <w:t>与合作伙伴签署了</w:t>
      </w:r>
      <w:r w:rsidRPr="003E4C5B">
        <w:rPr>
          <w:rFonts w:hint="eastAsia"/>
          <w:szCs w:val="24"/>
          <w:lang w:eastAsia="zh-CN"/>
        </w:rPr>
        <w:t>43</w:t>
      </w:r>
      <w:r w:rsidRPr="003E4C5B">
        <w:rPr>
          <w:rFonts w:hint="eastAsia"/>
          <w:szCs w:val="24"/>
          <w:lang w:eastAsia="zh-CN"/>
        </w:rPr>
        <w:t>项协议，其中</w:t>
      </w:r>
      <w:r w:rsidRPr="003E4C5B">
        <w:rPr>
          <w:rFonts w:hint="eastAsia"/>
          <w:szCs w:val="24"/>
          <w:lang w:eastAsia="zh-CN"/>
        </w:rPr>
        <w:t>28</w:t>
      </w:r>
      <w:r w:rsidRPr="003E4C5B">
        <w:rPr>
          <w:rFonts w:hint="eastAsia"/>
          <w:szCs w:val="24"/>
          <w:lang w:eastAsia="zh-CN"/>
        </w:rPr>
        <w:t>项协议的</w:t>
      </w:r>
      <w:r w:rsidR="00F4204D">
        <w:rPr>
          <w:rFonts w:hint="eastAsia"/>
          <w:szCs w:val="24"/>
          <w:lang w:eastAsia="zh-CN"/>
        </w:rPr>
        <w:t>财务捐款</w:t>
      </w:r>
      <w:r w:rsidRPr="003E4C5B">
        <w:rPr>
          <w:rFonts w:hint="eastAsia"/>
          <w:szCs w:val="24"/>
          <w:lang w:eastAsia="zh-CN"/>
        </w:rPr>
        <w:t>约为</w:t>
      </w:r>
      <w:r w:rsidRPr="003E4C5B">
        <w:rPr>
          <w:rFonts w:hint="eastAsia"/>
          <w:szCs w:val="24"/>
          <w:lang w:eastAsia="zh-CN"/>
        </w:rPr>
        <w:t>1520</w:t>
      </w:r>
      <w:r w:rsidRPr="003E4C5B">
        <w:rPr>
          <w:rFonts w:hint="eastAsia"/>
          <w:szCs w:val="24"/>
          <w:lang w:eastAsia="zh-CN"/>
        </w:rPr>
        <w:t>万美元。这些</w:t>
      </w:r>
      <w:r w:rsidR="009E2FDC">
        <w:rPr>
          <w:rFonts w:hint="eastAsia"/>
          <w:szCs w:val="24"/>
          <w:lang w:eastAsia="zh-CN"/>
        </w:rPr>
        <w:t>协议</w:t>
      </w:r>
      <w:r w:rsidRPr="003E4C5B">
        <w:rPr>
          <w:rFonts w:hint="eastAsia"/>
          <w:szCs w:val="24"/>
          <w:lang w:eastAsia="zh-CN"/>
        </w:rPr>
        <w:t>的清单见</w:t>
      </w:r>
      <w:hyperlink r:id="rId15" w:history="1">
        <w:r w:rsidR="009E2FDC">
          <w:rPr>
            <w:rStyle w:val="Hyperlink"/>
            <w:b/>
            <w:bCs/>
            <w:lang w:eastAsia="zh-CN"/>
          </w:rPr>
          <w:t>INF/2</w:t>
        </w:r>
        <w:r w:rsidR="009E2FDC">
          <w:rPr>
            <w:rStyle w:val="Hyperlink"/>
            <w:b/>
            <w:bCs/>
            <w:lang w:eastAsia="zh-CN"/>
          </w:rPr>
          <w:t>号文件</w:t>
        </w:r>
      </w:hyperlink>
      <w:r w:rsidR="009E2FDC">
        <w:rPr>
          <w:rFonts w:hint="eastAsia"/>
          <w:szCs w:val="24"/>
          <w:lang w:eastAsia="zh-CN"/>
        </w:rPr>
        <w:t>。</w:t>
      </w:r>
    </w:p>
    <w:p w14:paraId="726AF653" w14:textId="7B057C14" w:rsidR="00EA68C4" w:rsidRPr="00022741" w:rsidRDefault="009F7011" w:rsidP="00705426">
      <w:pPr>
        <w:snapToGrid w:val="0"/>
        <w:spacing w:after="240"/>
        <w:ind w:firstLineChars="200" w:firstLine="480"/>
        <w:rPr>
          <w:szCs w:val="24"/>
          <w:lang w:val="en-US" w:eastAsia="zh-CN"/>
        </w:rPr>
      </w:pPr>
      <w:r w:rsidRPr="002D55E1">
        <w:rPr>
          <w:rFonts w:hint="eastAsia"/>
          <w:lang w:val="en-US" w:eastAsia="zh-CN"/>
        </w:rPr>
        <w:t>下</w:t>
      </w:r>
      <w:r>
        <w:rPr>
          <w:rFonts w:hint="eastAsia"/>
          <w:lang w:val="en-US" w:eastAsia="zh-CN"/>
        </w:rPr>
        <w:t>图展示</w:t>
      </w:r>
      <w:r w:rsidRPr="002D55E1">
        <w:rPr>
          <w:rFonts w:hint="eastAsia"/>
          <w:lang w:val="en-US" w:eastAsia="zh-CN"/>
        </w:rPr>
        <w:t>了</w:t>
      </w:r>
      <w:r w:rsidR="004B24BD">
        <w:rPr>
          <w:rFonts w:hint="eastAsia"/>
          <w:lang w:val="en-US" w:eastAsia="zh-CN"/>
        </w:rPr>
        <w:t>2</w:t>
      </w:r>
      <w:r w:rsidR="004B24BD">
        <w:rPr>
          <w:lang w:val="en-US" w:eastAsia="zh-CN"/>
        </w:rPr>
        <w:t>020</w:t>
      </w:r>
      <w:r w:rsidR="004B24BD">
        <w:rPr>
          <w:rFonts w:hint="eastAsia"/>
          <w:lang w:val="en-US" w:eastAsia="zh-CN"/>
        </w:rPr>
        <w:t>年</w:t>
      </w:r>
      <w:bookmarkStart w:id="7" w:name="_GoBack"/>
      <w:bookmarkEnd w:id="7"/>
      <w:r w:rsidRPr="002D55E1">
        <w:rPr>
          <w:rFonts w:hint="eastAsia"/>
          <w:lang w:val="en-US" w:eastAsia="zh-CN"/>
        </w:rPr>
        <w:t>电信发展局与合作伙伴之间共同</w:t>
      </w:r>
      <w:r>
        <w:rPr>
          <w:rFonts w:hint="eastAsia"/>
          <w:lang w:val="en-US" w:eastAsia="zh-CN"/>
        </w:rPr>
        <w:t>出资</w:t>
      </w:r>
      <w:r w:rsidRPr="002D55E1">
        <w:rPr>
          <w:rFonts w:hint="eastAsia"/>
          <w:lang w:val="en-US" w:eastAsia="zh-CN"/>
        </w:rPr>
        <w:t>安排的</w:t>
      </w:r>
      <w:r>
        <w:rPr>
          <w:rFonts w:hint="eastAsia"/>
          <w:lang w:val="en-US" w:eastAsia="zh-CN"/>
        </w:rPr>
        <w:t>构成</w:t>
      </w:r>
      <w:r w:rsidRPr="002D55E1">
        <w:rPr>
          <w:rFonts w:hint="eastAsia"/>
          <w:lang w:val="en-US" w:eastAsia="zh-CN"/>
        </w:rPr>
        <w:t>。</w:t>
      </w:r>
    </w:p>
    <w:p w14:paraId="3B7DF365" w14:textId="1F0E06DE" w:rsidR="00EA68C4" w:rsidRPr="00022741" w:rsidRDefault="006C53DC" w:rsidP="00CB324E">
      <w:pPr>
        <w:keepNext/>
        <w:snapToGrid w:val="0"/>
        <w:spacing w:after="120"/>
        <w:jc w:val="center"/>
        <w:rPr>
          <w:rFonts w:cs="Calibri"/>
          <w:b/>
          <w:bCs/>
          <w:szCs w:val="24"/>
          <w:lang w:val="en-US" w:eastAsia="zh-CN"/>
        </w:rPr>
      </w:pPr>
      <w:r w:rsidRPr="00F4204D">
        <w:rPr>
          <w:rFonts w:cs="Calibri" w:hint="eastAsia"/>
          <w:b/>
          <w:bCs/>
          <w:szCs w:val="24"/>
          <w:lang w:val="en-US" w:eastAsia="zh-CN"/>
        </w:rPr>
        <w:t>已签署</w:t>
      </w:r>
      <w:r>
        <w:rPr>
          <w:rFonts w:cs="Calibri" w:hint="eastAsia"/>
          <w:b/>
          <w:bCs/>
          <w:szCs w:val="24"/>
          <w:lang w:val="en-US" w:eastAsia="zh-CN"/>
        </w:rPr>
        <w:t>的包含财务捐款</w:t>
      </w:r>
      <w:r w:rsidRPr="00F4204D">
        <w:rPr>
          <w:rFonts w:cs="Calibri" w:hint="eastAsia"/>
          <w:b/>
          <w:bCs/>
          <w:szCs w:val="24"/>
          <w:lang w:val="en-US" w:eastAsia="zh-CN"/>
        </w:rPr>
        <w:t>的伙伴关系</w:t>
      </w:r>
      <w:r>
        <w:rPr>
          <w:rFonts w:cs="Calibri" w:hint="eastAsia"/>
          <w:b/>
          <w:bCs/>
          <w:szCs w:val="24"/>
          <w:lang w:val="en-US" w:eastAsia="zh-CN"/>
        </w:rPr>
        <w:t>协议</w:t>
      </w:r>
      <w:r w:rsidR="009E2FDC">
        <w:rPr>
          <w:rFonts w:cs="Calibri" w:hint="eastAsia"/>
          <w:b/>
          <w:bCs/>
          <w:szCs w:val="24"/>
          <w:lang w:val="en-US" w:eastAsia="zh-CN"/>
        </w:rPr>
        <w:t>（</w:t>
      </w:r>
      <w:r w:rsidR="009E2FDC" w:rsidRPr="00F4204D">
        <w:rPr>
          <w:rFonts w:cs="Calibri" w:hint="eastAsia"/>
          <w:b/>
          <w:bCs/>
          <w:szCs w:val="24"/>
          <w:lang w:val="en-US" w:eastAsia="zh-CN"/>
        </w:rPr>
        <w:t>202</w:t>
      </w:r>
      <w:r w:rsidR="009E2FDC">
        <w:rPr>
          <w:rFonts w:cs="Calibri"/>
          <w:b/>
          <w:bCs/>
          <w:szCs w:val="24"/>
          <w:lang w:val="en-US" w:eastAsia="zh-CN"/>
        </w:rPr>
        <w:t>0</w:t>
      </w:r>
      <w:r w:rsidR="009E2FDC">
        <w:rPr>
          <w:rFonts w:cs="Calibri" w:hint="eastAsia"/>
          <w:b/>
          <w:bCs/>
          <w:szCs w:val="24"/>
          <w:lang w:val="en-US" w:eastAsia="zh-CN"/>
        </w:rPr>
        <w:t>年）</w:t>
      </w:r>
    </w:p>
    <w:p w14:paraId="69EF4D92" w14:textId="77777777" w:rsidR="00EA68C4" w:rsidRPr="007F4254" w:rsidRDefault="00EA68C4" w:rsidP="007F4254">
      <w:pPr>
        <w:pStyle w:val="Figure"/>
        <w:rPr>
          <w:noProof w:val="0"/>
          <w:lang w:val="fr-FR"/>
        </w:rPr>
      </w:pPr>
      <w:r w:rsidRPr="007F4254">
        <w:rPr>
          <w:noProof w:val="0"/>
          <w:lang w:val="fr-FR"/>
        </w:rPr>
        <w:drawing>
          <wp:inline distT="0" distB="0" distL="0" distR="0" wp14:anchorId="78D29D65" wp14:editId="1FED66F6">
            <wp:extent cx="4221801" cy="2220686"/>
            <wp:effectExtent l="0" t="0" r="7620" b="8255"/>
            <wp:docPr id="3" name="Chart 3">
              <a:extLst xmlns:a="http://schemas.openxmlformats.org/drawingml/2006/main">
                <a:ext uri="{FF2B5EF4-FFF2-40B4-BE49-F238E27FC236}">
                  <a16:creationId xmlns:a16="http://schemas.microsoft.com/office/drawing/2014/main" id="{14047D29-AC52-413B-AB62-49FBB0891F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7FB8C0" w14:textId="6C1B47BF" w:rsidR="00EA68C4" w:rsidRPr="00303BD0" w:rsidRDefault="003E4C5B" w:rsidP="00280F17">
      <w:pPr>
        <w:spacing w:before="240" w:after="240"/>
        <w:ind w:firstLineChars="200" w:firstLine="480"/>
        <w:rPr>
          <w:lang w:val="en-US" w:eastAsia="zh-CN"/>
        </w:rPr>
      </w:pPr>
      <w:r w:rsidRPr="003E4C5B">
        <w:rPr>
          <w:rFonts w:hint="eastAsia"/>
          <w:lang w:val="en-US" w:eastAsia="zh-CN"/>
        </w:rPr>
        <w:t>2020</w:t>
      </w:r>
      <w:r w:rsidRPr="003E4C5B">
        <w:rPr>
          <w:rFonts w:hint="eastAsia"/>
          <w:lang w:val="en-US" w:eastAsia="zh-CN"/>
        </w:rPr>
        <w:t>年，</w:t>
      </w:r>
      <w:r w:rsidR="009E2FDC">
        <w:rPr>
          <w:rFonts w:hint="eastAsia"/>
          <w:szCs w:val="24"/>
          <w:lang w:eastAsia="zh-CN"/>
        </w:rPr>
        <w:t>电信发展局</w:t>
      </w:r>
      <w:r w:rsidRPr="003E4C5B">
        <w:rPr>
          <w:rFonts w:hint="eastAsia"/>
          <w:lang w:val="en-US" w:eastAsia="zh-CN"/>
        </w:rPr>
        <w:t>的主要供资伙伴主要是国际电联成员国和其他政府实体，其次是国际和区域组织</w:t>
      </w:r>
      <w:r w:rsidR="005562CB">
        <w:rPr>
          <w:rFonts w:hint="eastAsia"/>
          <w:lang w:val="en-US" w:eastAsia="zh-CN"/>
        </w:rPr>
        <w:t>及</w:t>
      </w:r>
      <w:r w:rsidRPr="003E4C5B">
        <w:rPr>
          <w:rFonts w:hint="eastAsia"/>
          <w:lang w:val="en-US" w:eastAsia="zh-CN"/>
        </w:rPr>
        <w:t>协会、私营部门实体、联合国组织、基金会和学术</w:t>
      </w:r>
      <w:r w:rsidR="009E2FDC">
        <w:rPr>
          <w:rFonts w:hint="eastAsia"/>
          <w:lang w:val="en-US" w:eastAsia="zh-CN"/>
        </w:rPr>
        <w:t>成员。</w:t>
      </w:r>
    </w:p>
    <w:p w14:paraId="6ADF6800" w14:textId="1CE42307" w:rsidR="00EA68C4" w:rsidRPr="007F4254" w:rsidRDefault="00E20129" w:rsidP="007F4254">
      <w:pPr>
        <w:pStyle w:val="Figure"/>
        <w:rPr>
          <w:noProof w:val="0"/>
          <w:lang w:val="fr-FR"/>
        </w:rPr>
      </w:pPr>
      <w:r w:rsidRPr="007F4254">
        <w:rPr>
          <w:noProof w:val="0"/>
          <w:lang w:val="fr-FR"/>
        </w:rPr>
        <w:lastRenderedPageBreak/>
        <w:drawing>
          <wp:inline distT="0" distB="0" distL="0" distR="0" wp14:anchorId="77207C56" wp14:editId="3F807045">
            <wp:extent cx="6075363" cy="2778125"/>
            <wp:effectExtent l="0" t="0" r="1905" b="3175"/>
            <wp:docPr id="7" name="Chart 7">
              <a:extLst xmlns:a="http://schemas.openxmlformats.org/drawingml/2006/main">
                <a:ext uri="{FF2B5EF4-FFF2-40B4-BE49-F238E27FC236}">
                  <a16:creationId xmlns:a16="http://schemas.microsoft.com/office/drawing/2014/main" id="{93BB1FB0-4F0F-40EC-9B4A-273C871208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A5C86E" w14:textId="2078C5F9" w:rsidR="00EA68C4" w:rsidRPr="0075016A" w:rsidRDefault="003E4C5B" w:rsidP="00705426">
      <w:pPr>
        <w:spacing w:before="240"/>
        <w:rPr>
          <w:lang w:val="en-US" w:eastAsia="zh-CN"/>
        </w:rPr>
      </w:pPr>
      <w:r w:rsidRPr="003E4C5B">
        <w:rPr>
          <w:rFonts w:hint="eastAsia"/>
          <w:lang w:val="en-US" w:eastAsia="zh-CN"/>
        </w:rPr>
        <w:t>2020</w:t>
      </w:r>
      <w:r w:rsidRPr="003E4C5B">
        <w:rPr>
          <w:rFonts w:hint="eastAsia"/>
          <w:lang w:val="en-US" w:eastAsia="zh-CN"/>
        </w:rPr>
        <w:t>年</w:t>
      </w:r>
      <w:r w:rsidR="009E2FDC">
        <w:rPr>
          <w:rFonts w:hint="eastAsia"/>
          <w:lang w:val="en-US" w:eastAsia="zh-CN"/>
        </w:rPr>
        <w:t>财务</w:t>
      </w:r>
      <w:r w:rsidRPr="003E4C5B">
        <w:rPr>
          <w:rFonts w:hint="eastAsia"/>
          <w:lang w:val="en-US" w:eastAsia="zh-CN"/>
        </w:rPr>
        <w:t>捐款最多的三个供资伙伴是</w:t>
      </w:r>
      <w:r w:rsidR="009E2FDC">
        <w:rPr>
          <w:rFonts w:hint="eastAsia"/>
          <w:lang w:val="en-US" w:eastAsia="zh-CN"/>
        </w:rPr>
        <w:t>：</w:t>
      </w:r>
    </w:p>
    <w:p w14:paraId="4E06E453" w14:textId="6F3DC61A" w:rsidR="00EA68C4" w:rsidRPr="00434A48" w:rsidRDefault="00CB324E" w:rsidP="00CB324E">
      <w:pPr>
        <w:pStyle w:val="enumlev1"/>
        <w:rPr>
          <w:rFonts w:cstheme="minorHAnsi"/>
          <w:szCs w:val="24"/>
          <w:lang w:eastAsia="zh-CN"/>
        </w:rPr>
      </w:pPr>
      <w:r w:rsidRPr="00C90297">
        <w:rPr>
          <w:lang w:eastAsia="zh-CN"/>
        </w:rPr>
        <w:t>–</w:t>
      </w:r>
      <w:r>
        <w:rPr>
          <w:lang w:eastAsia="zh-CN"/>
        </w:rPr>
        <w:tab/>
      </w:r>
      <w:r w:rsidR="003E4C5B" w:rsidRPr="009E2FDC">
        <w:rPr>
          <w:rFonts w:cstheme="minorHAnsi" w:hint="eastAsia"/>
          <w:b/>
          <w:bCs/>
          <w:szCs w:val="24"/>
          <w:lang w:eastAsia="zh-CN"/>
        </w:rPr>
        <w:t>挪威发展合作署</w:t>
      </w:r>
      <w:r w:rsidR="003E4C5B" w:rsidRPr="003E4C5B">
        <w:rPr>
          <w:rFonts w:cstheme="minorHAnsi" w:hint="eastAsia"/>
          <w:szCs w:val="24"/>
          <w:lang w:eastAsia="zh-CN"/>
        </w:rPr>
        <w:t>，</w:t>
      </w:r>
      <w:r w:rsidR="006C53DC">
        <w:rPr>
          <w:rFonts w:cstheme="minorHAnsi" w:hint="eastAsia"/>
          <w:szCs w:val="24"/>
          <w:lang w:eastAsia="zh-CN"/>
        </w:rPr>
        <w:t>签约出资金额</w:t>
      </w:r>
      <w:r w:rsidR="003E4C5B" w:rsidRPr="009E2FDC">
        <w:rPr>
          <w:rFonts w:cstheme="minorHAnsi" w:hint="eastAsia"/>
          <w:b/>
          <w:bCs/>
          <w:szCs w:val="24"/>
          <w:lang w:eastAsia="zh-CN"/>
        </w:rPr>
        <w:t>330</w:t>
      </w:r>
      <w:r w:rsidR="003E4C5B" w:rsidRPr="009E2FDC">
        <w:rPr>
          <w:rFonts w:cstheme="minorHAnsi" w:hint="eastAsia"/>
          <w:b/>
          <w:bCs/>
          <w:szCs w:val="24"/>
          <w:lang w:eastAsia="zh-CN"/>
        </w:rPr>
        <w:t>万美元</w:t>
      </w:r>
      <w:r w:rsidR="009E2FDC">
        <w:rPr>
          <w:rFonts w:cstheme="minorHAnsi" w:hint="eastAsia"/>
          <w:szCs w:val="24"/>
          <w:lang w:eastAsia="zh-CN"/>
        </w:rPr>
        <w:t>。</w:t>
      </w:r>
    </w:p>
    <w:p w14:paraId="79721F1D" w14:textId="1D9F485E" w:rsidR="00EA68C4" w:rsidRPr="00434A48" w:rsidRDefault="00CB324E" w:rsidP="00CB324E">
      <w:pPr>
        <w:pStyle w:val="enumlev1"/>
        <w:rPr>
          <w:rFonts w:cstheme="minorHAnsi"/>
          <w:szCs w:val="24"/>
          <w:lang w:eastAsia="zh-CN"/>
        </w:rPr>
      </w:pPr>
      <w:r w:rsidRPr="00C90297">
        <w:rPr>
          <w:lang w:eastAsia="zh-CN"/>
        </w:rPr>
        <w:t>–</w:t>
      </w:r>
      <w:r>
        <w:rPr>
          <w:lang w:eastAsia="zh-CN"/>
        </w:rPr>
        <w:tab/>
      </w:r>
      <w:r w:rsidR="003E4C5B" w:rsidRPr="009E2FDC">
        <w:rPr>
          <w:rFonts w:cstheme="minorHAnsi" w:hint="eastAsia"/>
          <w:b/>
          <w:bCs/>
          <w:szCs w:val="24"/>
          <w:lang w:eastAsia="zh-CN"/>
        </w:rPr>
        <w:t>沙特阿拉伯国家网络安全局</w:t>
      </w:r>
      <w:r w:rsidR="009E2FDC" w:rsidRPr="009E2FDC">
        <w:rPr>
          <w:rFonts w:cstheme="minorHAnsi" w:hint="eastAsia"/>
          <w:b/>
          <w:bCs/>
          <w:szCs w:val="24"/>
          <w:lang w:eastAsia="zh-CN"/>
        </w:rPr>
        <w:t>（</w:t>
      </w:r>
      <w:r w:rsidR="003E4C5B" w:rsidRPr="009E2FDC">
        <w:rPr>
          <w:rFonts w:cstheme="minorHAnsi" w:hint="eastAsia"/>
          <w:b/>
          <w:bCs/>
          <w:szCs w:val="24"/>
          <w:lang w:eastAsia="zh-CN"/>
        </w:rPr>
        <w:t>NCA</w:t>
      </w:r>
      <w:r w:rsidR="009E2FDC" w:rsidRPr="009E2FDC">
        <w:rPr>
          <w:rFonts w:cstheme="minorHAnsi" w:hint="eastAsia"/>
          <w:b/>
          <w:bCs/>
          <w:szCs w:val="24"/>
          <w:lang w:eastAsia="zh-CN"/>
        </w:rPr>
        <w:t>）</w:t>
      </w:r>
      <w:r w:rsidR="003E4C5B" w:rsidRPr="003E4C5B">
        <w:rPr>
          <w:rFonts w:cstheme="minorHAnsi" w:hint="eastAsia"/>
          <w:szCs w:val="24"/>
          <w:lang w:eastAsia="zh-CN"/>
        </w:rPr>
        <w:t>，</w:t>
      </w:r>
      <w:r w:rsidR="006C53DC">
        <w:rPr>
          <w:rFonts w:cstheme="minorHAnsi" w:hint="eastAsia"/>
          <w:szCs w:val="24"/>
          <w:lang w:eastAsia="zh-CN"/>
        </w:rPr>
        <w:t>签约出资金额</w:t>
      </w:r>
      <w:r w:rsidR="003E4C5B" w:rsidRPr="009E2FDC">
        <w:rPr>
          <w:rFonts w:cstheme="minorHAnsi" w:hint="eastAsia"/>
          <w:b/>
          <w:bCs/>
          <w:szCs w:val="24"/>
          <w:lang w:eastAsia="zh-CN"/>
        </w:rPr>
        <w:t>160</w:t>
      </w:r>
      <w:r w:rsidR="003E4C5B" w:rsidRPr="009E2FDC">
        <w:rPr>
          <w:rFonts w:cstheme="minorHAnsi" w:hint="eastAsia"/>
          <w:b/>
          <w:bCs/>
          <w:szCs w:val="24"/>
          <w:lang w:eastAsia="zh-CN"/>
        </w:rPr>
        <w:t>万美元</w:t>
      </w:r>
      <w:r w:rsidR="009E2FDC">
        <w:rPr>
          <w:rFonts w:cstheme="minorHAnsi" w:hint="eastAsia"/>
          <w:szCs w:val="24"/>
          <w:lang w:eastAsia="zh-CN"/>
        </w:rPr>
        <w:t>。</w:t>
      </w:r>
    </w:p>
    <w:p w14:paraId="2A208902" w14:textId="045CC5B8" w:rsidR="00EA68C4" w:rsidRPr="00B96D4D" w:rsidRDefault="00CB324E" w:rsidP="00CB324E">
      <w:pPr>
        <w:pStyle w:val="enumlev1"/>
        <w:rPr>
          <w:rFonts w:cstheme="minorHAnsi"/>
          <w:lang w:eastAsia="zh-CN"/>
        </w:rPr>
      </w:pPr>
      <w:r w:rsidRPr="00C90297">
        <w:rPr>
          <w:lang w:eastAsia="zh-CN"/>
        </w:rPr>
        <w:t>–</w:t>
      </w:r>
      <w:r>
        <w:rPr>
          <w:lang w:eastAsia="zh-CN"/>
        </w:rPr>
        <w:tab/>
      </w:r>
      <w:r w:rsidR="003E4C5B" w:rsidRPr="003E4C5B">
        <w:rPr>
          <w:rFonts w:cstheme="minorHAnsi" w:hint="eastAsia"/>
          <w:b/>
          <w:bCs/>
          <w:lang w:eastAsia="zh-CN"/>
        </w:rPr>
        <w:t>沙特阿拉伯</w:t>
      </w:r>
      <w:r w:rsidR="005F5603" w:rsidRPr="005F5603">
        <w:rPr>
          <w:rFonts w:cstheme="minorHAnsi"/>
          <w:b/>
          <w:bCs/>
          <w:lang w:eastAsia="zh-CN"/>
        </w:rPr>
        <w:t>通信和信息技术委员会（</w:t>
      </w:r>
      <w:r w:rsidR="005F5603" w:rsidRPr="005F5603">
        <w:rPr>
          <w:rFonts w:cstheme="minorHAnsi"/>
          <w:b/>
          <w:bCs/>
          <w:lang w:eastAsia="zh-CN"/>
        </w:rPr>
        <w:t>CITC</w:t>
      </w:r>
      <w:r w:rsidR="005F5603" w:rsidRPr="005F5603">
        <w:rPr>
          <w:rFonts w:cstheme="minorHAnsi"/>
          <w:b/>
          <w:bCs/>
          <w:lang w:eastAsia="zh-CN"/>
        </w:rPr>
        <w:t>）</w:t>
      </w:r>
      <w:r w:rsidR="003E4C5B" w:rsidRPr="005F5603">
        <w:rPr>
          <w:rFonts w:cstheme="minorHAnsi" w:hint="eastAsia"/>
          <w:lang w:eastAsia="zh-CN"/>
        </w:rPr>
        <w:t>，</w:t>
      </w:r>
      <w:r w:rsidR="006C53DC">
        <w:rPr>
          <w:rFonts w:cstheme="minorHAnsi" w:hint="eastAsia"/>
          <w:lang w:eastAsia="zh-CN"/>
        </w:rPr>
        <w:t>签约出资金额</w:t>
      </w:r>
      <w:r w:rsidR="003E4C5B" w:rsidRPr="003E4C5B">
        <w:rPr>
          <w:rFonts w:cstheme="minorHAnsi" w:hint="eastAsia"/>
          <w:b/>
          <w:bCs/>
          <w:lang w:eastAsia="zh-CN"/>
        </w:rPr>
        <w:t>145</w:t>
      </w:r>
      <w:r w:rsidR="003E4C5B" w:rsidRPr="003E4C5B">
        <w:rPr>
          <w:rFonts w:cstheme="minorHAnsi" w:hint="eastAsia"/>
          <w:b/>
          <w:bCs/>
          <w:lang w:eastAsia="zh-CN"/>
        </w:rPr>
        <w:t>万美元</w:t>
      </w:r>
      <w:r w:rsidR="005F5603" w:rsidRPr="005F5603">
        <w:rPr>
          <w:rFonts w:cstheme="minorHAnsi" w:hint="eastAsia"/>
          <w:lang w:eastAsia="zh-CN"/>
        </w:rPr>
        <w:t>。</w:t>
      </w:r>
    </w:p>
    <w:p w14:paraId="2FF2284A" w14:textId="016DA956" w:rsidR="00EA68C4" w:rsidRDefault="003E4C5B" w:rsidP="00B463E6">
      <w:pPr>
        <w:spacing w:after="240"/>
        <w:ind w:firstLineChars="200" w:firstLine="480"/>
        <w:rPr>
          <w:rFonts w:cstheme="minorHAnsi"/>
        </w:rPr>
      </w:pPr>
      <w:r w:rsidRPr="003E4C5B">
        <w:rPr>
          <w:rFonts w:cstheme="minorHAnsi" w:hint="eastAsia"/>
        </w:rPr>
        <w:t>下图显示了按区域和专题</w:t>
      </w:r>
      <w:r w:rsidR="005F5603">
        <w:rPr>
          <w:rFonts w:cstheme="minorHAnsi" w:hint="eastAsia"/>
        </w:rPr>
        <w:t>重点工作</w:t>
      </w:r>
      <w:r w:rsidRPr="003E4C5B">
        <w:rPr>
          <w:rFonts w:cstheme="minorHAnsi" w:hint="eastAsia"/>
        </w:rPr>
        <w:t>分列的</w:t>
      </w:r>
      <w:r w:rsidR="0084160C" w:rsidRPr="003E4C5B">
        <w:rPr>
          <w:rFonts w:hint="eastAsia"/>
        </w:rPr>
        <w:t>已签署协议的</w:t>
      </w:r>
      <w:r w:rsidR="0084160C">
        <w:rPr>
          <w:rFonts w:hint="eastAsia"/>
        </w:rPr>
        <w:t>财务捐款</w:t>
      </w:r>
      <w:r w:rsidR="0084160C" w:rsidRPr="003E4C5B">
        <w:rPr>
          <w:rFonts w:cstheme="minorHAnsi" w:hint="eastAsia"/>
        </w:rPr>
        <w:t>情况</w:t>
      </w:r>
      <w:r w:rsidR="0084160C">
        <w:rPr>
          <w:rFonts w:cstheme="minorHAnsi" w:hint="eastAsia"/>
        </w:rPr>
        <w:t>。</w:t>
      </w:r>
    </w:p>
    <w:p w14:paraId="780071C0" w14:textId="28C2B647" w:rsidR="00EA68C4" w:rsidRPr="007F4254" w:rsidRDefault="00B463E6" w:rsidP="007F4254">
      <w:pPr>
        <w:pStyle w:val="Figure"/>
        <w:rPr>
          <w:noProof w:val="0"/>
          <w:lang w:val="fr-FR"/>
        </w:rPr>
      </w:pPr>
      <w:r w:rsidRPr="007F4254">
        <w:rPr>
          <w:noProof w:val="0"/>
          <w:lang w:val="fr-FR"/>
        </w:rPr>
        <w:drawing>
          <wp:inline distT="0" distB="0" distL="0" distR="0" wp14:anchorId="50D793B0" wp14:editId="5DCAF256">
            <wp:extent cx="6099174" cy="3063558"/>
            <wp:effectExtent l="0" t="0" r="16510" b="3810"/>
            <wp:docPr id="11" name="Chart 11">
              <a:extLst xmlns:a="http://schemas.openxmlformats.org/drawingml/2006/main">
                <a:ext uri="{FF2B5EF4-FFF2-40B4-BE49-F238E27FC236}">
                  <a16:creationId xmlns:a16="http://schemas.microsoft.com/office/drawing/2014/main" id="{D0E09FC7-E9EE-4009-9C07-6D412824F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18CEE8" w14:textId="5453409A" w:rsidR="00EA68C4" w:rsidRPr="007F4254" w:rsidRDefault="00657C73" w:rsidP="007F4254">
      <w:pPr>
        <w:pStyle w:val="Figure"/>
        <w:rPr>
          <w:noProof w:val="0"/>
          <w:lang w:val="fr-FR"/>
        </w:rPr>
      </w:pPr>
      <w:r w:rsidRPr="007F4254">
        <w:rPr>
          <w:noProof w:val="0"/>
          <w:lang w:val="fr-FR"/>
        </w:rPr>
        <w:lastRenderedPageBreak/>
        <w:drawing>
          <wp:inline distT="0" distB="0" distL="0" distR="0" wp14:anchorId="18E23C06" wp14:editId="37DC8825">
            <wp:extent cx="5396114" cy="2507515"/>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85968.png"/>
                    <pic:cNvPicPr/>
                  </pic:nvPicPr>
                  <pic:blipFill rotWithShape="1">
                    <a:blip r:embed="rId19">
                      <a:extLst>
                        <a:ext uri="{28A0092B-C50C-407E-A947-70E740481C1C}">
                          <a14:useLocalDpi xmlns:a14="http://schemas.microsoft.com/office/drawing/2010/main" val="0"/>
                        </a:ext>
                      </a:extLst>
                    </a:blip>
                    <a:srcRect l="5999" t="18711" r="5826" b="8446"/>
                    <a:stretch/>
                  </pic:blipFill>
                  <pic:spPr bwMode="auto">
                    <a:xfrm>
                      <a:off x="0" y="0"/>
                      <a:ext cx="5397010" cy="2507931"/>
                    </a:xfrm>
                    <a:prstGeom prst="rect">
                      <a:avLst/>
                    </a:prstGeom>
                    <a:ln>
                      <a:noFill/>
                    </a:ln>
                    <a:extLst>
                      <a:ext uri="{53640926-AAD7-44D8-BBD7-CCE9431645EC}">
                        <a14:shadowObscured xmlns:a14="http://schemas.microsoft.com/office/drawing/2010/main"/>
                      </a:ext>
                    </a:extLst>
                  </pic:spPr>
                </pic:pic>
              </a:graphicData>
            </a:graphic>
          </wp:inline>
        </w:drawing>
      </w:r>
    </w:p>
    <w:p w14:paraId="21E77AB8" w14:textId="6372B81C" w:rsidR="009F7011" w:rsidRPr="00106C31" w:rsidRDefault="009F7011" w:rsidP="00106C31">
      <w:pPr>
        <w:pStyle w:val="Heading1"/>
        <w:ind w:left="0" w:firstLine="0"/>
        <w:rPr>
          <w:rFonts w:ascii="Calibri" w:hAnsi="Calibri" w:cs="Calibri"/>
          <w:sz w:val="24"/>
          <w:szCs w:val="24"/>
          <w:lang w:val="fr-FR" w:eastAsia="zh-CN"/>
        </w:rPr>
      </w:pPr>
      <w:bookmarkStart w:id="8" w:name="lt_pId044"/>
      <w:r w:rsidRPr="00106C31">
        <w:rPr>
          <w:rFonts w:ascii="Calibri" w:hAnsi="Calibri" w:cs="Calibri"/>
          <w:sz w:val="24"/>
          <w:szCs w:val="24"/>
          <w:lang w:val="fr-FR" w:eastAsia="zh-CN"/>
        </w:rPr>
        <w:t>4</w:t>
      </w:r>
      <w:r w:rsidRPr="00106C31">
        <w:rPr>
          <w:rFonts w:ascii="Calibri" w:hAnsi="Calibri" w:cs="Calibri"/>
          <w:sz w:val="24"/>
          <w:szCs w:val="24"/>
          <w:lang w:val="fr-FR" w:eastAsia="zh-CN"/>
        </w:rPr>
        <w:tab/>
      </w:r>
      <w:bookmarkEnd w:id="8"/>
      <w:r w:rsidRPr="00106C31">
        <w:rPr>
          <w:rFonts w:ascii="Calibri" w:hAnsi="Calibri" w:cs="Calibri" w:hint="eastAsia"/>
          <w:sz w:val="24"/>
          <w:szCs w:val="24"/>
          <w:lang w:val="fr-FR" w:eastAsia="zh-CN"/>
        </w:rPr>
        <w:t>主要</w:t>
      </w:r>
      <w:r w:rsidRPr="00106C31">
        <w:rPr>
          <w:rFonts w:ascii="Calibri" w:hAnsi="Calibri" w:cs="Calibri"/>
          <w:sz w:val="24"/>
          <w:szCs w:val="24"/>
          <w:lang w:val="fr-FR" w:eastAsia="zh-CN"/>
        </w:rPr>
        <w:t>行动</w:t>
      </w:r>
      <w:r w:rsidRPr="00106C31">
        <w:rPr>
          <w:rFonts w:ascii="Calibri" w:hAnsi="Calibri" w:cs="Calibri" w:hint="eastAsia"/>
          <w:sz w:val="24"/>
          <w:szCs w:val="24"/>
          <w:lang w:val="fr-FR" w:eastAsia="zh-CN"/>
        </w:rPr>
        <w:t>与</w:t>
      </w:r>
      <w:r w:rsidRPr="00106C31">
        <w:rPr>
          <w:rFonts w:ascii="Calibri" w:hAnsi="Calibri" w:cs="Calibri"/>
          <w:sz w:val="24"/>
          <w:szCs w:val="24"/>
          <w:lang w:val="fr-FR" w:eastAsia="zh-CN"/>
        </w:rPr>
        <w:t>成果</w:t>
      </w:r>
    </w:p>
    <w:p w14:paraId="0644DC3B" w14:textId="4E7C4DAA" w:rsidR="00EA68C4" w:rsidRPr="00E27869" w:rsidRDefault="009F7011" w:rsidP="009F7011">
      <w:pPr>
        <w:tabs>
          <w:tab w:val="clear" w:pos="794"/>
          <w:tab w:val="clear" w:pos="1191"/>
          <w:tab w:val="clear" w:pos="1588"/>
          <w:tab w:val="clear" w:pos="1985"/>
        </w:tabs>
        <w:ind w:firstLineChars="200" w:firstLine="480"/>
        <w:rPr>
          <w:rFonts w:cs="Calibri"/>
          <w:color w:val="800000"/>
          <w:szCs w:val="24"/>
          <w:lang w:eastAsia="zh-CN"/>
        </w:rPr>
      </w:pPr>
      <w:r w:rsidRPr="009F7011">
        <w:rPr>
          <w:rFonts w:ascii="Calibri" w:hAnsi="Calibri" w:cs="Microsoft YaHei" w:hint="eastAsia"/>
          <w:szCs w:val="24"/>
          <w:lang w:val="en-US" w:eastAsia="zh-CN"/>
        </w:rPr>
        <w:t>电信发展局一直在开展一系列战略行动，包括开发和改进其内部产品和外部服务，以加强伙伴关系和资源筹措</w:t>
      </w:r>
      <w:r w:rsidR="0084160C">
        <w:rPr>
          <w:rFonts w:ascii="Calibri" w:hAnsi="Calibri" w:cs="Microsoft YaHei" w:hint="eastAsia"/>
          <w:szCs w:val="24"/>
          <w:lang w:val="en-US" w:eastAsia="zh-CN"/>
        </w:rPr>
        <w:t>，例如：</w:t>
      </w:r>
    </w:p>
    <w:p w14:paraId="1AC1794F" w14:textId="0F3EF5AD" w:rsidR="00EA68C4" w:rsidRPr="00D20391" w:rsidRDefault="00CB324E" w:rsidP="00CB324E">
      <w:pPr>
        <w:pStyle w:val="enumlev1"/>
        <w:rPr>
          <w:rFonts w:ascii="Calibri" w:hAnsi="Calibri" w:cstheme="minorBidi"/>
          <w:szCs w:val="24"/>
          <w:lang w:val="en" w:eastAsia="zh-CN"/>
        </w:rPr>
      </w:pPr>
      <w:r w:rsidRPr="00D20391">
        <w:rPr>
          <w:rFonts w:ascii="Calibri" w:hAnsi="Calibri"/>
          <w:lang w:eastAsia="zh-CN"/>
        </w:rPr>
        <w:t>–</w:t>
      </w:r>
      <w:r w:rsidRPr="00D20391">
        <w:rPr>
          <w:rFonts w:ascii="Calibri" w:hAnsi="Calibri"/>
          <w:lang w:eastAsia="zh-CN"/>
        </w:rPr>
        <w:tab/>
      </w:r>
      <w:r w:rsidR="003E4C5B" w:rsidRPr="00D20391">
        <w:rPr>
          <w:rFonts w:ascii="Calibri" w:hAnsi="Calibri" w:cstheme="minorBidi" w:hint="eastAsia"/>
          <w:b/>
          <w:bCs/>
          <w:szCs w:val="24"/>
          <w:lang w:eastAsia="zh-CN"/>
        </w:rPr>
        <w:t>加强资源</w:t>
      </w:r>
      <w:r w:rsidR="0084160C" w:rsidRPr="00D20391">
        <w:rPr>
          <w:rFonts w:ascii="Calibri" w:hAnsi="Calibri" w:cstheme="minorBidi" w:hint="eastAsia"/>
          <w:b/>
          <w:bCs/>
          <w:szCs w:val="24"/>
          <w:lang w:eastAsia="zh-CN"/>
        </w:rPr>
        <w:t>筹措</w:t>
      </w:r>
      <w:r w:rsidR="003E4C5B" w:rsidRPr="00D20391">
        <w:rPr>
          <w:rFonts w:ascii="Calibri" w:hAnsi="Calibri" w:cstheme="minorBidi" w:hint="eastAsia"/>
          <w:b/>
          <w:bCs/>
          <w:szCs w:val="24"/>
          <w:lang w:eastAsia="zh-CN"/>
        </w:rPr>
        <w:t>和伙伴关系建设</w:t>
      </w:r>
      <w:r w:rsidR="0084160C" w:rsidRPr="00D20391">
        <w:rPr>
          <w:rFonts w:ascii="Calibri" w:hAnsi="Calibri" w:cstheme="minorBidi" w:hint="eastAsia"/>
          <w:szCs w:val="24"/>
          <w:lang w:eastAsia="zh-CN"/>
        </w:rPr>
        <w:t>：聘用了</w:t>
      </w:r>
      <w:r w:rsidR="003E4C5B" w:rsidRPr="00D20391">
        <w:rPr>
          <w:rFonts w:ascii="Calibri" w:hAnsi="Calibri" w:cstheme="minorBidi" w:hint="eastAsia"/>
          <w:szCs w:val="24"/>
          <w:lang w:eastAsia="zh-CN"/>
        </w:rPr>
        <w:t>一家</w:t>
      </w:r>
      <w:r w:rsidR="0084160C" w:rsidRPr="00D20391">
        <w:rPr>
          <w:rFonts w:ascii="Calibri" w:hAnsi="Calibri" w:cstheme="minorBidi" w:hint="eastAsia"/>
          <w:szCs w:val="24"/>
          <w:lang w:eastAsia="zh-CN"/>
        </w:rPr>
        <w:t>咨询公司</w:t>
      </w:r>
      <w:r w:rsidR="003E4C5B" w:rsidRPr="00D20391">
        <w:rPr>
          <w:rFonts w:ascii="Calibri" w:hAnsi="Calibri" w:cstheme="minorBidi" w:hint="eastAsia"/>
          <w:szCs w:val="24"/>
          <w:lang w:eastAsia="zh-CN"/>
        </w:rPr>
        <w:t>协助</w:t>
      </w:r>
      <w:r w:rsidR="0084160C" w:rsidRPr="00D20391">
        <w:rPr>
          <w:rFonts w:ascii="Calibri" w:hAnsi="Calibri" w:cstheme="minorBidi" w:hint="eastAsia"/>
          <w:szCs w:val="24"/>
          <w:lang w:eastAsia="zh-CN"/>
        </w:rPr>
        <w:t>电信发展局</w:t>
      </w:r>
      <w:r w:rsidR="003E4C5B" w:rsidRPr="00D20391">
        <w:rPr>
          <w:rFonts w:ascii="Calibri" w:hAnsi="Calibri" w:cstheme="minorBidi" w:hint="eastAsia"/>
          <w:szCs w:val="24"/>
          <w:lang w:eastAsia="zh-CN"/>
        </w:rPr>
        <w:t>制定</w:t>
      </w:r>
      <w:r w:rsidR="0084160C" w:rsidRPr="00D20391">
        <w:rPr>
          <w:rFonts w:ascii="Calibri" w:hAnsi="Calibri" w:cstheme="minorBidi" w:hint="eastAsia"/>
          <w:b/>
          <w:bCs/>
          <w:szCs w:val="24"/>
          <w:lang w:eastAsia="zh-CN"/>
        </w:rPr>
        <w:t>新的</w:t>
      </w:r>
      <w:r w:rsidR="0084160C" w:rsidRPr="00D20391">
        <w:rPr>
          <w:rFonts w:ascii="Calibri" w:hAnsi="Calibri" w:cstheme="minorBidi"/>
          <w:b/>
          <w:bCs/>
          <w:szCs w:val="24"/>
          <w:lang w:eastAsia="zh-CN"/>
        </w:rPr>
        <w:t>强有力、具前瞻性的资源筹措战略和</w:t>
      </w:r>
      <w:r w:rsidR="003E4C5B" w:rsidRPr="00D20391">
        <w:rPr>
          <w:rFonts w:ascii="Calibri" w:hAnsi="Calibri" w:cstheme="minorBidi" w:hint="eastAsia"/>
          <w:b/>
          <w:bCs/>
          <w:szCs w:val="24"/>
          <w:lang w:eastAsia="zh-CN"/>
        </w:rPr>
        <w:t>行动计划</w:t>
      </w:r>
      <w:r w:rsidR="0084160C" w:rsidRPr="00D20391">
        <w:rPr>
          <w:rFonts w:ascii="Calibri" w:hAnsi="Calibri" w:cstheme="minorBidi" w:hint="eastAsia"/>
          <w:szCs w:val="24"/>
          <w:lang w:eastAsia="zh-CN"/>
        </w:rPr>
        <w:t>，该公司</w:t>
      </w:r>
      <w:r w:rsidR="003E4C5B" w:rsidRPr="00D20391">
        <w:rPr>
          <w:rFonts w:ascii="Calibri" w:hAnsi="Calibri" w:cstheme="minorBidi" w:hint="eastAsia"/>
          <w:szCs w:val="24"/>
          <w:lang w:eastAsia="zh-CN"/>
        </w:rPr>
        <w:t>于</w:t>
      </w:r>
      <w:r w:rsidR="003E4C5B" w:rsidRPr="00D20391">
        <w:rPr>
          <w:rFonts w:ascii="Calibri" w:hAnsi="Calibri" w:cstheme="minorBidi" w:hint="eastAsia"/>
          <w:szCs w:val="24"/>
          <w:lang w:eastAsia="zh-CN"/>
        </w:rPr>
        <w:t>2020</w:t>
      </w:r>
      <w:r w:rsidR="003E4C5B" w:rsidRPr="00D20391">
        <w:rPr>
          <w:rFonts w:ascii="Calibri" w:hAnsi="Calibri" w:cstheme="minorBidi" w:hint="eastAsia"/>
          <w:szCs w:val="24"/>
          <w:lang w:eastAsia="zh-CN"/>
        </w:rPr>
        <w:t>年底完成并提交了工作。</w:t>
      </w:r>
      <w:r w:rsidR="0084160C" w:rsidRPr="00D20391">
        <w:rPr>
          <w:rFonts w:ascii="Calibri" w:hAnsi="Calibri" w:cstheme="minorBidi" w:hint="eastAsia"/>
          <w:szCs w:val="24"/>
          <w:lang w:eastAsia="zh-CN"/>
        </w:rPr>
        <w:t>电信发展局</w:t>
      </w:r>
      <w:r w:rsidR="003E4C5B" w:rsidRPr="00D20391">
        <w:rPr>
          <w:rFonts w:ascii="Calibri" w:hAnsi="Calibri" w:cstheme="minorBidi" w:hint="eastAsia"/>
          <w:szCs w:val="24"/>
          <w:lang w:eastAsia="zh-CN"/>
        </w:rPr>
        <w:t>进一步制定了伙伴关系和资源</w:t>
      </w:r>
      <w:r w:rsidR="0084160C" w:rsidRPr="00D20391">
        <w:rPr>
          <w:rFonts w:ascii="Calibri" w:hAnsi="Calibri" w:cstheme="minorBidi" w:hint="eastAsia"/>
          <w:szCs w:val="24"/>
          <w:lang w:eastAsia="zh-CN"/>
        </w:rPr>
        <w:t>筹措</w:t>
      </w:r>
      <w:r w:rsidR="003E4C5B" w:rsidRPr="00D20391">
        <w:rPr>
          <w:rFonts w:ascii="Calibri" w:hAnsi="Calibri" w:cstheme="minorBidi" w:hint="eastAsia"/>
          <w:szCs w:val="24"/>
          <w:lang w:eastAsia="zh-CN"/>
        </w:rPr>
        <w:t>综合战略，旨在协调筹资的两个要素，即伙伴关系和资源</w:t>
      </w:r>
      <w:r w:rsidR="0084160C" w:rsidRPr="00D20391">
        <w:rPr>
          <w:rFonts w:ascii="Calibri" w:hAnsi="Calibri" w:cstheme="minorBidi" w:hint="eastAsia"/>
          <w:szCs w:val="24"/>
          <w:lang w:eastAsia="zh-CN"/>
        </w:rPr>
        <w:t>筹措</w:t>
      </w:r>
      <w:r w:rsidR="003E4C5B" w:rsidRPr="00D20391">
        <w:rPr>
          <w:rFonts w:ascii="Calibri" w:hAnsi="Calibri" w:cstheme="minorBidi" w:hint="eastAsia"/>
          <w:szCs w:val="24"/>
          <w:lang w:eastAsia="zh-CN"/>
        </w:rPr>
        <w:t>。新战略已经开始实施。</w:t>
      </w:r>
    </w:p>
    <w:p w14:paraId="0B57962E" w14:textId="40085C69" w:rsidR="00EA68C4" w:rsidRPr="00C13860" w:rsidRDefault="00CB324E" w:rsidP="00CB324E">
      <w:pPr>
        <w:pStyle w:val="enumlev1"/>
        <w:rPr>
          <w:rFonts w:eastAsiaTheme="minorEastAsia" w:cstheme="minorBidi"/>
          <w:szCs w:val="24"/>
          <w:lang w:eastAsia="zh-CN"/>
        </w:rPr>
      </w:pPr>
      <w:r w:rsidRPr="00C90297">
        <w:rPr>
          <w:lang w:eastAsia="zh-CN"/>
        </w:rPr>
        <w:t>–</w:t>
      </w:r>
      <w:r>
        <w:rPr>
          <w:lang w:eastAsia="zh-CN"/>
        </w:rPr>
        <w:tab/>
      </w:r>
      <w:r w:rsidR="003E4C5B" w:rsidRPr="0084160C">
        <w:rPr>
          <w:rFonts w:eastAsiaTheme="minorEastAsia" w:cstheme="minorBidi" w:hint="eastAsia"/>
          <w:b/>
          <w:bCs/>
          <w:szCs w:val="24"/>
          <w:lang w:eastAsia="zh-CN"/>
        </w:rPr>
        <w:t>加强</w:t>
      </w:r>
      <w:r w:rsidR="0084160C" w:rsidRPr="0084160C">
        <w:rPr>
          <w:rFonts w:eastAsiaTheme="minorEastAsia" w:cstheme="minorBidi" w:hint="eastAsia"/>
          <w:b/>
          <w:bCs/>
          <w:szCs w:val="24"/>
          <w:lang w:eastAsia="zh-CN"/>
        </w:rPr>
        <w:t>职员</w:t>
      </w:r>
      <w:r w:rsidR="003E4C5B" w:rsidRPr="0084160C">
        <w:rPr>
          <w:rFonts w:eastAsiaTheme="minorEastAsia" w:cstheme="minorBidi" w:hint="eastAsia"/>
          <w:b/>
          <w:bCs/>
          <w:szCs w:val="24"/>
          <w:lang w:eastAsia="zh-CN"/>
        </w:rPr>
        <w:t>在资源</w:t>
      </w:r>
      <w:r w:rsidR="0084160C" w:rsidRPr="0084160C">
        <w:rPr>
          <w:rFonts w:eastAsiaTheme="minorEastAsia" w:cstheme="minorBidi" w:hint="eastAsia"/>
          <w:b/>
          <w:bCs/>
          <w:szCs w:val="24"/>
          <w:lang w:eastAsia="zh-CN"/>
        </w:rPr>
        <w:t>筹措</w:t>
      </w:r>
      <w:r w:rsidR="003E4C5B" w:rsidRPr="0084160C">
        <w:rPr>
          <w:rFonts w:eastAsiaTheme="minorEastAsia" w:cstheme="minorBidi" w:hint="eastAsia"/>
          <w:b/>
          <w:bCs/>
          <w:szCs w:val="24"/>
          <w:lang w:eastAsia="zh-CN"/>
        </w:rPr>
        <w:t>方面的</w:t>
      </w:r>
      <w:r w:rsidR="0084160C" w:rsidRPr="0084160C">
        <w:rPr>
          <w:rFonts w:eastAsiaTheme="minorEastAsia" w:cstheme="minorBidi" w:hint="eastAsia"/>
          <w:b/>
          <w:bCs/>
          <w:szCs w:val="24"/>
          <w:lang w:eastAsia="zh-CN"/>
        </w:rPr>
        <w:t>专业知识</w:t>
      </w:r>
      <w:r w:rsidR="0084160C">
        <w:rPr>
          <w:rFonts w:eastAsiaTheme="minorEastAsia" w:cstheme="minorBidi" w:hint="eastAsia"/>
          <w:szCs w:val="24"/>
          <w:lang w:eastAsia="zh-CN"/>
        </w:rPr>
        <w:t>：</w:t>
      </w:r>
      <w:r w:rsidR="003E4C5B" w:rsidRPr="003E4C5B">
        <w:rPr>
          <w:rFonts w:eastAsiaTheme="minorEastAsia" w:cstheme="minorBidi" w:hint="eastAsia"/>
          <w:szCs w:val="24"/>
          <w:lang w:eastAsia="zh-CN"/>
        </w:rPr>
        <w:t>组织了一次关于</w:t>
      </w:r>
      <w:r w:rsidR="0084160C">
        <w:rPr>
          <w:rFonts w:eastAsiaTheme="minorEastAsia" w:cstheme="minorBidi" w:hint="eastAsia"/>
          <w:szCs w:val="24"/>
          <w:lang w:eastAsia="zh-CN"/>
        </w:rPr>
        <w:t>资源筹措</w:t>
      </w:r>
      <w:r w:rsidR="003E4C5B" w:rsidRPr="003E4C5B">
        <w:rPr>
          <w:rFonts w:eastAsiaTheme="minorEastAsia" w:cstheme="minorBidi" w:hint="eastAsia"/>
          <w:szCs w:val="24"/>
          <w:lang w:eastAsia="zh-CN"/>
        </w:rPr>
        <w:t>的虚拟培训，并通过一家</w:t>
      </w:r>
      <w:r w:rsidR="0084160C">
        <w:rPr>
          <w:rFonts w:eastAsiaTheme="minorEastAsia" w:cstheme="minorBidi" w:hint="eastAsia"/>
          <w:szCs w:val="24"/>
          <w:lang w:eastAsia="zh-CN"/>
        </w:rPr>
        <w:t>资源筹措</w:t>
      </w:r>
      <w:r w:rsidR="003E4C5B" w:rsidRPr="003E4C5B">
        <w:rPr>
          <w:rFonts w:eastAsiaTheme="minorEastAsia" w:cstheme="minorBidi" w:hint="eastAsia"/>
          <w:szCs w:val="24"/>
          <w:lang w:eastAsia="zh-CN"/>
        </w:rPr>
        <w:t>培训咨询公司</w:t>
      </w:r>
      <w:r w:rsidR="0084160C">
        <w:rPr>
          <w:rFonts w:eastAsiaTheme="minorEastAsia" w:cstheme="minorBidi" w:hint="eastAsia"/>
          <w:szCs w:val="24"/>
          <w:lang w:eastAsia="zh-CN"/>
        </w:rPr>
        <w:t>提供</w:t>
      </w:r>
      <w:r w:rsidR="003E4C5B" w:rsidRPr="003E4C5B">
        <w:rPr>
          <w:rFonts w:eastAsiaTheme="minorEastAsia" w:cstheme="minorBidi" w:hint="eastAsia"/>
          <w:szCs w:val="24"/>
          <w:lang w:eastAsia="zh-CN"/>
        </w:rPr>
        <w:t>的服务成功提供了培训。根据</w:t>
      </w:r>
      <w:r w:rsidR="0084160C">
        <w:rPr>
          <w:rFonts w:eastAsiaTheme="minorEastAsia" w:cstheme="minorBidi" w:hint="eastAsia"/>
          <w:szCs w:val="24"/>
          <w:lang w:eastAsia="zh-CN"/>
        </w:rPr>
        <w:t>电信发展局</w:t>
      </w:r>
      <w:r w:rsidR="003E4C5B" w:rsidRPr="003E4C5B">
        <w:rPr>
          <w:rFonts w:eastAsiaTheme="minorEastAsia" w:cstheme="minorBidi" w:hint="eastAsia"/>
          <w:szCs w:val="24"/>
          <w:lang w:eastAsia="zh-CN"/>
        </w:rPr>
        <w:t>的伙伴关系和</w:t>
      </w:r>
      <w:r w:rsidR="0084160C">
        <w:rPr>
          <w:rFonts w:eastAsiaTheme="minorEastAsia" w:cstheme="minorBidi" w:hint="eastAsia"/>
          <w:szCs w:val="24"/>
          <w:lang w:eastAsia="zh-CN"/>
        </w:rPr>
        <w:t>资源筹措</w:t>
      </w:r>
      <w:r w:rsidR="003E4C5B" w:rsidRPr="003E4C5B">
        <w:rPr>
          <w:rFonts w:eastAsiaTheme="minorEastAsia" w:cstheme="minorBidi" w:hint="eastAsia"/>
          <w:szCs w:val="24"/>
          <w:lang w:eastAsia="zh-CN"/>
        </w:rPr>
        <w:t>战略，向</w:t>
      </w:r>
      <w:r w:rsidR="003E4C5B" w:rsidRPr="003E4C5B">
        <w:rPr>
          <w:rFonts w:eastAsiaTheme="minorEastAsia" w:cstheme="minorBidi" w:hint="eastAsia"/>
          <w:szCs w:val="24"/>
          <w:lang w:eastAsia="zh-CN"/>
        </w:rPr>
        <w:t>91</w:t>
      </w:r>
      <w:r w:rsidR="003E4C5B" w:rsidRPr="003E4C5B">
        <w:rPr>
          <w:rFonts w:eastAsiaTheme="minorEastAsia" w:cstheme="minorBidi" w:hint="eastAsia"/>
          <w:szCs w:val="24"/>
          <w:lang w:eastAsia="zh-CN"/>
        </w:rPr>
        <w:t>名</w:t>
      </w:r>
      <w:r w:rsidR="0084160C">
        <w:rPr>
          <w:rFonts w:eastAsiaTheme="minorEastAsia" w:cstheme="minorBidi" w:hint="eastAsia"/>
          <w:szCs w:val="24"/>
          <w:lang w:eastAsia="zh-CN"/>
        </w:rPr>
        <w:t>职员（</w:t>
      </w:r>
      <w:r w:rsidR="003E4C5B" w:rsidRPr="003E4C5B">
        <w:rPr>
          <w:rFonts w:eastAsiaTheme="minorEastAsia" w:cstheme="minorBidi" w:hint="eastAsia"/>
          <w:szCs w:val="24"/>
          <w:lang w:eastAsia="zh-CN"/>
        </w:rPr>
        <w:t>78</w:t>
      </w:r>
      <w:r w:rsidR="003E4C5B" w:rsidRPr="003E4C5B">
        <w:rPr>
          <w:rFonts w:eastAsiaTheme="minorEastAsia" w:cstheme="minorBidi" w:hint="eastAsia"/>
          <w:szCs w:val="24"/>
          <w:lang w:eastAsia="zh-CN"/>
        </w:rPr>
        <w:t>名来自</w:t>
      </w:r>
      <w:r w:rsidR="0084160C">
        <w:rPr>
          <w:rFonts w:eastAsiaTheme="minorEastAsia" w:cstheme="minorBidi" w:hint="eastAsia"/>
          <w:szCs w:val="24"/>
          <w:lang w:eastAsia="zh-CN"/>
        </w:rPr>
        <w:t>电信发展局</w:t>
      </w:r>
      <w:r w:rsidR="003E4C5B" w:rsidRPr="003E4C5B">
        <w:rPr>
          <w:rFonts w:eastAsiaTheme="minorEastAsia" w:cstheme="minorBidi" w:hint="eastAsia"/>
          <w:szCs w:val="24"/>
          <w:lang w:eastAsia="zh-CN"/>
        </w:rPr>
        <w:t>，</w:t>
      </w:r>
      <w:r w:rsidR="003E4C5B" w:rsidRPr="003E4C5B">
        <w:rPr>
          <w:rFonts w:eastAsiaTheme="minorEastAsia" w:cstheme="minorBidi" w:hint="eastAsia"/>
          <w:szCs w:val="24"/>
          <w:lang w:eastAsia="zh-CN"/>
        </w:rPr>
        <w:t>13</w:t>
      </w:r>
      <w:r w:rsidR="003E4C5B" w:rsidRPr="003E4C5B">
        <w:rPr>
          <w:rFonts w:eastAsiaTheme="minorEastAsia" w:cstheme="minorBidi" w:hint="eastAsia"/>
          <w:szCs w:val="24"/>
          <w:lang w:eastAsia="zh-CN"/>
        </w:rPr>
        <w:t>名来自其他局</w:t>
      </w:r>
      <w:r w:rsidR="0084160C">
        <w:rPr>
          <w:rFonts w:eastAsiaTheme="minorEastAsia" w:cstheme="minorBidi" w:hint="eastAsia"/>
          <w:szCs w:val="24"/>
          <w:lang w:eastAsia="zh-CN"/>
        </w:rPr>
        <w:t>）</w:t>
      </w:r>
      <w:r w:rsidR="003E4C5B" w:rsidRPr="003E4C5B">
        <w:rPr>
          <w:rFonts w:eastAsiaTheme="minorEastAsia" w:cstheme="minorBidi" w:hint="eastAsia"/>
          <w:szCs w:val="24"/>
          <w:lang w:eastAsia="zh-CN"/>
        </w:rPr>
        <w:t>提供了培训。培训为</w:t>
      </w:r>
      <w:r w:rsidR="0084160C">
        <w:rPr>
          <w:rFonts w:eastAsiaTheme="minorEastAsia" w:cstheme="minorBidi" w:hint="eastAsia"/>
          <w:szCs w:val="24"/>
          <w:lang w:eastAsia="zh-CN"/>
        </w:rPr>
        <w:t>驻外</w:t>
      </w:r>
      <w:r w:rsidR="003E4C5B" w:rsidRPr="003E4C5B">
        <w:rPr>
          <w:rFonts w:eastAsiaTheme="minorEastAsia" w:cstheme="minorBidi" w:hint="eastAsia"/>
          <w:szCs w:val="24"/>
          <w:lang w:eastAsia="zh-CN"/>
        </w:rPr>
        <w:t>和总部工作人员提供了</w:t>
      </w:r>
      <w:r w:rsidR="0084160C">
        <w:rPr>
          <w:rFonts w:eastAsiaTheme="minorEastAsia" w:cstheme="minorBidi" w:hint="eastAsia"/>
          <w:szCs w:val="24"/>
          <w:lang w:eastAsia="zh-CN"/>
        </w:rPr>
        <w:t>资源筹措</w:t>
      </w:r>
      <w:r w:rsidR="003E4C5B" w:rsidRPr="003E4C5B">
        <w:rPr>
          <w:rFonts w:eastAsiaTheme="minorEastAsia" w:cstheme="minorBidi" w:hint="eastAsia"/>
          <w:szCs w:val="24"/>
          <w:lang w:eastAsia="zh-CN"/>
        </w:rPr>
        <w:t>的基本知识，使他们具备与利益攸关方接触、管理和缔结财务和非财务伙伴关系和</w:t>
      </w:r>
      <w:r w:rsidR="0084160C">
        <w:rPr>
          <w:rFonts w:eastAsiaTheme="minorEastAsia" w:cstheme="minorBidi" w:hint="eastAsia"/>
          <w:szCs w:val="24"/>
          <w:lang w:eastAsia="zh-CN"/>
        </w:rPr>
        <w:t>资源筹措</w:t>
      </w:r>
      <w:r w:rsidR="003E4C5B" w:rsidRPr="003E4C5B">
        <w:rPr>
          <w:rFonts w:eastAsiaTheme="minorEastAsia" w:cstheme="minorBidi" w:hint="eastAsia"/>
          <w:szCs w:val="24"/>
          <w:lang w:eastAsia="zh-CN"/>
        </w:rPr>
        <w:t>安排的技能</w:t>
      </w:r>
      <w:r w:rsidR="0084160C">
        <w:rPr>
          <w:rFonts w:eastAsiaTheme="minorEastAsia" w:cstheme="minorBidi" w:hint="eastAsia"/>
          <w:szCs w:val="24"/>
          <w:lang w:eastAsia="zh-CN"/>
        </w:rPr>
        <w:t>。</w:t>
      </w:r>
    </w:p>
    <w:p w14:paraId="3A292B51" w14:textId="017673E2" w:rsidR="00EA68C4" w:rsidRPr="00990CBD" w:rsidRDefault="00CB324E" w:rsidP="00CB324E">
      <w:pPr>
        <w:pStyle w:val="enumlev1"/>
        <w:rPr>
          <w:rFonts w:cstheme="minorHAnsi"/>
          <w:szCs w:val="24"/>
          <w:lang w:eastAsia="zh-CN"/>
        </w:rPr>
      </w:pPr>
      <w:r w:rsidRPr="00C90297">
        <w:rPr>
          <w:lang w:eastAsia="zh-CN"/>
        </w:rPr>
        <w:t>–</w:t>
      </w:r>
      <w:r>
        <w:rPr>
          <w:lang w:eastAsia="zh-CN"/>
        </w:rPr>
        <w:tab/>
      </w:r>
      <w:r w:rsidR="007C2A45" w:rsidRPr="007C2A45">
        <w:rPr>
          <w:rFonts w:cstheme="minorHAnsi" w:hint="eastAsia"/>
          <w:b/>
          <w:bCs/>
          <w:szCs w:val="24"/>
          <w:lang w:eastAsia="zh-CN"/>
        </w:rPr>
        <w:t>加强</w:t>
      </w:r>
      <w:r w:rsidR="003E4C5B" w:rsidRPr="007C2A45">
        <w:rPr>
          <w:rFonts w:cstheme="minorHAnsi" w:hint="eastAsia"/>
          <w:b/>
          <w:bCs/>
          <w:szCs w:val="24"/>
          <w:lang w:eastAsia="zh-CN"/>
        </w:rPr>
        <w:t>研究工具</w:t>
      </w:r>
      <w:r w:rsidR="007C2A45">
        <w:rPr>
          <w:rFonts w:cstheme="minorHAnsi" w:hint="eastAsia"/>
          <w:szCs w:val="24"/>
          <w:lang w:eastAsia="zh-CN"/>
        </w:rPr>
        <w:t>：</w:t>
      </w:r>
      <w:r w:rsidR="0084160C">
        <w:rPr>
          <w:rFonts w:cstheme="minorHAnsi" w:hint="eastAsia"/>
          <w:szCs w:val="24"/>
          <w:lang w:eastAsia="zh-CN"/>
        </w:rPr>
        <w:t>电信发展局资源筹措</w:t>
      </w:r>
      <w:r w:rsidR="003E4C5B" w:rsidRPr="003E4C5B">
        <w:rPr>
          <w:rFonts w:cstheme="minorHAnsi" w:hint="eastAsia"/>
          <w:szCs w:val="24"/>
          <w:lang w:eastAsia="zh-CN"/>
        </w:rPr>
        <w:t>数据库和筹资伙伴前景数据库已经完全重新设计。这两个数据库提供关于潜在供资伙伴</w:t>
      </w:r>
      <w:r w:rsidR="007C2A45">
        <w:rPr>
          <w:rFonts w:cstheme="minorHAnsi" w:hint="eastAsia"/>
          <w:szCs w:val="24"/>
          <w:lang w:eastAsia="zh-CN"/>
        </w:rPr>
        <w:t>（</w:t>
      </w:r>
      <w:r w:rsidR="003E4C5B" w:rsidRPr="003E4C5B">
        <w:rPr>
          <w:rFonts w:cstheme="minorHAnsi" w:hint="eastAsia"/>
          <w:szCs w:val="24"/>
          <w:lang w:eastAsia="zh-CN"/>
        </w:rPr>
        <w:t>双边机构、开发银行、基金会等</w:t>
      </w:r>
      <w:r w:rsidR="007C2A45">
        <w:rPr>
          <w:rFonts w:cstheme="minorHAnsi" w:hint="eastAsia"/>
          <w:szCs w:val="24"/>
          <w:lang w:eastAsia="zh-CN"/>
        </w:rPr>
        <w:t>）</w:t>
      </w:r>
      <w:r w:rsidR="003E4C5B" w:rsidRPr="003E4C5B">
        <w:rPr>
          <w:rFonts w:cstheme="minorHAnsi" w:hint="eastAsia"/>
          <w:szCs w:val="24"/>
          <w:lang w:eastAsia="zh-CN"/>
        </w:rPr>
        <w:t>的信息</w:t>
      </w:r>
      <w:r w:rsidR="007C2A45">
        <w:rPr>
          <w:rFonts w:cstheme="minorHAnsi" w:hint="eastAsia"/>
          <w:szCs w:val="24"/>
          <w:lang w:eastAsia="zh-CN"/>
        </w:rPr>
        <w:t>，</w:t>
      </w:r>
      <w:r w:rsidR="003E4C5B" w:rsidRPr="003E4C5B">
        <w:rPr>
          <w:rFonts w:cstheme="minorHAnsi" w:hint="eastAsia"/>
          <w:szCs w:val="24"/>
          <w:lang w:eastAsia="zh-CN"/>
        </w:rPr>
        <w:t>包括其专题和</w:t>
      </w:r>
      <w:r w:rsidR="005562CB">
        <w:rPr>
          <w:rFonts w:cstheme="minorHAnsi" w:hint="eastAsia"/>
          <w:szCs w:val="24"/>
          <w:lang w:eastAsia="zh-CN"/>
        </w:rPr>
        <w:t>区域</w:t>
      </w:r>
      <w:r w:rsidR="007C2A45">
        <w:rPr>
          <w:rFonts w:cstheme="minorHAnsi" w:hint="eastAsia"/>
          <w:szCs w:val="24"/>
          <w:lang w:eastAsia="zh-CN"/>
        </w:rPr>
        <w:t>重点工作。</w:t>
      </w:r>
    </w:p>
    <w:p w14:paraId="586F9CA3" w14:textId="5AF3BCBD" w:rsidR="00EA68C4" w:rsidRDefault="00CB324E" w:rsidP="00CB324E">
      <w:pPr>
        <w:pStyle w:val="enumlev1"/>
        <w:rPr>
          <w:rFonts w:cstheme="minorHAnsi"/>
          <w:szCs w:val="24"/>
          <w:lang w:eastAsia="zh-CN"/>
        </w:rPr>
      </w:pPr>
      <w:r w:rsidRPr="00C90297">
        <w:rPr>
          <w:lang w:eastAsia="zh-CN"/>
        </w:rPr>
        <w:t>–</w:t>
      </w:r>
      <w:r>
        <w:rPr>
          <w:lang w:eastAsia="zh-CN"/>
        </w:rPr>
        <w:tab/>
      </w:r>
      <w:r w:rsidR="003E4C5B" w:rsidRPr="007C2A45">
        <w:rPr>
          <w:rFonts w:cstheme="minorHAnsi" w:hint="eastAsia"/>
          <w:b/>
          <w:bCs/>
          <w:szCs w:val="24"/>
          <w:lang w:eastAsia="zh-CN"/>
        </w:rPr>
        <w:t>提高知名度</w:t>
      </w:r>
      <w:r w:rsidR="007C2A45">
        <w:rPr>
          <w:rFonts w:cstheme="minorHAnsi" w:hint="eastAsia"/>
          <w:szCs w:val="24"/>
          <w:lang w:eastAsia="zh-CN"/>
        </w:rPr>
        <w:t>：</w:t>
      </w:r>
      <w:r w:rsidR="003E4C5B" w:rsidRPr="003E4C5B">
        <w:rPr>
          <w:rFonts w:cstheme="minorHAnsi" w:hint="eastAsia"/>
          <w:szCs w:val="24"/>
          <w:lang w:eastAsia="zh-CN"/>
        </w:rPr>
        <w:t>为伙伴关系和</w:t>
      </w:r>
      <w:r w:rsidR="007C2A45">
        <w:rPr>
          <w:rFonts w:cstheme="minorHAnsi" w:hint="eastAsia"/>
          <w:szCs w:val="24"/>
          <w:lang w:eastAsia="zh-CN"/>
        </w:rPr>
        <w:t>I</w:t>
      </w:r>
      <w:r w:rsidR="007C2A45">
        <w:rPr>
          <w:rFonts w:cstheme="minorHAnsi"/>
          <w:szCs w:val="24"/>
          <w:lang w:eastAsia="zh-CN"/>
        </w:rPr>
        <w:t>TU-D</w:t>
      </w:r>
      <w:r w:rsidR="003E4C5B" w:rsidRPr="003E4C5B">
        <w:rPr>
          <w:rFonts w:cstheme="minorHAnsi" w:hint="eastAsia"/>
          <w:szCs w:val="24"/>
          <w:lang w:eastAsia="zh-CN"/>
        </w:rPr>
        <w:t>成员创建并启动了一个新的</w:t>
      </w:r>
      <w:r w:rsidR="007C2A45">
        <w:rPr>
          <w:rFonts w:cstheme="minorHAnsi" w:hint="eastAsia"/>
          <w:szCs w:val="24"/>
          <w:lang w:eastAsia="zh-CN"/>
        </w:rPr>
        <w:t>通用</w:t>
      </w:r>
      <w:r w:rsidR="003E4C5B" w:rsidRPr="003E4C5B">
        <w:rPr>
          <w:rFonts w:cstheme="minorHAnsi" w:hint="eastAsia"/>
          <w:szCs w:val="24"/>
          <w:lang w:eastAsia="zh-CN"/>
        </w:rPr>
        <w:t>网页。该网页</w:t>
      </w:r>
      <w:r w:rsidR="007C2A45">
        <w:rPr>
          <w:rFonts w:cstheme="minorHAnsi" w:hint="eastAsia"/>
          <w:szCs w:val="24"/>
          <w:lang w:eastAsia="zh-CN"/>
        </w:rPr>
        <w:t>推动</w:t>
      </w:r>
      <w:r w:rsidR="007C2A45">
        <w:rPr>
          <w:rFonts w:cstheme="minorHAnsi" w:hint="eastAsia"/>
          <w:szCs w:val="24"/>
          <w:lang w:eastAsia="zh-CN"/>
        </w:rPr>
        <w:t>I</w:t>
      </w:r>
      <w:r w:rsidR="007C2A45">
        <w:rPr>
          <w:rFonts w:cstheme="minorHAnsi"/>
          <w:szCs w:val="24"/>
          <w:lang w:eastAsia="zh-CN"/>
        </w:rPr>
        <w:t>TU-D</w:t>
      </w:r>
      <w:r w:rsidR="003E4C5B" w:rsidRPr="003E4C5B">
        <w:rPr>
          <w:rFonts w:cstheme="minorHAnsi" w:hint="eastAsia"/>
          <w:szCs w:val="24"/>
          <w:lang w:eastAsia="zh-CN"/>
        </w:rPr>
        <w:t>成员之间的伙伴关系，并鼓励现有成员成为</w:t>
      </w:r>
      <w:r w:rsidR="007C2A45">
        <w:rPr>
          <w:rFonts w:cstheme="minorHAnsi" w:hint="eastAsia"/>
          <w:szCs w:val="24"/>
          <w:lang w:eastAsia="zh-CN"/>
        </w:rPr>
        <w:t>合作</w:t>
      </w:r>
      <w:r w:rsidR="003E4C5B" w:rsidRPr="003E4C5B">
        <w:rPr>
          <w:rFonts w:cstheme="minorHAnsi" w:hint="eastAsia"/>
          <w:szCs w:val="24"/>
          <w:lang w:eastAsia="zh-CN"/>
        </w:rPr>
        <w:t>伙伴。通用登录页面可</w:t>
      </w:r>
      <w:r w:rsidR="007C2A45">
        <w:rPr>
          <w:rFonts w:cstheme="minorHAnsi" w:hint="eastAsia"/>
          <w:szCs w:val="24"/>
          <w:lang w:eastAsia="zh-CN"/>
        </w:rPr>
        <w:t>从</w:t>
      </w:r>
      <w:r w:rsidR="003E4C5B" w:rsidRPr="003E4C5B">
        <w:rPr>
          <w:rFonts w:cstheme="minorHAnsi" w:hint="eastAsia"/>
          <w:szCs w:val="24"/>
          <w:lang w:eastAsia="zh-CN"/>
        </w:rPr>
        <w:t>“</w:t>
      </w:r>
      <w:hyperlink r:id="rId20" w:history="1">
        <w:r w:rsidR="003E4C5B" w:rsidRPr="007C2A45">
          <w:rPr>
            <w:rStyle w:val="Hyperlink"/>
            <w:rFonts w:cstheme="minorHAnsi" w:hint="eastAsia"/>
            <w:szCs w:val="24"/>
            <w:lang w:eastAsia="zh-CN"/>
          </w:rPr>
          <w:t>加入</w:t>
        </w:r>
        <w:r w:rsidR="003E4C5B" w:rsidRPr="007C2A45">
          <w:rPr>
            <w:rStyle w:val="Hyperlink"/>
            <w:rFonts w:cstheme="minorHAnsi" w:hint="eastAsia"/>
            <w:szCs w:val="24"/>
            <w:lang w:eastAsia="zh-CN"/>
          </w:rPr>
          <w:t>ITU-D</w:t>
        </w:r>
      </w:hyperlink>
      <w:r w:rsidR="003E4C5B" w:rsidRPr="003E4C5B">
        <w:rPr>
          <w:rFonts w:cstheme="minorHAnsi" w:hint="eastAsia"/>
          <w:szCs w:val="24"/>
          <w:lang w:eastAsia="zh-CN"/>
        </w:rPr>
        <w:t>”</w:t>
      </w:r>
      <w:r w:rsidR="007C2A45">
        <w:rPr>
          <w:rFonts w:cstheme="minorHAnsi" w:hint="eastAsia"/>
          <w:szCs w:val="24"/>
          <w:lang w:eastAsia="zh-CN"/>
        </w:rPr>
        <w:t>进入</w:t>
      </w:r>
      <w:r w:rsidR="003E4C5B" w:rsidRPr="003E4C5B">
        <w:rPr>
          <w:rFonts w:cstheme="minorHAnsi" w:hint="eastAsia"/>
          <w:szCs w:val="24"/>
          <w:lang w:eastAsia="zh-CN"/>
        </w:rPr>
        <w:t>。新的登录页面还为我们的合作伙伴提供了更好的</w:t>
      </w:r>
      <w:r w:rsidR="007C2A45">
        <w:rPr>
          <w:rFonts w:cstheme="minorHAnsi" w:hint="eastAsia"/>
          <w:szCs w:val="24"/>
          <w:lang w:eastAsia="zh-CN"/>
        </w:rPr>
        <w:t>宣传</w:t>
      </w:r>
      <w:r w:rsidR="003E4C5B" w:rsidRPr="003E4C5B">
        <w:rPr>
          <w:rFonts w:cstheme="minorHAnsi" w:hint="eastAsia"/>
          <w:szCs w:val="24"/>
          <w:lang w:eastAsia="zh-CN"/>
        </w:rPr>
        <w:t>，让他们了解我们和他们一起完成的工作。</w:t>
      </w:r>
    </w:p>
    <w:p w14:paraId="3D235B68" w14:textId="39C6817E" w:rsidR="009F7011" w:rsidRPr="00B63FAC" w:rsidRDefault="009F7011" w:rsidP="009F7011">
      <w:pPr>
        <w:pStyle w:val="Heading1"/>
        <w:ind w:left="0" w:firstLine="0"/>
        <w:rPr>
          <w:rFonts w:ascii="Calibri" w:hAnsi="Calibri" w:cs="Calibri"/>
          <w:sz w:val="24"/>
          <w:szCs w:val="24"/>
          <w:lang w:val="en-US" w:eastAsia="zh-CN"/>
        </w:rPr>
      </w:pPr>
      <w:r w:rsidRPr="003E4C5B">
        <w:rPr>
          <w:rFonts w:ascii="Calibri" w:hAnsi="Calibri" w:cs="Calibri" w:hint="eastAsia"/>
          <w:sz w:val="24"/>
          <w:szCs w:val="24"/>
          <w:lang w:eastAsia="zh-CN"/>
        </w:rPr>
        <w:t>5</w:t>
      </w:r>
      <w:r w:rsidRPr="003E4C5B">
        <w:rPr>
          <w:rFonts w:ascii="Calibri" w:hAnsi="Calibri" w:cs="Calibri"/>
          <w:sz w:val="24"/>
          <w:szCs w:val="24"/>
          <w:lang w:eastAsia="zh-CN"/>
        </w:rPr>
        <w:tab/>
      </w:r>
      <w:r w:rsidRPr="00B85A96">
        <w:rPr>
          <w:rFonts w:ascii="Calibri" w:hAnsi="Calibri" w:cs="Calibri" w:hint="eastAsia"/>
          <w:sz w:val="24"/>
          <w:szCs w:val="24"/>
          <w:lang w:val="fr-FR" w:eastAsia="zh-CN"/>
        </w:rPr>
        <w:t>未来方向</w:t>
      </w:r>
    </w:p>
    <w:p w14:paraId="4EF9F9F1" w14:textId="0DCBB9B3" w:rsidR="00EA68C4" w:rsidRDefault="003E4C5B" w:rsidP="007112D8">
      <w:pPr>
        <w:ind w:firstLineChars="200" w:firstLine="480"/>
        <w:rPr>
          <w:lang w:val="en-US" w:eastAsia="zh-CN"/>
        </w:rPr>
      </w:pPr>
      <w:r w:rsidRPr="003E4C5B">
        <w:rPr>
          <w:rFonts w:hint="eastAsia"/>
          <w:lang w:val="en-US" w:eastAsia="zh-CN"/>
        </w:rPr>
        <w:t>在本报告所述期间，</w:t>
      </w:r>
      <w:r w:rsidR="0084160C">
        <w:rPr>
          <w:rFonts w:hint="eastAsia"/>
          <w:lang w:val="en-US" w:eastAsia="zh-CN"/>
        </w:rPr>
        <w:t>电信发展局</w:t>
      </w:r>
      <w:r w:rsidRPr="003E4C5B">
        <w:rPr>
          <w:rFonts w:hint="eastAsia"/>
          <w:lang w:val="en-US" w:eastAsia="zh-CN"/>
        </w:rPr>
        <w:t>在与各种</w:t>
      </w:r>
      <w:r w:rsidR="007C2A45">
        <w:rPr>
          <w:rFonts w:hint="eastAsia"/>
          <w:lang w:val="en-US" w:eastAsia="zh-CN"/>
        </w:rPr>
        <w:t>合作</w:t>
      </w:r>
      <w:r w:rsidRPr="003E4C5B">
        <w:rPr>
          <w:rFonts w:hint="eastAsia"/>
          <w:lang w:val="en-US" w:eastAsia="zh-CN"/>
        </w:rPr>
        <w:t>伙伴谈判和缔结新的伙伴关系</w:t>
      </w:r>
      <w:r w:rsidR="007C2A45">
        <w:rPr>
          <w:rFonts w:hint="eastAsia"/>
          <w:lang w:val="en-US" w:eastAsia="zh-CN"/>
        </w:rPr>
        <w:t>及</w:t>
      </w:r>
      <w:r w:rsidR="0084160C">
        <w:rPr>
          <w:rFonts w:hint="eastAsia"/>
          <w:lang w:val="en-US" w:eastAsia="zh-CN"/>
        </w:rPr>
        <w:t>资源筹措</w:t>
      </w:r>
      <w:r w:rsidRPr="003E4C5B">
        <w:rPr>
          <w:rFonts w:hint="eastAsia"/>
          <w:lang w:val="en-US" w:eastAsia="zh-CN"/>
        </w:rPr>
        <w:t>协议方面取得了显著进展。正在</w:t>
      </w:r>
      <w:r w:rsidR="007C2A45">
        <w:rPr>
          <w:rFonts w:hint="eastAsia"/>
          <w:lang w:val="en-US" w:eastAsia="zh-CN"/>
        </w:rPr>
        <w:t>开展</w:t>
      </w:r>
      <w:r w:rsidRPr="003E4C5B">
        <w:rPr>
          <w:rFonts w:hint="eastAsia"/>
          <w:lang w:val="en-US" w:eastAsia="zh-CN"/>
        </w:rPr>
        <w:t>的</w:t>
      </w:r>
      <w:r w:rsidR="007C2A45">
        <w:rPr>
          <w:rFonts w:hint="eastAsia"/>
          <w:lang w:val="en-US" w:eastAsia="zh-CN"/>
        </w:rPr>
        <w:t>工作</w:t>
      </w:r>
      <w:r w:rsidRPr="003E4C5B">
        <w:rPr>
          <w:rFonts w:hint="eastAsia"/>
          <w:lang w:val="en-US" w:eastAsia="zh-CN"/>
        </w:rPr>
        <w:t>旨在巩固现有的合作伙伴，并吸引新的多样化合作伙伴，这些合作伙伴</w:t>
      </w:r>
      <w:r w:rsidR="007C2A45">
        <w:rPr>
          <w:rFonts w:hint="eastAsia"/>
          <w:lang w:val="en-US" w:eastAsia="zh-CN"/>
        </w:rPr>
        <w:t>可</w:t>
      </w:r>
      <w:r w:rsidRPr="003E4C5B">
        <w:rPr>
          <w:rFonts w:hint="eastAsia"/>
          <w:lang w:val="en-US" w:eastAsia="zh-CN"/>
        </w:rPr>
        <w:t>带来更多的资源来资助大规模和有影响力的项目，以便在全球、区域和国家</w:t>
      </w:r>
      <w:r w:rsidR="007C2A45">
        <w:rPr>
          <w:rFonts w:hint="eastAsia"/>
          <w:lang w:val="en-US" w:eastAsia="zh-CN"/>
        </w:rPr>
        <w:t>层面</w:t>
      </w:r>
      <w:r w:rsidRPr="003E4C5B">
        <w:rPr>
          <w:rFonts w:hint="eastAsia"/>
          <w:lang w:val="en-US" w:eastAsia="zh-CN"/>
        </w:rPr>
        <w:t>成功实施</w:t>
      </w:r>
      <w:r w:rsidRPr="003E4C5B">
        <w:rPr>
          <w:rFonts w:hint="eastAsia"/>
          <w:lang w:val="en-US" w:eastAsia="zh-CN"/>
        </w:rPr>
        <w:t>WTDC-17</w:t>
      </w:r>
      <w:r w:rsidRPr="003E4C5B">
        <w:rPr>
          <w:rFonts w:hint="eastAsia"/>
          <w:lang w:val="en-US" w:eastAsia="zh-CN"/>
        </w:rPr>
        <w:t>和</w:t>
      </w:r>
      <w:r w:rsidRPr="003E4C5B">
        <w:rPr>
          <w:rFonts w:hint="eastAsia"/>
          <w:lang w:val="en-US" w:eastAsia="zh-CN"/>
        </w:rPr>
        <w:t>WTDC-21</w:t>
      </w:r>
      <w:r w:rsidR="007C2A45">
        <w:rPr>
          <w:rFonts w:hint="eastAsia"/>
          <w:lang w:val="en-US" w:eastAsia="zh-CN"/>
        </w:rPr>
        <w:t>的项目</w:t>
      </w:r>
      <w:r w:rsidRPr="003E4C5B">
        <w:rPr>
          <w:rFonts w:hint="eastAsia"/>
          <w:lang w:val="en-US" w:eastAsia="zh-CN"/>
        </w:rPr>
        <w:t>和区域</w:t>
      </w:r>
      <w:r w:rsidR="007C2A45">
        <w:rPr>
          <w:rFonts w:hint="eastAsia"/>
          <w:lang w:val="en-US" w:eastAsia="zh-CN"/>
        </w:rPr>
        <w:t>举措。</w:t>
      </w:r>
    </w:p>
    <w:p w14:paraId="2EC2844A" w14:textId="77777777" w:rsidR="00821996" w:rsidRDefault="003C58BF" w:rsidP="00CB324E">
      <w:pPr>
        <w:tabs>
          <w:tab w:val="clear" w:pos="794"/>
          <w:tab w:val="clear" w:pos="1191"/>
          <w:tab w:val="clear" w:pos="1588"/>
          <w:tab w:val="clear" w:pos="1985"/>
        </w:tabs>
        <w:spacing w:before="240"/>
        <w:jc w:val="center"/>
      </w:pPr>
      <w:r>
        <w:t>_____________</w:t>
      </w:r>
      <w:r w:rsidR="004122C5">
        <w:t>_</w:t>
      </w:r>
      <w:r w:rsidR="00922EC1">
        <w:t>_</w:t>
      </w:r>
    </w:p>
    <w:sectPr w:rsidR="00821996" w:rsidSect="00473791">
      <w:headerReference w:type="default" r:id="rId21"/>
      <w:foot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594DE" w14:textId="77777777" w:rsidR="00CF500F" w:rsidRDefault="00CF500F">
      <w:r>
        <w:separator/>
      </w:r>
    </w:p>
  </w:endnote>
  <w:endnote w:type="continuationSeparator" w:id="0">
    <w:p w14:paraId="321B208C" w14:textId="77777777" w:rsidR="00CF500F" w:rsidRDefault="00CF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EEE2" w14:textId="650057A9" w:rsidR="00AE1762" w:rsidRDefault="004B24BD" w:rsidP="00AE1762">
    <w:pPr>
      <w:pStyle w:val="Footer"/>
    </w:pPr>
    <w:r>
      <w:fldChar w:fldCharType="begin"/>
    </w:r>
    <w:r>
      <w:instrText xml:space="preserve"> FILENAME \p  \* MERGEFORMAT </w:instrText>
    </w:r>
    <w:r>
      <w:fldChar w:fldCharType="separate"/>
    </w:r>
    <w:r w:rsidR="00F83CD5">
      <w:t>P:\CHI\ITU-D\CONF-D\TDAG21\000\007C.docx</w:t>
    </w:r>
    <w:r>
      <w:fldChar w:fldCharType="end"/>
    </w:r>
    <w:r w:rsidR="00AE1762">
      <w:t xml:space="preserve"> (485968)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EA68C4" w:rsidRPr="004D495C" w14:paraId="695D1810" w14:textId="77777777" w:rsidTr="00EA68C4">
      <w:tc>
        <w:tcPr>
          <w:tcW w:w="1526" w:type="dxa"/>
          <w:tcBorders>
            <w:top w:val="single" w:sz="4" w:space="0" w:color="000000"/>
          </w:tcBorders>
          <w:shd w:val="clear" w:color="auto" w:fill="auto"/>
        </w:tcPr>
        <w:p w14:paraId="746E5A61" w14:textId="702463AC" w:rsidR="00EA68C4" w:rsidRPr="004D495C" w:rsidRDefault="00EA68C4" w:rsidP="00EA68C4">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488E41E2" w14:textId="7DEB55E5" w:rsidR="00EA68C4" w:rsidRPr="004D495C" w:rsidRDefault="00EA68C4" w:rsidP="00EA68C4">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72246543" w14:textId="75626CA0" w:rsidR="00EA68C4" w:rsidRPr="00AF7A97" w:rsidRDefault="00DF264C" w:rsidP="00EA68C4">
          <w:pPr>
            <w:pStyle w:val="FirstFooter"/>
            <w:tabs>
              <w:tab w:val="left" w:pos="2302"/>
            </w:tabs>
            <w:rPr>
              <w:sz w:val="18"/>
              <w:szCs w:val="18"/>
              <w:lang w:val="en-US" w:eastAsia="zh-CN"/>
            </w:rPr>
          </w:pPr>
          <w:r>
            <w:rPr>
              <w:rFonts w:hint="eastAsia"/>
              <w:sz w:val="18"/>
              <w:szCs w:val="18"/>
              <w:lang w:val="en-US" w:eastAsia="zh-CN"/>
            </w:rPr>
            <w:t>电信发展局促进数字发展</w:t>
          </w:r>
          <w:r>
            <w:rPr>
              <w:sz w:val="18"/>
              <w:szCs w:val="18"/>
              <w:lang w:val="en-US" w:eastAsia="zh-CN"/>
            </w:rPr>
            <w:t>伙伴</w:t>
          </w:r>
          <w:r>
            <w:rPr>
              <w:rFonts w:hint="eastAsia"/>
              <w:sz w:val="18"/>
              <w:szCs w:val="18"/>
              <w:lang w:val="en-US" w:eastAsia="zh-CN"/>
            </w:rPr>
            <w:t>关系</w:t>
          </w:r>
          <w:r>
            <w:rPr>
              <w:sz w:val="18"/>
              <w:szCs w:val="18"/>
              <w:lang w:val="en-US" w:eastAsia="zh-CN"/>
            </w:rPr>
            <w:t>部</w:t>
          </w:r>
          <w:r>
            <w:rPr>
              <w:rFonts w:hint="eastAsia"/>
              <w:sz w:val="18"/>
              <w:szCs w:val="18"/>
              <w:lang w:val="en-US" w:eastAsia="zh-CN"/>
            </w:rPr>
            <w:t>负责人</w:t>
          </w:r>
          <w:r>
            <w:rPr>
              <w:sz w:val="18"/>
              <w:szCs w:val="18"/>
              <w:lang w:val="en-US" w:eastAsia="zh-CN"/>
            </w:rPr>
            <w:t xml:space="preserve">Cosmas </w:t>
          </w:r>
          <w:proofErr w:type="spellStart"/>
          <w:r>
            <w:rPr>
              <w:sz w:val="18"/>
              <w:szCs w:val="18"/>
              <w:lang w:val="en-US" w:eastAsia="zh-CN"/>
            </w:rPr>
            <w:t>Zavazava</w:t>
          </w:r>
          <w:proofErr w:type="spellEnd"/>
          <w:r>
            <w:rPr>
              <w:rFonts w:hint="eastAsia"/>
              <w:sz w:val="18"/>
              <w:szCs w:val="18"/>
              <w:lang w:val="en-US" w:eastAsia="zh-CN"/>
            </w:rPr>
            <w:t>博士</w:t>
          </w:r>
        </w:p>
      </w:tc>
      <w:bookmarkStart w:id="9" w:name="OrgName"/>
      <w:bookmarkEnd w:id="9"/>
    </w:tr>
    <w:tr w:rsidR="00EA68C4" w:rsidRPr="004D495C" w14:paraId="61167678" w14:textId="77777777" w:rsidTr="00EA68C4">
      <w:tc>
        <w:tcPr>
          <w:tcW w:w="1526" w:type="dxa"/>
          <w:shd w:val="clear" w:color="auto" w:fill="auto"/>
        </w:tcPr>
        <w:p w14:paraId="33710823" w14:textId="77777777" w:rsidR="00EA68C4" w:rsidRPr="004D495C" w:rsidRDefault="00EA68C4" w:rsidP="00EA68C4">
          <w:pPr>
            <w:pStyle w:val="FirstFooter"/>
            <w:tabs>
              <w:tab w:val="left" w:pos="1559"/>
              <w:tab w:val="left" w:pos="3828"/>
            </w:tabs>
            <w:rPr>
              <w:sz w:val="20"/>
              <w:lang w:val="en-US" w:eastAsia="zh-CN"/>
            </w:rPr>
          </w:pPr>
        </w:p>
      </w:tc>
      <w:tc>
        <w:tcPr>
          <w:tcW w:w="2410" w:type="dxa"/>
          <w:shd w:val="clear" w:color="auto" w:fill="auto"/>
        </w:tcPr>
        <w:p w14:paraId="1251F6E4" w14:textId="47F9800E" w:rsidR="00EA68C4" w:rsidRPr="004D495C" w:rsidRDefault="00EA68C4" w:rsidP="00EA68C4">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35AD9A6B" w14:textId="0A5EC67F" w:rsidR="00EA68C4" w:rsidRPr="00AF7A97" w:rsidRDefault="00EA68C4" w:rsidP="00EA68C4">
          <w:pPr>
            <w:pStyle w:val="FirstFooter"/>
            <w:tabs>
              <w:tab w:val="left" w:pos="2302"/>
            </w:tabs>
            <w:rPr>
              <w:sz w:val="18"/>
              <w:szCs w:val="18"/>
              <w:lang w:val="en-US"/>
            </w:rPr>
          </w:pPr>
          <w:r>
            <w:rPr>
              <w:sz w:val="18"/>
              <w:szCs w:val="18"/>
              <w:lang w:val="en-US"/>
            </w:rPr>
            <w:t>+41 22 730 5447</w:t>
          </w:r>
        </w:p>
      </w:tc>
      <w:bookmarkStart w:id="10" w:name="PhoneNo"/>
      <w:bookmarkEnd w:id="10"/>
    </w:tr>
    <w:tr w:rsidR="00EA68C4" w:rsidRPr="004D495C" w14:paraId="0299A231" w14:textId="77777777" w:rsidTr="00EA68C4">
      <w:tc>
        <w:tcPr>
          <w:tcW w:w="1526" w:type="dxa"/>
          <w:shd w:val="clear" w:color="auto" w:fill="auto"/>
        </w:tcPr>
        <w:p w14:paraId="35CBC438" w14:textId="77777777" w:rsidR="00EA68C4" w:rsidRPr="004D495C" w:rsidRDefault="00EA68C4" w:rsidP="00EA68C4">
          <w:pPr>
            <w:pStyle w:val="FirstFooter"/>
            <w:tabs>
              <w:tab w:val="left" w:pos="1559"/>
              <w:tab w:val="left" w:pos="3828"/>
            </w:tabs>
            <w:rPr>
              <w:sz w:val="20"/>
              <w:lang w:val="en-US"/>
            </w:rPr>
          </w:pPr>
        </w:p>
      </w:tc>
      <w:tc>
        <w:tcPr>
          <w:tcW w:w="2410" w:type="dxa"/>
          <w:shd w:val="clear" w:color="auto" w:fill="auto"/>
        </w:tcPr>
        <w:p w14:paraId="65335E06" w14:textId="5FC72A8F" w:rsidR="00EA68C4" w:rsidRPr="004D495C" w:rsidRDefault="00EA68C4" w:rsidP="00EA68C4">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1243EF7" w14:textId="6CC56C50" w:rsidR="00EA68C4" w:rsidRPr="00AF7A97" w:rsidRDefault="00EA68C4" w:rsidP="00EA68C4">
          <w:pPr>
            <w:pStyle w:val="FirstFooter"/>
            <w:tabs>
              <w:tab w:val="left" w:pos="2302"/>
            </w:tabs>
            <w:rPr>
              <w:sz w:val="18"/>
              <w:szCs w:val="18"/>
              <w:lang w:val="en-US"/>
            </w:rPr>
          </w:pPr>
          <w:r w:rsidRPr="002A5083">
            <w:rPr>
              <w:rStyle w:val="Hyperlink"/>
              <w:sz w:val="18"/>
              <w:szCs w:val="18"/>
              <w:lang w:val="en-US"/>
            </w:rPr>
            <w:t>cosmas.zavazava@itu.int</w:t>
          </w:r>
        </w:p>
      </w:tc>
      <w:bookmarkStart w:id="11" w:name="Email"/>
      <w:bookmarkEnd w:id="11"/>
    </w:tr>
  </w:tbl>
  <w:p w14:paraId="40A321D0" w14:textId="77777777" w:rsidR="00721657" w:rsidRPr="0059420B" w:rsidRDefault="004B24BD" w:rsidP="00B80157">
    <w:pPr>
      <w:pStyle w:val="Footer"/>
      <w:jc w:val="center"/>
      <w:rPr>
        <w:lang w:val="en-GB"/>
      </w:rPr>
    </w:pPr>
    <w:hyperlink r:id="rId1" w:history="1">
      <w:r w:rsidR="008B47C7">
        <w:rPr>
          <w:rStyle w:val="Hyperlink"/>
          <w:caps w:val="0"/>
          <w:noProof w:val="0"/>
          <w:sz w:val="18"/>
          <w:szCs w:val="18"/>
          <w:lang w:val="en-US"/>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545A7" w14:textId="77777777" w:rsidR="00CF500F" w:rsidRDefault="00CF500F">
      <w:r>
        <w:t>____________________</w:t>
      </w:r>
    </w:p>
  </w:footnote>
  <w:footnote w:type="continuationSeparator" w:id="0">
    <w:p w14:paraId="58F14BD1" w14:textId="77777777" w:rsidR="00CF500F" w:rsidRDefault="00CF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A77B" w14:textId="75F67FAF"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EA68C4">
      <w:rPr>
        <w:rFonts w:hint="eastAsia"/>
        <w:sz w:val="22"/>
        <w:szCs w:val="22"/>
        <w:lang w:val="de-CH" w:eastAsia="zh-CN"/>
      </w:rPr>
      <w:t>7</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B24BD">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18E5"/>
    <w:rsid w:val="000B2352"/>
    <w:rsid w:val="000B45BD"/>
    <w:rsid w:val="000C7B84"/>
    <w:rsid w:val="000D261B"/>
    <w:rsid w:val="000D42AF"/>
    <w:rsid w:val="000D58A3"/>
    <w:rsid w:val="000E3ED4"/>
    <w:rsid w:val="000E3F9C"/>
    <w:rsid w:val="000F1550"/>
    <w:rsid w:val="000F251B"/>
    <w:rsid w:val="000F5FE8"/>
    <w:rsid w:val="000F6644"/>
    <w:rsid w:val="00100833"/>
    <w:rsid w:val="00102F72"/>
    <w:rsid w:val="00106C31"/>
    <w:rsid w:val="00107E85"/>
    <w:rsid w:val="00113EE8"/>
    <w:rsid w:val="0011455A"/>
    <w:rsid w:val="00114A65"/>
    <w:rsid w:val="00133061"/>
    <w:rsid w:val="001347CC"/>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2C2F"/>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0F17"/>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2FB9"/>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2BAF"/>
    <w:rsid w:val="003E4C5B"/>
    <w:rsid w:val="003F2DD8"/>
    <w:rsid w:val="003F3F2D"/>
    <w:rsid w:val="003F50B2"/>
    <w:rsid w:val="004007CC"/>
    <w:rsid w:val="00400CCF"/>
    <w:rsid w:val="00401BFF"/>
    <w:rsid w:val="00404424"/>
    <w:rsid w:val="004064BC"/>
    <w:rsid w:val="0041156B"/>
    <w:rsid w:val="004122C5"/>
    <w:rsid w:val="00413B78"/>
    <w:rsid w:val="00416DDE"/>
    <w:rsid w:val="0044411E"/>
    <w:rsid w:val="00445780"/>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24BD"/>
    <w:rsid w:val="004D2CC3"/>
    <w:rsid w:val="004D35CB"/>
    <w:rsid w:val="004D7A76"/>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62CB"/>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603"/>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7C73"/>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3ABF"/>
    <w:rsid w:val="006C53DC"/>
    <w:rsid w:val="006D40D5"/>
    <w:rsid w:val="006F009A"/>
    <w:rsid w:val="006F3D93"/>
    <w:rsid w:val="007019B1"/>
    <w:rsid w:val="00705426"/>
    <w:rsid w:val="007112D8"/>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2A45"/>
    <w:rsid w:val="007C51FF"/>
    <w:rsid w:val="007D50E4"/>
    <w:rsid w:val="007E2DC5"/>
    <w:rsid w:val="007F1CC7"/>
    <w:rsid w:val="007F4254"/>
    <w:rsid w:val="008027AC"/>
    <w:rsid w:val="008028CE"/>
    <w:rsid w:val="0080332E"/>
    <w:rsid w:val="008141E0"/>
    <w:rsid w:val="00816EE1"/>
    <w:rsid w:val="00816F88"/>
    <w:rsid w:val="00821996"/>
    <w:rsid w:val="00822323"/>
    <w:rsid w:val="00827BC6"/>
    <w:rsid w:val="008300AD"/>
    <w:rsid w:val="00833024"/>
    <w:rsid w:val="0084160C"/>
    <w:rsid w:val="008419B1"/>
    <w:rsid w:val="00844A56"/>
    <w:rsid w:val="00845B11"/>
    <w:rsid w:val="00852081"/>
    <w:rsid w:val="00871F49"/>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3F93"/>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37D4B"/>
    <w:rsid w:val="009431F8"/>
    <w:rsid w:val="00947A35"/>
    <w:rsid w:val="0096201B"/>
    <w:rsid w:val="00962081"/>
    <w:rsid w:val="00966CB5"/>
    <w:rsid w:val="00975786"/>
    <w:rsid w:val="00981CB7"/>
    <w:rsid w:val="009833AC"/>
    <w:rsid w:val="00983E1F"/>
    <w:rsid w:val="00993F46"/>
    <w:rsid w:val="00997358"/>
    <w:rsid w:val="009A452B"/>
    <w:rsid w:val="009B050C"/>
    <w:rsid w:val="009B087F"/>
    <w:rsid w:val="009B2AF4"/>
    <w:rsid w:val="009C110B"/>
    <w:rsid w:val="009C5441"/>
    <w:rsid w:val="009D119F"/>
    <w:rsid w:val="009D49A2"/>
    <w:rsid w:val="009E2FDC"/>
    <w:rsid w:val="009F3940"/>
    <w:rsid w:val="009F3EB2"/>
    <w:rsid w:val="009F6EB1"/>
    <w:rsid w:val="009F701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1762"/>
    <w:rsid w:val="00AE5961"/>
    <w:rsid w:val="00AF0745"/>
    <w:rsid w:val="00AF2E77"/>
    <w:rsid w:val="00AF4971"/>
    <w:rsid w:val="00AF5276"/>
    <w:rsid w:val="00AF7C86"/>
    <w:rsid w:val="00B01046"/>
    <w:rsid w:val="00B21BE5"/>
    <w:rsid w:val="00B310F9"/>
    <w:rsid w:val="00B37866"/>
    <w:rsid w:val="00B412FB"/>
    <w:rsid w:val="00B4576B"/>
    <w:rsid w:val="00B46350"/>
    <w:rsid w:val="00B463E6"/>
    <w:rsid w:val="00B46DF3"/>
    <w:rsid w:val="00B54D3D"/>
    <w:rsid w:val="00B640CD"/>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0297"/>
    <w:rsid w:val="00C94506"/>
    <w:rsid w:val="00C954BC"/>
    <w:rsid w:val="00CA1F0B"/>
    <w:rsid w:val="00CB110F"/>
    <w:rsid w:val="00CB2A2E"/>
    <w:rsid w:val="00CB324E"/>
    <w:rsid w:val="00CB338A"/>
    <w:rsid w:val="00CB79C5"/>
    <w:rsid w:val="00CC411F"/>
    <w:rsid w:val="00CC4B75"/>
    <w:rsid w:val="00CC732E"/>
    <w:rsid w:val="00CD2FCD"/>
    <w:rsid w:val="00CD7207"/>
    <w:rsid w:val="00CE0422"/>
    <w:rsid w:val="00CE0DBE"/>
    <w:rsid w:val="00CE5E4D"/>
    <w:rsid w:val="00CF02C4"/>
    <w:rsid w:val="00CF167F"/>
    <w:rsid w:val="00CF500F"/>
    <w:rsid w:val="00CF72E5"/>
    <w:rsid w:val="00D013EE"/>
    <w:rsid w:val="00D01F54"/>
    <w:rsid w:val="00D040F7"/>
    <w:rsid w:val="00D04A76"/>
    <w:rsid w:val="00D10FC7"/>
    <w:rsid w:val="00D1519F"/>
    <w:rsid w:val="00D20391"/>
    <w:rsid w:val="00D20E99"/>
    <w:rsid w:val="00D21C83"/>
    <w:rsid w:val="00D26A17"/>
    <w:rsid w:val="00D35BDD"/>
    <w:rsid w:val="00D567B4"/>
    <w:rsid w:val="00D63006"/>
    <w:rsid w:val="00D72301"/>
    <w:rsid w:val="00D8118F"/>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64C"/>
    <w:rsid w:val="00DF2AB3"/>
    <w:rsid w:val="00DF7250"/>
    <w:rsid w:val="00E00CAA"/>
    <w:rsid w:val="00E03EBF"/>
    <w:rsid w:val="00E05209"/>
    <w:rsid w:val="00E05AC1"/>
    <w:rsid w:val="00E11BCF"/>
    <w:rsid w:val="00E20129"/>
    <w:rsid w:val="00E2258E"/>
    <w:rsid w:val="00E260C2"/>
    <w:rsid w:val="00E32596"/>
    <w:rsid w:val="00E368F7"/>
    <w:rsid w:val="00E36EB8"/>
    <w:rsid w:val="00E37FB8"/>
    <w:rsid w:val="00E40B07"/>
    <w:rsid w:val="00E42326"/>
    <w:rsid w:val="00E43544"/>
    <w:rsid w:val="00E44D89"/>
    <w:rsid w:val="00E477EA"/>
    <w:rsid w:val="00E55807"/>
    <w:rsid w:val="00E63B14"/>
    <w:rsid w:val="00E65333"/>
    <w:rsid w:val="00E65CA0"/>
    <w:rsid w:val="00E70D9F"/>
    <w:rsid w:val="00E83810"/>
    <w:rsid w:val="00E86933"/>
    <w:rsid w:val="00E87334"/>
    <w:rsid w:val="00E9605B"/>
    <w:rsid w:val="00E97298"/>
    <w:rsid w:val="00E97753"/>
    <w:rsid w:val="00EA0C51"/>
    <w:rsid w:val="00EA68C4"/>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04D"/>
    <w:rsid w:val="00F42E13"/>
    <w:rsid w:val="00F42F1C"/>
    <w:rsid w:val="00F43B44"/>
    <w:rsid w:val="00F440E5"/>
    <w:rsid w:val="00F448F6"/>
    <w:rsid w:val="00F52741"/>
    <w:rsid w:val="00F53D8A"/>
    <w:rsid w:val="00F626F7"/>
    <w:rsid w:val="00F719C6"/>
    <w:rsid w:val="00F736F9"/>
    <w:rsid w:val="00F73833"/>
    <w:rsid w:val="00F83CD5"/>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UnresolvedMention">
    <w:name w:val="Unresolved Mention"/>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www.itu.int/en/ITU-D/MembersPartners/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TDAG28-INF-0002/" TargetMode="External"/><Relationship Id="rId23" Type="http://schemas.openxmlformats.org/officeDocument/2006/relationships/footer" Target="footer2.xml"/><Relationship Id="rId10" Type="http://schemas.openxmlformats.org/officeDocument/2006/relationships/hyperlink" Target="https://www.itu.int/md/D18-TDAG28-INF-000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C\ITU-D\CONF-D\TDAG21\000\007C-TDAG7_ChartsForTranslation_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pool\TRAD\C\ITU-D\CONF-D\TDAG21\000\007C-TDAG7_ChartsForTranslation_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pool\TRAD\C\ITU-D\CONF-D\TDAG21\000\007C-TDAG7_ChartsForTranslation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Desktop/TDAG/TDAG%202021/2020_TDA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TRAD\C\ITU-D\CONF-D\TDAG21\000\007C-TDAG7_ChartsForTranslation_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pool\TRAD\C\ITU-D\CONF-D\TDAG21\000\007C-TDAG7_ChartsForTranslation_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318-41B1-85A8-16DEA9B5095B}"/>
              </c:ext>
            </c:extLst>
          </c:dPt>
          <c:dPt>
            <c:idx val="1"/>
            <c:bubble3D val="0"/>
            <c:explosion val="15"/>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318-41B1-85A8-16DEA9B5095B}"/>
              </c:ext>
            </c:extLst>
          </c:dPt>
          <c:dLbls>
            <c:dLbl>
              <c:idx val="0"/>
              <c:layout/>
              <c:tx>
                <c:rich>
                  <a:bodyPr/>
                  <a:lstStyle/>
                  <a:p>
                    <a:fld id="{4526E76E-0538-48E7-8FAF-EE554798E751}" type="PERCENTAGE">
                      <a:rPr lang="en-US" baseline="0"/>
                      <a:pPr/>
                      <a:t>[PERCENTAGE]</a:t>
                    </a:fld>
                    <a:endParaRPr lang="en-US"/>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318-41B1-85A8-16DEA9B5095B}"/>
                </c:ext>
              </c:extLst>
            </c:dLbl>
            <c:dLbl>
              <c:idx val="1"/>
              <c:layout/>
              <c:tx>
                <c:rich>
                  <a:bodyPr/>
                  <a:lstStyle/>
                  <a:p>
                    <a:fld id="{041E0D76-C9CC-4109-A167-38C37F62305F}" type="VALUE">
                      <a:rPr lang="en-US"/>
                      <a:pPr/>
                      <a:t>[VALUE]</a:t>
                    </a:fld>
                    <a:endParaRPr lang="en-US"/>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318-41B1-85A8-16DEA9B5095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Sheet1!$A$9:$A$10</c:f>
              <c:strCache>
                <c:ptCount val="2"/>
                <c:pt idx="0">
                  <c:v>国际电联部分</c:v>
                </c:pt>
                <c:pt idx="1">
                  <c:v>合作伙伴部分</c:v>
                </c:pt>
              </c:strCache>
            </c:strRef>
          </c:cat>
          <c:val>
            <c:numRef>
              <c:f>Sheet1!$B$9:$B$10</c:f>
              <c:numCache>
                <c:formatCode>0%</c:formatCode>
                <c:ptCount val="2"/>
                <c:pt idx="0">
                  <c:v>0.24</c:v>
                </c:pt>
                <c:pt idx="1">
                  <c:v>0.76</c:v>
                </c:pt>
              </c:numCache>
            </c:numRef>
          </c:val>
          <c:extLst>
            <c:ext xmlns:c16="http://schemas.microsoft.com/office/drawing/2014/chart" uri="{C3380CC4-5D6E-409C-BE32-E72D297353CC}">
              <c16:uniqueId val="{00000004-6318-41B1-85A8-16DEA9B5095B}"/>
            </c:ext>
          </c:extLst>
        </c:ser>
        <c:dLbls>
          <c:dLblPos val="outEnd"/>
          <c:showLegendKey val="0"/>
          <c:showVal val="0"/>
          <c:showCatName val="1"/>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Sheet1!$B$22</c:f>
              <c:strCache>
                <c:ptCount val="1"/>
                <c:pt idx="0">
                  <c:v>按类型排列的合作伙伴已签约财务捐款（2021年1季度）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Sheet1!$A$23:$A$27</c:f>
              <c:strCache>
                <c:ptCount val="5"/>
                <c:pt idx="0">
                  <c:v>国际电联成员国和其他政府实体</c:v>
                </c:pt>
                <c:pt idx="1">
                  <c:v>联合国组织</c:v>
                </c:pt>
                <c:pt idx="2">
                  <c:v>学术成员</c:v>
                </c:pt>
                <c:pt idx="3">
                  <c:v>私营部门实体</c:v>
                </c:pt>
                <c:pt idx="4">
                  <c:v>其他实体</c:v>
                </c:pt>
              </c:strCache>
            </c:strRef>
          </c:cat>
          <c:val>
            <c:numRef>
              <c:f>Sheet1!$B$23:$B$27</c:f>
              <c:numCache>
                <c:formatCode>0.0%</c:formatCode>
                <c:ptCount val="5"/>
                <c:pt idx="0">
                  <c:v>0.66100000000000003</c:v>
                </c:pt>
                <c:pt idx="1">
                  <c:v>0.15</c:v>
                </c:pt>
                <c:pt idx="2">
                  <c:v>2E-3</c:v>
                </c:pt>
                <c:pt idx="3">
                  <c:v>4.1000000000000002E-2</c:v>
                </c:pt>
                <c:pt idx="4">
                  <c:v>0.14699999999999999</c:v>
                </c:pt>
              </c:numCache>
            </c:numRef>
          </c:val>
          <c:extLst>
            <c:ext xmlns:c16="http://schemas.microsoft.com/office/drawing/2014/chart" uri="{C3380CC4-5D6E-409C-BE32-E72D297353CC}">
              <c16:uniqueId val="{00000000-B1D8-468F-A108-6B8E4213F78E}"/>
            </c:ext>
          </c:extLst>
        </c:ser>
        <c:dLbls>
          <c:dLblPos val="outEnd"/>
          <c:showLegendKey val="0"/>
          <c:showVal val="1"/>
          <c:showCatName val="0"/>
          <c:showSerName val="0"/>
          <c:showPercent val="0"/>
          <c:showBubbleSize val="0"/>
        </c:dLbls>
        <c:gapWidth val="182"/>
        <c:axId val="237470224"/>
        <c:axId val="237476464"/>
      </c:barChart>
      <c:catAx>
        <c:axId val="237470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crossAx val="237476464"/>
        <c:crosses val="autoZero"/>
        <c:auto val="1"/>
        <c:lblAlgn val="ctr"/>
        <c:lblOffset val="100"/>
        <c:noMultiLvlLbl val="0"/>
      </c:catAx>
      <c:valAx>
        <c:axId val="23747646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3747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zh-CN" altLang="en-US" sz="1100" b="1"/>
              <a:t>按区域排列的合作伙伴已签约财务捐款（</a:t>
            </a:r>
            <a:r>
              <a:rPr lang="en-US" altLang="zh-CN" sz="1100" b="1"/>
              <a:t>2021</a:t>
            </a:r>
            <a:r>
              <a:rPr lang="zh-CN" altLang="en-US" sz="1100" b="1"/>
              <a:t>年</a:t>
            </a:r>
            <a:r>
              <a:rPr lang="en-US" altLang="zh-CN" sz="1100" b="1"/>
              <a:t>1</a:t>
            </a:r>
            <a:r>
              <a:rPr lang="zh-CN" altLang="en-US" sz="1100" b="1"/>
              <a:t>季度）</a:t>
            </a:r>
            <a:endParaRPr lang="en-US" sz="1100" b="1"/>
          </a:p>
        </c:rich>
      </c:tx>
      <c:layout>
        <c:manualLayout>
          <c:xMode val="edge"/>
          <c:yMode val="edge"/>
          <c:x val="0.1314374453193351"/>
          <c:y val="1.847575057736720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Sheet1!$B$39</c:f>
              <c:strCache>
                <c:ptCount val="1"/>
                <c:pt idx="0">
                  <c:v>按区域排列的合作伙伴已签约财务捐款（2021年1季度）</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1B-4CD8-8DD5-97B6635D7A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1B-4CD8-8DD5-97B6635D7A8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1B-4CD8-8DD5-97B6635D7A8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71B-4CD8-8DD5-97B6635D7A83}"/>
              </c:ext>
            </c:extLst>
          </c:dPt>
          <c:dLbls>
            <c:dLbl>
              <c:idx val="0"/>
              <c:layout>
                <c:manualLayout>
                  <c:x val="0.1249999999999999"/>
                  <c:y val="-6.4665127020785307E-2"/>
                </c:manualLayout>
              </c:layout>
              <c:tx>
                <c:rich>
                  <a:bodyPr/>
                  <a:lstStyle/>
                  <a:p>
                    <a:fld id="{1FBF0862-DC76-4A4E-8A12-62C44E99C510}" type="CATEGORYNAME">
                      <a:rPr lang="zh-CN" altLang="en-US"/>
                      <a:pPr/>
                      <a:t>[CATEGORY NAME]</a:t>
                    </a:fld>
                    <a:r>
                      <a:rPr lang="en-US" altLang="zh-CN" baseline="0">
                        <a:latin typeface="+mn-ea"/>
                        <a:ea typeface="+mn-ea"/>
                      </a:rPr>
                      <a:t>,</a:t>
                    </a:r>
                    <a:r>
                      <a:rPr lang="zh-CN" altLang="en-US" baseline="0"/>
                      <a:t> </a:t>
                    </a:r>
                    <a:fld id="{DB1B19F2-247D-408A-931E-796F379E305C}" type="VALUE">
                      <a:rPr lang="en-US" altLang="zh-CN" baseline="0"/>
                      <a:pPr/>
                      <a:t>[VALUE]</a:t>
                    </a:fld>
                    <a:endParaRPr lang="zh-CN"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71B-4CD8-8DD5-97B6635D7A83}"/>
                </c:ext>
              </c:extLst>
            </c:dLbl>
            <c:dLbl>
              <c:idx val="1"/>
              <c:layout>
                <c:manualLayout>
                  <c:x val="0.19722222222222222"/>
                  <c:y val="-1.8475750577367289E-2"/>
                </c:manualLayout>
              </c:layout>
              <c:tx>
                <c:rich>
                  <a:bodyPr/>
                  <a:lstStyle/>
                  <a:p>
                    <a:fld id="{87395698-2CC5-40BF-AA0F-2348708416ED}" type="CATEGORYNAME">
                      <a:rPr lang="zh-CN" altLang="en-US"/>
                      <a:pPr/>
                      <a:t>[CATEGORY NAME]</a:t>
                    </a:fld>
                    <a:r>
                      <a:rPr lang="en-US" altLang="zh-CN" baseline="0">
                        <a:latin typeface="+mn-ea"/>
                        <a:ea typeface="+mn-ea"/>
                      </a:rPr>
                      <a:t>, </a:t>
                    </a:r>
                    <a:fld id="{91B5AD6C-3AC1-4A9B-A03F-4A5544F0C356}" type="VALUE">
                      <a:rPr lang="en-US" altLang="zh-CN" baseline="0"/>
                      <a:pPr/>
                      <a:t>[VALUE]</a:t>
                    </a:fld>
                    <a:endParaRPr lang="en-US" altLang="zh-CN" baseline="0">
                      <a:latin typeface="+mn-ea"/>
                      <a:ea typeface="+mn-ea"/>
                    </a:endParaRPr>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71B-4CD8-8DD5-97B6635D7A83}"/>
                </c:ext>
              </c:extLst>
            </c:dLbl>
            <c:dLbl>
              <c:idx val="2"/>
              <c:layout>
                <c:manualLayout>
                  <c:x val="6.6666666666666666E-2"/>
                  <c:y val="0.12471131639722864"/>
                </c:manualLayout>
              </c:layout>
              <c:tx>
                <c:rich>
                  <a:bodyPr/>
                  <a:lstStyle/>
                  <a:p>
                    <a:fld id="{30446D1C-D8E0-4A10-A6C3-3B659E5DDC8F}" type="CATEGORYNAME">
                      <a:rPr lang="zh-CN" altLang="en-US"/>
                      <a:pPr/>
                      <a:t>[CATEGORY NAME]</a:t>
                    </a:fld>
                    <a:r>
                      <a:rPr lang="en-US" altLang="zh-CN" baseline="0">
                        <a:latin typeface="+mn-ea"/>
                        <a:ea typeface="+mn-ea"/>
                      </a:rPr>
                      <a:t>,</a:t>
                    </a:r>
                    <a:r>
                      <a:rPr lang="zh-CN" altLang="en-US" baseline="0"/>
                      <a:t> </a:t>
                    </a:r>
                    <a:fld id="{B67C5EDF-C81F-48A2-9727-1E581117B12E}" type="VALUE">
                      <a:rPr lang="en-US" altLang="zh-CN" baseline="0"/>
                      <a:pPr/>
                      <a:t>[VALUE]</a:t>
                    </a:fld>
                    <a:endParaRPr lang="zh-CN"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71B-4CD8-8DD5-97B6635D7A83}"/>
                </c:ext>
              </c:extLst>
            </c:dLbl>
            <c:dLbl>
              <c:idx val="3"/>
              <c:layout>
                <c:manualLayout>
                  <c:x val="-0.14305555555555555"/>
                  <c:y val="-0.25404148481439826"/>
                </c:manualLayout>
              </c:layout>
              <c:tx>
                <c:rich>
                  <a:bodyPr/>
                  <a:lstStyle/>
                  <a:p>
                    <a:fld id="{1C63B433-44BA-4FC2-98F0-C0FF6C71B091}" type="CATEGORYNAME">
                      <a:rPr lang="zh-CN" altLang="en-US"/>
                      <a:pPr/>
                      <a:t>[CATEGORY NAME]</a:t>
                    </a:fld>
                    <a:r>
                      <a:rPr lang="en-US" altLang="zh-CN" baseline="0">
                        <a:latin typeface="+mn-ea"/>
                        <a:ea typeface="+mn-ea"/>
                      </a:rPr>
                      <a:t>,</a:t>
                    </a:r>
                    <a:r>
                      <a:rPr lang="zh-CN" altLang="en-US" baseline="0"/>
                      <a:t> </a:t>
                    </a:r>
                    <a:fld id="{A37B2B93-627D-4E57-B4B2-C1148E45EC00}" type="VALUE">
                      <a:rPr lang="en-US" altLang="zh-CN" baseline="0"/>
                      <a:pPr/>
                      <a:t>[VALUE]</a:t>
                    </a:fld>
                    <a:endParaRPr lang="zh-CN" altLang="en-US" baseline="0"/>
                  </a:p>
                </c:rich>
              </c:tx>
              <c:showLegendKey val="0"/>
              <c:showVal val="1"/>
              <c:showCatName val="1"/>
              <c:showSerName val="0"/>
              <c:showPercent val="0"/>
              <c:showBubbleSize val="0"/>
              <c:extLst>
                <c:ext xmlns:c15="http://schemas.microsoft.com/office/drawing/2012/chart" uri="{CE6537A1-D6FC-4f65-9D91-7224C49458BB}">
                  <c15:layout>
                    <c:manualLayout>
                      <c:w val="0.21893110236220475"/>
                      <c:h val="6.7856197975253094E-2"/>
                    </c:manualLayout>
                  </c15:layout>
                  <c15:dlblFieldTable/>
                  <c15:showDataLabelsRange val="0"/>
                </c:ext>
                <c:ext xmlns:c16="http://schemas.microsoft.com/office/drawing/2014/chart" uri="{C3380CC4-5D6E-409C-BE32-E72D297353CC}">
                  <c16:uniqueId val="{00000007-A71B-4CD8-8DD5-97B6635D7A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Sheet1!$A$40:$A$43</c:f>
              <c:strCache>
                <c:ptCount val="4"/>
                <c:pt idx="0">
                  <c:v>非洲</c:v>
                </c:pt>
                <c:pt idx="1">
                  <c:v>美洲</c:v>
                </c:pt>
                <c:pt idx="2">
                  <c:v>欧洲</c:v>
                </c:pt>
                <c:pt idx="3">
                  <c:v>多个区域</c:v>
                </c:pt>
              </c:strCache>
            </c:strRef>
          </c:cat>
          <c:val>
            <c:numRef>
              <c:f>Sheet1!$B$40:$B$43</c:f>
              <c:numCache>
                <c:formatCode>0.0%</c:formatCode>
                <c:ptCount val="4"/>
                <c:pt idx="0">
                  <c:v>0.32700000000000001</c:v>
                </c:pt>
                <c:pt idx="1">
                  <c:v>9.0999999999999998E-2</c:v>
                </c:pt>
                <c:pt idx="2">
                  <c:v>2E-3</c:v>
                </c:pt>
                <c:pt idx="3">
                  <c:v>0.57899999999999996</c:v>
                </c:pt>
              </c:numCache>
            </c:numRef>
          </c:val>
          <c:extLst>
            <c:ext xmlns:c16="http://schemas.microsoft.com/office/drawing/2014/chart" uri="{C3380CC4-5D6E-409C-BE32-E72D297353CC}">
              <c16:uniqueId val="{00000008-A71B-4CD8-8DD5-97B6635D7A83}"/>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065037498218751E-2"/>
          <c:y val="0.23751162197081754"/>
          <c:w val="0.96521695149362774"/>
          <c:h val="0.6928292845405899"/>
        </c:manualLayout>
      </c:layout>
      <c:pie3DChart>
        <c:varyColors val="1"/>
        <c:ser>
          <c:idx val="0"/>
          <c:order val="0"/>
          <c:dPt>
            <c:idx val="0"/>
            <c:bubble3D val="0"/>
            <c:explosion val="2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5A7-4443-8C7A-AE4264A4859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5A7-4443-8C7A-AE4264A4859A}"/>
              </c:ext>
            </c:extLst>
          </c:dPt>
          <c:dLbls>
            <c:dLbl>
              <c:idx val="0"/>
              <c:layout>
                <c:manualLayout>
                  <c:x val="1.5042117930204572E-2"/>
                  <c:y val="-4.0034089962374959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zh-CN" altLang="en-US"/>
                      <a:t>国际电联部分</a:t>
                    </a:r>
                    <a:r>
                      <a:rPr lang="zh-CN" altLang="en-US" baseline="0"/>
                      <a:t>
</a:t>
                    </a:r>
                    <a:fld id="{27BE06AC-046B-437A-BF42-863210A21B83}" type="PERCENTAGE">
                      <a:rPr lang="en-US" baseline="0"/>
                      <a:pPr>
                        <a:defRPr/>
                      </a:pPr>
                      <a:t>[PERCENTAGE]</a:t>
                    </a:fld>
                    <a:endParaRPr lang="zh-CN" alt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953068592057762"/>
                      <c:h val="0.20134423431557755"/>
                    </c:manualLayout>
                  </c15:layout>
                  <c15:dlblFieldTable/>
                  <c15:showDataLabelsRange val="0"/>
                </c:ext>
                <c:ext xmlns:c16="http://schemas.microsoft.com/office/drawing/2014/chart" uri="{C3380CC4-5D6E-409C-BE32-E72D297353CC}">
                  <c16:uniqueId val="{00000001-25A7-4443-8C7A-AE4264A4859A}"/>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zh-CN" altLang="en-US"/>
                      <a:t>合作伙伴部分</a:t>
                    </a:r>
                    <a:r>
                      <a:rPr lang="zh-CN" altLang="en-US" baseline="0"/>
                      <a:t>
</a:t>
                    </a:r>
                    <a:fld id="{835329BD-6959-4A12-BDB2-563754BC4031}" type="PERCENTAGE">
                      <a:rPr lang="en-US" baseline="0"/>
                      <a:pPr>
                        <a:defRPr>
                          <a:solidFill>
                            <a:schemeClr val="accent1"/>
                          </a:solidFill>
                        </a:defRPr>
                      </a:pPr>
                      <a:t>[PERCENTAGE]</a:t>
                    </a:fld>
                    <a:endParaRPr lang="zh-CN" alt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5342960288808664"/>
                      <c:h val="0.16130991918832566"/>
                    </c:manualLayout>
                  </c15:layout>
                  <c15:dlblFieldTable/>
                  <c15:showDataLabelsRange val="0"/>
                </c:ext>
                <c:ext xmlns:c16="http://schemas.microsoft.com/office/drawing/2014/chart" uri="{C3380CC4-5D6E-409C-BE32-E72D297353CC}">
                  <c16:uniqueId val="{00000003-25A7-4443-8C7A-AE4264A4859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'2020 agreements'!$J$59:$J$60</c:f>
              <c:strCache>
                <c:ptCount val="2"/>
                <c:pt idx="0">
                  <c:v> ITU </c:v>
                </c:pt>
                <c:pt idx="1">
                  <c:v> Partners </c:v>
                </c:pt>
              </c:strCache>
            </c:strRef>
          </c:cat>
          <c:val>
            <c:numRef>
              <c:f>'2020 agreements'!$K$59:$K$60</c:f>
              <c:numCache>
                <c:formatCode>0%</c:formatCode>
                <c:ptCount val="2"/>
                <c:pt idx="0">
                  <c:v>0.20360062999724637</c:v>
                </c:pt>
                <c:pt idx="1">
                  <c:v>0.79639943597881535</c:v>
                </c:pt>
              </c:numCache>
            </c:numRef>
          </c:val>
          <c:extLst>
            <c:ext xmlns:c16="http://schemas.microsoft.com/office/drawing/2014/chart" uri="{C3380CC4-5D6E-409C-BE32-E72D297353CC}">
              <c16:uniqueId val="{00000004-25A7-4443-8C7A-AE4264A4859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zh-CN" altLang="en-US" sz="1200" b="1">
                <a:latin typeface="SimSun" panose="02010600030101010101" pitchFamily="2" charset="-122"/>
                <a:ea typeface="SimSun" panose="02010600030101010101" pitchFamily="2" charset="-122"/>
              </a:rPr>
              <a:t>按类型排列的合作伙伴已签约财务捐款（</a:t>
            </a:r>
            <a:r>
              <a:rPr lang="en-US" altLang="zh-CN" sz="1200" b="1">
                <a:latin typeface="+mn-lt"/>
                <a:ea typeface="SimSun" panose="02010600030101010101" pitchFamily="2" charset="-122"/>
              </a:rPr>
              <a:t>2020</a:t>
            </a:r>
            <a:r>
              <a:rPr lang="zh-CN" altLang="en-US" sz="1200" b="1">
                <a:latin typeface="SimSun" panose="02010600030101010101" pitchFamily="2" charset="-122"/>
                <a:ea typeface="SimSun" panose="02010600030101010101" pitchFamily="2" charset="-122"/>
              </a:rPr>
              <a:t>年）</a:t>
            </a:r>
            <a:endParaRPr lang="en-US" sz="1200" b="1">
              <a:latin typeface="SimSun" panose="02010600030101010101" pitchFamily="2" charset="-122"/>
              <a:ea typeface="SimSun" panose="02010600030101010101" pitchFamily="2" charset="-122"/>
            </a:endParaRP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Sheet1!$B$93</c:f>
              <c:strCache>
                <c:ptCount val="1"/>
                <c:pt idx="0">
                  <c:v>按类型排列的合作伙伴已签约财务捐款（2020年）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Sheet1!$A$94:$A$99</c:f>
              <c:strCache>
                <c:ptCount val="6"/>
                <c:pt idx="0">
                  <c:v>国际电联成员国和其他政府实体</c:v>
                </c:pt>
                <c:pt idx="1">
                  <c:v>基金</c:v>
                </c:pt>
                <c:pt idx="2">
                  <c:v>联合国组织</c:v>
                </c:pt>
                <c:pt idx="3">
                  <c:v>国际和区域组织及协会</c:v>
                </c:pt>
                <c:pt idx="4">
                  <c:v>学术成员</c:v>
                </c:pt>
                <c:pt idx="5">
                  <c:v>私营部门实体</c:v>
                </c:pt>
              </c:strCache>
            </c:strRef>
          </c:cat>
          <c:val>
            <c:numRef>
              <c:f>Sheet1!$B$94:$B$99</c:f>
              <c:numCache>
                <c:formatCode>0.0%</c:formatCode>
                <c:ptCount val="6"/>
                <c:pt idx="0">
                  <c:v>0.79</c:v>
                </c:pt>
                <c:pt idx="1">
                  <c:v>3.3000000000000002E-2</c:v>
                </c:pt>
                <c:pt idx="2">
                  <c:v>0.05</c:v>
                </c:pt>
                <c:pt idx="3">
                  <c:v>7.3999999999999996E-2</c:v>
                </c:pt>
                <c:pt idx="4">
                  <c:v>2E-3</c:v>
                </c:pt>
                <c:pt idx="5">
                  <c:v>0.05</c:v>
                </c:pt>
              </c:numCache>
            </c:numRef>
          </c:val>
          <c:extLst>
            <c:ext xmlns:c16="http://schemas.microsoft.com/office/drawing/2014/chart" uri="{C3380CC4-5D6E-409C-BE32-E72D297353CC}">
              <c16:uniqueId val="{00000000-7D44-4F5D-8861-5C99CA66D41E}"/>
            </c:ext>
          </c:extLst>
        </c:ser>
        <c:dLbls>
          <c:dLblPos val="inEnd"/>
          <c:showLegendKey val="0"/>
          <c:showVal val="1"/>
          <c:showCatName val="0"/>
          <c:showSerName val="0"/>
          <c:showPercent val="0"/>
          <c:showBubbleSize val="0"/>
        </c:dLbls>
        <c:gapWidth val="182"/>
        <c:axId val="693802656"/>
        <c:axId val="693794752"/>
      </c:barChart>
      <c:catAx>
        <c:axId val="69380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crossAx val="693794752"/>
        <c:crosses val="autoZero"/>
        <c:auto val="1"/>
        <c:lblAlgn val="ctr"/>
        <c:lblOffset val="100"/>
        <c:noMultiLvlLbl val="0"/>
      </c:catAx>
      <c:valAx>
        <c:axId val="69379475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9380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zh-CN" altLang="en-US" sz="1200" b="1">
                <a:latin typeface="SimSun" panose="02010600030101010101" pitchFamily="2" charset="-122"/>
                <a:ea typeface="SimSun" panose="02010600030101010101" pitchFamily="2" charset="-122"/>
              </a:rPr>
              <a:t>按区域排列的合作伙伴已签约财务捐款（</a:t>
            </a:r>
            <a:r>
              <a:rPr lang="en-US" altLang="zh-CN" sz="1200" b="1">
                <a:latin typeface="+mn-lt"/>
                <a:ea typeface="SimSun" panose="02010600030101010101" pitchFamily="2" charset="-122"/>
              </a:rPr>
              <a:t>2020</a:t>
            </a:r>
            <a:r>
              <a:rPr lang="zh-CN" altLang="en-US" sz="1200" b="1">
                <a:latin typeface="SimSun" panose="02010600030101010101" pitchFamily="2" charset="-122"/>
                <a:ea typeface="SimSun" panose="02010600030101010101" pitchFamily="2" charset="-122"/>
              </a:rPr>
              <a:t>年）</a:t>
            </a:r>
            <a:endParaRPr lang="en-US" sz="1200" b="1">
              <a:latin typeface="SimSun" panose="02010600030101010101" pitchFamily="2" charset="-122"/>
              <a:ea typeface="SimSun" panose="02010600030101010101" pitchFamily="2" charset="-122"/>
            </a:endParaRPr>
          </a:p>
        </c:rich>
      </c:tx>
      <c:layout>
        <c:manualLayout>
          <c:xMode val="edge"/>
          <c:yMode val="edge"/>
          <c:x val="0.23418515359620828"/>
          <c:y val="3.968718725090238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9980872819827729"/>
          <c:y val="0.17782657380341013"/>
          <c:w val="0.35446898219332651"/>
          <c:h val="0.72633033468466823"/>
        </c:manualLayout>
      </c:layout>
      <c:doughnutChart>
        <c:varyColors val="1"/>
        <c:ser>
          <c:idx val="0"/>
          <c:order val="0"/>
          <c:tx>
            <c:strRef>
              <c:f>Sheet1!$B$116</c:f>
              <c:strCache>
                <c:ptCount val="1"/>
                <c:pt idx="0">
                  <c:v>按区域排列的合作伙伴已签约财务捐款（2020年）</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06-4B4F-ABDD-A3FCE49976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06-4B4F-ABDD-A3FCE49976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06-4B4F-ABDD-A3FCE499762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06-4B4F-ABDD-A3FCE499762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706-4B4F-ABDD-A3FCE499762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706-4B4F-ABDD-A3FCE499762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706-4B4F-ABDD-A3FCE4997620}"/>
              </c:ext>
            </c:extLst>
          </c:dPt>
          <c:dLbls>
            <c:dLbl>
              <c:idx val="0"/>
              <c:layout>
                <c:manualLayout>
                  <c:x val="1.6089916602990299E-2"/>
                  <c:y val="-8.678588683877201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706-4B4F-ABDD-A3FCE4997620}"/>
                </c:ext>
              </c:extLst>
            </c:dLbl>
            <c:dLbl>
              <c:idx val="1"/>
              <c:layout>
                <c:manualLayout>
                  <c:x val="4.7244094488188976E-2"/>
                  <c:y val="-5.4940855664171499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706-4B4F-ABDD-A3FCE4997620}"/>
                </c:ext>
              </c:extLst>
            </c:dLbl>
            <c:dLbl>
              <c:idx val="2"/>
              <c:layout>
                <c:manualLayout>
                  <c:x val="8.070866141732283E-2"/>
                  <c:y val="6.1045395182412216E-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706-4B4F-ABDD-A3FCE4997620}"/>
                </c:ext>
              </c:extLst>
            </c:dLbl>
            <c:dLbl>
              <c:idx val="3"/>
              <c:layout>
                <c:manualLayout>
                  <c:x val="4.1338582677165281E-2"/>
                  <c:y val="5.1888585905050855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706-4B4F-ABDD-A3FCE4997620}"/>
                </c:ext>
              </c:extLst>
            </c:dLbl>
            <c:dLbl>
              <c:idx val="4"/>
              <c:layout>
                <c:manualLayout>
                  <c:x val="3.1496062992125914E-2"/>
                  <c:y val="8.546355325537788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706-4B4F-ABDD-A3FCE4997620}"/>
                </c:ext>
              </c:extLst>
            </c:dLbl>
            <c:dLbl>
              <c:idx val="5"/>
              <c:layout>
                <c:manualLayout>
                  <c:x val="-2.0140886179315125E-2"/>
                  <c:y val="8.7879500137109726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706-4B4F-ABDD-A3FCE4997620}"/>
                </c:ext>
              </c:extLst>
            </c:dLbl>
            <c:dLbl>
              <c:idx val="6"/>
              <c:layout>
                <c:manualLayout>
                  <c:x val="-6.8897637795275621E-2"/>
                  <c:y val="-3.3574967350327029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1706-4B4F-ABDD-A3FCE499762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Sheet1!$A$117:$A$123</c:f>
              <c:strCache>
                <c:ptCount val="7"/>
                <c:pt idx="0">
                  <c:v>非洲</c:v>
                </c:pt>
                <c:pt idx="1">
                  <c:v>美洲</c:v>
                </c:pt>
                <c:pt idx="2">
                  <c:v>阿拉伯国家</c:v>
                </c:pt>
                <c:pt idx="3">
                  <c:v>亚太</c:v>
                </c:pt>
                <c:pt idx="4">
                  <c:v>独联体</c:v>
                </c:pt>
                <c:pt idx="5">
                  <c:v>欧洲</c:v>
                </c:pt>
                <c:pt idx="6">
                  <c:v>多个区域</c:v>
                </c:pt>
              </c:strCache>
            </c:strRef>
          </c:cat>
          <c:val>
            <c:numRef>
              <c:f>Sheet1!$B$117:$B$123</c:f>
              <c:numCache>
                <c:formatCode>0%</c:formatCode>
                <c:ptCount val="7"/>
                <c:pt idx="0">
                  <c:v>6.3E-2</c:v>
                </c:pt>
                <c:pt idx="1">
                  <c:v>3.2000000000000001E-2</c:v>
                </c:pt>
                <c:pt idx="2">
                  <c:v>0.27500000000000002</c:v>
                </c:pt>
                <c:pt idx="3">
                  <c:v>0.08</c:v>
                </c:pt>
                <c:pt idx="4">
                  <c:v>2.7E-2</c:v>
                </c:pt>
                <c:pt idx="5">
                  <c:v>6.5000000000000002E-2</c:v>
                </c:pt>
                <c:pt idx="6">
                  <c:v>0.46400000000000002</c:v>
                </c:pt>
              </c:numCache>
            </c:numRef>
          </c:val>
          <c:extLst>
            <c:ext xmlns:c16="http://schemas.microsoft.com/office/drawing/2014/chart" uri="{C3380CC4-5D6E-409C-BE32-E72D297353CC}">
              <c16:uniqueId val="{0000000E-1706-4B4F-ABDD-A3FCE4997620}"/>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manualLayout>
          <c:xMode val="edge"/>
          <c:yMode val="edge"/>
          <c:x val="3.4560884121768241E-2"/>
          <c:y val="0.18542514753037731"/>
          <c:w val="0.19268925537851075"/>
          <c:h val="0.5429228439078858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8433-3FB4-431B-B65B-285DF676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6</Pages>
  <Words>1989</Words>
  <Characters>547</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37</cp:revision>
  <cp:lastPrinted>2014-11-04T09:22:00Z</cp:lastPrinted>
  <dcterms:created xsi:type="dcterms:W3CDTF">2021-04-22T08:37:00Z</dcterms:created>
  <dcterms:modified xsi:type="dcterms:W3CDTF">2021-04-27T08:48:00Z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