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131A73" w14:paraId="319433B0" w14:textId="77777777" w:rsidTr="00C33388">
        <w:trPr>
          <w:trHeight w:val="1134"/>
        </w:trPr>
        <w:tc>
          <w:tcPr>
            <w:tcW w:w="2410" w:type="dxa"/>
          </w:tcPr>
          <w:p w14:paraId="5D824C4D" w14:textId="77777777" w:rsidR="00FA6BDB" w:rsidRPr="00131A73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131A73">
              <w:rPr>
                <w:rFonts w:cstheme="minorHAns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762A83A" wp14:editId="7EDCA8C9">
                  <wp:extent cx="1104900" cy="94212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9"/>
                          <a:stretch/>
                        </pic:blipFill>
                        <pic:spPr bwMode="auto">
                          <a:xfrm>
                            <a:off x="0" y="0"/>
                            <a:ext cx="1114772" cy="950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6AB60235" w14:textId="77777777" w:rsidR="00FA6BDB" w:rsidRPr="00131A73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131A73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 w:rsidRPr="00131A73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131A73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28-е собрание, </w:t>
            </w:r>
            <w:r w:rsidRPr="00131A73">
              <w:rPr>
                <w:b/>
                <w:bCs/>
                <w:sz w:val="24"/>
                <w:szCs w:val="24"/>
              </w:rPr>
              <w:t>виртуальное, 2</w:t>
            </w:r>
            <w:r w:rsidR="00C15500" w:rsidRPr="00131A73">
              <w:rPr>
                <w:b/>
                <w:bCs/>
                <w:sz w:val="24"/>
                <w:szCs w:val="24"/>
              </w:rPr>
              <w:t>4</w:t>
            </w:r>
            <w:r w:rsidR="00DC354B" w:rsidRPr="00131A73">
              <w:rPr>
                <w:b/>
                <w:bCs/>
                <w:sz w:val="24"/>
                <w:szCs w:val="24"/>
              </w:rPr>
              <w:t>−</w:t>
            </w:r>
            <w:r w:rsidRPr="00131A73">
              <w:rPr>
                <w:b/>
                <w:bCs/>
                <w:sz w:val="24"/>
                <w:szCs w:val="24"/>
              </w:rPr>
              <w:t xml:space="preserve">28 мая 2021 </w:t>
            </w:r>
            <w:r w:rsidR="00233B04" w:rsidRPr="00131A73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637F9C18" w14:textId="77777777" w:rsidR="00FA6BDB" w:rsidRPr="00131A73" w:rsidRDefault="00FA6BDB" w:rsidP="00FA6BDB">
            <w:pPr>
              <w:widowControl w:val="0"/>
              <w:jc w:val="center"/>
            </w:pPr>
            <w:r w:rsidRPr="00131A73">
              <w:rPr>
                <w:noProof/>
              </w:rPr>
              <w:drawing>
                <wp:inline distT="0" distB="0" distL="0" distR="0" wp14:anchorId="7244208D" wp14:editId="3AA1B30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131A73" w14:paraId="0BDEE594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1D8FC127" w14:textId="77777777" w:rsidR="00CD34AE" w:rsidRPr="00131A73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2EF1C352" w14:textId="77777777" w:rsidR="00CD34AE" w:rsidRPr="00131A73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131A73" w14:paraId="4544DFC5" w14:textId="77777777" w:rsidTr="00CD34AE">
        <w:trPr>
          <w:trHeight w:val="300"/>
        </w:trPr>
        <w:tc>
          <w:tcPr>
            <w:tcW w:w="6662" w:type="dxa"/>
            <w:gridSpan w:val="2"/>
          </w:tcPr>
          <w:p w14:paraId="011A0881" w14:textId="77777777" w:rsidR="00CD34AE" w:rsidRPr="00131A73" w:rsidRDefault="00CD34AE" w:rsidP="00FA70C3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EC4F702" w14:textId="6DDEEA34" w:rsidR="00CD34AE" w:rsidRPr="00131A73" w:rsidRDefault="003E6E87" w:rsidP="00FA70C3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131A73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131A73">
              <w:rPr>
                <w:rFonts w:cstheme="minorHAnsi"/>
                <w:b/>
                <w:bCs/>
              </w:rPr>
              <w:t>TDAG</w:t>
            </w:r>
            <w:r w:rsidR="0040328D" w:rsidRPr="00131A73">
              <w:rPr>
                <w:rFonts w:cstheme="minorHAnsi"/>
                <w:b/>
                <w:bCs/>
              </w:rPr>
              <w:t>-</w:t>
            </w:r>
            <w:r w:rsidR="002502FE" w:rsidRPr="00131A73">
              <w:rPr>
                <w:rFonts w:cstheme="minorHAnsi"/>
                <w:b/>
                <w:bCs/>
              </w:rPr>
              <w:t>2</w:t>
            </w:r>
            <w:r w:rsidR="00FA6BDB" w:rsidRPr="00131A73">
              <w:rPr>
                <w:rFonts w:cstheme="minorHAnsi"/>
                <w:b/>
                <w:bCs/>
              </w:rPr>
              <w:t>1</w:t>
            </w:r>
            <w:r w:rsidR="00631202" w:rsidRPr="00131A73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50362C" w:rsidRPr="00131A73">
              <w:rPr>
                <w:rFonts w:cstheme="minorHAnsi"/>
                <w:b/>
                <w:bCs/>
              </w:rPr>
              <w:t>2</w:t>
            </w:r>
            <w:r w:rsidRPr="00131A73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131A73" w14:paraId="502FAFFD" w14:textId="77777777" w:rsidTr="00CD34AE">
        <w:trPr>
          <w:trHeight w:val="300"/>
        </w:trPr>
        <w:tc>
          <w:tcPr>
            <w:tcW w:w="6662" w:type="dxa"/>
            <w:gridSpan w:val="2"/>
          </w:tcPr>
          <w:p w14:paraId="7E4957E9" w14:textId="77777777" w:rsidR="00CD34AE" w:rsidRPr="00131A73" w:rsidRDefault="00CD34AE" w:rsidP="00FA70C3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5EBE938F" w14:textId="1C782CEE" w:rsidR="00CD34AE" w:rsidRPr="00131A73" w:rsidRDefault="0050362C" w:rsidP="00FA70C3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131A73">
              <w:rPr>
                <w:b/>
                <w:bCs/>
              </w:rPr>
              <w:t>26 апреля</w:t>
            </w:r>
            <w:r w:rsidR="00A73D91" w:rsidRPr="00131A73">
              <w:rPr>
                <w:b/>
                <w:bCs/>
              </w:rPr>
              <w:t xml:space="preserve"> 20</w:t>
            </w:r>
            <w:r w:rsidR="002502FE" w:rsidRPr="00131A73">
              <w:rPr>
                <w:b/>
                <w:bCs/>
              </w:rPr>
              <w:t>2</w:t>
            </w:r>
            <w:r w:rsidR="00FA6BDB" w:rsidRPr="00131A73">
              <w:rPr>
                <w:b/>
                <w:bCs/>
              </w:rPr>
              <w:t>1</w:t>
            </w:r>
            <w:r w:rsidR="00A73D91" w:rsidRPr="00131A73">
              <w:rPr>
                <w:b/>
                <w:bCs/>
              </w:rPr>
              <w:t xml:space="preserve"> года</w:t>
            </w:r>
          </w:p>
        </w:tc>
      </w:tr>
      <w:tr w:rsidR="00CD34AE" w:rsidRPr="00131A73" w14:paraId="64EC78CA" w14:textId="77777777" w:rsidTr="00CD34AE">
        <w:trPr>
          <w:trHeight w:val="300"/>
        </w:trPr>
        <w:tc>
          <w:tcPr>
            <w:tcW w:w="6662" w:type="dxa"/>
            <w:gridSpan w:val="2"/>
          </w:tcPr>
          <w:p w14:paraId="507F4AFC" w14:textId="77777777" w:rsidR="00CD34AE" w:rsidRPr="00131A73" w:rsidRDefault="00CD34AE" w:rsidP="00FA70C3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3E6C89BA" w14:textId="77777777" w:rsidR="00CD34AE" w:rsidRPr="00131A73" w:rsidRDefault="003E6E87" w:rsidP="00FA70C3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131A73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131A73">
              <w:rPr>
                <w:rFonts w:cstheme="minorHAnsi"/>
                <w:b/>
                <w:bCs/>
              </w:rPr>
              <w:t xml:space="preserve"> </w:t>
            </w:r>
            <w:r w:rsidR="002363C5" w:rsidRPr="00131A73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50362C" w:rsidRPr="00131A73" w14:paraId="3B8D4C84" w14:textId="77777777" w:rsidTr="00CD34AE">
        <w:trPr>
          <w:trHeight w:val="850"/>
        </w:trPr>
        <w:tc>
          <w:tcPr>
            <w:tcW w:w="9923" w:type="dxa"/>
            <w:gridSpan w:val="4"/>
          </w:tcPr>
          <w:p w14:paraId="5EE2BD84" w14:textId="30D3900D" w:rsidR="0050362C" w:rsidRPr="00131A73" w:rsidRDefault="0050362C" w:rsidP="0050362C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131A73">
              <w:t>Директор Бюро развития электросвязи</w:t>
            </w:r>
          </w:p>
        </w:tc>
      </w:tr>
      <w:tr w:rsidR="0050362C" w:rsidRPr="00131A73" w14:paraId="14C4A8C0" w14:textId="77777777" w:rsidTr="00270876">
        <w:tc>
          <w:tcPr>
            <w:tcW w:w="9923" w:type="dxa"/>
            <w:gridSpan w:val="4"/>
          </w:tcPr>
          <w:p w14:paraId="36BD3C72" w14:textId="4A4DAA52" w:rsidR="0050362C" w:rsidRPr="00131A73" w:rsidRDefault="0050362C" w:rsidP="0050362C">
            <w:pPr>
              <w:pStyle w:val="Title1"/>
            </w:pPr>
            <w:bookmarkStart w:id="5" w:name="Title"/>
            <w:bookmarkEnd w:id="5"/>
            <w:r w:rsidRPr="00131A73">
              <w:rPr>
                <w:caps w:val="0"/>
              </w:rPr>
              <w:t xml:space="preserve">Представление Отчета о выполнении Плана действий Буэнос-Айреса ВКРЭ-17 (включая региональные инициативы) и </w:t>
            </w:r>
            <w:r w:rsidR="000D4947" w:rsidRPr="00131A73">
              <w:rPr>
                <w:caps w:val="0"/>
              </w:rPr>
              <w:t xml:space="preserve">о </w:t>
            </w:r>
            <w:r w:rsidRPr="00131A73">
              <w:rPr>
                <w:caps w:val="0"/>
              </w:rPr>
              <w:t>вклад</w:t>
            </w:r>
            <w:r w:rsidR="00301D5D" w:rsidRPr="00131A73">
              <w:rPr>
                <w:caps w:val="0"/>
              </w:rPr>
              <w:t>е</w:t>
            </w:r>
            <w:r w:rsidRPr="00131A73">
              <w:rPr>
                <w:caps w:val="0"/>
              </w:rPr>
              <w:t xml:space="preserve"> в выполнение Плана </w:t>
            </w:r>
            <w:r w:rsidR="00131A73" w:rsidRPr="00131A73">
              <w:rPr>
                <w:caps w:val="0"/>
              </w:rPr>
              <w:t xml:space="preserve">действий </w:t>
            </w:r>
            <w:r w:rsidRPr="00131A73">
              <w:rPr>
                <w:caps w:val="0"/>
              </w:rPr>
              <w:t xml:space="preserve">ВВУИО и достижение </w:t>
            </w:r>
            <w:r w:rsidR="00301D5D" w:rsidRPr="00131A73">
              <w:rPr>
                <w:caps w:val="0"/>
              </w:rPr>
              <w:t>Ц</w:t>
            </w:r>
            <w:r w:rsidRPr="00131A73">
              <w:rPr>
                <w:caps w:val="0"/>
              </w:rPr>
              <w:t>елей в области устойчивого развития (ЦУР)</w:t>
            </w:r>
          </w:p>
        </w:tc>
      </w:tr>
      <w:tr w:rsidR="00CD34AE" w:rsidRPr="00131A73" w14:paraId="771964EA" w14:textId="77777777" w:rsidTr="00CD34AE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578A7E3A" w14:textId="77777777" w:rsidR="00CD34AE" w:rsidRPr="00131A73" w:rsidRDefault="00CD34AE" w:rsidP="00CD34AE"/>
        </w:tc>
      </w:tr>
      <w:tr w:rsidR="00CD34AE" w:rsidRPr="00131A73" w14:paraId="3481BEC9" w14:textId="77777777" w:rsidTr="00CD34AE">
        <w:trPr>
          <w:trHeight w:val="70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4A8B" w14:textId="77777777" w:rsidR="0050362C" w:rsidRPr="00131A73" w:rsidRDefault="0050362C" w:rsidP="0050362C">
            <w:pPr>
              <w:pStyle w:val="Headingb"/>
              <w:rPr>
                <w:caps/>
              </w:rPr>
            </w:pPr>
            <w:r w:rsidRPr="00131A73">
              <w:t>Резюме</w:t>
            </w:r>
          </w:p>
          <w:p w14:paraId="4C8F8FF6" w14:textId="5D0562A3" w:rsidR="0050362C" w:rsidRPr="00131A73" w:rsidRDefault="0050362C" w:rsidP="0050362C">
            <w:pPr>
              <w:spacing w:after="120"/>
            </w:pPr>
            <w:r w:rsidRPr="00131A73">
              <w:t xml:space="preserve">На Всемирной конференции по развитию электросвязи 2017 года (ВКРЭ-17), которая проходила с 9 по 20 октября 2017 года в Буэнос-Айресе (Аргентина), был принят План действий Буэнос-Айреса (ПДБА). Этот план, включающий в себя программы МСЭ-D, набор региональных инициатив, новые и пересмотренные </w:t>
            </w:r>
            <w:r w:rsidR="00301D5D" w:rsidRPr="00131A73">
              <w:t>Р</w:t>
            </w:r>
            <w:r w:rsidRPr="00131A73">
              <w:t xml:space="preserve">езолюции, </w:t>
            </w:r>
            <w:r w:rsidR="00301D5D" w:rsidRPr="00131A73">
              <w:t>Р</w:t>
            </w:r>
            <w:r w:rsidRPr="00131A73">
              <w:t>екомендации и Вопросы исследовательских комиссий, определяет мандат, задачи и приоритеты Сектора развития МСЭ (МСЭ-D) на период 2018−2021 годов. Он также обеспечивает согласованность работы Сектора развития со стратегическими целями МСЭ, с тем чтобы страны могли в полной мере пользоваться преимуществами ИКТ.</w:t>
            </w:r>
          </w:p>
          <w:p w14:paraId="3A92A590" w14:textId="248F72FB" w:rsidR="0050362C" w:rsidRPr="00131A73" w:rsidRDefault="0050362C" w:rsidP="0050362C">
            <w:pPr>
              <w:spacing w:after="120"/>
            </w:pPr>
            <w:r w:rsidRPr="00131A73">
              <w:t xml:space="preserve">В настоящем документе представлен отчет о выполнении ПДБА </w:t>
            </w:r>
            <w:r w:rsidR="00301D5D" w:rsidRPr="00131A73">
              <w:t xml:space="preserve">с 2018 года по апрель 2021 года </w:t>
            </w:r>
            <w:r w:rsidRPr="00131A73">
              <w:t xml:space="preserve">и </w:t>
            </w:r>
            <w:r w:rsidR="000D4947" w:rsidRPr="00131A73">
              <w:t>о</w:t>
            </w:r>
            <w:r w:rsidR="00CC1874" w:rsidRPr="00131A73">
              <w:t> </w:t>
            </w:r>
            <w:r w:rsidRPr="00131A73">
              <w:t>его вкладе в осуществление Плана действий ВВУИО и достижение Целей в области устойчивого развития (ЦУР). В нем также освещаются изменения, которые претерпело Бюро развития электросвязи (БРЭ), являющееся исполнительным органом МСЭ-D, чтобы идти в ногу с</w:t>
            </w:r>
            <w:r w:rsidR="000D4947" w:rsidRPr="00131A73">
              <w:t>о стремительно</w:t>
            </w:r>
            <w:r w:rsidRPr="00131A73">
              <w:t xml:space="preserve"> меняющимися условиями, в которых оно работает.</w:t>
            </w:r>
          </w:p>
          <w:p w14:paraId="26E64CF2" w14:textId="55BE0899" w:rsidR="0050362C" w:rsidRPr="00131A73" w:rsidRDefault="00D07C89" w:rsidP="0050362C">
            <w:pPr>
              <w:pStyle w:val="Headingb"/>
              <w:rPr>
                <w:caps/>
              </w:rPr>
            </w:pPr>
            <w:r w:rsidRPr="00131A73">
              <w:rPr>
                <w:color w:val="000000"/>
              </w:rPr>
              <w:t>Необходимые действия</w:t>
            </w:r>
          </w:p>
          <w:p w14:paraId="6C22AC43" w14:textId="7D09F525" w:rsidR="0050362C" w:rsidRPr="00131A73" w:rsidRDefault="00245256" w:rsidP="0050362C">
            <w:pPr>
              <w:spacing w:after="120"/>
            </w:pPr>
            <w:r w:rsidRPr="00131A73">
              <w:t>КГРЭ</w:t>
            </w:r>
            <w:r w:rsidR="0050362C" w:rsidRPr="00131A73">
              <w:t xml:space="preserve"> предлагается рассмотреть настоящий отчет и представить руководящие указания, которые он</w:t>
            </w:r>
            <w:r w:rsidRPr="00131A73">
              <w:t>а</w:t>
            </w:r>
            <w:r w:rsidR="0050362C" w:rsidRPr="00131A73">
              <w:t xml:space="preserve"> сочтет необходимыми.</w:t>
            </w:r>
          </w:p>
          <w:p w14:paraId="09378A11" w14:textId="77777777" w:rsidR="0050362C" w:rsidRPr="00131A73" w:rsidRDefault="0050362C" w:rsidP="0050362C">
            <w:pPr>
              <w:pStyle w:val="Headingb"/>
              <w:rPr>
                <w:caps/>
              </w:rPr>
            </w:pPr>
            <w:r w:rsidRPr="00131A73">
              <w:t>Справочные документы</w:t>
            </w:r>
          </w:p>
          <w:p w14:paraId="795E5F7A" w14:textId="32B86E3E" w:rsidR="00CD34AE" w:rsidRPr="00131A73" w:rsidRDefault="0050362C" w:rsidP="0050362C">
            <w:pPr>
              <w:spacing w:after="120"/>
            </w:pPr>
            <w:r w:rsidRPr="00131A73">
              <w:t>План действий Буэнос-Айреса ВКРЭ-17</w:t>
            </w:r>
          </w:p>
        </w:tc>
      </w:tr>
    </w:tbl>
    <w:p w14:paraId="531970FB" w14:textId="77777777" w:rsidR="002931FA" w:rsidRPr="00131A73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131A73">
        <w:br w:type="page"/>
      </w:r>
    </w:p>
    <w:p w14:paraId="27530A44" w14:textId="77777777" w:rsidR="00536C60" w:rsidRPr="00131A73" w:rsidRDefault="00536C60" w:rsidP="00536C60">
      <w:pPr>
        <w:pStyle w:val="Headingb"/>
      </w:pPr>
      <w:r w:rsidRPr="00131A73">
        <w:lastRenderedPageBreak/>
        <w:t>Введение</w:t>
      </w:r>
    </w:p>
    <w:p w14:paraId="37BDA187" w14:textId="120899BD" w:rsidR="00536C60" w:rsidRPr="00131A73" w:rsidRDefault="00536C60" w:rsidP="00536C60">
      <w:pPr>
        <w:rPr>
          <w:highlight w:val="cyan"/>
        </w:rPr>
      </w:pPr>
      <w:r w:rsidRPr="00131A73">
        <w:t xml:space="preserve">На Всемирной конференции по развитию электросвязи 2017 года (ВКРЭ-17), которая проходила с 9 по 20 октября 2017 года в Буэнос-Айресе (Аргентина), был принят </w:t>
      </w:r>
      <w:hyperlink r:id="rId10" w:history="1">
        <w:r w:rsidRPr="00131A73">
          <w:rPr>
            <w:rStyle w:val="Hyperlink"/>
          </w:rPr>
          <w:t>План действий Буэнос-Айреса</w:t>
        </w:r>
      </w:hyperlink>
      <w:r w:rsidRPr="00131A73">
        <w:t xml:space="preserve"> (ПДБА). Этот план, включающий в себя программы МСЭ-D, набор региональных инициатив, новые и пересмотренные </w:t>
      </w:r>
      <w:r w:rsidR="00D07C89" w:rsidRPr="00131A73">
        <w:t>Р</w:t>
      </w:r>
      <w:r w:rsidRPr="00131A73">
        <w:t xml:space="preserve">езолюции, </w:t>
      </w:r>
      <w:r w:rsidR="00D07C89" w:rsidRPr="00131A73">
        <w:t>Р</w:t>
      </w:r>
      <w:r w:rsidRPr="00131A73">
        <w:t>екомендации и Вопросы исследовательских комиссий, определяет мандат, задачи и приоритеты Сектора развития электросвязи МСЭ (МСЭ-D) на период 2018−2021 годов. Он также обеспечивает согласованность работы Сектора развития со стратегическими целями МСЭ, с тем чтобы страны могли в полной мере пользоваться преимуществами информационно-коммуникационных технологий (ИКТ).</w:t>
      </w:r>
    </w:p>
    <w:p w14:paraId="00EA952F" w14:textId="6382488E" w:rsidR="00536C60" w:rsidRPr="00131A73" w:rsidRDefault="00536C60" w:rsidP="00536C60">
      <w:r w:rsidRPr="00131A73">
        <w:t xml:space="preserve">В настоящем документе представлен отчет о выполнении ПДБА и </w:t>
      </w:r>
      <w:r w:rsidR="000D4947" w:rsidRPr="00131A73">
        <w:t xml:space="preserve">о </w:t>
      </w:r>
      <w:r w:rsidRPr="00131A73">
        <w:t>его вкладе в осуществление Плана действий ВВУИО и достижение Целей в области устойчивого развития (ЦУР). В нем также освещаются изменения, которые претерпело Бюро развития электросвязи (БРЭ), являющееся исполнительным органом МСЭ</w:t>
      </w:r>
      <w:r w:rsidRPr="00131A73">
        <w:noBreakHyphen/>
        <w:t>D, чтобы идти в ногу с</w:t>
      </w:r>
      <w:r w:rsidR="000D4947" w:rsidRPr="00131A73">
        <w:t>о стремительно</w:t>
      </w:r>
      <w:r w:rsidRPr="00131A73">
        <w:t xml:space="preserve"> меняющимися условиями, в которых оно работает. В период пандемии COVID-19, которая затронула все страны мира, в очередной раз подтвердилось основополагающее значение ИКТ, а также их роль в содействии социально-экономическому развитию и процессу экономического восстановления. В этом контексте также стала очевидной необходимость повышения гибкости и оперативности БРЭ, с тем чтобы оно могло руководить усилиями по обеспечению подключения всех людей во всех странах.</w:t>
      </w:r>
    </w:p>
    <w:p w14:paraId="4269D715" w14:textId="1826605B" w:rsidR="00536C60" w:rsidRPr="00131A73" w:rsidRDefault="00536C60" w:rsidP="00536C60">
      <w:pPr>
        <w:rPr>
          <w:rFonts w:cstheme="minorHAnsi"/>
        </w:rPr>
      </w:pPr>
      <w:r w:rsidRPr="00131A73">
        <w:rPr>
          <w:rFonts w:cstheme="minorHAnsi"/>
        </w:rPr>
        <w:t>В 2019 году БРЭ начало важный процесс перемен, чтобы создать Бюро, способное чутко реагировать на потребности Государств-Членов и Членов Сектора, более действенное Бюро, которое может демонстрировать свою эффективность и результативность</w:t>
      </w:r>
      <w:r w:rsidR="000D4947" w:rsidRPr="00131A73">
        <w:rPr>
          <w:rFonts w:cstheme="minorHAnsi"/>
        </w:rPr>
        <w:t>,</w:t>
      </w:r>
      <w:r w:rsidRPr="00131A73">
        <w:rPr>
          <w:rFonts w:cstheme="minorHAnsi"/>
        </w:rPr>
        <w:t xml:space="preserve"> – БРЭ, отвечающее своему назначению (Fit4Purpose). После проведения широких внутренних консультаций и консультаций с членами БРЭ приняло новые инновационные методы работы, которые послужат основой для обеспечения своевременного и эффективного выполнения </w:t>
      </w:r>
      <w:r w:rsidRPr="00131A73">
        <w:t xml:space="preserve">ПДБА и будущих планов. </w:t>
      </w:r>
      <w:r w:rsidRPr="00131A73">
        <w:rPr>
          <w:rFonts w:cstheme="minorHAnsi"/>
        </w:rPr>
        <w:t>Путь перемен БРЭ – это открытый процесс консультаций на основе участия, который во многом зависит от обратной связи и обсуждений с Государствами-Членами и Членами Секторов. Этот процесс помог оптимизировать приоритеты и цели, повысить быстроту реагирования, усилив положительное воздействие БРЭ.</w:t>
      </w:r>
    </w:p>
    <w:p w14:paraId="716D2482" w14:textId="435EBA44" w:rsidR="00536C60" w:rsidRPr="00131A73" w:rsidRDefault="00536C60" w:rsidP="00536C60">
      <w:pPr>
        <w:tabs>
          <w:tab w:val="left" w:pos="4111"/>
        </w:tabs>
        <w:rPr>
          <w:szCs w:val="20"/>
        </w:rPr>
      </w:pPr>
      <w:r w:rsidRPr="00131A73">
        <w:t>Одним из основополагающих элементов процесса преобразований, который был инициирован БРЭ, является внедрение кластерного подхода. Программы Плана действий Буэнос-Айреса были сгруппированы вокруг тематических приоритетов, способствующих координации и взаимодействию по всем программам, проектам, инициативам и Вопросам исследовательских комиссий. Такая структура тематических приоритетов в сочетании с использованием метода управления, ориентированного на результаты (УОР), также способствует усилению воздействия работы БРЭ на развитие ИКТ, устанавливая взаимосвязь с целями и задачами ВКРЭ-17, повесткой дня "Соединим к 2030 году" и Повесткой дня ООН в области устойчивого развития на период до 2030 года (см. </w:t>
      </w:r>
      <w:hyperlink r:id="rId11" w:history="1">
        <w:r w:rsidRPr="00131A73">
          <w:t>Приложение 1</w:t>
        </w:r>
      </w:hyperlink>
      <w:r w:rsidRPr="00131A73">
        <w:t xml:space="preserve"> "Таблица сопоставления тематических приоритетов, исследовательских комиссий, региональных инициатив, ЦУР и ВВУИО</w:t>
      </w:r>
      <w:r w:rsidR="00377515" w:rsidRPr="00131A73">
        <w:t>"</w:t>
      </w:r>
      <w:r w:rsidRPr="00131A73">
        <w:t>) и повышая эффективность их осуществления. В этих условиях БРЭ также приступило к осуществлению ряда стратегических инициатив, которые затрагивают все тематические приоритеты, носят глобальный характер и позволяют охватить многие регионы. Соответствующие проекты описаны в разделе 11 настоящего отчета.</w:t>
      </w:r>
    </w:p>
    <w:p w14:paraId="031E7967" w14:textId="4F501703" w:rsidR="00536C60" w:rsidRPr="00131A73" w:rsidRDefault="00536C60" w:rsidP="00536C60">
      <w:r w:rsidRPr="00131A73">
        <w:t xml:space="preserve">Для обеспечения эффективного и действенного осуществления программы работы БРЭ Бюро расширило свой подход, </w:t>
      </w:r>
      <w:r w:rsidR="000D4947" w:rsidRPr="00131A73">
        <w:t xml:space="preserve">который </w:t>
      </w:r>
      <w:r w:rsidRPr="00131A73">
        <w:t>основ</w:t>
      </w:r>
      <w:r w:rsidR="000D4947" w:rsidRPr="00131A73">
        <w:t>ывается</w:t>
      </w:r>
      <w:r w:rsidRPr="00131A73">
        <w:t xml:space="preserve"> на управлении, ориентированном на результаты (УОР), выведя его за рамки изначальных усилий, которые были определены в 2006 году</w:t>
      </w:r>
      <w:r w:rsidR="00234DD5" w:rsidRPr="00131A73">
        <w:t>, и продолжает совершенствовать реализацию благодаря более эффективному планированию, мониторингу и оценке</w:t>
      </w:r>
      <w:r w:rsidRPr="00131A73">
        <w:t>. Для каждого тематического приоритета МСЭ-D, а также для БРЭ в целом были разработаны концепции преобразования; они будут служить ориентиром на этапах планирования и осуществления программы работы, а также использоваться в качестве инструмента отслеживания прогресса по обеспечению реальных возможностей установления соединений.</w:t>
      </w:r>
    </w:p>
    <w:p w14:paraId="432426BB" w14:textId="5522A577" w:rsidR="00536C60" w:rsidRPr="00131A73" w:rsidRDefault="00536C60" w:rsidP="00536C60">
      <w:r w:rsidRPr="00131A73">
        <w:lastRenderedPageBreak/>
        <w:t xml:space="preserve">В настоящем документе представлены ключевые результаты </w:t>
      </w:r>
      <w:r w:rsidR="004430AF" w:rsidRPr="00131A73">
        <w:t xml:space="preserve">за </w:t>
      </w:r>
      <w:r w:rsidRPr="00131A73">
        <w:t>2018–2020 год</w:t>
      </w:r>
      <w:r w:rsidR="004430AF" w:rsidRPr="00131A73">
        <w:t>ы</w:t>
      </w:r>
      <w:r w:rsidRPr="00131A73">
        <w:t xml:space="preserve"> по каждому из тематических приоритетов, достигнутые по мере выполнения Плана действий Буэнос-Айреса. В нем содержится отчет о работе, проделанной в целях осуществления региональных инициатив, наряду с подробным обзором прогресса, достигнутого в реализации региональных инициатив для </w:t>
      </w:r>
      <w:hyperlink r:id="rId12">
        <w:r w:rsidR="003C6B6C" w:rsidRPr="00131A73">
          <w:rPr>
            <w:rStyle w:val="Hyperlink"/>
          </w:rPr>
          <w:t>Африки</w:t>
        </w:r>
      </w:hyperlink>
      <w:r w:rsidR="003C6B6C" w:rsidRPr="00131A73">
        <w:t xml:space="preserve">, </w:t>
      </w:r>
      <w:hyperlink r:id="rId13">
        <w:r w:rsidR="003C6B6C" w:rsidRPr="00131A73">
          <w:rPr>
            <w:rStyle w:val="Hyperlink"/>
          </w:rPr>
          <w:t>Северной и Южной Америки</w:t>
        </w:r>
      </w:hyperlink>
      <w:r w:rsidR="003C6B6C" w:rsidRPr="00131A73">
        <w:t xml:space="preserve">, </w:t>
      </w:r>
      <w:hyperlink r:id="rId14">
        <w:r w:rsidR="003C6B6C" w:rsidRPr="00131A73">
          <w:rPr>
            <w:rStyle w:val="Hyperlink"/>
          </w:rPr>
          <w:t>арабских государств</w:t>
        </w:r>
      </w:hyperlink>
      <w:r w:rsidR="003C6B6C" w:rsidRPr="00131A73">
        <w:t xml:space="preserve">, </w:t>
      </w:r>
      <w:hyperlink r:id="rId15">
        <w:r w:rsidR="003C6B6C" w:rsidRPr="00131A73">
          <w:rPr>
            <w:rStyle w:val="Hyperlink"/>
          </w:rPr>
          <w:t>Азиатско-Тихоокеанского региона</w:t>
        </w:r>
      </w:hyperlink>
      <w:r w:rsidR="003C6B6C" w:rsidRPr="00131A73">
        <w:t xml:space="preserve">, </w:t>
      </w:r>
      <w:hyperlink r:id="rId16">
        <w:r w:rsidR="003C6B6C" w:rsidRPr="00131A73">
          <w:rPr>
            <w:rStyle w:val="Hyperlink"/>
          </w:rPr>
          <w:t>Содружества Независимых Государств</w:t>
        </w:r>
      </w:hyperlink>
      <w:r w:rsidR="003C6B6C" w:rsidRPr="00131A73">
        <w:t xml:space="preserve"> и </w:t>
      </w:r>
      <w:hyperlink r:id="rId17">
        <w:r w:rsidR="003C6B6C" w:rsidRPr="00131A73">
          <w:rPr>
            <w:rStyle w:val="Hyperlink"/>
          </w:rPr>
          <w:t>Европы</w:t>
        </w:r>
      </w:hyperlink>
      <w:r w:rsidRPr="00131A73">
        <w:t xml:space="preserve"> (см.</w:t>
      </w:r>
      <w:r w:rsidR="003C6B6C" w:rsidRPr="00131A73">
        <w:t> </w:t>
      </w:r>
      <w:r w:rsidR="004430AF" w:rsidRPr="00131A73">
        <w:t>п</w:t>
      </w:r>
      <w:r w:rsidRPr="00131A73">
        <w:t>одробн</w:t>
      </w:r>
      <w:r w:rsidR="004430AF" w:rsidRPr="00131A73">
        <w:t>ую</w:t>
      </w:r>
      <w:r w:rsidRPr="00131A73">
        <w:t xml:space="preserve"> информаци</w:t>
      </w:r>
      <w:r w:rsidR="004430AF" w:rsidRPr="00131A73">
        <w:t>ю</w:t>
      </w:r>
      <w:r w:rsidRPr="00131A73">
        <w:t xml:space="preserve"> о работе по реализации региональных инициатив </w:t>
      </w:r>
      <w:r w:rsidR="00571D4B" w:rsidRPr="00131A73">
        <w:t>по каждому из этих регионов</w:t>
      </w:r>
      <w:r w:rsidRPr="00131A73">
        <w:t>).</w:t>
      </w:r>
    </w:p>
    <w:p w14:paraId="5CEEA442" w14:textId="77777777" w:rsidR="00536C60" w:rsidRPr="00131A73" w:rsidRDefault="00536C60" w:rsidP="00536C60">
      <w:pPr>
        <w:rPr>
          <w:rFonts w:cstheme="minorHAnsi"/>
          <w:sz w:val="20"/>
          <w:szCs w:val="24"/>
          <w:shd w:val="clear" w:color="auto" w:fill="FFFFFF"/>
        </w:rPr>
      </w:pPr>
      <w:r w:rsidRPr="00131A73">
        <w:rPr>
          <w:rFonts w:cstheme="minorHAnsi"/>
          <w:szCs w:val="24"/>
          <w:shd w:val="clear" w:color="auto" w:fill="FFFFFF"/>
        </w:rPr>
        <w:t>С учетом этих обстоятельств в 2021 году БРЭ будет продолжать уделять повышенное внимание тематическим приоритетам Плана действий Буэнос-Айреса для обеспечения устойчивого положительного воздействия, а также способствовать установлению цифровых соединений и цифровой трансформации в интересах всех людей как в 2021 году, так и в последующие годы. Кроме того, в 2021 году появится возможность опираться на внедрение новых технологий, а также развивать и расширять существующие методики и стимулировать к этому других путем обмена передовым опытом.</w:t>
      </w:r>
    </w:p>
    <w:p w14:paraId="4A205E07" w14:textId="77777777" w:rsidR="00536C60" w:rsidRPr="00131A73" w:rsidRDefault="00536C60" w:rsidP="00536C60">
      <w:pPr>
        <w:tabs>
          <w:tab w:val="left" w:pos="720"/>
        </w:tabs>
        <w:overflowPunct/>
        <w:autoSpaceDE/>
        <w:adjustRightInd/>
        <w:spacing w:before="0"/>
        <w:rPr>
          <w:szCs w:val="24"/>
        </w:rPr>
      </w:pPr>
      <w:r w:rsidRPr="00131A73">
        <w:rPr>
          <w:szCs w:val="24"/>
        </w:rPr>
        <w:br w:type="page"/>
      </w:r>
    </w:p>
    <w:p w14:paraId="56C41B84" w14:textId="262FEA29" w:rsidR="00536C60" w:rsidRPr="00131A73" w:rsidRDefault="00536C60" w:rsidP="00536C60">
      <w:pPr>
        <w:pStyle w:val="Annextitle"/>
        <w:rPr>
          <w:sz w:val="20"/>
          <w:szCs w:val="20"/>
        </w:rPr>
      </w:pPr>
      <w:r w:rsidRPr="00131A73">
        <w:lastRenderedPageBreak/>
        <w:t xml:space="preserve">Отчет о ходе </w:t>
      </w:r>
      <w:r w:rsidR="001475EB" w:rsidRPr="00131A73">
        <w:t>работы</w:t>
      </w:r>
      <w:r w:rsidRPr="00131A73">
        <w:t xml:space="preserve"> в 2018–2020 годах</w:t>
      </w:r>
    </w:p>
    <w:p w14:paraId="3C608326" w14:textId="77777777" w:rsidR="00536C60" w:rsidRPr="00131A73" w:rsidRDefault="00536C60" w:rsidP="00536C60">
      <w:pPr>
        <w:pStyle w:val="Heading1"/>
      </w:pPr>
      <w:r w:rsidRPr="00131A73">
        <w:t>1</w:t>
      </w:r>
      <w:r w:rsidRPr="00131A73">
        <w:tab/>
      </w:r>
      <w:r w:rsidRPr="00131A73">
        <w:rPr>
          <w:bCs/>
        </w:rPr>
        <w:t>Развитие потенциала: построение общества, компетентного в цифровом отношении</w:t>
      </w:r>
    </w:p>
    <w:p w14:paraId="5D942DBB" w14:textId="77777777" w:rsidR="00536C60" w:rsidRPr="00131A73" w:rsidRDefault="00536C60" w:rsidP="00536C60">
      <w:pPr>
        <w:pStyle w:val="Headingb"/>
        <w:rPr>
          <w:szCs w:val="20"/>
        </w:rPr>
      </w:pPr>
      <w:r w:rsidRPr="00131A73">
        <w:t>Платформа Академии МСЭ</w:t>
      </w:r>
    </w:p>
    <w:p w14:paraId="18AB527A" w14:textId="77777777" w:rsidR="00536C60" w:rsidRPr="00131A73" w:rsidRDefault="00600F1F" w:rsidP="00536C60">
      <w:pPr>
        <w:rPr>
          <w:rFonts w:cstheme="minorHAnsi"/>
          <w:lang w:eastAsia="en-GB"/>
        </w:rPr>
      </w:pPr>
      <w:hyperlink r:id="rId18" w:history="1">
        <w:r w:rsidR="00536C60" w:rsidRPr="00131A73">
          <w:rPr>
            <w:rStyle w:val="Hyperlink"/>
            <w:rFonts w:cstheme="minorHAnsi"/>
          </w:rPr>
          <w:t>Портал Академии МСЭ</w:t>
        </w:r>
      </w:hyperlink>
      <w:r w:rsidR="00536C60" w:rsidRPr="00131A73">
        <w:rPr>
          <w:rFonts w:cstheme="minorHAnsi"/>
        </w:rPr>
        <w:t xml:space="preserve"> </w:t>
      </w:r>
      <w:r w:rsidR="00536C60" w:rsidRPr="00131A73">
        <w:rPr>
          <w:lang w:eastAsia="en-GB"/>
        </w:rPr>
        <w:t>был обновлен в целях содействия более удобному и безопасному доступу пользователей к мероприятиям, курсам и семинарам-практикумам МСЭ по укреплению потенциала в области информационно-коммуникационных технологий и цифрового развития.</w:t>
      </w:r>
      <w:r w:rsidR="00536C60" w:rsidRPr="00131A73">
        <w:rPr>
          <w:rFonts w:cstheme="minorHAnsi"/>
        </w:rPr>
        <w:t xml:space="preserve"> </w:t>
      </w:r>
      <w:r w:rsidR="00536C60" w:rsidRPr="00131A73">
        <w:rPr>
          <w:rFonts w:cstheme="minorHAnsi"/>
          <w:lang w:eastAsia="en-GB"/>
        </w:rPr>
        <w:t>Портфель программ профессиональной подготовки включает как общие программы для сотрудников государственных директивных и регуляторных органов и профессиональные учебные программы для высшего руководства и менеджеров компаний в области ИКТ, так и специализированные программы для технического и эксплуатационного персонала, а также аккредитованные учебные программы. Кроме того, портал Академии МСЭ превратился в инструмент обеспечения охвата цифровыми технологиями благодаря расширению предложений по профессиональной подготовке, в число которых теперь входит тематика доступности ИКТ и учебные курсы, ориентированные на сообщества коренных народов и маргинализированных слоев населения.</w:t>
      </w:r>
    </w:p>
    <w:p w14:paraId="7F87C93D" w14:textId="6CA3B785" w:rsidR="00536C60" w:rsidRPr="00131A73" w:rsidRDefault="00536C60" w:rsidP="00536C60">
      <w:pPr>
        <w:rPr>
          <w:rFonts w:cstheme="minorHAnsi"/>
        </w:rPr>
      </w:pPr>
      <w:r w:rsidRPr="00131A73">
        <w:rPr>
          <w:rFonts w:cstheme="minorHAnsi"/>
        </w:rPr>
        <w:t>В 2019 году в Академии МСЭ зарегистрировалось 2000 новых пользователей</w:t>
      </w:r>
      <w:r w:rsidR="004430AF" w:rsidRPr="00131A73">
        <w:rPr>
          <w:rFonts w:cstheme="minorHAnsi"/>
        </w:rPr>
        <w:t>;</w:t>
      </w:r>
      <w:r w:rsidRPr="00131A73">
        <w:rPr>
          <w:rFonts w:cstheme="minorHAnsi"/>
        </w:rPr>
        <w:t xml:space="preserve"> таким образом</w:t>
      </w:r>
      <w:r w:rsidR="004430AF" w:rsidRPr="00131A73">
        <w:rPr>
          <w:rFonts w:cstheme="minorHAnsi"/>
        </w:rPr>
        <w:t>,</w:t>
      </w:r>
      <w:r w:rsidRPr="00131A73">
        <w:rPr>
          <w:rFonts w:cstheme="minorHAnsi"/>
        </w:rPr>
        <w:t xml:space="preserve"> общее число пользователей превысило 10 200 человек. В 2020 году наблюдался быстрый рост числа пользователей платформы Академии МСЭ, увеличилось количество онлайновых учебных курсов. К</w:t>
      </w:r>
      <w:r w:rsidR="006A4F52" w:rsidRPr="00131A73">
        <w:rPr>
          <w:rFonts w:cstheme="minorHAnsi"/>
        </w:rPr>
        <w:t> </w:t>
      </w:r>
      <w:r w:rsidRPr="00131A73">
        <w:rPr>
          <w:rFonts w:cstheme="minorHAnsi"/>
        </w:rPr>
        <w:t xml:space="preserve">концу </w:t>
      </w:r>
      <w:r w:rsidR="006A4F52" w:rsidRPr="00131A73">
        <w:rPr>
          <w:rFonts w:cstheme="minorHAnsi"/>
        </w:rPr>
        <w:t>первого квартала</w:t>
      </w:r>
      <w:r w:rsidRPr="00131A73">
        <w:rPr>
          <w:rFonts w:cstheme="minorHAnsi"/>
        </w:rPr>
        <w:t xml:space="preserve"> 202</w:t>
      </w:r>
      <w:r w:rsidR="006A4F52" w:rsidRPr="00131A73">
        <w:rPr>
          <w:rFonts w:cstheme="minorHAnsi"/>
        </w:rPr>
        <w:t>1</w:t>
      </w:r>
      <w:r w:rsidRPr="00131A73">
        <w:rPr>
          <w:rFonts w:cstheme="minorHAnsi"/>
        </w:rPr>
        <w:t xml:space="preserve"> года на платформе было зарегистрировано около </w:t>
      </w:r>
      <w:r w:rsidR="006A4F52" w:rsidRPr="00131A73">
        <w:rPr>
          <w:rFonts w:cstheme="minorHAnsi"/>
        </w:rPr>
        <w:t>20</w:t>
      </w:r>
      <w:r w:rsidRPr="00131A73">
        <w:rPr>
          <w:rFonts w:cstheme="minorHAnsi"/>
        </w:rPr>
        <w:t> 000 человек из 1</w:t>
      </w:r>
      <w:r w:rsidR="006A4F52" w:rsidRPr="00131A73">
        <w:rPr>
          <w:rFonts w:cstheme="minorHAnsi"/>
        </w:rPr>
        <w:t>88 </w:t>
      </w:r>
      <w:r w:rsidRPr="00131A73">
        <w:rPr>
          <w:rFonts w:cstheme="minorHAnsi"/>
        </w:rPr>
        <w:t xml:space="preserve">стран. </w:t>
      </w:r>
      <w:r w:rsidR="00BA5A7F" w:rsidRPr="00131A73">
        <w:rPr>
          <w:rFonts w:cstheme="minorHAnsi"/>
        </w:rPr>
        <w:t>С</w:t>
      </w:r>
      <w:r w:rsidRPr="00131A73">
        <w:rPr>
          <w:rFonts w:cstheme="minorHAnsi"/>
        </w:rPr>
        <w:t xml:space="preserve"> 2018</w:t>
      </w:r>
      <w:r w:rsidR="00BA5A7F" w:rsidRPr="00131A73">
        <w:rPr>
          <w:rFonts w:cstheme="minorHAnsi"/>
        </w:rPr>
        <w:t> года</w:t>
      </w:r>
      <w:r w:rsidRPr="00131A73">
        <w:rPr>
          <w:rFonts w:cstheme="minorHAnsi"/>
        </w:rPr>
        <w:t xml:space="preserve"> в рамках Академии МСЭ было проведено 3</w:t>
      </w:r>
      <w:r w:rsidR="006A4F52" w:rsidRPr="00131A73">
        <w:rPr>
          <w:rFonts w:cstheme="minorHAnsi"/>
        </w:rPr>
        <w:t>66</w:t>
      </w:r>
      <w:r w:rsidRPr="00131A73">
        <w:rPr>
          <w:rFonts w:cstheme="minorHAnsi"/>
        </w:rPr>
        <w:t xml:space="preserve"> курсов, в которых приняли участие </w:t>
      </w:r>
      <w:r w:rsidR="006A4F52" w:rsidRPr="00131A73">
        <w:rPr>
          <w:rFonts w:cstheme="minorHAnsi"/>
        </w:rPr>
        <w:t>17 523 </w:t>
      </w:r>
      <w:r w:rsidRPr="00131A73">
        <w:rPr>
          <w:rFonts w:cstheme="minorHAnsi"/>
        </w:rPr>
        <w:t>человек</w:t>
      </w:r>
      <w:r w:rsidR="006A4F52" w:rsidRPr="00131A73">
        <w:rPr>
          <w:rFonts w:cstheme="minorHAnsi"/>
        </w:rPr>
        <w:t>а</w:t>
      </w:r>
      <w:r w:rsidRPr="00131A73">
        <w:rPr>
          <w:rFonts w:cstheme="minorHAnsi"/>
        </w:rPr>
        <w:t>, 6</w:t>
      </w:r>
      <w:r w:rsidR="006A4F52" w:rsidRPr="00131A73">
        <w:rPr>
          <w:rFonts w:cstheme="minorHAnsi"/>
        </w:rPr>
        <w:t>737</w:t>
      </w:r>
      <w:r w:rsidRPr="00131A73">
        <w:rPr>
          <w:rFonts w:cstheme="minorHAnsi"/>
        </w:rPr>
        <w:t xml:space="preserve"> из них получили сертификаты.</w:t>
      </w:r>
    </w:p>
    <w:p w14:paraId="17402ED6" w14:textId="77777777" w:rsidR="00536C60" w:rsidRPr="00131A73" w:rsidRDefault="00536C60" w:rsidP="00255945">
      <w:pPr>
        <w:pStyle w:val="Headingb"/>
      </w:pPr>
      <w:r w:rsidRPr="00131A73">
        <w:t>Сеть центров профессионального мастерства</w:t>
      </w:r>
    </w:p>
    <w:p w14:paraId="14517D05" w14:textId="461C81B9" w:rsidR="00536C60" w:rsidRPr="00131A73" w:rsidRDefault="00536C60" w:rsidP="00536C60">
      <w:pPr>
        <w:rPr>
          <w:rFonts w:cstheme="minorBidi"/>
        </w:rPr>
      </w:pPr>
      <w:r w:rsidRPr="00131A73">
        <w:rPr>
          <w:rFonts w:cstheme="minorBidi"/>
        </w:rPr>
        <w:t xml:space="preserve">В январе 2019 года начался новый цикл программы развития </w:t>
      </w:r>
      <w:r w:rsidR="00BA5A7F" w:rsidRPr="00131A73">
        <w:rPr>
          <w:rFonts w:cstheme="minorBidi"/>
        </w:rPr>
        <w:t>С</w:t>
      </w:r>
      <w:r w:rsidRPr="00131A73">
        <w:rPr>
          <w:rFonts w:cstheme="minorBidi"/>
        </w:rPr>
        <w:t xml:space="preserve">ети центров профессионального мастерства МСЭ (ЦПМ). Для работы в качестве центров профессионального мастерства МСЭ в течение нового </w:t>
      </w:r>
      <w:r w:rsidRPr="00131A73">
        <w:rPr>
          <w:rFonts w:cstheme="minorHAnsi"/>
          <w:lang w:eastAsia="en-GB"/>
        </w:rPr>
        <w:t>периода</w:t>
      </w:r>
      <w:r w:rsidRPr="00131A73">
        <w:rPr>
          <w:rFonts w:cstheme="minorBidi"/>
        </w:rPr>
        <w:t xml:space="preserve">, который продлится до декабря 2022 года, было отобрано в общей сложности 29 учреждений по всему миру. После первого раунда собраний руководящего комитета ЦПМ провели учебные курсы по 15 приоритетным направлениям на такие темы, как беспроводная и фиксированная широкополосная связь, кибербезопасность, цифровая экономика, интернет вещей (IoT), управление использованием спектра, инновации и предпринимательство, политика и регулирование. В течение первого года работы в 2019 году было проведено свыше 90 сертифицированных учебных курсов более чем для 2100 слушателей по всему миру. По состоянию на </w:t>
      </w:r>
      <w:r w:rsidR="006A4F52" w:rsidRPr="00131A73">
        <w:rPr>
          <w:rFonts w:cstheme="minorBidi"/>
        </w:rPr>
        <w:t>декабрь</w:t>
      </w:r>
      <w:r w:rsidRPr="00131A73">
        <w:rPr>
          <w:rFonts w:cstheme="minorBidi"/>
        </w:rPr>
        <w:t xml:space="preserve"> 2020 года насчитывалось </w:t>
      </w:r>
      <w:r w:rsidR="006A4F52" w:rsidRPr="00131A73">
        <w:rPr>
          <w:rFonts w:cstheme="minorBidi"/>
        </w:rPr>
        <w:t>66</w:t>
      </w:r>
      <w:r w:rsidRPr="00131A73">
        <w:rPr>
          <w:rFonts w:cstheme="minorBidi"/>
        </w:rPr>
        <w:t xml:space="preserve"> сертифицированных учебных курсов ЦПМ, при этом число слушателей увеличилось более чем в два раза по сравнению с 2019 годом и составило 5</w:t>
      </w:r>
      <w:r w:rsidR="006A4F52" w:rsidRPr="00131A73">
        <w:rPr>
          <w:rFonts w:cstheme="minorBidi"/>
        </w:rPr>
        <w:t>466 </w:t>
      </w:r>
      <w:r w:rsidRPr="00131A73">
        <w:rPr>
          <w:rFonts w:cstheme="minorBidi"/>
        </w:rPr>
        <w:t>человек.</w:t>
      </w:r>
      <w:r w:rsidR="006A4F52" w:rsidRPr="00131A73">
        <w:t xml:space="preserve"> </w:t>
      </w:r>
      <w:r w:rsidR="00B50AE3" w:rsidRPr="00131A73">
        <w:t>Обновленная информация по программе ЦПМ содержится в Приложении 2</w:t>
      </w:r>
      <w:r w:rsidR="006A4F52" w:rsidRPr="00131A73">
        <w:rPr>
          <w:rFonts w:cstheme="minorBidi"/>
        </w:rPr>
        <w:t xml:space="preserve">. </w:t>
      </w:r>
      <w:r w:rsidR="00B50AE3" w:rsidRPr="00131A73">
        <w:rPr>
          <w:rFonts w:cstheme="minorBidi"/>
        </w:rPr>
        <w:t>КГРЭ предлагается принять к сведению информацию, представленную в Приложении</w:t>
      </w:r>
      <w:r w:rsidR="001C3B49" w:rsidRPr="00131A73">
        <w:rPr>
          <w:rFonts w:cstheme="minorBidi"/>
        </w:rPr>
        <w:t>, и дать указания по направлению дальнейшей работы</w:t>
      </w:r>
      <w:r w:rsidR="006A4F52" w:rsidRPr="00131A73">
        <w:rPr>
          <w:rFonts w:cstheme="minorBidi"/>
        </w:rPr>
        <w:t>.</w:t>
      </w:r>
    </w:p>
    <w:p w14:paraId="1535E1EA" w14:textId="77777777" w:rsidR="00536C60" w:rsidRPr="00131A73" w:rsidRDefault="00536C60" w:rsidP="00536C60">
      <w:pPr>
        <w:pStyle w:val="Headingb"/>
      </w:pPr>
      <w:r w:rsidRPr="00131A73">
        <w:t>Партнерство МСЭ и Академических организаций</w:t>
      </w:r>
    </w:p>
    <w:p w14:paraId="4F289138" w14:textId="0A08C7FC" w:rsidR="00536C60" w:rsidRPr="00131A73" w:rsidRDefault="00536C60" w:rsidP="00536C60">
      <w:pPr>
        <w:rPr>
          <w:rFonts w:cstheme="minorHAnsi"/>
          <w:shd w:val="clear" w:color="auto" w:fill="FFFFFF"/>
        </w:rPr>
      </w:pPr>
      <w:r w:rsidRPr="00131A73">
        <w:rPr>
          <w:rFonts w:cstheme="minorHAnsi"/>
          <w:shd w:val="clear" w:color="auto" w:fill="FFFFFF"/>
        </w:rPr>
        <w:t xml:space="preserve">В декабре 2019 года в Атланте (штат Джорджия, Соединенные Штаты Америки) состоялось второе </w:t>
      </w:r>
      <w:hyperlink r:id="rId19" w:history="1">
        <w:r w:rsidRPr="00131A73">
          <w:rPr>
            <w:rStyle w:val="Hyperlink"/>
            <w:rFonts w:cstheme="minorHAnsi"/>
            <w:shd w:val="clear" w:color="auto" w:fill="FFFFFF"/>
          </w:rPr>
          <w:t>собрание</w:t>
        </w:r>
      </w:hyperlink>
      <w:r w:rsidRPr="00131A73">
        <w:rPr>
          <w:rFonts w:cstheme="minorHAnsi"/>
          <w:shd w:val="clear" w:color="auto" w:fill="FFFFFF"/>
        </w:rPr>
        <w:t xml:space="preserve"> </w:t>
      </w:r>
      <w:r w:rsidRPr="00131A73">
        <w:t>партнерства МСЭ и Академических организаций на тему "Развитие навыков для цифровой эпохи". В</w:t>
      </w:r>
      <w:r w:rsidRPr="00131A73">
        <w:rPr>
          <w:rFonts w:cstheme="minorBidi"/>
          <w:shd w:val="clear" w:color="auto" w:fill="FFFFFF"/>
        </w:rPr>
        <w:t> нем приняли участие представители университетов и высших учебных заведений со всего мира, интересующи</w:t>
      </w:r>
      <w:r w:rsidR="004430AF" w:rsidRPr="00131A73">
        <w:rPr>
          <w:rFonts w:cstheme="minorBidi"/>
          <w:shd w:val="clear" w:color="auto" w:fill="FFFFFF"/>
        </w:rPr>
        <w:t>е</w:t>
      </w:r>
      <w:r w:rsidRPr="00131A73">
        <w:rPr>
          <w:rFonts w:cstheme="minorBidi"/>
          <w:shd w:val="clear" w:color="auto" w:fill="FFFFFF"/>
        </w:rPr>
        <w:t>ся тематикой цифровых технологий.</w:t>
      </w:r>
    </w:p>
    <w:p w14:paraId="6257E88F" w14:textId="77777777" w:rsidR="00536C60" w:rsidRPr="00131A73" w:rsidRDefault="00536C60" w:rsidP="00536C60">
      <w:pPr>
        <w:rPr>
          <w:rFonts w:cstheme="minorHAnsi"/>
          <w:szCs w:val="20"/>
        </w:rPr>
      </w:pPr>
      <w:r w:rsidRPr="00131A73">
        <w:rPr>
          <w:rFonts w:cstheme="minorHAnsi"/>
          <w:shd w:val="clear" w:color="auto" w:fill="FFFFFF"/>
        </w:rPr>
        <w:t xml:space="preserve">Участники подчеркнули необходимость расширения спектра новых учебных курсов, предлагаемых университетами, за счет ускорения процессов принятия решений и сокращения бюрократии, особенно в государственных академических учреждениях. </w:t>
      </w:r>
      <w:r w:rsidRPr="00131A73">
        <w:rPr>
          <w:rFonts w:cstheme="minorHAnsi"/>
        </w:rPr>
        <w:t xml:space="preserve">Это двухдневное собрание дало пищу для размышлений о роли университетов в цифровой экономике и о том, как партнерские отношения с такими организациями, как МСЭ, могут еще больше усилить роль университетов. Участники призвали МСЭ рассмотреть вопрос о создании региональных или глобальных аналитических центров при </w:t>
      </w:r>
      <w:r w:rsidRPr="00131A73">
        <w:rPr>
          <w:rFonts w:cstheme="minorHAnsi"/>
        </w:rPr>
        <w:lastRenderedPageBreak/>
        <w:t>академических учреждениях и предоставить университетам больше возможностей для выполнения консультативных функций по конкретным направлениям деятельности МСЭ.</w:t>
      </w:r>
    </w:p>
    <w:p w14:paraId="6181A045" w14:textId="77777777" w:rsidR="00536C60" w:rsidRPr="00131A73" w:rsidRDefault="00536C60" w:rsidP="00536C60">
      <w:pPr>
        <w:pStyle w:val="Headingb"/>
      </w:pPr>
      <w:r w:rsidRPr="00131A73">
        <w:t xml:space="preserve">Инициатива </w:t>
      </w:r>
      <w:r w:rsidRPr="00131A73">
        <w:rPr>
          <w:b w:val="0"/>
          <w:bCs/>
        </w:rPr>
        <w:t>"</w:t>
      </w:r>
      <w:r w:rsidRPr="00131A73">
        <w:t>Центры цифровой трансформации</w:t>
      </w:r>
      <w:r w:rsidRPr="00131A73">
        <w:rPr>
          <w:b w:val="0"/>
          <w:bCs/>
        </w:rPr>
        <w:t>"</w:t>
      </w:r>
    </w:p>
    <w:p w14:paraId="44EE6D9A" w14:textId="77777777" w:rsidR="00536C60" w:rsidRPr="00131A73" w:rsidRDefault="00536C60" w:rsidP="00536C60">
      <w:pPr>
        <w:rPr>
          <w:rFonts w:cstheme="minorHAnsi"/>
        </w:rPr>
      </w:pPr>
      <w:r w:rsidRPr="00131A73">
        <w:rPr>
          <w:rFonts w:cstheme="minorHAnsi"/>
        </w:rPr>
        <w:t xml:space="preserve">В сотрудничестве с компанией Cisco был начат первый этап реализации </w:t>
      </w:r>
      <w:hyperlink r:id="rId20" w:history="1">
        <w:r w:rsidRPr="00131A73">
          <w:rPr>
            <w:rStyle w:val="Hyperlink"/>
            <w:rFonts w:cstheme="minorHAnsi"/>
          </w:rPr>
          <w:t>инициативы "Центры цифровой трансформации"</w:t>
        </w:r>
      </w:hyperlink>
      <w:r w:rsidRPr="00131A73">
        <w:rPr>
          <w:rFonts w:cstheme="minorHAnsi"/>
        </w:rPr>
        <w:t xml:space="preserve"> (DTC) (оказание поддержки сообществам, сокращение разрыва в цифровых навыках). Эта новая глобальная сеть учебных центров ускорит освоение гражданами цифровых технологий и расширит возможности для достижения успеха молодыми предпринимателями и МСП. Этот проект, ориентированный на интересы людей, поможет преодолеть разрыв в цифровых навыках и ускорит цифровую трансформацию благодаря работе на уровне сообществ, направленной на предоставление людям широких возможностей для овладения цифровыми навыками, необходимыми им для благополучного развития.</w:t>
      </w:r>
    </w:p>
    <w:p w14:paraId="09EF946D" w14:textId="29C66F74" w:rsidR="00536C60" w:rsidRPr="00131A73" w:rsidRDefault="00536C60" w:rsidP="00536C60">
      <w:r w:rsidRPr="00131A73">
        <w:t>В ходе первого этапа, с марта 2020 года по сентябрь 2021 года, девять DTC в странах Африки, Южной и Северной Америки и Азиатско-Тихоокеанского региона (Кот-д'Ивуар, Гана, Руанда, Замбия; Бразилия, Доминиканская Республика; Индонезия, Папуа-Новая Гвинея, Филиппины) провод</w:t>
      </w:r>
      <w:r w:rsidR="001C3B49" w:rsidRPr="00131A73">
        <w:t>ят</w:t>
      </w:r>
      <w:r w:rsidRPr="00131A73">
        <w:t xml:space="preserve"> обучение в области цифровых навыков на базовом и среднем уровнях для граждан, проживающих в отдаленных районах и маргинализированных сообществах. </w:t>
      </w:r>
      <w:r w:rsidR="00B42259" w:rsidRPr="00131A73">
        <w:t>К апрелю</w:t>
      </w:r>
      <w:r w:rsidR="008401CA" w:rsidRPr="00131A73">
        <w:t xml:space="preserve"> 2021</w:t>
      </w:r>
      <w:r w:rsidR="00B42259" w:rsidRPr="00131A73">
        <w:t> года профессиональную подготовку в рамках инициативы DTC прошли более</w:t>
      </w:r>
      <w:r w:rsidR="008401CA" w:rsidRPr="00131A73">
        <w:t xml:space="preserve"> 80</w:t>
      </w:r>
      <w:r w:rsidR="00B42259" w:rsidRPr="00131A73">
        <w:t> </w:t>
      </w:r>
      <w:r w:rsidR="008401CA" w:rsidRPr="00131A73">
        <w:t>000</w:t>
      </w:r>
      <w:r w:rsidR="00B42259" w:rsidRPr="00131A73">
        <w:t> человек</w:t>
      </w:r>
      <w:r w:rsidR="008401CA" w:rsidRPr="00131A73">
        <w:t>.</w:t>
      </w:r>
      <w:r w:rsidR="00906268" w:rsidRPr="00131A73">
        <w:t xml:space="preserve"> </w:t>
      </w:r>
      <w:r w:rsidRPr="00131A73">
        <w:t>В ноябре 2020 года МСЭ заключил соглашение о партнерстве с правительством Норвегии в целях поддержки инициативы DTC. Поддержка со стороны Норвегии придаст импульс развитию цифровых навыков в тех странах, где функционируют DTC, включая Гану, где в рамках этого нового проекта предусматривается обучение 14 000 граждан.</w:t>
      </w:r>
    </w:p>
    <w:p w14:paraId="471DC727" w14:textId="77777777" w:rsidR="00536C60" w:rsidRPr="00131A73" w:rsidRDefault="00536C60" w:rsidP="00536C60">
      <w:pPr>
        <w:pStyle w:val="Headingb"/>
      </w:pPr>
      <w:r w:rsidRPr="00131A73">
        <w:t>Анализ цифровых навыков</w:t>
      </w:r>
    </w:p>
    <w:p w14:paraId="5C6E0DCA" w14:textId="2499C0D8" w:rsidR="00536C60" w:rsidRPr="00131A73" w:rsidRDefault="00536C60" w:rsidP="00536C60">
      <w:r w:rsidRPr="00131A73">
        <w:t xml:space="preserve">В августе 2019 года вышло третье издание </w:t>
      </w:r>
      <w:hyperlink r:id="rId21" w:history="1">
        <w:r w:rsidRPr="00131A73">
          <w:rPr>
            <w:rStyle w:val="Hyperlink"/>
          </w:rPr>
          <w:t>публикации</w:t>
        </w:r>
      </w:hyperlink>
      <w:r w:rsidRPr="00131A73">
        <w:t xml:space="preserve"> "Анализ цифровых навыков" (которая прежде называлась "Создание потенциала в условиях изменяющейся среды ИКТ"). В ней содержится восемь статей международных экспертов, применяющих критический и аналитический подход к вопросу развития потенциала и цифровых навыков. Рассматриваются такие темы, как системы обеспечения цифровой грамотности, новые методы преподавания и обучения с учетом развития цифровых технологий, а также новые концепции и инициативы по развитию потенциала в эпоху цифровых технологий. В публикации также представлены конкретные примеры влияния новых технологий на пробелы в навыках и развитие навыков в отдельных развивающихся странах. В сентябре 2020 года было выпущено четвертое </w:t>
      </w:r>
      <w:hyperlink r:id="rId22" w:history="1">
        <w:r w:rsidRPr="00131A73">
          <w:rPr>
            <w:rStyle w:val="Hyperlink"/>
          </w:rPr>
          <w:t>издание</w:t>
        </w:r>
      </w:hyperlink>
      <w:r w:rsidRPr="00131A73">
        <w:t xml:space="preserve"> публикации, в котором освещаются различные аспекты развития потенциала и требования к навыкам в эпоху цифровых технологий. В публикации анализируются типы навыков, необходимых для цифровой экономики и будущего рынка труда, новые рабочие места и связанные с ними требования к навыкам, отдельные цифровые технологии и их воздействие на развитие навыков, новые навыки, необходимые для работы с информацией и данными, генерируемыми онлайн, а также содержится ряд статей, посвященных гендерным аспектам и цифровым навыкам.</w:t>
      </w:r>
    </w:p>
    <w:p w14:paraId="0513EA6F" w14:textId="77777777" w:rsidR="00536C60" w:rsidRPr="00131A73" w:rsidRDefault="00536C60" w:rsidP="00536C60">
      <w:pPr>
        <w:pStyle w:val="Headingb"/>
      </w:pPr>
      <w:r w:rsidRPr="00131A73">
        <w:t xml:space="preserve">Оценка цифровых навыков </w:t>
      </w:r>
    </w:p>
    <w:p w14:paraId="681554F3" w14:textId="5B85C2E7" w:rsidR="00536C60" w:rsidRPr="00131A73" w:rsidRDefault="00536C60" w:rsidP="00536C60">
      <w:r w:rsidRPr="00131A73">
        <w:t xml:space="preserve">В июне 2020 года вышло </w:t>
      </w:r>
      <w:hyperlink r:id="rId23" w:history="1">
        <w:r w:rsidRPr="00131A73">
          <w:rPr>
            <w:rStyle w:val="Hyperlink"/>
          </w:rPr>
          <w:t>Руководство МСЭ по оценке цифровых навыков</w:t>
        </w:r>
      </w:hyperlink>
      <w:r w:rsidRPr="00131A73">
        <w:t>, доступное на шести языках. Оно служит комплексн</w:t>
      </w:r>
      <w:r w:rsidR="00B42259" w:rsidRPr="00131A73">
        <w:t>ым</w:t>
      </w:r>
      <w:r w:rsidRPr="00131A73">
        <w:t xml:space="preserve"> практическ</w:t>
      </w:r>
      <w:r w:rsidR="00B42259" w:rsidRPr="00131A73">
        <w:t>им</w:t>
      </w:r>
      <w:r w:rsidRPr="00131A73">
        <w:t xml:space="preserve"> инструмент</w:t>
      </w:r>
      <w:r w:rsidR="00B42259" w:rsidRPr="00131A73">
        <w:t>ом</w:t>
      </w:r>
      <w:r w:rsidRPr="00131A73">
        <w:t xml:space="preserve"> для поэтапной оценки цифровых навыков на национальном уровне. Руководство может использоваться для определения объема имеющихся кадровых ресурсов, обладающих цифровыми навыками, на национальном уровне, оценки спроса на навыки со стороны отрасли и других секторов, выявления пробелов в навыках и разработки политики, направленной на удовлетворение потребностей в цифровых навыках в будущем. Это руководство предназначено для использования директивными органами и другими заинтересованными сторонами, такими как партнеры из частного сектора, неправительственные организации и академическое сообщество.</w:t>
      </w:r>
      <w:r w:rsidR="00906268" w:rsidRPr="00131A73">
        <w:t xml:space="preserve"> </w:t>
      </w:r>
      <w:r w:rsidR="00C42778" w:rsidRPr="00131A73">
        <w:t>Руководство было представлено Государствам-Членам в Европе и Африканском регионе</w:t>
      </w:r>
      <w:r w:rsidR="00906268" w:rsidRPr="00131A73">
        <w:t xml:space="preserve"> </w:t>
      </w:r>
      <w:r w:rsidR="00C42778" w:rsidRPr="00131A73">
        <w:t xml:space="preserve">в </w:t>
      </w:r>
      <w:r w:rsidR="00906268" w:rsidRPr="00131A73">
        <w:t>2020</w:t>
      </w:r>
      <w:r w:rsidR="00C42778" w:rsidRPr="00131A73">
        <w:t> году</w:t>
      </w:r>
      <w:r w:rsidR="00906268" w:rsidRPr="00131A73">
        <w:t xml:space="preserve">, </w:t>
      </w:r>
      <w:r w:rsidR="00C42778" w:rsidRPr="00131A73">
        <w:t xml:space="preserve">а другим регионам будет представлено в </w:t>
      </w:r>
      <w:r w:rsidR="00906268" w:rsidRPr="00131A73">
        <w:t>2021</w:t>
      </w:r>
      <w:r w:rsidR="00C42778" w:rsidRPr="00131A73">
        <w:t> году</w:t>
      </w:r>
      <w:r w:rsidR="00906268" w:rsidRPr="00131A73">
        <w:t xml:space="preserve">. </w:t>
      </w:r>
      <w:r w:rsidR="001978D1" w:rsidRPr="00131A73">
        <w:lastRenderedPageBreak/>
        <w:t>Несколько стран начали использовать Руководство для оценки цифровых навыков на национальном уровне</w:t>
      </w:r>
      <w:r w:rsidR="00906268" w:rsidRPr="00131A73">
        <w:t>.</w:t>
      </w:r>
    </w:p>
    <w:p w14:paraId="1568EA10" w14:textId="77777777" w:rsidR="00536C60" w:rsidRPr="00131A73" w:rsidRDefault="00536C60" w:rsidP="00536C60">
      <w:pPr>
        <w:pStyle w:val="Headingb"/>
      </w:pPr>
      <w:r w:rsidRPr="00131A73">
        <w:t xml:space="preserve">Кампания МСЭ–МОТ </w:t>
      </w:r>
      <w:r w:rsidRPr="00131A73">
        <w:rPr>
          <w:b w:val="0"/>
          <w:bCs/>
        </w:rPr>
        <w:t>"</w:t>
      </w:r>
      <w:r w:rsidRPr="00131A73">
        <w:t>Цифровые навыки</w:t>
      </w:r>
      <w:r w:rsidRPr="00131A73">
        <w:rPr>
          <w:b w:val="0"/>
          <w:bCs/>
        </w:rPr>
        <w:t>"</w:t>
      </w:r>
    </w:p>
    <w:p w14:paraId="74E81DFC" w14:textId="57AB0FE5" w:rsidR="00536C60" w:rsidRPr="00131A73" w:rsidRDefault="00536C60" w:rsidP="00536C60">
      <w:r w:rsidRPr="00131A73">
        <w:t xml:space="preserve">МСЭ продолжил осуществление </w:t>
      </w:r>
      <w:hyperlink r:id="rId24" w:history="1">
        <w:r w:rsidRPr="00131A73">
          <w:t>кампании "Цифровые навыки"</w:t>
        </w:r>
      </w:hyperlink>
      <w:r w:rsidRPr="00131A73">
        <w:t xml:space="preserve">, инициированной в 2016 году в качестве одного из восьми тематических приоритетов в рамках глобальной инициативы МОТ по обеспечению достойных рабочих мест для молодежи. Эта кампания направлена на то, чтобы вооружить молодых женщин и мужчин навыками, необходимыми для работы в сфере цифровых технологий сегодня и завтра. К 2020 году </w:t>
      </w:r>
      <w:r w:rsidR="00AA582C" w:rsidRPr="00131A73">
        <w:t xml:space="preserve">в рамках </w:t>
      </w:r>
      <w:r w:rsidRPr="00131A73">
        <w:t>кампани</w:t>
      </w:r>
      <w:r w:rsidR="00AA582C" w:rsidRPr="00131A73">
        <w:t xml:space="preserve">и были получены </w:t>
      </w:r>
      <w:r w:rsidRPr="00131A73">
        <w:t>обязательств</w:t>
      </w:r>
      <w:r w:rsidR="00AA582C" w:rsidRPr="00131A73">
        <w:t>а</w:t>
      </w:r>
      <w:r w:rsidRPr="00131A73">
        <w:t xml:space="preserve"> подготовить к 2030 году свыше 16 миллионов молодых людей, наделив их цифровыми навыками, которые они смогут использовать в работе и передать другим, что более чем в три раза превышает первоначальную цель в 5 миллионов человек.</w:t>
      </w:r>
      <w:r w:rsidR="00906268" w:rsidRPr="00131A73">
        <w:t xml:space="preserve"> </w:t>
      </w:r>
      <w:r w:rsidR="002A517C" w:rsidRPr="00131A73">
        <w:t>В начале 2020 года МСЭ и МОТ, при поддержке Африканского союза</w:t>
      </w:r>
      <w:r w:rsidR="0085298E" w:rsidRPr="00131A73">
        <w:t>, приступил</w:t>
      </w:r>
      <w:r w:rsidR="009F4A41" w:rsidRPr="00131A73">
        <w:t>и</w:t>
      </w:r>
      <w:r w:rsidR="0085298E" w:rsidRPr="00131A73">
        <w:t xml:space="preserve"> к проведению программы континентального масштаба, связанной с кампанией "Цифровые навыки", но управляемой как автономная программа </w:t>
      </w:r>
      <w:r w:rsidR="00FA39D8" w:rsidRPr="00131A73">
        <w:t>содействия созданию достойных рабочих мест и совершенствования цифровых навыков для молодежи в цифровой экономике Африки</w:t>
      </w:r>
      <w:r w:rsidR="00906268" w:rsidRPr="00131A73">
        <w:t>.</w:t>
      </w:r>
    </w:p>
    <w:p w14:paraId="60FE6E0D" w14:textId="6DB5A9A7" w:rsidR="00387114" w:rsidRPr="00131A73" w:rsidRDefault="00FA39D8" w:rsidP="00387114">
      <w:pPr>
        <w:pStyle w:val="Headingb"/>
      </w:pPr>
      <w:r w:rsidRPr="00131A73">
        <w:t xml:space="preserve">Сотрудничество МСЭ-ПРООН </w:t>
      </w:r>
      <w:r w:rsidR="00EA3995" w:rsidRPr="00131A73">
        <w:t>по созданию цифрового потенциала</w:t>
      </w:r>
    </w:p>
    <w:p w14:paraId="1BD0C7BC" w14:textId="2D3298F2" w:rsidR="00387114" w:rsidRPr="00131A73" w:rsidRDefault="00EA3995" w:rsidP="00387114">
      <w:r w:rsidRPr="00131A73">
        <w:t>В</w:t>
      </w:r>
      <w:r w:rsidR="00387114" w:rsidRPr="00131A73">
        <w:t xml:space="preserve"> 2020</w:t>
      </w:r>
      <w:r w:rsidRPr="00131A73">
        <w:t> год</w:t>
      </w:r>
      <w:r w:rsidR="008A3C59" w:rsidRPr="00131A73">
        <w:t xml:space="preserve">у Генеральный секретарь ООН представил </w:t>
      </w:r>
      <w:hyperlink r:id="rId25">
        <w:r w:rsidR="008A3C59" w:rsidRPr="00131A73">
          <w:rPr>
            <w:rStyle w:val="Hyperlink"/>
            <w:i/>
            <w:iCs/>
          </w:rPr>
          <w:t>Дорожную карту по цифровому сотрудничеству</w:t>
        </w:r>
      </w:hyperlink>
      <w:r w:rsidR="008A3C59" w:rsidRPr="00131A73">
        <w:t>, в которой перечислены основные подлежащие осуществлению меры</w:t>
      </w:r>
      <w:r w:rsidR="00387114" w:rsidRPr="00131A73">
        <w:t xml:space="preserve">. </w:t>
      </w:r>
      <w:r w:rsidR="005E3A7A" w:rsidRPr="00131A73">
        <w:t xml:space="preserve">МСЭ и ПРООН </w:t>
      </w:r>
      <w:r w:rsidR="00B37E33" w:rsidRPr="00131A73">
        <w:t xml:space="preserve">были выбраны ведущими участниками круглого стола с участием многих заинтересованных сторон </w:t>
      </w:r>
      <w:r w:rsidR="005B39B0" w:rsidRPr="00131A73">
        <w:t>по созданию цифрового потенциала, и с тех пор они тесно сотрудничают для создания сети многих заинтересованных сторон, разработки глобальной базы данных по существующим мерам создания потенциала в цифровом пространстве и укрепления сотрудничества двух учреждений с целью создания нового совместного объекта для создания цифрового потенциала</w:t>
      </w:r>
      <w:r w:rsidR="00387114" w:rsidRPr="00131A73">
        <w:t xml:space="preserve">. </w:t>
      </w:r>
      <w:r w:rsidR="005B39B0" w:rsidRPr="00131A73">
        <w:t xml:space="preserve">Дополнительная информация о Дорожной карте содержится </w:t>
      </w:r>
      <w:r w:rsidR="00791F4F" w:rsidRPr="00131A73">
        <w:t>в разделе 15 настоящего отчета</w:t>
      </w:r>
      <w:r w:rsidR="00387114" w:rsidRPr="00131A73">
        <w:t>.</w:t>
      </w:r>
    </w:p>
    <w:p w14:paraId="07D332E7" w14:textId="77777777" w:rsidR="00536C60" w:rsidRPr="00131A73" w:rsidRDefault="00536C60" w:rsidP="00536C60">
      <w:pPr>
        <w:pStyle w:val="Headingb"/>
      </w:pPr>
      <w:r w:rsidRPr="00131A73">
        <w:t>Развитие потенциала на национальном уровне</w:t>
      </w:r>
    </w:p>
    <w:p w14:paraId="4C548030" w14:textId="77777777" w:rsidR="00536C60" w:rsidRPr="00131A73" w:rsidRDefault="00536C60" w:rsidP="00536C60">
      <w:r w:rsidRPr="00131A73">
        <w:rPr>
          <w:rFonts w:eastAsia="Calibri" w:cs="Calibri"/>
        </w:rPr>
        <w:t xml:space="preserve">В 2019 году для правительства Эритреи были </w:t>
      </w:r>
      <w:r w:rsidRPr="00131A73">
        <w:t>проведены</w:t>
      </w:r>
      <w:r w:rsidRPr="00131A73">
        <w:rPr>
          <w:rFonts w:eastAsia="Calibri" w:cs="Calibri"/>
        </w:rPr>
        <w:t xml:space="preserve"> сертифицированные учебные курсы по передовым технологиям, роумингу и мобильным платежам. </w:t>
      </w:r>
      <w:r w:rsidRPr="00131A73">
        <w:rPr>
          <w:rFonts w:eastAsia="Calibri" w:cs="Calibri"/>
          <w:szCs w:val="24"/>
        </w:rPr>
        <w:t>Концентрированная помощь была оказана Бурунди, два гражданина которой прошли обучение по широкополосной связи в Центре профессионального мастерства МСЭ в Яунде (Камерун) и приняли участие в практических занятиях по кибербезопасности в Кампале (Уганда). Также была оказана помощь Кыргызстану.</w:t>
      </w:r>
    </w:p>
    <w:p w14:paraId="60C69B16" w14:textId="77777777" w:rsidR="00536C60" w:rsidRPr="00131A73" w:rsidRDefault="00536C60" w:rsidP="00536C60">
      <w:pPr>
        <w:pStyle w:val="Headingb"/>
      </w:pPr>
      <w:r w:rsidRPr="00131A73">
        <w:t>Развитие потенциала на региональном уровне</w:t>
      </w:r>
    </w:p>
    <w:p w14:paraId="3E38792D" w14:textId="004A53A1" w:rsidR="00536C60" w:rsidRPr="00131A73" w:rsidRDefault="00536C60" w:rsidP="00536C60">
      <w:pPr>
        <w:overflowPunct/>
        <w:autoSpaceDE/>
        <w:adjustRightInd/>
        <w:rPr>
          <w:rFonts w:cs="Calibri"/>
        </w:rPr>
      </w:pPr>
      <w:r w:rsidRPr="00131A73">
        <w:rPr>
          <w:rFonts w:eastAsia="Calibri" w:cs="Calibri"/>
        </w:rPr>
        <w:t xml:space="preserve">В странах региона арабских государств было организовано обучение по технологиям спутниковой связи (совместно с ITSO), 5G (совместно с Ассоциацией GSM) и управлению использованием интернета (совместно с ICANN, ISOC, RIPE NCC и фондом Diplo). </w:t>
      </w:r>
      <w:r w:rsidRPr="00131A73">
        <w:rPr>
          <w:rFonts w:cs="Calibri"/>
        </w:rPr>
        <w:t xml:space="preserve">В странах СНГ было проведено обучение по технологиям спутниковой связи </w:t>
      </w:r>
      <w:r w:rsidRPr="00131A73">
        <w:rPr>
          <w:rFonts w:eastAsia="Calibri" w:cs="Calibri"/>
        </w:rPr>
        <w:t xml:space="preserve">(совместно с ITSO), </w:t>
      </w:r>
      <w:r w:rsidR="003F29C1" w:rsidRPr="00131A73">
        <w:rPr>
          <w:rFonts w:eastAsia="Calibri" w:cs="Calibri"/>
        </w:rPr>
        <w:t xml:space="preserve">а </w:t>
      </w:r>
      <w:r w:rsidRPr="00131A73">
        <w:rPr>
          <w:rFonts w:eastAsia="Calibri" w:cs="Calibri"/>
        </w:rPr>
        <w:t>в Африканском регионе – по</w:t>
      </w:r>
      <w:r w:rsidR="00B01C23" w:rsidRPr="00131A73">
        <w:rPr>
          <w:rFonts w:eastAsia="Calibri" w:cs="Calibri"/>
        </w:rPr>
        <w:t> </w:t>
      </w:r>
      <w:r w:rsidRPr="00131A73">
        <w:rPr>
          <w:rFonts w:eastAsia="Calibri" w:cs="Calibri"/>
        </w:rPr>
        <w:t xml:space="preserve">управлению использованием спектра (в сотрудничестве с центром профессионального мастерства МСЭ в Кении, AFRALTI). В Азиатско-Тихоокеанском регионе было организовано обучение по вопросу </w:t>
      </w:r>
      <w:hyperlink r:id="rId26" w:history="1">
        <w:r w:rsidRPr="00131A73">
          <w:rPr>
            <w:rStyle w:val="Hyperlink"/>
            <w:rFonts w:eastAsia="Calibri" w:cs="Calibri"/>
          </w:rPr>
          <w:t>воздействия на человека радиочастотных электромагнитных полей</w:t>
        </w:r>
      </w:hyperlink>
      <w:r w:rsidRPr="00131A73">
        <w:rPr>
          <w:rFonts w:eastAsia="Calibri" w:cs="Calibri"/>
        </w:rPr>
        <w:t xml:space="preserve">. Этот </w:t>
      </w:r>
      <w:r w:rsidR="003F29C1" w:rsidRPr="00131A73">
        <w:rPr>
          <w:rFonts w:eastAsia="Calibri" w:cs="Calibri"/>
        </w:rPr>
        <w:t xml:space="preserve">курс </w:t>
      </w:r>
      <w:r w:rsidRPr="00131A73">
        <w:rPr>
          <w:rFonts w:eastAsia="Calibri" w:cs="Calibri"/>
        </w:rPr>
        <w:t>электронн</w:t>
      </w:r>
      <w:r w:rsidR="003F29C1" w:rsidRPr="00131A73">
        <w:rPr>
          <w:rFonts w:eastAsia="Calibri" w:cs="Calibri"/>
        </w:rPr>
        <w:t>ого обучения</w:t>
      </w:r>
      <w:r w:rsidRPr="00131A73">
        <w:rPr>
          <w:rFonts w:eastAsia="Calibri" w:cs="Calibri"/>
        </w:rPr>
        <w:t xml:space="preserve"> был организован на основе партнерства ЦПМ с Технологическим университетом Малайзии и проходил в ноябре/декабре 2020 года.</w:t>
      </w:r>
    </w:p>
    <w:p w14:paraId="178D998D" w14:textId="5EC0EDEA" w:rsidR="00536C60" w:rsidRPr="00131A73" w:rsidRDefault="00536C60" w:rsidP="00634634">
      <w:pPr>
        <w:spacing w:after="160"/>
      </w:pPr>
      <w:r w:rsidRPr="00131A73">
        <w:rPr>
          <w:rFonts w:cs="Calibri"/>
        </w:rPr>
        <w:t xml:space="preserve">В рамках партнерства узла ЦПМ для Азиатско-Тихоокеанского региона с Государственным центром контроля радиосвязи (SRMC) Министерства промышленности и информационных технологий (MIIT) Китая </w:t>
      </w:r>
      <w:r w:rsidR="00387114" w:rsidRPr="00131A73">
        <w:rPr>
          <w:rFonts w:cs="Calibri"/>
        </w:rPr>
        <w:t>3</w:t>
      </w:r>
      <w:r w:rsidR="003F29C1" w:rsidRPr="00131A73">
        <w:rPr>
          <w:rFonts w:cs="Calibri"/>
        </w:rPr>
        <w:t xml:space="preserve">72 участника из более чем 60 стран </w:t>
      </w:r>
      <w:r w:rsidR="004958BA" w:rsidRPr="00131A73">
        <w:rPr>
          <w:rFonts w:cs="Calibri"/>
        </w:rPr>
        <w:t>прошли очные и электронные курсы</w:t>
      </w:r>
      <w:r w:rsidR="00387114" w:rsidRPr="00131A73">
        <w:rPr>
          <w:rFonts w:cs="Calibri"/>
        </w:rPr>
        <w:t xml:space="preserve">. </w:t>
      </w:r>
      <w:r w:rsidR="004958BA" w:rsidRPr="00131A73">
        <w:rPr>
          <w:rFonts w:cs="Calibri"/>
        </w:rPr>
        <w:t xml:space="preserve">С 2018 по 2020 год проводилась подготовка в области управления использованием спектра и </w:t>
      </w:r>
      <w:r w:rsidR="004958BA" w:rsidRPr="00131A73">
        <w:rPr>
          <w:color w:val="000000"/>
        </w:rPr>
        <w:t>радиочастотно</w:t>
      </w:r>
      <w:r w:rsidR="009F4A41" w:rsidRPr="00131A73">
        <w:rPr>
          <w:color w:val="000000"/>
        </w:rPr>
        <w:t>го</w:t>
      </w:r>
      <w:r w:rsidR="004958BA" w:rsidRPr="00131A73">
        <w:rPr>
          <w:color w:val="000000"/>
        </w:rPr>
        <w:t xml:space="preserve"> (РЧ) контрол</w:t>
      </w:r>
      <w:r w:rsidR="009F4A41" w:rsidRPr="00131A73">
        <w:rPr>
          <w:color w:val="000000"/>
        </w:rPr>
        <w:t>я,</w:t>
      </w:r>
      <w:r w:rsidR="004958BA" w:rsidRPr="00131A73">
        <w:rPr>
          <w:color w:val="000000"/>
        </w:rPr>
        <w:t xml:space="preserve"> включая применени</w:t>
      </w:r>
      <w:r w:rsidR="009F4A41" w:rsidRPr="00131A73">
        <w:rPr>
          <w:color w:val="000000"/>
        </w:rPr>
        <w:t>е</w:t>
      </w:r>
      <w:r w:rsidR="004958BA" w:rsidRPr="00131A73">
        <w:rPr>
          <w:color w:val="000000"/>
        </w:rPr>
        <w:t xml:space="preserve"> технологий, </w:t>
      </w:r>
      <w:r w:rsidR="004958BA" w:rsidRPr="00131A73">
        <w:rPr>
          <w:rFonts w:cs="Calibri"/>
        </w:rPr>
        <w:t xml:space="preserve">управление использованием спектра и </w:t>
      </w:r>
      <w:r w:rsidR="004958BA" w:rsidRPr="00131A73">
        <w:rPr>
          <w:color w:val="000000"/>
        </w:rPr>
        <w:t>радиочастотный (РЧ) контроль.</w:t>
      </w:r>
      <w:r w:rsidR="00387114" w:rsidRPr="00131A73">
        <w:rPr>
          <w:rFonts w:cs="Calibri"/>
        </w:rPr>
        <w:t xml:space="preserve"> В</w:t>
      </w:r>
      <w:r w:rsidRPr="00131A73">
        <w:rPr>
          <w:rFonts w:cs="Calibri"/>
        </w:rPr>
        <w:t xml:space="preserve"> странах Карибского бассейна была организована программа по вопросам цифровой политики с целью повышения информированности государственных служащих в области </w:t>
      </w:r>
      <w:r w:rsidRPr="00131A73">
        <w:rPr>
          <w:rFonts w:cs="Calibri"/>
        </w:rPr>
        <w:lastRenderedPageBreak/>
        <w:t>использования ИКТ, которая предоставила им руководящие указания в отношении принятия политических, законодательных и регуляторных решений.</w:t>
      </w:r>
    </w:p>
    <w:tbl>
      <w:tblPr>
        <w:tblStyle w:val="TableGrid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536C60" w:rsidRPr="00131A73" w14:paraId="66497223" w14:textId="77777777" w:rsidTr="00536C60"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886C6" w14:textId="77777777" w:rsidR="00536C60" w:rsidRPr="00131A73" w:rsidRDefault="00536C60">
            <w:pPr>
              <w:rPr>
                <w:b/>
              </w:rPr>
            </w:pPr>
            <w:r w:rsidRPr="00131A73">
              <w:rPr>
                <w:b/>
              </w:rPr>
              <w:t>РЕГИОНАЛЬНЫЕ ИНИЦИАТИВЫ</w:t>
            </w:r>
          </w:p>
          <w:p w14:paraId="2F671786" w14:textId="42E0A9AE" w:rsidR="00536C60" w:rsidRPr="00131A73" w:rsidRDefault="00536C60">
            <w:r w:rsidRPr="00131A73">
              <w:t xml:space="preserve">Африканский регион: </w:t>
            </w:r>
            <w:r w:rsidR="009F4A41" w:rsidRPr="00131A73">
              <w:t>р</w:t>
            </w:r>
            <w:r w:rsidRPr="00131A73">
              <w:t>асширение усилий по созданию человеческого и институционального потенциала</w:t>
            </w:r>
          </w:p>
          <w:p w14:paraId="20FE2EFF" w14:textId="4685EF05" w:rsidR="00536C60" w:rsidRPr="00131A73" w:rsidRDefault="00B01C23" w:rsidP="008F1A8E">
            <w:pPr>
              <w:pStyle w:val="enumlev1"/>
              <w:rPr>
                <w:rFonts w:eastAsiaTheme="minorEastAsia" w:cstheme="minorBidi"/>
              </w:rPr>
            </w:pPr>
            <w:r w:rsidRPr="00131A73">
              <w:rPr>
                <w:rFonts w:eastAsia="Calibri"/>
              </w:rPr>
              <w:t>−</w:t>
            </w:r>
            <w:r w:rsidR="00536C60" w:rsidRPr="00131A73">
              <w:rPr>
                <w:rFonts w:eastAsia="Calibri"/>
              </w:rPr>
              <w:tab/>
            </w:r>
            <w:r w:rsidR="00176FC1" w:rsidRPr="00131A73">
              <w:rPr>
                <w:rFonts w:eastAsia="Calibri"/>
              </w:rPr>
              <w:t>С целью содействия сокращению гендерного цифрового разрыва</w:t>
            </w:r>
            <w:r w:rsidR="009F4A41" w:rsidRPr="00131A73">
              <w:rPr>
                <w:rFonts w:eastAsia="Calibri"/>
              </w:rPr>
              <w:t xml:space="preserve"> благодаря</w:t>
            </w:r>
            <w:r w:rsidR="00176FC1" w:rsidRPr="00131A73">
              <w:rPr>
                <w:rFonts w:eastAsia="Calibri"/>
              </w:rPr>
              <w:t xml:space="preserve"> увелич</w:t>
            </w:r>
            <w:r w:rsidR="009F4A41" w:rsidRPr="00131A73">
              <w:rPr>
                <w:rFonts w:eastAsia="Calibri"/>
              </w:rPr>
              <w:t>ению</w:t>
            </w:r>
            <w:r w:rsidR="00176FC1" w:rsidRPr="00131A73">
              <w:rPr>
                <w:rFonts w:eastAsia="Calibri"/>
              </w:rPr>
              <w:t xml:space="preserve"> заинтересованност</w:t>
            </w:r>
            <w:r w:rsidR="009F4A41" w:rsidRPr="00131A73">
              <w:rPr>
                <w:rFonts w:eastAsia="Calibri"/>
              </w:rPr>
              <w:t>и</w:t>
            </w:r>
            <w:r w:rsidR="00176FC1" w:rsidRPr="00131A73">
              <w:rPr>
                <w:rFonts w:eastAsia="Calibri"/>
              </w:rPr>
              <w:t xml:space="preserve"> девушек в ИКТ и программировании,</w:t>
            </w:r>
            <w:r w:rsidR="002E6229" w:rsidRPr="00131A73">
              <w:rPr>
                <w:rFonts w:eastAsia="Calibri"/>
              </w:rPr>
              <w:t xml:space="preserve"> </w:t>
            </w:r>
            <w:r w:rsidR="00176FC1" w:rsidRPr="00131A73">
              <w:t>б</w:t>
            </w:r>
            <w:r w:rsidR="00536C60" w:rsidRPr="00131A73">
              <w:t xml:space="preserve">олее 530 девушек освоили программирование </w:t>
            </w:r>
            <w:r w:rsidR="0077248D" w:rsidRPr="00131A73">
              <w:t>и навыки межличностного общения в ходе ряда</w:t>
            </w:r>
            <w:r w:rsidR="00536C60" w:rsidRPr="00131A73">
              <w:t xml:space="preserve"> семинар</w:t>
            </w:r>
            <w:r w:rsidR="0077248D" w:rsidRPr="00131A73">
              <w:t>ов</w:t>
            </w:r>
            <w:r w:rsidR="00536C60" w:rsidRPr="00131A73">
              <w:t>-практикум</w:t>
            </w:r>
            <w:r w:rsidR="0077248D" w:rsidRPr="00131A73">
              <w:t>ов</w:t>
            </w:r>
            <w:r w:rsidR="00536C60" w:rsidRPr="00131A73">
              <w:t xml:space="preserve"> в рамках инициативы "Африканские девушки могут программировать"</w:t>
            </w:r>
            <w:r w:rsidR="002E6229" w:rsidRPr="00131A73">
              <w:t xml:space="preserve"> (AGCCI)</w:t>
            </w:r>
            <w:r w:rsidR="00536C60" w:rsidRPr="00131A73">
              <w:t>.</w:t>
            </w:r>
          </w:p>
          <w:p w14:paraId="525DB2C5" w14:textId="129158A2" w:rsidR="00536C60" w:rsidRPr="00131A73" w:rsidRDefault="00B01C23" w:rsidP="008F1A8E">
            <w:pPr>
              <w:pStyle w:val="enumlev1"/>
              <w:rPr>
                <w:rFonts w:eastAsiaTheme="minorEastAsia" w:cstheme="minorBidi"/>
              </w:rPr>
            </w:pPr>
            <w:r w:rsidRPr="00131A73">
              <w:rPr>
                <w:rFonts w:eastAsia="Calibri"/>
              </w:rPr>
              <w:t>−</w:t>
            </w:r>
            <w:r w:rsidR="00536C60" w:rsidRPr="00131A73">
              <w:rPr>
                <w:rFonts w:eastAsia="Calibri"/>
              </w:rPr>
              <w:tab/>
            </w:r>
            <w:r w:rsidR="00536C60" w:rsidRPr="00131A73">
              <w:t>В рамках инициативы</w:t>
            </w:r>
            <w:r w:rsidR="0077248D" w:rsidRPr="00131A73">
              <w:t xml:space="preserve"> AGCCI</w:t>
            </w:r>
            <w:r w:rsidR="00536C60" w:rsidRPr="00131A73">
              <w:t>, а также совместного празднования 75-лет</w:t>
            </w:r>
            <w:r w:rsidR="0077248D" w:rsidRPr="00131A73">
              <w:t>ия</w:t>
            </w:r>
            <w:r w:rsidR="00536C60" w:rsidRPr="00131A73">
              <w:t xml:space="preserve"> ООН и успешной работы по расширению возможностей женщин и девушек в области ИКТ </w:t>
            </w:r>
            <w:r w:rsidR="0077248D" w:rsidRPr="00131A73">
              <w:t>в декабре 2020 года МСЭ</w:t>
            </w:r>
            <w:r w:rsidR="00536C60" w:rsidRPr="00131A73">
              <w:t xml:space="preserve"> совместно с ЭКА ООН был организован учебный курс для девушек в возрасте 17–20 лет со всего континента, который проходил в Аддис-Абебе (Эфиопия) в смешанном формате</w:t>
            </w:r>
            <w:r w:rsidR="00766213" w:rsidRPr="00131A73">
              <w:t>,</w:t>
            </w:r>
            <w:r w:rsidR="00536C60" w:rsidRPr="00131A73">
              <w:t xml:space="preserve"> с возможностью очного и дистанционного участия. Свыше 120 участниц присутствовали лично, еще более 2000</w:t>
            </w:r>
            <w:r w:rsidR="009F4A41" w:rsidRPr="00131A73">
              <w:t> </w:t>
            </w:r>
            <w:r w:rsidR="00536C60" w:rsidRPr="00131A73">
              <w:t>девушек приняли участие в виртуальных сессиях в течение двух недель.</w:t>
            </w:r>
            <w:r w:rsidR="002E6229" w:rsidRPr="00131A73">
              <w:t xml:space="preserve"> </w:t>
            </w:r>
            <w:r w:rsidR="00192AEE" w:rsidRPr="00131A73">
              <w:t>По этому случаю</w:t>
            </w:r>
            <w:r w:rsidR="0078538E" w:rsidRPr="00131A73">
              <w:t xml:space="preserve"> на онлайновой платформе AGCCI</w:t>
            </w:r>
            <w:r w:rsidR="00192AEE" w:rsidRPr="00131A73">
              <w:t xml:space="preserve"> был открыт субсайт </w:t>
            </w:r>
            <w:r w:rsidR="0078538E" w:rsidRPr="00131A73">
              <w:t>по электронному обучению</w:t>
            </w:r>
            <w:r w:rsidR="002E6229" w:rsidRPr="00131A73">
              <w:t>.</w:t>
            </w:r>
          </w:p>
          <w:p w14:paraId="6FA00A01" w14:textId="00470058" w:rsidR="00536C60" w:rsidRPr="00131A73" w:rsidRDefault="00B01C23" w:rsidP="008F1A8E">
            <w:pPr>
              <w:pStyle w:val="enumlev1"/>
            </w:pPr>
            <w:r w:rsidRPr="00131A73">
              <w:rPr>
                <w:rFonts w:eastAsia="Calibri"/>
              </w:rPr>
              <w:t>−</w:t>
            </w:r>
            <w:r w:rsidR="00536C60" w:rsidRPr="00131A73">
              <w:rPr>
                <w:rFonts w:eastAsia="Calibri"/>
              </w:rPr>
              <w:tab/>
              <w:t xml:space="preserve">Для молодежи и силами молодежи в Африке при поддержке Африканского союза была разработана программа МСЭ–МОТ </w:t>
            </w:r>
            <w:r w:rsidR="00536C60" w:rsidRPr="00131A73">
              <w:t xml:space="preserve">по </w:t>
            </w:r>
            <w:hyperlink r:id="rId27" w:history="1">
              <w:r w:rsidR="00536C60" w:rsidRPr="00131A73">
                <w:rPr>
                  <w:rStyle w:val="Hyperlink"/>
                  <w:rFonts w:cs="Calibri"/>
                </w:rPr>
                <w:t>содействию созданию достойных рабочих мест и приобретению молодежью цифровых навыков для работы в цифровой экономике Африки</w:t>
              </w:r>
            </w:hyperlink>
            <w:r w:rsidR="00536C60" w:rsidRPr="00131A73">
              <w:t xml:space="preserve">. Реализация этой континентальной программы началась в 2020 году с целью расширить возможности африканской молодежи и создать условия для того, чтобы молодые люди открывали для себя новые перспективы в цифровой экономике, а их энергия и творческий потенциал использовались на благо расширяющихся отраслей, ориентированных на цифровые технологии. Изначально программа реализуется в шести странах: Кот-д'Ивуаре, Кении, Нигерии, Руанде, Сенегале и Южно-Африканской Республике. В </w:t>
            </w:r>
            <w:r w:rsidR="00AC30BC" w:rsidRPr="00131A73">
              <w:t xml:space="preserve">2020 году </w:t>
            </w:r>
            <w:r w:rsidR="00536C60" w:rsidRPr="00131A73">
              <w:t>совместно с этими странами разрабатыва</w:t>
            </w:r>
            <w:r w:rsidR="00AC30BC" w:rsidRPr="00131A73">
              <w:t>лись</w:t>
            </w:r>
            <w:r w:rsidR="00536C60" w:rsidRPr="00131A73">
              <w:t xml:space="preserve"> национальные проектные документы </w:t>
            </w:r>
            <w:r w:rsidR="005500FD" w:rsidRPr="00131A73">
              <w:t xml:space="preserve">и проводились семинары-практикумы по валидации </w:t>
            </w:r>
            <w:r w:rsidR="00536C60" w:rsidRPr="00131A73">
              <w:t>по итогам круглого стола, проведенного в виртуальном формате с участием многих заинтересованных сторон с целью наладить устойчивые партнерские отношения и определить механизмы финансирования.</w:t>
            </w:r>
            <w:r w:rsidR="002E6229" w:rsidRPr="00131A73">
              <w:t xml:space="preserve"> </w:t>
            </w:r>
            <w:r w:rsidR="005500FD" w:rsidRPr="00131A73">
              <w:t xml:space="preserve">В рамках этой программы при содействии МСЭ, МОТ и ПРООН </w:t>
            </w:r>
            <w:r w:rsidR="00030BBF" w:rsidRPr="00131A73">
              <w:t xml:space="preserve">и </w:t>
            </w:r>
            <w:r w:rsidR="005500FD" w:rsidRPr="00131A73">
              <w:t xml:space="preserve">совместно с Южно-Африканской Республикой была разработана национальная программа применения цифровых навыков </w:t>
            </w:r>
            <w:r w:rsidR="00030BBF" w:rsidRPr="00131A73">
              <w:t>благодаря проведению консультационных семинаров-практикумов в ноябре и декабре 2020 года и общенациональных консультаций в феврале 2021 года</w:t>
            </w:r>
            <w:r w:rsidR="002E6229" w:rsidRPr="00131A73">
              <w:t xml:space="preserve">. </w:t>
            </w:r>
            <w:r w:rsidR="00030BBF" w:rsidRPr="00131A73">
              <w:t>Ведется разработка экспериментальных проектов проведения национальных программ</w:t>
            </w:r>
            <w:r w:rsidR="002E6229" w:rsidRPr="00131A73">
              <w:t>.</w:t>
            </w:r>
          </w:p>
          <w:p w14:paraId="2823D1EF" w14:textId="6EE7D339" w:rsidR="002E6229" w:rsidRPr="00131A73" w:rsidRDefault="00B01C23" w:rsidP="008F1A8E">
            <w:pPr>
              <w:pStyle w:val="enumlev1"/>
              <w:rPr>
                <w:rFonts w:eastAsiaTheme="minorEastAsia" w:cstheme="minorBidi"/>
              </w:rPr>
            </w:pPr>
            <w:r w:rsidRPr="00131A73">
              <w:rPr>
                <w:rFonts w:eastAsia="Calibri"/>
              </w:rPr>
              <w:t>−</w:t>
            </w:r>
            <w:r w:rsidR="002E6229" w:rsidRPr="00131A73">
              <w:rPr>
                <w:rFonts w:eastAsia="Calibri"/>
              </w:rPr>
              <w:tab/>
            </w:r>
            <w:r w:rsidR="00FA4AB7" w:rsidRPr="00131A73">
              <w:rPr>
                <w:rFonts w:eastAsia="Calibri"/>
              </w:rPr>
              <w:t xml:space="preserve">В декабре 2020 года был проведен вебинар по </w:t>
            </w:r>
            <w:r w:rsidR="00FA4AB7" w:rsidRPr="00131A73">
              <w:rPr>
                <w:rFonts w:eastAsiaTheme="minorEastAsia" w:cstheme="minorBidi"/>
              </w:rPr>
              <w:t>USO 2.0 для вовлечения членов в обсуждение мер, необходимых для сокращения цифрового разрыва путем использования фондов универсального обслуживания</w:t>
            </w:r>
            <w:r w:rsidR="002E6229" w:rsidRPr="00131A73">
              <w:rPr>
                <w:rFonts w:eastAsiaTheme="minorEastAsia" w:cstheme="minorBidi"/>
              </w:rPr>
              <w:t xml:space="preserve">, USO </w:t>
            </w:r>
            <w:r w:rsidR="00FA4AB7" w:rsidRPr="00131A73">
              <w:rPr>
                <w:rFonts w:eastAsiaTheme="minorEastAsia" w:cstheme="minorBidi"/>
              </w:rPr>
              <w:t>и инновационного механизма финансирования</w:t>
            </w:r>
            <w:r w:rsidR="00E265CD" w:rsidRPr="00131A73">
              <w:rPr>
                <w:rFonts w:eastAsiaTheme="minorEastAsia" w:cstheme="minorBidi"/>
              </w:rPr>
              <w:t>.</w:t>
            </w:r>
          </w:p>
          <w:p w14:paraId="01397B45" w14:textId="487EF51A" w:rsidR="002E6229" w:rsidRPr="00131A73" w:rsidRDefault="00B01C23" w:rsidP="008F1A8E">
            <w:pPr>
              <w:pStyle w:val="enumlev1"/>
              <w:rPr>
                <w:rFonts w:eastAsiaTheme="minorEastAsia" w:cstheme="minorBidi"/>
              </w:rPr>
            </w:pPr>
            <w:r w:rsidRPr="00131A73">
              <w:rPr>
                <w:rFonts w:eastAsia="Calibri"/>
              </w:rPr>
              <w:t>−</w:t>
            </w:r>
            <w:r w:rsidR="002E6229" w:rsidRPr="00131A73">
              <w:rPr>
                <w:rFonts w:eastAsia="Calibri"/>
              </w:rPr>
              <w:tab/>
            </w:r>
            <w:r w:rsidR="00CB1036" w:rsidRPr="00131A73">
              <w:rPr>
                <w:rFonts w:eastAsia="Calibri"/>
              </w:rPr>
              <w:t>После проведения региональных семинаров-практикумов в Лесото</w:t>
            </w:r>
            <w:r w:rsidR="002E6229" w:rsidRPr="00131A73">
              <w:rPr>
                <w:rFonts w:eastAsiaTheme="minorEastAsia" w:cstheme="minorBidi"/>
              </w:rPr>
              <w:t xml:space="preserve"> 10−19</w:t>
            </w:r>
            <w:r w:rsidR="00CB1036" w:rsidRPr="00131A73">
              <w:rPr>
                <w:rFonts w:eastAsiaTheme="minorEastAsia" w:cstheme="minorBidi"/>
              </w:rPr>
              <w:t> октября</w:t>
            </w:r>
            <w:r w:rsidR="002E6229" w:rsidRPr="00131A73">
              <w:rPr>
                <w:rFonts w:eastAsiaTheme="minorEastAsia" w:cstheme="minorBidi"/>
              </w:rPr>
              <w:t xml:space="preserve"> 2018</w:t>
            </w:r>
            <w:r w:rsidR="00CB1036" w:rsidRPr="00131A73">
              <w:rPr>
                <w:rFonts w:eastAsiaTheme="minorEastAsia" w:cstheme="minorBidi"/>
              </w:rPr>
              <w:t> года и в Бенине</w:t>
            </w:r>
            <w:r w:rsidR="002E6229" w:rsidRPr="00131A73">
              <w:rPr>
                <w:rFonts w:eastAsiaTheme="minorEastAsia" w:cstheme="minorBidi"/>
              </w:rPr>
              <w:t xml:space="preserve"> 25</w:t>
            </w:r>
            <w:r w:rsidR="00CB1036" w:rsidRPr="00131A73">
              <w:rPr>
                <w:rFonts w:eastAsiaTheme="minorEastAsia" w:cstheme="minorBidi"/>
              </w:rPr>
              <w:t> ноября</w:t>
            </w:r>
            <w:r w:rsidR="002E6229" w:rsidRPr="00131A73">
              <w:rPr>
                <w:rFonts w:eastAsiaTheme="minorEastAsia" w:cstheme="minorBidi"/>
              </w:rPr>
              <w:t xml:space="preserve"> </w:t>
            </w:r>
            <w:r w:rsidR="00CB1036" w:rsidRPr="00131A73">
              <w:rPr>
                <w:rFonts w:eastAsiaTheme="minorEastAsia" w:cstheme="minorBidi"/>
              </w:rPr>
              <w:t>–</w:t>
            </w:r>
            <w:r w:rsidR="002E6229" w:rsidRPr="00131A73">
              <w:rPr>
                <w:rFonts w:eastAsiaTheme="minorEastAsia" w:cstheme="minorBidi"/>
              </w:rPr>
              <w:t xml:space="preserve"> 4</w:t>
            </w:r>
            <w:r w:rsidR="00CB1036" w:rsidRPr="00131A73">
              <w:rPr>
                <w:rFonts w:eastAsiaTheme="minorEastAsia" w:cstheme="minorBidi"/>
              </w:rPr>
              <w:t> декабря</w:t>
            </w:r>
            <w:r w:rsidR="002E6229" w:rsidRPr="00131A73">
              <w:rPr>
                <w:rFonts w:eastAsiaTheme="minorEastAsia" w:cstheme="minorBidi"/>
              </w:rPr>
              <w:t xml:space="preserve"> 2019</w:t>
            </w:r>
            <w:r w:rsidR="00CB1036" w:rsidRPr="00131A73">
              <w:rPr>
                <w:rFonts w:eastAsiaTheme="minorEastAsia" w:cstheme="minorBidi"/>
              </w:rPr>
              <w:t xml:space="preserve"> года была разработана учебная программа по цифровому здравоохранению и в Лесото </w:t>
            </w:r>
            <w:r w:rsidR="005C64D2" w:rsidRPr="00131A73">
              <w:rPr>
                <w:rFonts w:eastAsiaTheme="minorEastAsia" w:cstheme="minorBidi"/>
              </w:rPr>
              <w:t xml:space="preserve">подготовлено в 2020 году </w:t>
            </w:r>
            <w:r w:rsidR="00CB1036" w:rsidRPr="00131A73">
              <w:rPr>
                <w:rFonts w:eastAsiaTheme="minorEastAsia" w:cstheme="minorBidi"/>
              </w:rPr>
              <w:t xml:space="preserve">исследование конкретной ситуации </w:t>
            </w:r>
            <w:r w:rsidR="005C64D2" w:rsidRPr="00131A73">
              <w:rPr>
                <w:rFonts w:eastAsiaTheme="minorEastAsia" w:cstheme="minorBidi"/>
              </w:rPr>
              <w:t>по требованиям и архитектуре системы цифрового здравоохранения</w:t>
            </w:r>
            <w:r w:rsidR="002E6229" w:rsidRPr="00131A73">
              <w:rPr>
                <w:rFonts w:eastAsiaTheme="minorEastAsia" w:cstheme="minorBidi"/>
              </w:rPr>
              <w:t xml:space="preserve">. </w:t>
            </w:r>
            <w:r w:rsidR="005C64D2" w:rsidRPr="00131A73">
              <w:rPr>
                <w:rFonts w:eastAsiaTheme="minorEastAsia" w:cstheme="minorBidi"/>
              </w:rPr>
              <w:t>В декабре 2020 года были также разработаны учебный материал по цифровому здравоохранению и соответствующие онлайновые курсы</w:t>
            </w:r>
            <w:r w:rsidR="00E265CD" w:rsidRPr="00131A73">
              <w:rPr>
                <w:rFonts w:eastAsiaTheme="minorEastAsia" w:cstheme="minorBidi"/>
              </w:rPr>
              <w:t>.</w:t>
            </w:r>
          </w:p>
          <w:p w14:paraId="153AB772" w14:textId="60D6C281" w:rsidR="002E6229" w:rsidRPr="00131A73" w:rsidRDefault="00B01C23" w:rsidP="008F1A8E">
            <w:pPr>
              <w:pStyle w:val="enumlev1"/>
              <w:rPr>
                <w:rFonts w:eastAsiaTheme="minorEastAsia" w:cstheme="minorBidi"/>
              </w:rPr>
            </w:pPr>
            <w:r w:rsidRPr="00131A73">
              <w:rPr>
                <w:rFonts w:eastAsia="Calibri"/>
              </w:rPr>
              <w:t>−</w:t>
            </w:r>
            <w:r w:rsidR="002E6229" w:rsidRPr="00131A73">
              <w:rPr>
                <w:rFonts w:eastAsia="Calibri"/>
              </w:rPr>
              <w:tab/>
            </w:r>
            <w:r w:rsidR="00CE4AF4" w:rsidRPr="00131A73">
              <w:rPr>
                <w:rFonts w:eastAsia="Calibri"/>
              </w:rPr>
              <w:t xml:space="preserve">МСЭ оказал содействие Малави </w:t>
            </w:r>
            <w:r w:rsidR="009F4A41" w:rsidRPr="00131A73">
              <w:rPr>
                <w:rFonts w:eastAsiaTheme="minorEastAsia" w:cstheme="minorBidi"/>
              </w:rPr>
              <w:t>в разработке национальной политики управления электронными отходами</w:t>
            </w:r>
            <w:r w:rsidR="009F4A41" w:rsidRPr="00131A73">
              <w:rPr>
                <w:rFonts w:eastAsia="Calibri"/>
              </w:rPr>
              <w:t xml:space="preserve"> </w:t>
            </w:r>
            <w:r w:rsidR="00CE4AF4" w:rsidRPr="00131A73">
              <w:rPr>
                <w:rFonts w:eastAsia="Calibri"/>
              </w:rPr>
              <w:t xml:space="preserve">по линии </w:t>
            </w:r>
            <w:r w:rsidR="00CE4AF4" w:rsidRPr="00131A73">
              <w:rPr>
                <w:color w:val="000000"/>
              </w:rPr>
              <w:t>Регуляторного органа Малави в области электросвязи и Департамента по вопросам окружающей среды</w:t>
            </w:r>
            <w:r w:rsidR="002E6229" w:rsidRPr="00131A73">
              <w:rPr>
                <w:rFonts w:eastAsiaTheme="minorEastAsia" w:cstheme="minorBidi"/>
              </w:rPr>
              <w:t xml:space="preserve">. </w:t>
            </w:r>
            <w:r w:rsidR="00CE4AF4" w:rsidRPr="00131A73">
              <w:rPr>
                <w:rFonts w:eastAsiaTheme="minorEastAsia" w:cstheme="minorBidi"/>
              </w:rPr>
              <w:t xml:space="preserve">В октябре 2020 года </w:t>
            </w:r>
            <w:r w:rsidR="003C1CB3" w:rsidRPr="00131A73">
              <w:rPr>
                <w:rFonts w:eastAsiaTheme="minorEastAsia" w:cstheme="minorBidi"/>
              </w:rPr>
              <w:t xml:space="preserve">были проведены онлайновые консультации с </w:t>
            </w:r>
            <w:r w:rsidR="002E6229" w:rsidRPr="00131A73">
              <w:rPr>
                <w:rFonts w:eastAsiaTheme="minorEastAsia" w:cstheme="minorBidi"/>
              </w:rPr>
              <w:t>17</w:t>
            </w:r>
            <w:r w:rsidR="003C1CB3" w:rsidRPr="00131A73">
              <w:rPr>
                <w:rFonts w:eastAsiaTheme="minorEastAsia" w:cstheme="minorBidi"/>
              </w:rPr>
              <w:t> министерствами и департаментами и четырьмя органами местного самоуправления</w:t>
            </w:r>
            <w:r w:rsidR="00E265CD" w:rsidRPr="00131A73">
              <w:rPr>
                <w:rFonts w:eastAsiaTheme="minorEastAsia" w:cstheme="minorBidi"/>
              </w:rPr>
              <w:t>.</w:t>
            </w:r>
          </w:p>
          <w:p w14:paraId="089C5ECB" w14:textId="145EC6B5" w:rsidR="002E6229" w:rsidRPr="00131A73" w:rsidRDefault="00B01C23" w:rsidP="008F1A8E">
            <w:pPr>
              <w:pStyle w:val="enumlev1"/>
              <w:rPr>
                <w:rFonts w:eastAsiaTheme="minorEastAsia" w:cstheme="minorBidi"/>
              </w:rPr>
            </w:pPr>
            <w:r w:rsidRPr="00131A73">
              <w:rPr>
                <w:rFonts w:eastAsia="Calibri"/>
              </w:rPr>
              <w:t>−</w:t>
            </w:r>
            <w:r w:rsidR="002E6229" w:rsidRPr="00131A73">
              <w:rPr>
                <w:rFonts w:eastAsia="Calibri"/>
              </w:rPr>
              <w:tab/>
            </w:r>
            <w:r w:rsidR="003C1CB3" w:rsidRPr="00131A73">
              <w:rPr>
                <w:rFonts w:eastAsia="Calibri"/>
              </w:rPr>
              <w:t xml:space="preserve">В 2020 году были подготовлены базовые оценки для содействия охвату цифровыми финансовыми технологиями </w:t>
            </w:r>
            <w:r w:rsidR="009F4A41" w:rsidRPr="00131A73">
              <w:rPr>
                <w:rFonts w:eastAsia="Calibri"/>
              </w:rPr>
              <w:t xml:space="preserve">и </w:t>
            </w:r>
            <w:r w:rsidR="00653A0A" w:rsidRPr="00131A73">
              <w:rPr>
                <w:rFonts w:eastAsia="Calibri"/>
              </w:rPr>
              <w:t>цифровому правительству для Эфиопии</w:t>
            </w:r>
            <w:r w:rsidR="002E6229" w:rsidRPr="00131A73">
              <w:rPr>
                <w:rFonts w:eastAsiaTheme="minorEastAsia" w:cstheme="minorBidi"/>
              </w:rPr>
              <w:t xml:space="preserve">. </w:t>
            </w:r>
            <w:r w:rsidR="00653A0A" w:rsidRPr="00131A73">
              <w:rPr>
                <w:rFonts w:eastAsiaTheme="minorEastAsia" w:cstheme="minorBidi"/>
              </w:rPr>
              <w:t>В оценках отмечается необходимость расширения возможности установления цифровых соединений</w:t>
            </w:r>
            <w:r w:rsidR="00EB35AB" w:rsidRPr="00131A73">
              <w:rPr>
                <w:rFonts w:eastAsiaTheme="minorEastAsia" w:cstheme="minorBidi"/>
              </w:rPr>
              <w:t>, развития потенциала</w:t>
            </w:r>
            <w:r w:rsidR="00A24D4C" w:rsidRPr="00131A73">
              <w:rPr>
                <w:rFonts w:eastAsiaTheme="minorEastAsia" w:cstheme="minorBidi"/>
              </w:rPr>
              <w:t xml:space="preserve"> и укрепления политики как основополагающего элемента цифровой трансформации</w:t>
            </w:r>
            <w:r w:rsidR="002E6229" w:rsidRPr="00131A73">
              <w:rPr>
                <w:rFonts w:eastAsiaTheme="minorEastAsia" w:cstheme="minorBidi"/>
              </w:rPr>
              <w:t xml:space="preserve">. </w:t>
            </w:r>
            <w:r w:rsidR="00C62513" w:rsidRPr="00131A73">
              <w:rPr>
                <w:rFonts w:eastAsiaTheme="minorEastAsia" w:cstheme="minorBidi"/>
              </w:rPr>
              <w:t xml:space="preserve">Возможность установления надежных и прочных цифровых соединений имеет решающее значение, поскольку </w:t>
            </w:r>
            <w:r w:rsidR="003A169F" w:rsidRPr="00131A73">
              <w:rPr>
                <w:rFonts w:eastAsiaTheme="minorEastAsia" w:cstheme="minorBidi"/>
              </w:rPr>
              <w:t xml:space="preserve">другие цифровые продукты и услуги </w:t>
            </w:r>
            <w:r w:rsidR="009F4A41" w:rsidRPr="00131A73">
              <w:rPr>
                <w:rFonts w:eastAsiaTheme="minorEastAsia" w:cstheme="minorBidi"/>
              </w:rPr>
              <w:t>в</w:t>
            </w:r>
            <w:r w:rsidR="003A169F" w:rsidRPr="00131A73">
              <w:rPr>
                <w:rFonts w:eastAsiaTheme="minorEastAsia" w:cstheme="minorBidi"/>
              </w:rPr>
              <w:t xml:space="preserve"> своей работ</w:t>
            </w:r>
            <w:r w:rsidR="009F4A41" w:rsidRPr="00131A73">
              <w:rPr>
                <w:rFonts w:eastAsiaTheme="minorEastAsia" w:cstheme="minorBidi"/>
              </w:rPr>
              <w:t>е</w:t>
            </w:r>
            <w:r w:rsidR="003A169F" w:rsidRPr="00131A73">
              <w:rPr>
                <w:rFonts w:eastAsiaTheme="minorEastAsia" w:cstheme="minorBidi"/>
              </w:rPr>
              <w:t xml:space="preserve"> зависят от бесперебойного и справедливого доступа к интернету</w:t>
            </w:r>
            <w:r w:rsidR="00E265CD" w:rsidRPr="00131A73">
              <w:rPr>
                <w:rFonts w:eastAsiaTheme="minorEastAsia" w:cstheme="minorBidi"/>
              </w:rPr>
              <w:t>.</w:t>
            </w:r>
          </w:p>
          <w:p w14:paraId="6FE3E74A" w14:textId="13489CAB" w:rsidR="002E6229" w:rsidRPr="00131A73" w:rsidRDefault="00B01C23" w:rsidP="002E6229">
            <w:pPr>
              <w:pStyle w:val="enumlev1"/>
              <w:rPr>
                <w:rFonts w:eastAsiaTheme="minorEastAsia" w:cstheme="minorBidi"/>
              </w:rPr>
            </w:pPr>
            <w:r w:rsidRPr="00131A73">
              <w:rPr>
                <w:rFonts w:eastAsia="Calibri"/>
              </w:rPr>
              <w:lastRenderedPageBreak/>
              <w:t>−</w:t>
            </w:r>
            <w:r w:rsidR="002E6229" w:rsidRPr="00131A73">
              <w:rPr>
                <w:rFonts w:eastAsia="Calibri"/>
              </w:rPr>
              <w:tab/>
            </w:r>
            <w:r w:rsidR="00F66FAF" w:rsidRPr="00131A73">
              <w:rPr>
                <w:rFonts w:eastAsia="Calibri"/>
              </w:rPr>
              <w:t>В период 2018–2020 годов оказывалась помощь Лесото, Сьерра-Леоне, Южному Судану и Малави в форме профессиональной подготовки и разработки пособий и инструментов для статистики в области ИКТ и обследований домашних хозяйств</w:t>
            </w:r>
            <w:r w:rsidR="002E6229" w:rsidRPr="00131A73">
              <w:rPr>
                <w:rFonts w:eastAsiaTheme="minorEastAsia" w:cstheme="minorBidi"/>
              </w:rPr>
              <w:t>.</w:t>
            </w:r>
          </w:p>
          <w:p w14:paraId="4399CB06" w14:textId="3A497C02" w:rsidR="002E6229" w:rsidRPr="00131A73" w:rsidRDefault="00E265CD">
            <w:r w:rsidRPr="00131A73">
              <w:rPr>
                <w:rFonts w:cstheme="minorHAnsi"/>
                <w:szCs w:val="22"/>
              </w:rPr>
              <w:t>Регион Северной и Южной Америки</w:t>
            </w:r>
            <w:r w:rsidR="00536C60" w:rsidRPr="00131A73">
              <w:t>:</w:t>
            </w:r>
          </w:p>
          <w:p w14:paraId="0ADA8355" w14:textId="4C67F88E" w:rsidR="002E6229" w:rsidRPr="00131A73" w:rsidRDefault="00B01C23" w:rsidP="002E6229">
            <w:pPr>
              <w:pStyle w:val="enumlev1"/>
            </w:pPr>
            <w:r w:rsidRPr="00131A73">
              <w:rPr>
                <w:rFonts w:eastAsia="Calibri"/>
              </w:rPr>
              <w:t>−</w:t>
            </w:r>
            <w:r w:rsidR="002E6229" w:rsidRPr="00131A73">
              <w:rPr>
                <w:rFonts w:eastAsia="Calibri"/>
              </w:rPr>
              <w:tab/>
            </w:r>
            <w:r w:rsidR="002E1ED8" w:rsidRPr="00131A73">
              <w:rPr>
                <w:rFonts w:eastAsia="Calibri"/>
              </w:rPr>
              <w:t xml:space="preserve">В рамках сети центров профессионального мастерства МСЭ в регионе Северной и Южной Америки </w:t>
            </w:r>
            <w:r w:rsidR="00EA30B3" w:rsidRPr="00131A73">
              <w:rPr>
                <w:rFonts w:eastAsia="Calibri"/>
              </w:rPr>
              <w:t xml:space="preserve">были проведены несколько курсов профессиональной подготовки по протоколам связи для </w:t>
            </w:r>
            <w:r w:rsidR="00EA30B3" w:rsidRPr="00131A73">
              <w:t xml:space="preserve">IoT и спутниковой связи, оптическим сетям, </w:t>
            </w:r>
            <w:r w:rsidR="002E6229" w:rsidRPr="00131A73">
              <w:t xml:space="preserve">LTE </w:t>
            </w:r>
            <w:r w:rsidR="00EA30B3" w:rsidRPr="00131A73">
              <w:t>и</w:t>
            </w:r>
            <w:r w:rsidR="002E6229" w:rsidRPr="00131A73">
              <w:t xml:space="preserve"> 5G, </w:t>
            </w:r>
            <w:r w:rsidR="00EA30B3" w:rsidRPr="00131A73">
              <w:t>управлению использованием спектра</w:t>
            </w:r>
            <w:r w:rsidR="00C2387E" w:rsidRPr="00131A73">
              <w:t>, кибербезопасности и изменению климата</w:t>
            </w:r>
            <w:r w:rsidR="00E265CD" w:rsidRPr="00131A73">
              <w:t>.</w:t>
            </w:r>
          </w:p>
          <w:p w14:paraId="203906CF" w14:textId="4EBE40CC" w:rsidR="00536C60" w:rsidRPr="00131A73" w:rsidRDefault="00B01C23">
            <w:pPr>
              <w:pStyle w:val="enumlev1"/>
              <w:rPr>
                <w:rFonts w:eastAsiaTheme="minorEastAsia" w:cstheme="minorBidi"/>
              </w:rPr>
            </w:pPr>
            <w:r w:rsidRPr="00131A73">
              <w:rPr>
                <w:rFonts w:eastAsia="Calibri"/>
              </w:rPr>
              <w:t>−</w:t>
            </w:r>
            <w:r w:rsidR="002E6229" w:rsidRPr="00131A73">
              <w:rPr>
                <w:rFonts w:eastAsia="Calibri"/>
              </w:rPr>
              <w:tab/>
            </w:r>
            <w:r w:rsidR="00C2387E" w:rsidRPr="00131A73">
              <w:rPr>
                <w:rFonts w:eastAsia="Calibri"/>
              </w:rPr>
              <w:t>Подготовка по технологиям была проведена для специалистов государс</w:t>
            </w:r>
            <w:r w:rsidR="00E34626" w:rsidRPr="00131A73">
              <w:rPr>
                <w:rFonts w:eastAsia="Calibri"/>
              </w:rPr>
              <w:t xml:space="preserve">твенного оператора </w:t>
            </w:r>
            <w:r w:rsidR="002E6229" w:rsidRPr="00131A73">
              <w:t>Instituto Costarricense de Electricidad</w:t>
            </w:r>
            <w:r w:rsidR="00CC1874" w:rsidRPr="00131A73">
              <w:t xml:space="preserve"> </w:t>
            </w:r>
            <w:r w:rsidR="00E34626" w:rsidRPr="00131A73">
              <w:t>(</w:t>
            </w:r>
            <w:r w:rsidR="00E34626" w:rsidRPr="00131A73">
              <w:rPr>
                <w:color w:val="000000"/>
              </w:rPr>
              <w:t>Института электричества Коста-Рики</w:t>
            </w:r>
            <w:r w:rsidR="00E34626" w:rsidRPr="00131A73">
              <w:t xml:space="preserve"> </w:t>
            </w:r>
            <w:r w:rsidR="002E6229" w:rsidRPr="00131A73">
              <w:t>(ICE)</w:t>
            </w:r>
            <w:r w:rsidR="00E34626" w:rsidRPr="00131A73">
              <w:t>)</w:t>
            </w:r>
            <w:r w:rsidR="002E6229" w:rsidRPr="00131A73">
              <w:t>.</w:t>
            </w:r>
            <w:r w:rsidR="003B252C" w:rsidRPr="00131A73">
              <w:t xml:space="preserve"> </w:t>
            </w:r>
            <w:r w:rsidR="00536C60" w:rsidRPr="00131A73">
              <w:t>Было организовано обучение для сотрудников ICE по различным вопросам, связанным с управлением электросвязью.</w:t>
            </w:r>
          </w:p>
          <w:p w14:paraId="46C6EBFF" w14:textId="77777777" w:rsidR="00536C60" w:rsidRPr="00131A73" w:rsidRDefault="00536C60" w:rsidP="00755045">
            <w:pPr>
              <w:ind w:left="357" w:hanging="357"/>
            </w:pPr>
            <w:r w:rsidRPr="00131A73">
              <w:rPr>
                <w:rFonts w:eastAsia="Calibri" w:cs="Calibri"/>
                <w:szCs w:val="22"/>
              </w:rPr>
              <w:t>Азиатско-Тихоокеанский регион</w:t>
            </w:r>
            <w:r w:rsidRPr="00131A73">
              <w:t xml:space="preserve">: </w:t>
            </w:r>
          </w:p>
          <w:p w14:paraId="58586356" w14:textId="73068BA1" w:rsidR="00536C60" w:rsidRPr="00131A73" w:rsidRDefault="00B01C23">
            <w:pPr>
              <w:pStyle w:val="enumlev1"/>
              <w:rPr>
                <w:rFonts w:eastAsiaTheme="minorEastAsia"/>
              </w:rPr>
            </w:pPr>
            <w:r w:rsidRPr="00131A73">
              <w:rPr>
                <w:rFonts w:eastAsia="Calibri"/>
              </w:rPr>
              <w:t>−</w:t>
            </w:r>
            <w:r w:rsidR="00536C60" w:rsidRPr="00131A73">
              <w:rPr>
                <w:rFonts w:eastAsia="Calibri"/>
              </w:rPr>
              <w:tab/>
            </w:r>
            <w:r w:rsidR="00536C60" w:rsidRPr="00131A73">
              <w:t>МСЭ способствовал укреплению цифровых навыков среди своих членов, проводя обучение для СИДС, НРС и ЛЛДС по таким вопросам, как планирование подвижной связи, безопасность, технологии блокчейн, создание национальных групп реагирования на компьютерные инциденты (CIRT) и кибербезопасность. Будучи одной из пилотных стран для развертывания инициативы МСЭ "</w:t>
            </w:r>
            <w:hyperlink r:id="rId28" w:history="1">
              <w:r w:rsidR="00536C60" w:rsidRPr="00131A73">
                <w:rPr>
                  <w:rStyle w:val="Hyperlink"/>
                </w:rPr>
                <w:t>Центры цифровой трансформации</w:t>
              </w:r>
            </w:hyperlink>
            <w:r w:rsidR="00536C60" w:rsidRPr="00131A73">
              <w:t>", Папуа-Новая Гвинея начала проводить онлайновое обучение по обеспечению базовой возможности установления соединений (в рамках партнерства с Cisco, Национальным управлением по ИКТ Папуа-Новой Гвинеи (NICTA) и Мельбурнским королевским технологическим институтом) и расширению прав и возможностей женщин с помощью ИКТ и электронной коммерции. Эти усилия осуществлялись в партнерстве с Азиатско-Тихоокеанским учебным центром по информационно-коммуникационным технологиям в целях развития (APCICT)/Экономической и социальной комиссией ООН для Азии и Тихого океана (ЭСКАТО ООН).</w:t>
            </w:r>
          </w:p>
          <w:p w14:paraId="51E7C1F1" w14:textId="77777777" w:rsidR="00536C60" w:rsidRPr="00131A73" w:rsidRDefault="00536C60">
            <w:r w:rsidRPr="00131A73">
              <w:t>Регион СНГ: Использование электросвязи/информационно-коммуникационных технологий для обеспечения всеохватного, справедливого, качественного и безопасного образования, включая повышение уровня знаний женщин в сфере ИКТ и электронного правительства.</w:t>
            </w:r>
          </w:p>
          <w:p w14:paraId="43082360" w14:textId="5345E522" w:rsidR="00536C60" w:rsidRPr="00131A73" w:rsidRDefault="00B01C23">
            <w:pPr>
              <w:pStyle w:val="enumlev1"/>
              <w:rPr>
                <w:rFonts w:eastAsiaTheme="minorEastAsia"/>
              </w:rPr>
            </w:pPr>
            <w:r w:rsidRPr="00131A73">
              <w:rPr>
                <w:rFonts w:eastAsia="Calibri"/>
              </w:rPr>
              <w:t>−</w:t>
            </w:r>
            <w:r w:rsidR="00536C60" w:rsidRPr="00131A73">
              <w:rPr>
                <w:rFonts w:eastAsia="Calibri"/>
              </w:rPr>
              <w:tab/>
            </w:r>
            <w:r w:rsidR="00536C60" w:rsidRPr="00131A73">
              <w:t>МСЭ реализует проект по созданию центра цифровых навыков для женщин и молодежи в Узбекистане (в партнерстве с ZTE и ИТ-парком Узбекистана).</w:t>
            </w:r>
          </w:p>
          <w:p w14:paraId="2A41F823" w14:textId="749E9C21" w:rsidR="00536C60" w:rsidRPr="00131A73" w:rsidRDefault="00B01C23">
            <w:pPr>
              <w:pStyle w:val="enumlev1"/>
              <w:rPr>
                <w:rFonts w:eastAsiaTheme="minorEastAsia"/>
              </w:rPr>
            </w:pPr>
            <w:r w:rsidRPr="00131A73">
              <w:rPr>
                <w:rFonts w:eastAsia="Calibri"/>
              </w:rPr>
              <w:t>−</w:t>
            </w:r>
            <w:r w:rsidR="00536C60" w:rsidRPr="00131A73">
              <w:rPr>
                <w:rFonts w:eastAsia="Calibri"/>
              </w:rPr>
              <w:tab/>
            </w:r>
            <w:r w:rsidR="00B66606" w:rsidRPr="00131A73">
              <w:rPr>
                <w:rFonts w:eastAsia="Calibri"/>
              </w:rPr>
              <w:t>П</w:t>
            </w:r>
            <w:r w:rsidR="00536C60" w:rsidRPr="00131A73">
              <w:rPr>
                <w:iCs/>
              </w:rPr>
              <w:t xml:space="preserve">роект МСЭ </w:t>
            </w:r>
            <w:r w:rsidR="00B66606" w:rsidRPr="00131A73">
              <w:rPr>
                <w:iCs/>
              </w:rPr>
              <w:t xml:space="preserve">по созданию "умной" экосистемы образования </w:t>
            </w:r>
            <w:r w:rsidR="00536C60" w:rsidRPr="00131A73">
              <w:rPr>
                <w:iCs/>
              </w:rPr>
              <w:t xml:space="preserve">осуществляется в Казахстане в партнерстве с </w:t>
            </w:r>
            <w:r w:rsidR="00536C60" w:rsidRPr="00131A73">
              <w:t>Костанайским инженерно-экономическим университетом имени М. Дулатова.</w:t>
            </w:r>
          </w:p>
          <w:p w14:paraId="3FD91D86" w14:textId="27173CB0" w:rsidR="00536C60" w:rsidRPr="00131A73" w:rsidRDefault="00B01C23">
            <w:pPr>
              <w:pStyle w:val="enumlev1"/>
              <w:rPr>
                <w:rFonts w:eastAsiaTheme="minorEastAsia"/>
              </w:rPr>
            </w:pPr>
            <w:r w:rsidRPr="00131A73">
              <w:rPr>
                <w:rFonts w:eastAsia="Calibri"/>
              </w:rPr>
              <w:t>−</w:t>
            </w:r>
            <w:r w:rsidR="00536C60" w:rsidRPr="00131A73">
              <w:rPr>
                <w:rFonts w:eastAsia="Calibri"/>
              </w:rPr>
              <w:tab/>
            </w:r>
            <w:r w:rsidR="00536C60" w:rsidRPr="00131A73">
              <w:t xml:space="preserve">Целевая помощь была оказана Азербайджану в </w:t>
            </w:r>
            <w:r w:rsidR="00B66606" w:rsidRPr="00131A73">
              <w:t>разработке</w:t>
            </w:r>
            <w:r w:rsidR="00536C60" w:rsidRPr="00131A73">
              <w:t xml:space="preserve"> курсов по цифровым навыкам для женщин, Беларуси в создании учебного центра по IP-телефонии</w:t>
            </w:r>
            <w:r w:rsidR="00B66606" w:rsidRPr="00131A73">
              <w:t>, а также Кыргызстану в развитии потенциала преподавателей информатики из сельских и отдаленных районов</w:t>
            </w:r>
            <w:r w:rsidR="00536C60" w:rsidRPr="00131A73">
              <w:t>.</w:t>
            </w:r>
          </w:p>
          <w:p w14:paraId="33DDE135" w14:textId="62D2C9DB" w:rsidR="00536C60" w:rsidRPr="00131A73" w:rsidRDefault="00B01C23" w:rsidP="00755045">
            <w:pPr>
              <w:pStyle w:val="enumlev1"/>
            </w:pPr>
            <w:r w:rsidRPr="00131A73">
              <w:rPr>
                <w:rFonts w:eastAsia="Calibri"/>
              </w:rPr>
              <w:t>−</w:t>
            </w:r>
            <w:r w:rsidR="00536C60" w:rsidRPr="00131A73">
              <w:rPr>
                <w:rFonts w:eastAsia="Calibri"/>
              </w:rPr>
              <w:tab/>
            </w:r>
            <w:r w:rsidR="00536C60" w:rsidRPr="00131A73">
              <w:t xml:space="preserve">МСЭ обновил пользующийся высоким спросом курс </w:t>
            </w:r>
            <w:r w:rsidR="00536C60" w:rsidRPr="00131A73">
              <w:rPr>
                <w:i/>
                <w:iCs/>
              </w:rPr>
              <w:t xml:space="preserve">onlinesafety.info </w:t>
            </w:r>
            <w:r w:rsidR="00536C60" w:rsidRPr="00131A73">
              <w:t>и работает над его локализацией в ряде стран СНГ.</w:t>
            </w:r>
          </w:p>
          <w:p w14:paraId="5E09DFC6" w14:textId="004EF1DD" w:rsidR="00755045" w:rsidRPr="00131A73" w:rsidRDefault="00E265CD" w:rsidP="00755045">
            <w:r w:rsidRPr="00131A73">
              <w:rPr>
                <w:rFonts w:eastAsia="Calibri" w:cs="Calibri"/>
              </w:rPr>
              <w:t>Европейский регион</w:t>
            </w:r>
            <w:r w:rsidR="00755045" w:rsidRPr="00131A73">
              <w:t xml:space="preserve">: </w:t>
            </w:r>
          </w:p>
          <w:p w14:paraId="3BDA85B2" w14:textId="7449AD8D" w:rsidR="00755045" w:rsidRPr="00131A73" w:rsidRDefault="00B01C23" w:rsidP="00755045">
            <w:pPr>
              <w:pStyle w:val="enumlev1"/>
            </w:pPr>
            <w:r w:rsidRPr="00131A73">
              <w:rPr>
                <w:rFonts w:eastAsia="Calibri"/>
              </w:rPr>
              <w:t>−</w:t>
            </w:r>
            <w:r w:rsidR="00755045" w:rsidRPr="00131A73">
              <w:rPr>
                <w:rFonts w:eastAsia="Calibri"/>
              </w:rPr>
              <w:tab/>
            </w:r>
            <w:r w:rsidR="00CA10F5" w:rsidRPr="00131A73">
              <w:rPr>
                <w:rFonts w:eastAsia="Calibri"/>
              </w:rPr>
              <w:t>Был проведен региональный анализ подходов к развитию цифровых навыков на национальном уровне, что помогло определить ряд стран, которые получат техническую помощь</w:t>
            </w:r>
            <w:r w:rsidR="00E265CD" w:rsidRPr="00131A73">
              <w:t>.</w:t>
            </w:r>
          </w:p>
          <w:p w14:paraId="4947E48A" w14:textId="4E008DA6" w:rsidR="00755045" w:rsidRPr="00131A73" w:rsidRDefault="00B01C23" w:rsidP="00755045">
            <w:pPr>
              <w:pStyle w:val="enumlev1"/>
            </w:pPr>
            <w:r w:rsidRPr="00131A73">
              <w:rPr>
                <w:rFonts w:eastAsia="Calibri"/>
              </w:rPr>
              <w:t>−</w:t>
            </w:r>
            <w:r w:rsidR="00755045" w:rsidRPr="00131A73">
              <w:rPr>
                <w:rFonts w:eastAsia="Calibri"/>
              </w:rPr>
              <w:tab/>
            </w:r>
            <w:r w:rsidR="001C0F66" w:rsidRPr="00131A73">
              <w:rPr>
                <w:rFonts w:eastAsia="Calibri"/>
              </w:rPr>
              <w:t>Помощь получают Албания и Украина с целью укрепления их институционального потенциала в области цифровых навыков</w:t>
            </w:r>
            <w:r w:rsidR="00846664" w:rsidRPr="00131A73">
              <w:rPr>
                <w:rFonts w:eastAsia="Calibri"/>
              </w:rPr>
              <w:t>, в том числе путем развития их национальной стратегии</w:t>
            </w:r>
            <w:r w:rsidR="00E265CD" w:rsidRPr="00131A73">
              <w:t>.</w:t>
            </w:r>
          </w:p>
          <w:p w14:paraId="074E6A1C" w14:textId="6E3A9DF6" w:rsidR="00755045" w:rsidRPr="00131A73" w:rsidRDefault="00B01C23" w:rsidP="00755045">
            <w:pPr>
              <w:pStyle w:val="enumlev1"/>
              <w:spacing w:after="120"/>
              <w:rPr>
                <w:b/>
              </w:rPr>
            </w:pPr>
            <w:r w:rsidRPr="00131A73">
              <w:rPr>
                <w:rFonts w:eastAsia="Calibri"/>
              </w:rPr>
              <w:t>−</w:t>
            </w:r>
            <w:r w:rsidR="00755045" w:rsidRPr="00131A73">
              <w:rPr>
                <w:rFonts w:eastAsia="Calibri"/>
              </w:rPr>
              <w:tab/>
            </w:r>
            <w:r w:rsidR="00846664" w:rsidRPr="00131A73">
              <w:rPr>
                <w:rFonts w:eastAsia="Calibri"/>
              </w:rPr>
              <w:t>Региональный вебинар</w:t>
            </w:r>
            <w:r w:rsidR="00755045" w:rsidRPr="00131A73">
              <w:t xml:space="preserve"> (2020</w:t>
            </w:r>
            <w:r w:rsidR="00846664" w:rsidRPr="00131A73">
              <w:t> г.</w:t>
            </w:r>
            <w:r w:rsidR="00755045" w:rsidRPr="00131A73">
              <w:t xml:space="preserve">) </w:t>
            </w:r>
            <w:r w:rsidR="00846664" w:rsidRPr="00131A73">
              <w:t>и Форум</w:t>
            </w:r>
            <w:r w:rsidR="00755045" w:rsidRPr="00131A73">
              <w:t xml:space="preserve"> (2021</w:t>
            </w:r>
            <w:r w:rsidR="00846664" w:rsidRPr="00131A73">
              <w:t> г.</w:t>
            </w:r>
            <w:r w:rsidR="00755045" w:rsidRPr="00131A73">
              <w:t xml:space="preserve">) </w:t>
            </w:r>
            <w:r w:rsidR="00846664" w:rsidRPr="00131A73">
              <w:t>предоставили возможность обмена региональным опытом в области развития цифровых навыков и способствовали формированию новых партнерств</w:t>
            </w:r>
            <w:r w:rsidR="00755045" w:rsidRPr="00131A73">
              <w:t>.</w:t>
            </w:r>
          </w:p>
        </w:tc>
      </w:tr>
    </w:tbl>
    <w:p w14:paraId="2AAC8ADF" w14:textId="77777777" w:rsidR="00536C60" w:rsidRPr="00131A73" w:rsidRDefault="00536C60" w:rsidP="00536C60">
      <w:pPr>
        <w:pStyle w:val="Heading1"/>
        <w:rPr>
          <w:bCs/>
        </w:rPr>
      </w:pPr>
      <w:r w:rsidRPr="00131A73">
        <w:rPr>
          <w:bCs/>
        </w:rPr>
        <w:lastRenderedPageBreak/>
        <w:t>2</w:t>
      </w:r>
      <w:r w:rsidRPr="00131A73">
        <w:rPr>
          <w:bCs/>
        </w:rPr>
        <w:tab/>
        <w:t>Кибербезопасность: создание безопасного киберпространства для всех</w:t>
      </w:r>
    </w:p>
    <w:p w14:paraId="385864E7" w14:textId="77777777" w:rsidR="00536C60" w:rsidRPr="00131A73" w:rsidRDefault="00536C60" w:rsidP="00536C60">
      <w:pPr>
        <w:pStyle w:val="Headingb"/>
        <w:rPr>
          <w:szCs w:val="20"/>
        </w:rPr>
      </w:pPr>
      <w:r w:rsidRPr="00131A73">
        <w:t>Глобальный индекс кибербезопасности МСЭ (GCI)</w:t>
      </w:r>
    </w:p>
    <w:p w14:paraId="3223CE3B" w14:textId="25FCC9EE" w:rsidR="00536C60" w:rsidRPr="00131A73" w:rsidRDefault="00FD2B37" w:rsidP="00536C60">
      <w:pPr>
        <w:rPr>
          <w:rFonts w:cstheme="minorHAnsi"/>
          <w:shd w:val="clear" w:color="auto" w:fill="FFFFFF"/>
        </w:rPr>
      </w:pPr>
      <w:r w:rsidRPr="00131A73">
        <w:t xml:space="preserve">В 2015 году </w:t>
      </w:r>
      <w:r w:rsidR="00024158" w:rsidRPr="00131A73">
        <w:t xml:space="preserve">МСЭ учредил </w:t>
      </w:r>
      <w:hyperlink r:id="rId29" w:history="1">
        <w:r w:rsidR="00024158" w:rsidRPr="00131A73">
          <w:rPr>
            <w:rStyle w:val="Hyperlink"/>
          </w:rPr>
          <w:t>Глобальный индекс кибербезопасности</w:t>
        </w:r>
      </w:hyperlink>
      <w:r w:rsidR="00024158" w:rsidRPr="00131A73">
        <w:t xml:space="preserve"> (GCI), который </w:t>
      </w:r>
      <w:r w:rsidRPr="00131A73">
        <w:t>стал</w:t>
      </w:r>
      <w:r w:rsidR="00024158" w:rsidRPr="00131A73">
        <w:t xml:space="preserve"> надежным средством оценки степени выполнения странами обязательств в области кибербезопасности на глобальном уровне, для повышения осведомленности о </w:t>
      </w:r>
      <w:r w:rsidRPr="00131A73">
        <w:t>значении</w:t>
      </w:r>
      <w:r w:rsidR="00024158" w:rsidRPr="00131A73">
        <w:t xml:space="preserve"> и различных аспект</w:t>
      </w:r>
      <w:r w:rsidRPr="00131A73">
        <w:t>ах</w:t>
      </w:r>
      <w:r w:rsidR="00024158" w:rsidRPr="00131A73">
        <w:t xml:space="preserve"> данного </w:t>
      </w:r>
      <w:r w:rsidR="00024158" w:rsidRPr="00131A73">
        <w:lastRenderedPageBreak/>
        <w:t xml:space="preserve">вопроса. Уровень развития или участия каждой страны оценивается по пяти направлениям ГПК, которая служит общей базой и рамочной основой инициативы. GCI, опирающийся на многосторонний подход и инициативу, задействует потенциал и экспертные знания различных организаций в целях улучшения качества обследования, поощрения международного сотрудничества и обмена знаниями по этой теме. </w:t>
      </w:r>
      <w:r w:rsidR="00536C60" w:rsidRPr="00131A73">
        <w:rPr>
          <w:rFonts w:cstheme="minorHAnsi"/>
          <w:shd w:val="clear" w:color="auto" w:fill="FFFFFF"/>
        </w:rPr>
        <w:t xml:space="preserve">Третий </w:t>
      </w:r>
      <w:bookmarkStart w:id="6" w:name="_Hlk31803356"/>
      <w:r w:rsidR="00536C60" w:rsidRPr="00131A73">
        <w:rPr>
          <w:rFonts w:cstheme="minorHAnsi"/>
          <w:shd w:val="clear" w:color="auto" w:fill="FFFFFF"/>
        </w:rPr>
        <w:fldChar w:fldCharType="begin"/>
      </w:r>
      <w:r w:rsidR="005A4E0D" w:rsidRPr="00131A73">
        <w:rPr>
          <w:rFonts w:cstheme="minorHAnsi"/>
          <w:shd w:val="clear" w:color="auto" w:fill="FFFFFF"/>
        </w:rPr>
        <w:instrText>HYPERLINK "https://www.itu.int/en/ITU-D/Cybersecurity/Pages/global-cybersecurity-index.aspx"</w:instrText>
      </w:r>
      <w:r w:rsidR="00536C60" w:rsidRPr="00131A73">
        <w:rPr>
          <w:rFonts w:cstheme="minorHAnsi"/>
          <w:shd w:val="clear" w:color="auto" w:fill="FFFFFF"/>
        </w:rPr>
        <w:fldChar w:fldCharType="separate"/>
      </w:r>
      <w:r w:rsidR="00536C60" w:rsidRPr="00131A73">
        <w:rPr>
          <w:rStyle w:val="Hyperlink"/>
          <w:rFonts w:cstheme="minorHAnsi"/>
          <w:shd w:val="clear" w:color="auto" w:fill="FFFFFF"/>
        </w:rPr>
        <w:t>Глобальный индекс кибербезопасности МСЭ</w:t>
      </w:r>
      <w:r w:rsidR="00536C60" w:rsidRPr="00131A73">
        <w:rPr>
          <w:rFonts w:cstheme="minorHAnsi"/>
          <w:shd w:val="clear" w:color="auto" w:fill="FFFFFF"/>
        </w:rPr>
        <w:fldChar w:fldCharType="end"/>
      </w:r>
      <w:r w:rsidR="00536C60" w:rsidRPr="00131A73">
        <w:rPr>
          <w:rFonts w:cstheme="minorHAnsi"/>
          <w:shd w:val="clear" w:color="auto" w:fill="FFFFFF"/>
        </w:rPr>
        <w:t xml:space="preserve"> (GCI), опубликованный в 201</w:t>
      </w:r>
      <w:r w:rsidR="005A4E0D" w:rsidRPr="00131A73">
        <w:rPr>
          <w:rFonts w:cstheme="minorHAnsi"/>
          <w:shd w:val="clear" w:color="auto" w:fill="FFFFFF"/>
        </w:rPr>
        <w:t>9</w:t>
      </w:r>
      <w:r w:rsidR="00536C60" w:rsidRPr="00131A73">
        <w:rPr>
          <w:rFonts w:cstheme="minorHAnsi"/>
          <w:shd w:val="clear" w:color="auto" w:fill="FFFFFF"/>
        </w:rPr>
        <w:t xml:space="preserve"> году, </w:t>
      </w:r>
      <w:bookmarkEnd w:id="6"/>
      <w:r w:rsidR="00536C60" w:rsidRPr="00131A73">
        <w:rPr>
          <w:rFonts w:cstheme="minorHAnsi"/>
          <w:shd w:val="clear" w:color="auto" w:fill="FFFFFF"/>
        </w:rPr>
        <w:t>демонстрирует значительное повышение внимания к кибербезопасности во всем мире. Все больше стран разрабатывают национальные стратегии кибербезопасности, национальные планы или национальную политику, создают группы реагирования и вводят специальное законодательство, направленное на противодействие угрозам. В</w:t>
      </w:r>
      <w:r w:rsidR="00D655B7" w:rsidRPr="00131A73">
        <w:rPr>
          <w:rFonts w:cstheme="minorHAnsi"/>
          <w:shd w:val="clear" w:color="auto" w:fill="FFFFFF"/>
        </w:rPr>
        <w:t> </w:t>
      </w:r>
      <w:r w:rsidR="00536C60" w:rsidRPr="00131A73">
        <w:rPr>
          <w:rFonts w:cstheme="minorHAnsi"/>
          <w:shd w:val="clear" w:color="auto" w:fill="FFFFFF"/>
        </w:rPr>
        <w:t xml:space="preserve">то же время сохраняется разрыв между регионами и значительный разрыв между многими странами в уровне знаний </w:t>
      </w:r>
      <w:r w:rsidR="00D655B7" w:rsidRPr="00131A73">
        <w:rPr>
          <w:rFonts w:cstheme="minorHAnsi"/>
          <w:shd w:val="clear" w:color="auto" w:fill="FFFFFF"/>
        </w:rPr>
        <w:t>и</w:t>
      </w:r>
      <w:r w:rsidR="00536C60" w:rsidRPr="00131A73">
        <w:rPr>
          <w:rFonts w:cstheme="minorHAnsi"/>
          <w:shd w:val="clear" w:color="auto" w:fill="FFFFFF"/>
        </w:rPr>
        <w:t xml:space="preserve"> законодательств</w:t>
      </w:r>
      <w:r w:rsidR="00D655B7" w:rsidRPr="00131A73">
        <w:rPr>
          <w:rFonts w:cstheme="minorHAnsi"/>
          <w:shd w:val="clear" w:color="auto" w:fill="FFFFFF"/>
        </w:rPr>
        <w:t>е</w:t>
      </w:r>
      <w:r w:rsidR="00536C60" w:rsidRPr="00131A73">
        <w:rPr>
          <w:rFonts w:cstheme="minorHAnsi"/>
          <w:shd w:val="clear" w:color="auto" w:fill="FFFFFF"/>
        </w:rPr>
        <w:t xml:space="preserve"> по киберпреступности, национальны</w:t>
      </w:r>
      <w:r w:rsidR="00D655B7" w:rsidRPr="00131A73">
        <w:rPr>
          <w:rFonts w:cstheme="minorHAnsi"/>
          <w:shd w:val="clear" w:color="auto" w:fill="FFFFFF"/>
        </w:rPr>
        <w:t>х</w:t>
      </w:r>
      <w:r w:rsidR="00536C60" w:rsidRPr="00131A73">
        <w:rPr>
          <w:rFonts w:cstheme="minorHAnsi"/>
          <w:shd w:val="clear" w:color="auto" w:fill="FFFFFF"/>
        </w:rPr>
        <w:t xml:space="preserve"> стратеги</w:t>
      </w:r>
      <w:r w:rsidR="00D655B7" w:rsidRPr="00131A73">
        <w:rPr>
          <w:rFonts w:cstheme="minorHAnsi"/>
          <w:shd w:val="clear" w:color="auto" w:fill="FFFFFF"/>
        </w:rPr>
        <w:t>ях</w:t>
      </w:r>
      <w:r w:rsidR="00536C60" w:rsidRPr="00131A73">
        <w:rPr>
          <w:rFonts w:cstheme="minorHAnsi"/>
          <w:shd w:val="clear" w:color="auto" w:fill="FFFFFF"/>
        </w:rPr>
        <w:t xml:space="preserve"> в сфере кибербезопасности, групп</w:t>
      </w:r>
      <w:r w:rsidR="00D655B7" w:rsidRPr="00131A73">
        <w:rPr>
          <w:rFonts w:cstheme="minorHAnsi"/>
          <w:shd w:val="clear" w:color="auto" w:fill="FFFFFF"/>
        </w:rPr>
        <w:t>ах</w:t>
      </w:r>
      <w:r w:rsidR="00536C60" w:rsidRPr="00131A73">
        <w:rPr>
          <w:rFonts w:cstheme="minorHAnsi"/>
          <w:shd w:val="clear" w:color="auto" w:fill="FFFFFF"/>
        </w:rPr>
        <w:t xml:space="preserve"> реагирования на нарушение компьютерной защиты (CERT), осведомленност</w:t>
      </w:r>
      <w:r w:rsidR="00D655B7" w:rsidRPr="00131A73">
        <w:rPr>
          <w:rFonts w:cstheme="minorHAnsi"/>
          <w:shd w:val="clear" w:color="auto" w:fill="FFFFFF"/>
        </w:rPr>
        <w:t>и</w:t>
      </w:r>
      <w:r w:rsidR="00536C60" w:rsidRPr="00131A73">
        <w:rPr>
          <w:rFonts w:cstheme="minorHAnsi"/>
          <w:shd w:val="clear" w:color="auto" w:fill="FFFFFF"/>
        </w:rPr>
        <w:t xml:space="preserve"> и развити</w:t>
      </w:r>
      <w:r w:rsidR="00D655B7" w:rsidRPr="00131A73">
        <w:rPr>
          <w:rFonts w:cstheme="minorHAnsi"/>
          <w:shd w:val="clear" w:color="auto" w:fill="FFFFFF"/>
        </w:rPr>
        <w:t>и</w:t>
      </w:r>
      <w:r w:rsidR="00536C60" w:rsidRPr="00131A73">
        <w:rPr>
          <w:rFonts w:cstheme="minorHAnsi"/>
          <w:shd w:val="clear" w:color="auto" w:fill="FFFFFF"/>
        </w:rPr>
        <w:t xml:space="preserve"> потенциала для распространения стратегий, а также в возможностях и программах в сфере кибербезопасности.</w:t>
      </w:r>
    </w:p>
    <w:p w14:paraId="22AB7EE2" w14:textId="77777777" w:rsidR="00536C60" w:rsidRPr="00131A73" w:rsidRDefault="00536C60" w:rsidP="00536C60">
      <w:pPr>
        <w:pStyle w:val="Headingb"/>
        <w:rPr>
          <w:szCs w:val="20"/>
        </w:rPr>
      </w:pPr>
      <w:r w:rsidRPr="00131A73">
        <w:t>Защита ребенка в онлайновой среде (COP)</w:t>
      </w:r>
    </w:p>
    <w:p w14:paraId="282F6896" w14:textId="3B825D82" w:rsidR="00536C60" w:rsidRPr="00131A73" w:rsidRDefault="00536C60" w:rsidP="00536C60">
      <w:r w:rsidRPr="00131A73">
        <w:t xml:space="preserve">В 2019 году предпринимались значительные усилия на региональном уровне по решению проблем безопасности </w:t>
      </w:r>
      <w:r w:rsidR="008F5E0B" w:rsidRPr="00131A73">
        <w:t>ребенка</w:t>
      </w:r>
      <w:r w:rsidRPr="00131A73">
        <w:t xml:space="preserve"> в онлайновой среде. В Африканском регионе с участием представителей Чада, Кении, Малави и Руанды </w:t>
      </w:r>
      <w:r w:rsidR="008F5E0B" w:rsidRPr="00131A73">
        <w:t xml:space="preserve">начались обсуждения </w:t>
      </w:r>
      <w:r w:rsidRPr="00131A73">
        <w:t>реализации национальных стратегических рамок. В</w:t>
      </w:r>
      <w:r w:rsidR="00D655B7" w:rsidRPr="00131A73">
        <w:t> </w:t>
      </w:r>
      <w:r w:rsidRPr="00131A73">
        <w:t>частности, ряд вопросов, связанных с защитой ребенка в онлайновой среде в Африке, обсуждался на региональном форуме COP в Гане. Странам Азиатско-Тихоокеанского региона в координации с другими партнерами, включая TELSOM/TELMIN, была оказана помощь в разработке Региональной платформы АСЕАН по защите ребенка в онлайновой среде.</w:t>
      </w:r>
    </w:p>
    <w:p w14:paraId="3DCC1D15" w14:textId="77777777" w:rsidR="00536C60" w:rsidRPr="00131A73" w:rsidRDefault="00536C60" w:rsidP="00536C60">
      <w:r w:rsidRPr="00131A73">
        <w:t xml:space="preserve">Комиссия по широкополосной связи в интересах устойчивого развития, для которой МСЭ выполняет функции секретариата, включает в себя Рабочую группу по безопасности ребенка в онлайновой среде, возглавляемую Всемирным фондом детства и компанией Zain. В 2019 году Группа выпустила всеобъемлющий </w:t>
      </w:r>
      <w:hyperlink r:id="rId30" w:history="1">
        <w:r w:rsidRPr="00131A73">
          <w:rPr>
            <w:rStyle w:val="Hyperlink"/>
          </w:rPr>
          <w:t>отчет</w:t>
        </w:r>
      </w:hyperlink>
      <w:r w:rsidRPr="00131A73">
        <w:t>.</w:t>
      </w:r>
    </w:p>
    <w:p w14:paraId="5A847942" w14:textId="7377D3CB" w:rsidR="00536C60" w:rsidRPr="00131A73" w:rsidRDefault="00536C60" w:rsidP="00536C60">
      <w:r w:rsidRPr="00131A73">
        <w:t xml:space="preserve">МСЭ и его партнеры согласовали свои усилия, чтобы внести вклад в подготовку </w:t>
      </w:r>
      <w:hyperlink r:id="rId31" w:history="1">
        <w:r w:rsidRPr="00131A73">
          <w:rPr>
            <w:rStyle w:val="Hyperlink"/>
          </w:rPr>
          <w:t xml:space="preserve">технической записки по пандемии COVID-19 и ее последствиям для защиты </w:t>
        </w:r>
        <w:r w:rsidR="008F5E0B" w:rsidRPr="00131A73">
          <w:rPr>
            <w:rStyle w:val="Hyperlink"/>
          </w:rPr>
          <w:t>ребенка</w:t>
        </w:r>
        <w:r w:rsidRPr="00131A73">
          <w:rPr>
            <w:rStyle w:val="Hyperlink"/>
          </w:rPr>
          <w:t xml:space="preserve"> в онлайновой среде</w:t>
        </w:r>
      </w:hyperlink>
      <w:r w:rsidRPr="00131A73">
        <w:t>. Основная цель этой записки состоит в том, чтобы предоставить технические руководящие указания по снижению основных рисков, связанных с пандемией COVID-19, и противодействию растущим опасностям, с которыми сталкиваются дети в онлайновой среде.</w:t>
      </w:r>
    </w:p>
    <w:p w14:paraId="272CAF85" w14:textId="5990B8FA" w:rsidR="00536C60" w:rsidRPr="00131A73" w:rsidRDefault="00536C60" w:rsidP="00536C60">
      <w:pPr>
        <w:rPr>
          <w:rFonts w:asciiTheme="minorHAnsi" w:hAnsiTheme="minorHAnsi" w:cstheme="minorHAnsi"/>
        </w:rPr>
      </w:pPr>
      <w:r w:rsidRPr="00131A73">
        <w:t xml:space="preserve">В 2019 году </w:t>
      </w:r>
      <w:r w:rsidR="00D655B7" w:rsidRPr="00131A73">
        <w:t xml:space="preserve">рабочая </w:t>
      </w:r>
      <w:r w:rsidRPr="00131A73">
        <w:t>группа экспертов</w:t>
      </w:r>
      <w:r w:rsidR="00D655B7" w:rsidRPr="00131A73">
        <w:t xml:space="preserve"> с участием многих заинтересованных сторон</w:t>
      </w:r>
      <w:r w:rsidRPr="00131A73">
        <w:t xml:space="preserve">, в состав которой входят более 50 организаций и отдельных специалистов, приступила к пересмотру Руководящих указаний МСЭ по </w:t>
      </w:r>
      <w:hyperlink r:id="rId32" w:history="1">
        <w:r w:rsidRPr="00131A73">
          <w:rPr>
            <w:rStyle w:val="Hyperlink"/>
          </w:rPr>
          <w:t>защите ребенка в онлайновой среде</w:t>
        </w:r>
      </w:hyperlink>
      <w:r w:rsidRPr="00131A73">
        <w:t xml:space="preserve">, впервые изданных в 2009 году. </w:t>
      </w:r>
      <w:r w:rsidR="00D655B7" w:rsidRPr="00131A73">
        <w:t>Пересмотренные р</w:t>
      </w:r>
      <w:r w:rsidRPr="00131A73">
        <w:t xml:space="preserve">уководящие указания были выпущены в июне </w:t>
      </w:r>
      <w:r w:rsidR="00D655B7" w:rsidRPr="00131A73">
        <w:t>2020 года</w:t>
      </w:r>
      <w:r w:rsidRPr="00131A73">
        <w:t xml:space="preserve">, после чего состоялось </w:t>
      </w:r>
      <w:hyperlink r:id="rId33" w:history="1">
        <w:r w:rsidRPr="00131A73">
          <w:rPr>
            <w:rStyle w:val="Hyperlink"/>
          </w:rPr>
          <w:t>глобальное мероприятие в виртуальном формате</w:t>
        </w:r>
      </w:hyperlink>
      <w:r w:rsidRPr="00131A73">
        <w:t xml:space="preserve">, организованное МСЭ и его партнерами, а также были проведены </w:t>
      </w:r>
      <w:hyperlink r:id="rId34" w:history="1">
        <w:r w:rsidRPr="00131A73">
          <w:rPr>
            <w:rStyle w:val="Hyperlink"/>
          </w:rPr>
          <w:t>презентации для регионов</w:t>
        </w:r>
      </w:hyperlink>
      <w:r w:rsidRPr="00131A73">
        <w:t xml:space="preserve">. </w:t>
      </w:r>
      <w:r w:rsidRPr="00131A73">
        <w:rPr>
          <w:rFonts w:asciiTheme="minorHAnsi" w:hAnsiTheme="minorHAnsi" w:cstheme="minorHAnsi"/>
        </w:rPr>
        <w:t xml:space="preserve">Новые руководящие указания были </w:t>
      </w:r>
      <w:r w:rsidR="000D334E" w:rsidRPr="00131A73">
        <w:rPr>
          <w:rFonts w:asciiTheme="minorHAnsi" w:hAnsiTheme="minorHAnsi" w:cstheme="minorHAnsi"/>
        </w:rPr>
        <w:t>полностью пересмотрены</w:t>
      </w:r>
      <w:r w:rsidRPr="00131A73">
        <w:rPr>
          <w:rFonts w:asciiTheme="minorHAnsi" w:hAnsiTheme="minorHAnsi" w:cstheme="minorHAnsi"/>
        </w:rPr>
        <w:t xml:space="preserve">, с тем чтобы отразить фундаментальные изменения в цифровой среде, в которой находятся дети, такие как интернет вещей, игрушки с выходом в интернет, онлайновые игры, робототехника, машинное обучение и искусственный интеллект. Защита </w:t>
      </w:r>
      <w:r w:rsidR="008F5E0B" w:rsidRPr="00131A73">
        <w:rPr>
          <w:rFonts w:asciiTheme="minorHAnsi" w:hAnsiTheme="minorHAnsi" w:cstheme="minorHAnsi"/>
        </w:rPr>
        <w:t>ребенка</w:t>
      </w:r>
      <w:r w:rsidRPr="00131A73">
        <w:rPr>
          <w:rFonts w:asciiTheme="minorHAnsi" w:hAnsiTheme="minorHAnsi" w:cstheme="minorHAnsi"/>
        </w:rPr>
        <w:t xml:space="preserve"> в онлайновой среде также была включена в проект Giga в качестве одного из составляющих элементов.</w:t>
      </w:r>
    </w:p>
    <w:p w14:paraId="5FE28530" w14:textId="465571B9" w:rsidR="00024158" w:rsidRPr="00131A73" w:rsidRDefault="00B67A1A" w:rsidP="00024158">
      <w:r w:rsidRPr="00131A73">
        <w:t>МСЭ также подписал соглашение о сотрудничестве с Фондом</w:t>
      </w:r>
      <w:r w:rsidR="00024158" w:rsidRPr="00131A73">
        <w:t xml:space="preserve"> SCORT </w:t>
      </w:r>
      <w:r w:rsidRPr="00131A73">
        <w:t xml:space="preserve">по </w:t>
      </w:r>
      <w:r w:rsidR="00024158" w:rsidRPr="00131A73">
        <w:t xml:space="preserve">COP </w:t>
      </w:r>
      <w:r w:rsidRPr="00131A73">
        <w:t>в спорте и при посредстве спорта</w:t>
      </w:r>
      <w:r w:rsidR="00024158" w:rsidRPr="00131A73">
        <w:t xml:space="preserve">. </w:t>
      </w:r>
      <w:r w:rsidRPr="00131A73">
        <w:t xml:space="preserve">МСЭ участвовал во многих дискуссиях, таких как </w:t>
      </w:r>
      <w:r w:rsidRPr="00131A73">
        <w:rPr>
          <w:color w:val="000000"/>
        </w:rPr>
        <w:t>День более безопасного интернета 2021 года</w:t>
      </w:r>
      <w:r w:rsidRPr="00131A73">
        <w:t xml:space="preserve"> и 15</w:t>
      </w:r>
      <w:r w:rsidRPr="00131A73">
        <w:noBreakHyphen/>
        <w:t>я Европейская конференция "Футбол в интересах развития"</w:t>
      </w:r>
      <w:r w:rsidR="00024158" w:rsidRPr="00131A73">
        <w:t>.</w:t>
      </w:r>
    </w:p>
    <w:p w14:paraId="101C6413" w14:textId="47D84E3A" w:rsidR="00024158" w:rsidRPr="00131A73" w:rsidRDefault="00B67A1A" w:rsidP="00024158">
      <w:r w:rsidRPr="00131A73">
        <w:t>В</w:t>
      </w:r>
      <w:r w:rsidR="00024158" w:rsidRPr="00131A73">
        <w:t xml:space="preserve"> 2020</w:t>
      </w:r>
      <w:r w:rsidRPr="00131A73">
        <w:t xml:space="preserve"> году МСЭ и Королевство Саудовская Аравия подписали </w:t>
      </w:r>
      <w:hyperlink r:id="rId35" w:history="1">
        <w:r w:rsidRPr="00131A73">
          <w:rPr>
            <w:rStyle w:val="Hyperlink"/>
          </w:rPr>
          <w:t>соглашение</w:t>
        </w:r>
      </w:hyperlink>
      <w:r w:rsidR="00024158" w:rsidRPr="00131A73">
        <w:t xml:space="preserve"> </w:t>
      </w:r>
      <w:r w:rsidR="005C36DE" w:rsidRPr="00131A73">
        <w:t>по реализации глобальной программы</w:t>
      </w:r>
      <w:r w:rsidR="00024158" w:rsidRPr="00131A73">
        <w:t xml:space="preserve"> </w:t>
      </w:r>
      <w:r w:rsidR="00BF1766" w:rsidRPr="00131A73">
        <w:t>"</w:t>
      </w:r>
      <w:r w:rsidR="00BF1766" w:rsidRPr="00131A73">
        <w:rPr>
          <w:i/>
          <w:iCs/>
        </w:rPr>
        <w:t>Создание безопасной онлайновой среды, расширяющей права и возможности детей</w:t>
      </w:r>
      <w:r w:rsidR="00BF1766" w:rsidRPr="00131A73">
        <w:t>"</w:t>
      </w:r>
      <w:r w:rsidR="00024158" w:rsidRPr="00131A73">
        <w:rPr>
          <w:i/>
          <w:iCs/>
        </w:rPr>
        <w:t xml:space="preserve">. </w:t>
      </w:r>
      <w:r w:rsidR="005C36DE" w:rsidRPr="00131A73">
        <w:t xml:space="preserve">Программа послужит укреплению глобальных усилий по выполнению </w:t>
      </w:r>
      <w:r w:rsidR="006D33C1" w:rsidRPr="00131A73">
        <w:rPr>
          <w:color w:val="000000"/>
        </w:rPr>
        <w:t>Руководящих указаний МСЭ по защите ребенка в онлайновой среде</w:t>
      </w:r>
      <w:r w:rsidR="00024158" w:rsidRPr="00131A73">
        <w:t xml:space="preserve">, </w:t>
      </w:r>
      <w:r w:rsidR="008A453E" w:rsidRPr="00131A73">
        <w:t>выпущенных в июне 2020 года</w:t>
      </w:r>
      <w:r w:rsidR="00024158" w:rsidRPr="00131A73">
        <w:rPr>
          <w:i/>
          <w:iCs/>
        </w:rPr>
        <w:t xml:space="preserve">. </w:t>
      </w:r>
      <w:r w:rsidR="00145210" w:rsidRPr="00131A73">
        <w:lastRenderedPageBreak/>
        <w:t>Целью нового сотрудничества является разработка и осуществление политики в отношении безопасности ребенка в онлайновой среде правительствами, отраслью и гражданским обществом для расширения развития потенциала и совместного использования знаний со всеми соответствующими заинтересованными сторонами</w:t>
      </w:r>
      <w:r w:rsidR="00024158" w:rsidRPr="00131A73">
        <w:t xml:space="preserve">. </w:t>
      </w:r>
      <w:r w:rsidR="00145210" w:rsidRPr="00131A73">
        <w:t xml:space="preserve">Основная направленность этого проекта </w:t>
      </w:r>
      <w:r w:rsidR="00024158" w:rsidRPr="00131A73">
        <w:t xml:space="preserve">– </w:t>
      </w:r>
      <w:r w:rsidR="00393D9E" w:rsidRPr="00131A73">
        <w:t>содействие развитию культуры безопасности ребенка в онлайновой среде – будет способствовать осуществлению миссии МСЭ – обеспечению кибербезопасности на международном уровне</w:t>
      </w:r>
      <w:r w:rsidR="00024158" w:rsidRPr="00131A73">
        <w:t xml:space="preserve">. </w:t>
      </w:r>
      <w:r w:rsidR="00F67866" w:rsidRPr="00131A73">
        <w:t>Вследствие этого Государства – Члены МСЭ будут получать пользу от политики защиты ребенка в онлайновой среде на основании новых ресурсов 2020 года, разработанных МСЭ и партнерами по</w:t>
      </w:r>
      <w:r w:rsidR="00CC1874" w:rsidRPr="00131A73">
        <w:t> </w:t>
      </w:r>
      <w:r w:rsidR="00024158" w:rsidRPr="00131A73">
        <w:t>COP.</w:t>
      </w:r>
    </w:p>
    <w:p w14:paraId="2C37D404" w14:textId="20A87308" w:rsidR="00024158" w:rsidRPr="00131A73" w:rsidRDefault="00823D94" w:rsidP="00024158">
      <w:r w:rsidRPr="00131A73">
        <w:t xml:space="preserve">МСЭ также </w:t>
      </w:r>
      <w:r w:rsidR="00B24A4D" w:rsidRPr="00131A73">
        <w:t xml:space="preserve">внес вклад в принятие Замечания общего порядка 25 по правам детей </w:t>
      </w:r>
      <w:r w:rsidR="006B2F23" w:rsidRPr="00131A73">
        <w:t>в связи с цифровой средой Комитетом ООН по правам ребенка</w:t>
      </w:r>
      <w:r w:rsidR="00024158" w:rsidRPr="00131A73">
        <w:t xml:space="preserve">: </w:t>
      </w:r>
      <w:r w:rsidR="006B2F23" w:rsidRPr="00131A73">
        <w:t>в состав межучрежденческой рабочей группы ООН по защите ребенка в онлайновой среде вошел Комитет ООН по правам ребенка и активное сообщество экспертов по защите ребенка в онлайновой среде, как из системы ООН, так и из гражданского общества</w:t>
      </w:r>
      <w:r w:rsidR="00024158" w:rsidRPr="00131A73">
        <w:t xml:space="preserve">. </w:t>
      </w:r>
    </w:p>
    <w:p w14:paraId="74CD703F" w14:textId="5B7C1060" w:rsidR="00024158" w:rsidRPr="00131A73" w:rsidRDefault="00C3531C" w:rsidP="00024158">
      <w:r w:rsidRPr="00131A73">
        <w:t>Наконец, МСЭ занимается распространением сообщений от Санго</w:t>
      </w:r>
      <w:r w:rsidR="00024158" w:rsidRPr="00131A73">
        <w:t xml:space="preserve"> (</w:t>
      </w:r>
      <w:hyperlink r:id="rId36" w:history="1">
        <w:r w:rsidRPr="00131A73">
          <w:rPr>
            <w:rStyle w:val="Hyperlink"/>
          </w:rPr>
          <w:t>Талисман C</w:t>
        </w:r>
        <w:r w:rsidR="00024158" w:rsidRPr="00131A73">
          <w:rPr>
            <w:rStyle w:val="Hyperlink"/>
          </w:rPr>
          <w:t>OP</w:t>
        </w:r>
      </w:hyperlink>
      <w:r w:rsidRPr="00131A73">
        <w:t xml:space="preserve">, появился в </w:t>
      </w:r>
      <w:r w:rsidR="00024158" w:rsidRPr="00131A73">
        <w:t>2020</w:t>
      </w:r>
      <w:r w:rsidRPr="00131A73">
        <w:t> г.</w:t>
      </w:r>
      <w:r w:rsidR="00024158" w:rsidRPr="00131A73">
        <w:t xml:space="preserve">) </w:t>
      </w:r>
      <w:r w:rsidRPr="00131A73">
        <w:t xml:space="preserve">в нескольких странах и через нескольких партнеров, с целью разработки соответствующего контента </w:t>
      </w:r>
      <w:r w:rsidR="00D64322" w:rsidRPr="00131A73">
        <w:t>для повышения осведомленности о защите ребенка в онлайновой среде</w:t>
      </w:r>
      <w:r w:rsidR="00024158" w:rsidRPr="00131A73">
        <w:t xml:space="preserve">. </w:t>
      </w:r>
    </w:p>
    <w:p w14:paraId="08581614" w14:textId="66873C89" w:rsidR="00024158" w:rsidRPr="00131A73" w:rsidRDefault="00924F74" w:rsidP="00024158">
      <w:r w:rsidRPr="00131A73">
        <w:t>Все перечисленные выше виды деятельности проводятся в рамках совместных усилий по тематическим приоритетам "Кибербезопасность" и "Охват цифровыми технологиями"</w:t>
      </w:r>
      <w:r w:rsidR="00024158" w:rsidRPr="00131A73">
        <w:t>.</w:t>
      </w:r>
    </w:p>
    <w:p w14:paraId="78565349" w14:textId="2004E68B" w:rsidR="00536C60" w:rsidRPr="00131A73" w:rsidRDefault="00924F74" w:rsidP="00536C60">
      <w:pPr>
        <w:pStyle w:val="Headingb"/>
      </w:pPr>
      <w:r w:rsidRPr="00131A73">
        <w:t>Национальные CIRT и р</w:t>
      </w:r>
      <w:r w:rsidR="00536C60" w:rsidRPr="00131A73">
        <w:t>еагирование на инциденты</w:t>
      </w:r>
    </w:p>
    <w:p w14:paraId="1EFD4663" w14:textId="79F524E8" w:rsidR="00BF1766" w:rsidRPr="00131A73" w:rsidRDefault="00A15A4E" w:rsidP="00BF1766">
      <w:r w:rsidRPr="00131A73">
        <w:t xml:space="preserve">К настоящему времени более </w:t>
      </w:r>
      <w:r w:rsidR="00BF1766" w:rsidRPr="00131A73">
        <w:t>80</w:t>
      </w:r>
      <w:r w:rsidRPr="00131A73">
        <w:t> стран получили помощь для оценки их готовности к кибербезопасности и способности реагировать на инциденты</w:t>
      </w:r>
      <w:r w:rsidR="00BF1766" w:rsidRPr="00131A73">
        <w:t xml:space="preserve">. </w:t>
      </w:r>
      <w:r w:rsidR="00005222" w:rsidRPr="00131A73">
        <w:t xml:space="preserve">На текущий момент МСЭ участвует в 22 связанных с </w:t>
      </w:r>
      <w:r w:rsidR="00BF1766" w:rsidRPr="00131A73">
        <w:t>CIRT</w:t>
      </w:r>
      <w:r w:rsidR="00005222" w:rsidRPr="00131A73">
        <w:t xml:space="preserve"> проектах</w:t>
      </w:r>
      <w:r w:rsidR="00BF1766" w:rsidRPr="00131A73">
        <w:t xml:space="preserve">, </w:t>
      </w:r>
      <w:r w:rsidR="00005222" w:rsidRPr="00131A73">
        <w:t xml:space="preserve">осуществление </w:t>
      </w:r>
      <w:r w:rsidR="00BF1766" w:rsidRPr="00131A73">
        <w:t>7</w:t>
      </w:r>
      <w:r w:rsidR="00005222" w:rsidRPr="00131A73">
        <w:t> проектов</w:t>
      </w:r>
      <w:r w:rsidR="00BF1766" w:rsidRPr="00131A73">
        <w:t xml:space="preserve"> CIRT </w:t>
      </w:r>
      <w:r w:rsidR="00005222" w:rsidRPr="00131A73">
        <w:t>продолжается, и четыре (4) из них находятся на завершающем этапе</w:t>
      </w:r>
      <w:r w:rsidR="00BF1766" w:rsidRPr="00131A73">
        <w:t xml:space="preserve">: </w:t>
      </w:r>
      <w:r w:rsidR="00005222" w:rsidRPr="00131A73">
        <w:t xml:space="preserve">создание </w:t>
      </w:r>
      <w:r w:rsidR="00BF1766" w:rsidRPr="00131A73">
        <w:t xml:space="preserve">CIRT </w:t>
      </w:r>
      <w:r w:rsidR="00005222" w:rsidRPr="00131A73">
        <w:t>осуществляется для Багамских Островов, Барбадоса, Ботсваны, Кении</w:t>
      </w:r>
      <w:r w:rsidR="00937865" w:rsidRPr="00131A73">
        <w:t>, Малави, Бурунди и Гамбии</w:t>
      </w:r>
      <w:r w:rsidR="00BF1766" w:rsidRPr="00131A73">
        <w:t xml:space="preserve"> (</w:t>
      </w:r>
      <w:r w:rsidR="00937865" w:rsidRPr="00131A73">
        <w:t>в Ботсване и Гамбии осуществление проектов близится к завершению, закончено в этом году</w:t>
      </w:r>
      <w:r w:rsidR="00BF1766" w:rsidRPr="00131A73">
        <w:t xml:space="preserve">), </w:t>
      </w:r>
      <w:r w:rsidR="009053BE" w:rsidRPr="00131A73">
        <w:t>тогда как улучшение</w:t>
      </w:r>
      <w:r w:rsidR="00BF1766" w:rsidRPr="00131A73">
        <w:t xml:space="preserve"> CIRT </w:t>
      </w:r>
      <w:r w:rsidR="009053BE" w:rsidRPr="00131A73">
        <w:t>для Кении и Барбадоса находится на стадии завершения</w:t>
      </w:r>
      <w:r w:rsidR="00BF1766" w:rsidRPr="00131A73">
        <w:t xml:space="preserve">. </w:t>
      </w:r>
    </w:p>
    <w:p w14:paraId="75820021" w14:textId="1C6AE0D7" w:rsidR="00BF1766" w:rsidRPr="00131A73" w:rsidRDefault="009053BE" w:rsidP="00BF1766">
      <w:r w:rsidRPr="00131A73">
        <w:t xml:space="preserve">МСЭ постоянно сотрудничает с </w:t>
      </w:r>
      <w:r w:rsidR="00BF1766" w:rsidRPr="00131A73">
        <w:t>FIRST (</w:t>
      </w:r>
      <w:r w:rsidRPr="00131A73">
        <w:rPr>
          <w:color w:val="000000"/>
        </w:rPr>
        <w:t>Форумом по реагированию на инциденты и группам безопасности</w:t>
      </w:r>
      <w:r w:rsidR="00BF1766" w:rsidRPr="00131A73">
        <w:t xml:space="preserve">) </w:t>
      </w:r>
      <w:r w:rsidRPr="00131A73">
        <w:t xml:space="preserve">и внес вклад в работу по дальнейшему совершенствованию </w:t>
      </w:r>
      <w:r w:rsidRPr="00131A73">
        <w:rPr>
          <w:color w:val="000000"/>
        </w:rPr>
        <w:t>Концепции предоставления услуг CS</w:t>
      </w:r>
      <w:r w:rsidR="00866545" w:rsidRPr="00131A73">
        <w:rPr>
          <w:color w:val="000000"/>
        </w:rPr>
        <w:t>IRT</w:t>
      </w:r>
      <w:r w:rsidR="00BF1766" w:rsidRPr="00131A73">
        <w:t xml:space="preserve">. </w:t>
      </w:r>
      <w:r w:rsidRPr="00131A73">
        <w:t>Поддержка также предоставляется для пересмотра существующих учебных материалов</w:t>
      </w:r>
      <w:r w:rsidR="00371F2F" w:rsidRPr="00131A73">
        <w:t>, входящих в программу по развитию потенциала для создания национальных CIRT и управления их операциями</w:t>
      </w:r>
      <w:r w:rsidR="00BF1766" w:rsidRPr="00131A73">
        <w:t>.</w:t>
      </w:r>
    </w:p>
    <w:p w14:paraId="50FD7578" w14:textId="7CC00360" w:rsidR="00BF1766" w:rsidRPr="00131A73" w:rsidRDefault="00371F2F" w:rsidP="00BF1766">
      <w:r w:rsidRPr="00131A73">
        <w:t xml:space="preserve">МСЭ провел техническую оценку для определения готовности к созданию </w:t>
      </w:r>
      <w:r w:rsidRPr="00131A73">
        <w:rPr>
          <w:color w:val="000000"/>
        </w:rPr>
        <w:t xml:space="preserve">группы реагирования на компьютерные инциденты </w:t>
      </w:r>
      <w:r w:rsidR="00BF1766" w:rsidRPr="00131A73">
        <w:t xml:space="preserve">(CIRT) </w:t>
      </w:r>
      <w:r w:rsidRPr="00131A73">
        <w:t>для Малави</w:t>
      </w:r>
      <w:r w:rsidR="00BF1766" w:rsidRPr="00131A73">
        <w:t xml:space="preserve"> (2018</w:t>
      </w:r>
      <w:r w:rsidRPr="00131A73">
        <w:t> г.</w:t>
      </w:r>
      <w:r w:rsidR="00BF1766" w:rsidRPr="00131A73">
        <w:t xml:space="preserve">), </w:t>
      </w:r>
      <w:r w:rsidRPr="00131A73">
        <w:t>Конго</w:t>
      </w:r>
      <w:r w:rsidR="00BF1766" w:rsidRPr="00131A73">
        <w:t xml:space="preserve"> (2018</w:t>
      </w:r>
      <w:r w:rsidRPr="00131A73">
        <w:t> г.</w:t>
      </w:r>
      <w:r w:rsidR="00BF1766" w:rsidRPr="00131A73">
        <w:t xml:space="preserve">), </w:t>
      </w:r>
      <w:r w:rsidRPr="00131A73">
        <w:t>Нигера</w:t>
      </w:r>
      <w:r w:rsidR="00BF1766" w:rsidRPr="00131A73">
        <w:t xml:space="preserve"> (2018</w:t>
      </w:r>
      <w:r w:rsidRPr="00131A73">
        <w:t> г.</w:t>
      </w:r>
      <w:r w:rsidR="00BF1766" w:rsidRPr="00131A73">
        <w:t xml:space="preserve">), </w:t>
      </w:r>
      <w:r w:rsidRPr="00131A73">
        <w:t>Либерии</w:t>
      </w:r>
      <w:r w:rsidR="00BF1766" w:rsidRPr="00131A73">
        <w:t xml:space="preserve"> (2019</w:t>
      </w:r>
      <w:r w:rsidRPr="00131A73">
        <w:t> г.</w:t>
      </w:r>
      <w:r w:rsidR="00BF1766" w:rsidRPr="00131A73">
        <w:t xml:space="preserve">), </w:t>
      </w:r>
      <w:r w:rsidRPr="00131A73">
        <w:t>Чада</w:t>
      </w:r>
      <w:r w:rsidR="00BF1766" w:rsidRPr="00131A73">
        <w:t xml:space="preserve"> (2019</w:t>
      </w:r>
      <w:r w:rsidRPr="00131A73">
        <w:t> г.</w:t>
      </w:r>
      <w:r w:rsidR="00BF1766" w:rsidRPr="00131A73">
        <w:t xml:space="preserve">), </w:t>
      </w:r>
      <w:r w:rsidRPr="00131A73">
        <w:t>Гамбии</w:t>
      </w:r>
      <w:r w:rsidR="00BF1766" w:rsidRPr="00131A73">
        <w:t xml:space="preserve"> (2019</w:t>
      </w:r>
      <w:r w:rsidRPr="00131A73">
        <w:t> г.</w:t>
      </w:r>
      <w:r w:rsidR="00BF1766" w:rsidRPr="00131A73">
        <w:t xml:space="preserve">), </w:t>
      </w:r>
      <w:r w:rsidRPr="00131A73">
        <w:t>Боснии и Герцеговины</w:t>
      </w:r>
      <w:r w:rsidR="00BF1766" w:rsidRPr="00131A73">
        <w:t xml:space="preserve"> (2019</w:t>
      </w:r>
      <w:r w:rsidRPr="00131A73">
        <w:t> г.</w:t>
      </w:r>
      <w:r w:rsidR="00BF1766" w:rsidRPr="00131A73">
        <w:t xml:space="preserve">), </w:t>
      </w:r>
      <w:r w:rsidRPr="00131A73">
        <w:t>Албании</w:t>
      </w:r>
      <w:r w:rsidR="00BF1766" w:rsidRPr="00131A73">
        <w:t xml:space="preserve"> (2019</w:t>
      </w:r>
      <w:r w:rsidRPr="00131A73">
        <w:t> г.</w:t>
      </w:r>
      <w:r w:rsidR="00BF1766" w:rsidRPr="00131A73">
        <w:t>)</w:t>
      </w:r>
      <w:r w:rsidRPr="00131A73">
        <w:t>, Гайаны</w:t>
      </w:r>
      <w:r w:rsidR="00BF1766" w:rsidRPr="00131A73">
        <w:t xml:space="preserve"> (2020</w:t>
      </w:r>
      <w:r w:rsidRPr="00131A73">
        <w:t> г.</w:t>
      </w:r>
      <w:r w:rsidR="00BF1766" w:rsidRPr="00131A73">
        <w:t xml:space="preserve">), </w:t>
      </w:r>
      <w:r w:rsidRPr="00131A73">
        <w:t xml:space="preserve">Бермудских </w:t>
      </w:r>
      <w:r w:rsidR="00866545" w:rsidRPr="00131A73">
        <w:t>О</w:t>
      </w:r>
      <w:r w:rsidRPr="00131A73">
        <w:t>стровов</w:t>
      </w:r>
      <w:r w:rsidR="00BF1766" w:rsidRPr="00131A73">
        <w:t xml:space="preserve"> (2020</w:t>
      </w:r>
      <w:r w:rsidRPr="00131A73">
        <w:t> г.</w:t>
      </w:r>
      <w:r w:rsidR="00BF1766" w:rsidRPr="00131A73">
        <w:t xml:space="preserve">) </w:t>
      </w:r>
      <w:r w:rsidRPr="00131A73">
        <w:t>и Гвинеи-Бисау</w:t>
      </w:r>
      <w:r w:rsidR="00BF1766" w:rsidRPr="00131A73">
        <w:t xml:space="preserve"> (2021</w:t>
      </w:r>
      <w:r w:rsidRPr="00131A73">
        <w:t> г.</w:t>
      </w:r>
      <w:r w:rsidR="00BF1766" w:rsidRPr="00131A73">
        <w:t>).</w:t>
      </w:r>
    </w:p>
    <w:p w14:paraId="22C60CC9" w14:textId="6469EA3D" w:rsidR="00536C60" w:rsidRPr="00131A73" w:rsidRDefault="00BF1766" w:rsidP="00536C60">
      <w:r w:rsidRPr="00131A73">
        <w:t>В 2018 году в</w:t>
      </w:r>
      <w:r w:rsidR="00536C60" w:rsidRPr="00131A73">
        <w:t xml:space="preserve"> рамках проекта "Реализация услуг CIRT и связанного с ним потенциала" Государству Палестина была оказана помощь в создании и развертывании технических возможностей и проведении соответствующих учебных курсов по операциям CIRT.</w:t>
      </w:r>
    </w:p>
    <w:p w14:paraId="22E538D6" w14:textId="77777777" w:rsidR="00536C60" w:rsidRPr="00131A73" w:rsidRDefault="00536C60" w:rsidP="00536C60">
      <w:pPr>
        <w:rPr>
          <w:rFonts w:eastAsiaTheme="minorEastAsia"/>
        </w:rPr>
      </w:pPr>
      <w:r w:rsidRPr="00131A73">
        <w:t xml:space="preserve">В рамках проекта, инициированного при поддержке Министерства инфраструктуры, транспорта, регионального развития и связи Австралии, была предоставлена специализированная помощь по оценке CIRT и формированию навыков таким странам, как Папуа-Новая Гвинея, Самоа, Тонга и Вануату. </w:t>
      </w:r>
      <w:r w:rsidRPr="00131A73">
        <w:rPr>
          <w:rFonts w:eastAsia="Calibri" w:cs="Calibri"/>
        </w:rPr>
        <w:t>Папуа-Новой Гвинее и Вануату была оказана помощь по развитию потенциала в области CIRT в рамках</w:t>
      </w:r>
      <w:r w:rsidRPr="00131A73">
        <w:rPr>
          <w:rFonts w:eastAsiaTheme="minorHAnsi" w:cstheme="minorBidi"/>
        </w:rPr>
        <w:t xml:space="preserve"> </w:t>
      </w:r>
      <w:hyperlink r:id="rId37" w:history="1">
        <w:r w:rsidRPr="00131A73">
          <w:rPr>
            <w:rStyle w:val="Hyperlink"/>
            <w:rFonts w:eastAsiaTheme="minorHAnsi" w:cstheme="minorBidi"/>
          </w:rPr>
          <w:t>проекта МСЭ–DoCA</w:t>
        </w:r>
      </w:hyperlink>
      <w:r w:rsidRPr="00131A73">
        <w:rPr>
          <w:rFonts w:eastAsiaTheme="minorHAnsi" w:cstheme="minorBidi"/>
        </w:rPr>
        <w:t>.</w:t>
      </w:r>
    </w:p>
    <w:p w14:paraId="4EC23DF6" w14:textId="4E4C2251" w:rsidR="00536C60" w:rsidRPr="00131A73" w:rsidRDefault="00536C60" w:rsidP="00255945">
      <w:pPr>
        <w:pStyle w:val="Headingb"/>
      </w:pPr>
      <w:r w:rsidRPr="00131A73">
        <w:lastRenderedPageBreak/>
        <w:t>Тренировочные занятия по кибербезопасности и развитие потенциала</w:t>
      </w:r>
    </w:p>
    <w:p w14:paraId="29F0FDB1" w14:textId="724CA3A1" w:rsidR="00BF1766" w:rsidRPr="00131A73" w:rsidRDefault="005D3ADE" w:rsidP="00BF1766">
      <w:r w:rsidRPr="00131A73">
        <w:t xml:space="preserve">В последние несколько лет тренировочные занятия по кибербезопасности </w:t>
      </w:r>
      <w:r w:rsidR="00160D14" w:rsidRPr="00131A73">
        <w:t>проводились на региональном и внутрирегиональном уровне для обеспечения того, чтоб национальные</w:t>
      </w:r>
      <w:r w:rsidR="00BF1766" w:rsidRPr="00131A73">
        <w:t xml:space="preserve"> CIRT</w:t>
      </w:r>
      <w:r w:rsidR="00160D14" w:rsidRPr="00131A73">
        <w:t xml:space="preserve"> применяли передовой опыт для реагирования на </w:t>
      </w:r>
      <w:r w:rsidR="00160D14" w:rsidRPr="00131A73">
        <w:rPr>
          <w:color w:val="000000"/>
        </w:rPr>
        <w:t xml:space="preserve">инциденты кибербезопасности, и для содействия техническому сотрудничеству </w:t>
      </w:r>
      <w:r w:rsidR="00FC792E" w:rsidRPr="00131A73">
        <w:rPr>
          <w:color w:val="000000"/>
        </w:rPr>
        <w:t>между национальными</w:t>
      </w:r>
      <w:r w:rsidR="00BF1766" w:rsidRPr="00131A73">
        <w:t xml:space="preserve"> CIRT.</w:t>
      </w:r>
    </w:p>
    <w:p w14:paraId="0CCFE681" w14:textId="557B559B" w:rsidR="00536C60" w:rsidRPr="00131A73" w:rsidRDefault="00FC792E" w:rsidP="00536C60">
      <w:r w:rsidRPr="00131A73">
        <w:t>В</w:t>
      </w:r>
      <w:r w:rsidR="00BF1766" w:rsidRPr="00131A73">
        <w:t xml:space="preserve"> 2018</w:t>
      </w:r>
      <w:r w:rsidRPr="00131A73">
        <w:t> году на Маврикии было проведено тренировочное занятие высокого уровня с имитацией национального кризиса в сфере кибербезопасности</w:t>
      </w:r>
      <w:r w:rsidR="00BF1766" w:rsidRPr="00131A73">
        <w:t xml:space="preserve">. </w:t>
      </w:r>
      <w:r w:rsidR="00A10D7F" w:rsidRPr="00131A73">
        <w:t>Затем в Кот-д'Ивуаре прошло тренировочное занятие МСЭ по кибербезопасности для Африки, а тренировочное занятие МСЭ по кибербезопасности для Северной и Южной Америки прошло в Аргентине</w:t>
      </w:r>
      <w:r w:rsidR="00BF1766" w:rsidRPr="00131A73">
        <w:t>. В 2019 году в</w:t>
      </w:r>
      <w:r w:rsidR="00536C60" w:rsidRPr="00131A73">
        <w:t xml:space="preserve"> Малайзии были проведены межрегиональные тренировочные занятия по кибербезопасности (для стран СНГ и Азиатско-Тихоокеанского региона)</w:t>
      </w:r>
      <w:r w:rsidR="00A10D7F" w:rsidRPr="00131A73">
        <w:t xml:space="preserve">, а </w:t>
      </w:r>
      <w:r w:rsidR="00536C60" w:rsidRPr="00131A73">
        <w:t xml:space="preserve">в Уганде </w:t>
      </w:r>
      <w:r w:rsidR="00A10D7F" w:rsidRPr="00131A73">
        <w:t xml:space="preserve">были </w:t>
      </w:r>
      <w:r w:rsidR="00536C60" w:rsidRPr="00131A73">
        <w:t>организованы тренировочные занятия по кибербезопасности для Африканского региона. В Омане организованы тренировочные занятия по кибербезопасности для региона арабских государств</w:t>
      </w:r>
      <w:r w:rsidR="00A10D7F" w:rsidRPr="00131A73">
        <w:t xml:space="preserve">, совместно </w:t>
      </w:r>
      <w:r w:rsidR="001B5527" w:rsidRPr="00131A73">
        <w:t xml:space="preserve">с </w:t>
      </w:r>
      <w:r w:rsidR="001B5527" w:rsidRPr="00131A73">
        <w:rPr>
          <w:color w:val="000000"/>
        </w:rPr>
        <w:t>Арабским региональным центром по кибербезопасности</w:t>
      </w:r>
      <w:r w:rsidR="00536C60" w:rsidRPr="00131A73">
        <w:t xml:space="preserve"> </w:t>
      </w:r>
      <w:r w:rsidR="001B5527" w:rsidRPr="00131A73">
        <w:t>(</w:t>
      </w:r>
      <w:hyperlink r:id="rId38" w:history="1">
        <w:r w:rsidR="001B5527" w:rsidRPr="00131A73">
          <w:rPr>
            <w:rStyle w:val="Hyperlink"/>
          </w:rPr>
          <w:t>ARCC</w:t>
        </w:r>
      </w:hyperlink>
      <w:r w:rsidR="001B5527" w:rsidRPr="00131A73">
        <w:t xml:space="preserve">), </w:t>
      </w:r>
      <w:r w:rsidR="00536C60" w:rsidRPr="00131A73">
        <w:t>в целях обеспечения продолжения коллективных усилий национальных групп реагирования на компьютерные инциденты по предотвращению киберугроз. Тренировочные занятия по кибербезопасности для Европейского региона были организованы в Румынии в период ее председательства в Совете Европейского союза в 2019 году. В ответ на предложение Председателя Группы 20 МСЭ согласился участвовать в качестве информационно-аналитического партнера в деятельности Целевой группы по цифровой экономике Группы 20 по приоритетному направлению "Безопасность в цифровой экономике".</w:t>
      </w:r>
    </w:p>
    <w:p w14:paraId="44C82F21" w14:textId="761940CE" w:rsidR="00BF1766" w:rsidRPr="00131A73" w:rsidRDefault="00BF1766" w:rsidP="00BF1766">
      <w:r w:rsidRPr="00131A73">
        <w:t>В 2020 году состоял</w:t>
      </w:r>
      <w:r w:rsidR="001B5527" w:rsidRPr="00131A73">
        <w:t>и</w:t>
      </w:r>
      <w:r w:rsidRPr="00131A73">
        <w:t>сь</w:t>
      </w:r>
      <w:r w:rsidRPr="00131A73">
        <w:rPr>
          <w:color w:val="444444"/>
          <w:bdr w:val="none" w:sz="0" w:space="0" w:color="auto" w:frame="1"/>
        </w:rPr>
        <w:t xml:space="preserve"> </w:t>
      </w:r>
      <w:hyperlink r:id="rId39" w:history="1">
        <w:r w:rsidRPr="00131A73">
          <w:rPr>
            <w:rStyle w:val="Hyperlink"/>
            <w:bdr w:val="none" w:sz="0" w:space="0" w:color="auto" w:frame="1"/>
          </w:rPr>
          <w:t>Глобальн</w:t>
        </w:r>
        <w:r w:rsidR="001B5527" w:rsidRPr="00131A73">
          <w:rPr>
            <w:rStyle w:val="Hyperlink"/>
            <w:bdr w:val="none" w:sz="0" w:space="0" w:color="auto" w:frame="1"/>
          </w:rPr>
          <w:t>ы</w:t>
        </w:r>
        <w:r w:rsidRPr="00131A73">
          <w:rPr>
            <w:rStyle w:val="Hyperlink"/>
            <w:bdr w:val="none" w:sz="0" w:space="0" w:color="auto" w:frame="1"/>
          </w:rPr>
          <w:t>е тренировочн</w:t>
        </w:r>
        <w:r w:rsidR="001B5527" w:rsidRPr="00131A73">
          <w:rPr>
            <w:rStyle w:val="Hyperlink"/>
            <w:bdr w:val="none" w:sz="0" w:space="0" w:color="auto" w:frame="1"/>
          </w:rPr>
          <w:t>ы</w:t>
        </w:r>
        <w:r w:rsidRPr="00131A73">
          <w:rPr>
            <w:rStyle w:val="Hyperlink"/>
            <w:bdr w:val="none" w:sz="0" w:space="0" w:color="auto" w:frame="1"/>
          </w:rPr>
          <w:t>е заняти</w:t>
        </w:r>
        <w:r w:rsidR="001B5527" w:rsidRPr="00131A73">
          <w:rPr>
            <w:rStyle w:val="Hyperlink"/>
            <w:bdr w:val="none" w:sz="0" w:space="0" w:color="auto" w:frame="1"/>
          </w:rPr>
          <w:t>я</w:t>
        </w:r>
        <w:r w:rsidRPr="00131A73">
          <w:rPr>
            <w:rStyle w:val="Hyperlink"/>
            <w:bdr w:val="none" w:sz="0" w:space="0" w:color="auto" w:frame="1"/>
          </w:rPr>
          <w:t xml:space="preserve"> МСЭ по кибербезопасности</w:t>
        </w:r>
      </w:hyperlink>
      <w:r w:rsidRPr="00131A73">
        <w:rPr>
          <w:color w:val="444444"/>
          <w:bdr w:val="none" w:sz="0" w:space="0" w:color="auto" w:frame="1"/>
        </w:rPr>
        <w:t xml:space="preserve">, </w:t>
      </w:r>
      <w:r w:rsidRPr="00131A73">
        <w:t>котор</w:t>
      </w:r>
      <w:r w:rsidR="001B5527" w:rsidRPr="00131A73">
        <w:t>ы</w:t>
      </w:r>
      <w:r w:rsidRPr="00131A73">
        <w:t>е проходил</w:t>
      </w:r>
      <w:r w:rsidR="00866545" w:rsidRPr="00131A73">
        <w:t>и</w:t>
      </w:r>
      <w:r w:rsidRPr="00131A73">
        <w:t xml:space="preserve"> в виртуальном формате и включал</w:t>
      </w:r>
      <w:r w:rsidR="001B5527" w:rsidRPr="00131A73">
        <w:t>и</w:t>
      </w:r>
      <w:r w:rsidRPr="00131A73">
        <w:t xml:space="preserve"> обсуждение ряда актуальных направлений кибербезопасности: за время пандемии COVID-19 было проведено шесть региональных диалогов по проблемам кибербезопасности. Кроме того, были проведены вебинары на тему </w:t>
      </w:r>
      <w:hyperlink r:id="rId40" w:history="1">
        <w:r w:rsidRPr="00131A73">
          <w:rPr>
            <w:rStyle w:val="Hyperlink"/>
          </w:rPr>
          <w:t>расширения прав и возможностей женщин в сфере кибербезопасности и планирования управления в условиях киберкризиса</w:t>
        </w:r>
      </w:hyperlink>
      <w:r w:rsidRPr="00131A73">
        <w:t xml:space="preserve">, которые подчеркнули важность обеспечения открытости для всех и способности к восстановлению. В рамках этого глобального мероприятия также состоялось практическое учебное занятие, посвященное </w:t>
      </w:r>
      <w:hyperlink r:id="rId41" w:history="1">
        <w:r w:rsidRPr="00131A73">
          <w:rPr>
            <w:rStyle w:val="Hyperlink"/>
          </w:rPr>
          <w:t>эффективным онлайновым расследованиям на основе открытых источников</w:t>
        </w:r>
      </w:hyperlink>
      <w:r w:rsidRPr="00131A73">
        <w:t>, а</w:t>
      </w:r>
      <w:r w:rsidR="00B01C23" w:rsidRPr="00131A73">
        <w:t> </w:t>
      </w:r>
      <w:r w:rsidRPr="00131A73">
        <w:t xml:space="preserve">также обучение по инструментам </w:t>
      </w:r>
      <w:hyperlink r:id="rId42" w:history="1">
        <w:r w:rsidRPr="00131A73">
          <w:rPr>
            <w:rStyle w:val="Hyperlink"/>
          </w:rPr>
          <w:t>TheHive</w:t>
        </w:r>
        <w:r w:rsidRPr="00131A73">
          <w:rPr>
            <w:rStyle w:val="Hyperlink"/>
            <w:color w:val="auto"/>
            <w:u w:val="none"/>
          </w:rPr>
          <w:t xml:space="preserve"> и </w:t>
        </w:r>
        <w:r w:rsidRPr="00131A73">
          <w:rPr>
            <w:rStyle w:val="Hyperlink"/>
          </w:rPr>
          <w:t>Cortex</w:t>
        </w:r>
      </w:hyperlink>
      <w:r w:rsidRPr="00131A73">
        <w:t xml:space="preserve">, используемым в </w:t>
      </w:r>
      <w:hyperlink r:id="rId43" w:history="1">
        <w:r w:rsidRPr="00131A73">
          <w:rPr>
            <w:rStyle w:val="Hyperlink"/>
          </w:rPr>
          <w:t>реагировании на инциденты</w:t>
        </w:r>
      </w:hyperlink>
      <w:r w:rsidRPr="00131A73">
        <w:t xml:space="preserve">. Состоялось обсуждение с участием </w:t>
      </w:r>
      <w:r w:rsidR="001B5527" w:rsidRPr="00131A73">
        <w:t xml:space="preserve">нескольких </w:t>
      </w:r>
      <w:r w:rsidRPr="00131A73">
        <w:t xml:space="preserve">экспертов, посвященное важности </w:t>
      </w:r>
      <w:hyperlink r:id="rId44" w:history="1">
        <w:r w:rsidRPr="00131A73">
          <w:rPr>
            <w:rStyle w:val="Hyperlink"/>
          </w:rPr>
          <w:t>реализации и мониторинга национальных стратегий кибербезопасности</w:t>
        </w:r>
      </w:hyperlink>
      <w:r w:rsidRPr="00131A73">
        <w:t>.</w:t>
      </w:r>
      <w:r w:rsidR="00FF24FC" w:rsidRPr="00131A73">
        <w:t xml:space="preserve"> </w:t>
      </w:r>
      <w:r w:rsidR="001B5527" w:rsidRPr="00131A73">
        <w:t xml:space="preserve">В Азиатско-Тихоокеанском регионе в декабре 2020 года прошли Тихоокеанские тренировочные занятия по кибербезопасности, </w:t>
      </w:r>
      <w:r w:rsidR="0033434B" w:rsidRPr="00131A73">
        <w:t>конкретно ориентированные на СИДС</w:t>
      </w:r>
      <w:r w:rsidR="001B5527" w:rsidRPr="00131A73">
        <w:t>, для повышения потенциала в области кибербезопасности</w:t>
      </w:r>
      <w:r w:rsidR="00FF24FC" w:rsidRPr="00131A73">
        <w:t xml:space="preserve">. </w:t>
      </w:r>
      <w:r w:rsidR="001B5527" w:rsidRPr="00131A73">
        <w:t>Также в декабре 2020 года для Королевства Эсва</w:t>
      </w:r>
      <w:r w:rsidR="00866545" w:rsidRPr="00131A73">
        <w:t>тини</w:t>
      </w:r>
      <w:r w:rsidR="001B5527" w:rsidRPr="00131A73">
        <w:t xml:space="preserve"> были проведены национальные тренировочные занятия по кибербезопасности</w:t>
      </w:r>
      <w:r w:rsidR="00FF24FC" w:rsidRPr="00131A73">
        <w:t>.</w:t>
      </w:r>
    </w:p>
    <w:p w14:paraId="1ECA9811" w14:textId="77777777" w:rsidR="00536C60" w:rsidRPr="00131A73" w:rsidRDefault="00536C60" w:rsidP="00536C60">
      <w:pPr>
        <w:pStyle w:val="Headingb"/>
        <w:rPr>
          <w:szCs w:val="20"/>
        </w:rPr>
      </w:pPr>
      <w:r w:rsidRPr="00131A73">
        <w:t xml:space="preserve">Программа наставничества </w:t>
      </w:r>
      <w:r w:rsidRPr="00131A73">
        <w:rPr>
          <w:b w:val="0"/>
          <w:bCs/>
        </w:rPr>
        <w:t>"</w:t>
      </w:r>
      <w:r w:rsidRPr="00131A73">
        <w:t>Женщины в сфере кибербезопасности</w:t>
      </w:r>
      <w:r w:rsidRPr="00131A73">
        <w:rPr>
          <w:b w:val="0"/>
          <w:bCs/>
        </w:rPr>
        <w:t>"</w:t>
      </w:r>
    </w:p>
    <w:p w14:paraId="5D38764D" w14:textId="41634253" w:rsidR="00536C60" w:rsidRPr="00131A73" w:rsidRDefault="00536C60" w:rsidP="00536C60">
      <w:r w:rsidRPr="00131A73">
        <w:t xml:space="preserve">МСЭ и Форум по реагированию на инциденты и группам безопасности (FIRST) при поддержке </w:t>
      </w:r>
      <w:hyperlink r:id="rId45" w:history="1">
        <w:r w:rsidRPr="00131A73">
          <w:rPr>
            <w:rStyle w:val="Hyperlink"/>
          </w:rPr>
          <w:t>Глобального партнерства "РАВНЫЕ"</w:t>
        </w:r>
      </w:hyperlink>
      <w:r w:rsidRPr="00131A73">
        <w:t xml:space="preserve"> начали реализацию совместной программы наставничества, направленной на расширение прав и возможностей женщин в секторе кибербезопасности. К участию в программе привлечены специалисты, являющиеся примерами для подражания и лидерами в этой отрасли, для взаимодействия с талантливыми женщинами со всего мира. Эти усилия направлены на преодоление существующего во всем мире гендерного разрыва в сфере кибербезопасности путем развертывания глобальной программы наставничества в целях создания потенциала среди женщин, желающих построить успешную карьеру и развивать свои навыки в сфере кибербезопасности. Программа наставничества "Женщины в сфере кибербезопасности" имеет три составляющих: она будет включать в себя серию </w:t>
      </w:r>
      <w:r w:rsidR="00455E6A" w:rsidRPr="00131A73">
        <w:t xml:space="preserve">мотивационных </w:t>
      </w:r>
      <w:r w:rsidRPr="00131A73">
        <w:t>вебинаров, курсы по обучению техническим и межличностным навыкам, а также шестимесячный наставнический модуль. Все мероприятия будут проводиться в онлайновом режиме в течение восьми месяцев – с декабря 2020 года по июль 2021 года.</w:t>
      </w:r>
    </w:p>
    <w:p w14:paraId="7D096635" w14:textId="77777777" w:rsidR="00536C60" w:rsidRPr="00131A73" w:rsidRDefault="00536C60" w:rsidP="00536C60">
      <w:pPr>
        <w:pStyle w:val="Headingb"/>
      </w:pPr>
      <w:r w:rsidRPr="00131A73">
        <w:lastRenderedPageBreak/>
        <w:t>Национальные стратегии кибербезопасности</w:t>
      </w:r>
    </w:p>
    <w:p w14:paraId="7A198B49" w14:textId="6A086AD6" w:rsidR="00DE3EE6" w:rsidRPr="00131A73" w:rsidRDefault="00DE3EE6" w:rsidP="00DE3EE6">
      <w:r w:rsidRPr="00131A73">
        <w:t xml:space="preserve">МСЭ оказывает Государствам-Членам содействие в разработке и совершенствовании эффективных национальных стратегий кибербезопасности. </w:t>
      </w:r>
      <w:hyperlink r:id="rId46" w:history="1">
        <w:r w:rsidRPr="00131A73">
          <w:rPr>
            <w:rStyle w:val="Hyperlink"/>
          </w:rPr>
          <w:t>Руководство по разработке национальной стратегии кибербезопасности (NCS)</w:t>
        </w:r>
      </w:hyperlink>
      <w:r w:rsidRPr="00131A73">
        <w:t xml:space="preserve">, разработанное в рамках многостороннего процесса сотрудничества, представляет собой полезное практическое руководство и функциональный комплекс инструментов, который применяется странами во всех регионах при разработке и совершенствовании национальных стратегий кибербезопасности. С момента его публикации в сентябре 2018 года </w:t>
      </w:r>
      <w:r w:rsidR="00455E6A" w:rsidRPr="00131A73">
        <w:t xml:space="preserve">были организованы </w:t>
      </w:r>
      <w:r w:rsidRPr="00131A73">
        <w:t xml:space="preserve">национальные и региональные семинары-практикумы </w:t>
      </w:r>
      <w:r w:rsidR="00455E6A" w:rsidRPr="00131A73">
        <w:t>для поддержки нескольких стран</w:t>
      </w:r>
      <w:r w:rsidRPr="00131A73">
        <w:t xml:space="preserve">, причем </w:t>
      </w:r>
      <w:r w:rsidR="00455E6A" w:rsidRPr="00131A73">
        <w:t>четы</w:t>
      </w:r>
      <w:r w:rsidRPr="00131A73">
        <w:t xml:space="preserve">рем странам была оказана непосредственная помощь в разработке и пересмотре национальных стратегий кибербезопасности на основании Руководства. </w:t>
      </w:r>
      <w:r w:rsidR="00455E6A" w:rsidRPr="00131A73">
        <w:t>Ведется обновление</w:t>
      </w:r>
      <w:r w:rsidRPr="00131A73">
        <w:t xml:space="preserve"> NCS</w:t>
      </w:r>
      <w:r w:rsidR="00455E6A" w:rsidRPr="00131A73">
        <w:t>, и этот процесс, как ожидается</w:t>
      </w:r>
      <w:r w:rsidR="00F657BC" w:rsidRPr="00131A73">
        <w:t>, закончится в октябре </w:t>
      </w:r>
      <w:r w:rsidRPr="00131A73">
        <w:t>2021</w:t>
      </w:r>
      <w:r w:rsidR="00F657BC" w:rsidRPr="00131A73">
        <w:t> года, как совместный процесс под торговыми марками 22 объединений</w:t>
      </w:r>
      <w:r w:rsidRPr="00131A73">
        <w:t>.</w:t>
      </w:r>
    </w:p>
    <w:p w14:paraId="6CA30A8B" w14:textId="17E6A767" w:rsidR="00536C60" w:rsidRPr="00131A73" w:rsidRDefault="00600F1F" w:rsidP="00536C60">
      <w:hyperlink r:id="rId47" w:history="1">
        <w:r w:rsidR="007A08B3" w:rsidRPr="00131A73">
          <w:rPr>
            <w:rStyle w:val="Hyperlink"/>
          </w:rPr>
          <w:t>Руководство по разработке национальной стратегии кибербезопасности (NCS)</w:t>
        </w:r>
      </w:hyperlink>
      <w:r w:rsidR="00DE3EE6" w:rsidRPr="00131A73">
        <w:rPr>
          <w:bdr w:val="none" w:sz="0" w:space="0" w:color="auto" w:frame="1"/>
        </w:rPr>
        <w:t xml:space="preserve"> </w:t>
      </w:r>
      <w:r w:rsidR="007A08B3" w:rsidRPr="00131A73">
        <w:rPr>
          <w:bdr w:val="none" w:sz="0" w:space="0" w:color="auto" w:frame="1"/>
        </w:rPr>
        <w:t>по национальным стратегиям кибербезопасности используется странами в различных регионах МСЭ</w:t>
      </w:r>
      <w:r w:rsidR="00DE3EE6" w:rsidRPr="00131A73">
        <w:t xml:space="preserve">. </w:t>
      </w:r>
      <w:r w:rsidR="00536C60" w:rsidRPr="00131A73">
        <w:rPr>
          <w:bCs/>
        </w:rPr>
        <w:t>В частности:</w:t>
      </w:r>
    </w:p>
    <w:p w14:paraId="45D86A1C" w14:textId="1A81FBF0" w:rsidR="00536C60" w:rsidRPr="00131A73" w:rsidRDefault="00B01C23" w:rsidP="007D781B">
      <w:pPr>
        <w:pStyle w:val="enumlev1"/>
      </w:pPr>
      <w:r w:rsidRPr="00131A73">
        <w:t>−</w:t>
      </w:r>
      <w:r w:rsidR="00536C60" w:rsidRPr="00131A73">
        <w:tab/>
      </w:r>
      <w:r w:rsidR="00536C60" w:rsidRPr="00131A73">
        <w:rPr>
          <w:rFonts w:eastAsia="Calibri" w:cs="Calibri"/>
        </w:rPr>
        <w:t>Министерством информатики и Агентством кибербезопасности Индонезии</w:t>
      </w:r>
      <w:r w:rsidR="00536C60" w:rsidRPr="00131A73">
        <w:t xml:space="preserve"> был организован региональный </w:t>
      </w:r>
      <w:r w:rsidR="00536C60" w:rsidRPr="00131A73">
        <w:rPr>
          <w:rFonts w:eastAsia="Calibri" w:cs="Calibri"/>
        </w:rPr>
        <w:t>семинар-практикум в Джакарте, посвященный стратегии кибербезопасности и общим правилам защиты данных</w:t>
      </w:r>
      <w:r w:rsidR="00536C60" w:rsidRPr="00131A73">
        <w:t>;</w:t>
      </w:r>
    </w:p>
    <w:p w14:paraId="1A6B9881" w14:textId="424D2AD5" w:rsidR="00536C60" w:rsidRPr="00131A73" w:rsidRDefault="00B01C23" w:rsidP="007D781B">
      <w:pPr>
        <w:pStyle w:val="enumlev1"/>
      </w:pPr>
      <w:r w:rsidRPr="00131A73">
        <w:t>−</w:t>
      </w:r>
      <w:r w:rsidR="00536C60" w:rsidRPr="00131A73">
        <w:tab/>
      </w:r>
      <w:r w:rsidR="00536C60" w:rsidRPr="00131A73">
        <w:rPr>
          <w:rFonts w:eastAsia="Calibri" w:cs="Calibri"/>
        </w:rPr>
        <w:t xml:space="preserve">региональный семинар-практикум, </w:t>
      </w:r>
      <w:r w:rsidR="007A08B3" w:rsidRPr="00131A73">
        <w:rPr>
          <w:rFonts w:eastAsia="Calibri" w:cs="Calibri"/>
        </w:rPr>
        <w:t xml:space="preserve">принимающей стороной которого была </w:t>
      </w:r>
      <w:r w:rsidR="00536C60" w:rsidRPr="00131A73">
        <w:rPr>
          <w:rFonts w:eastAsia="Calibri" w:cs="Calibri"/>
        </w:rPr>
        <w:t>Македони</w:t>
      </w:r>
      <w:r w:rsidR="007A08B3" w:rsidRPr="00131A73">
        <w:rPr>
          <w:rFonts w:eastAsia="Calibri" w:cs="Calibri"/>
        </w:rPr>
        <w:t>я</w:t>
      </w:r>
      <w:r w:rsidR="00536C60" w:rsidRPr="00131A73">
        <w:rPr>
          <w:rFonts w:eastAsia="Calibri" w:cs="Calibri"/>
        </w:rPr>
        <w:t>, был посвящен совершенствованию национальных стратегий пяти стран региона;</w:t>
      </w:r>
    </w:p>
    <w:p w14:paraId="2CC648A8" w14:textId="7C769DC7" w:rsidR="00536C60" w:rsidRPr="00131A73" w:rsidRDefault="00B01C23" w:rsidP="007D781B">
      <w:pPr>
        <w:pStyle w:val="enumlev1"/>
      </w:pPr>
      <w:r w:rsidRPr="00131A73">
        <w:t>−</w:t>
      </w:r>
      <w:r w:rsidR="00536C60" w:rsidRPr="00131A73">
        <w:tab/>
        <w:t xml:space="preserve">региональный семинар-практикум, </w:t>
      </w:r>
      <w:r w:rsidR="007A08B3" w:rsidRPr="00131A73">
        <w:rPr>
          <w:rFonts w:eastAsia="Calibri" w:cs="Calibri"/>
        </w:rPr>
        <w:t>принимающей стороной которого был</w:t>
      </w:r>
      <w:r w:rsidR="00536C60" w:rsidRPr="00131A73">
        <w:t xml:space="preserve"> Тунис, был посвящен совершенствованию национальных стратегий стран Африки и региона арабских государств. Активное участие приняли 20 стран;</w:t>
      </w:r>
    </w:p>
    <w:p w14:paraId="4DDE2CEC" w14:textId="44A1F4EA" w:rsidR="00536C60" w:rsidRPr="00131A73" w:rsidRDefault="00B01C23" w:rsidP="007D781B">
      <w:pPr>
        <w:pStyle w:val="enumlev1"/>
      </w:pPr>
      <w:r w:rsidRPr="00131A73">
        <w:t>−</w:t>
      </w:r>
      <w:r w:rsidR="00536C60" w:rsidRPr="00131A73">
        <w:tab/>
        <w:t xml:space="preserve">в Африканском регионе помощь в </w:t>
      </w:r>
      <w:r w:rsidR="007A08B3" w:rsidRPr="00131A73">
        <w:t>разработке</w:t>
      </w:r>
      <w:r w:rsidR="00536C60" w:rsidRPr="00131A73">
        <w:t xml:space="preserve"> национальной стратегии кибербезопасности была предоставлена Бенину;</w:t>
      </w:r>
    </w:p>
    <w:p w14:paraId="5F6E360B" w14:textId="16E9002A" w:rsidR="00536C60" w:rsidRPr="00131A73" w:rsidRDefault="00B01C23" w:rsidP="007D781B">
      <w:pPr>
        <w:pStyle w:val="enumlev1"/>
        <w:spacing w:after="160"/>
      </w:pPr>
      <w:r w:rsidRPr="00131A73">
        <w:t>−</w:t>
      </w:r>
      <w:r w:rsidR="00536C60" w:rsidRPr="00131A73">
        <w:tab/>
        <w:t>в Азиатско-Тихоокеанском регионе содействие в укреплении стратегических рамок в области кибербезопасности и разработке национальных стратегий кибербезопасности было оказано Кирибати и Соломоновым Островам.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29"/>
      </w:tblGrid>
      <w:tr w:rsidR="00536C60" w:rsidRPr="00131A73" w14:paraId="53E173ED" w14:textId="77777777" w:rsidTr="00536C60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1C3BCF" w14:textId="77777777" w:rsidR="00536C60" w:rsidRPr="00131A73" w:rsidRDefault="00536C60">
            <w:pPr>
              <w:rPr>
                <w:b/>
              </w:rPr>
            </w:pPr>
            <w:r w:rsidRPr="00131A73">
              <w:rPr>
                <w:b/>
              </w:rPr>
              <w:t>РЕГИОНАЛЬНЫЕ ИНИЦИАТИВЫ</w:t>
            </w:r>
          </w:p>
          <w:p w14:paraId="302F38AF" w14:textId="36778728" w:rsidR="00536C60" w:rsidRPr="00131A73" w:rsidRDefault="00536C60">
            <w:pPr>
              <w:rPr>
                <w:rFonts w:eastAsia="Calibri" w:cs="Calibri"/>
              </w:rPr>
            </w:pPr>
            <w:r w:rsidRPr="00131A73">
              <w:rPr>
                <w:rFonts w:eastAsia="Calibri" w:cs="Calibri"/>
              </w:rPr>
              <w:t xml:space="preserve">Африканский регион: </w:t>
            </w:r>
            <w:r w:rsidR="00866545" w:rsidRPr="00131A73">
              <w:rPr>
                <w:rFonts w:eastAsia="Calibri" w:cs="Calibri"/>
              </w:rPr>
              <w:t>у</w:t>
            </w:r>
            <w:r w:rsidRPr="00131A73">
              <w:rPr>
                <w:rFonts w:eastAsia="Calibri" w:cs="Calibri"/>
              </w:rPr>
              <w:t>крепление доверия и безопасности при использовании электросвязи/</w:t>
            </w:r>
            <w:r w:rsidR="007D781B" w:rsidRPr="00131A73">
              <w:rPr>
                <w:rFonts w:eastAsia="Calibri" w:cs="Calibri"/>
              </w:rPr>
              <w:br/>
            </w:r>
            <w:r w:rsidRPr="00131A73">
              <w:rPr>
                <w:rFonts w:eastAsia="Calibri" w:cs="Calibri"/>
              </w:rPr>
              <w:t>информационно-коммуникационных технологий</w:t>
            </w:r>
          </w:p>
          <w:p w14:paraId="1E9E6C2A" w14:textId="53F44F23" w:rsidR="00536C60" w:rsidRPr="00131A73" w:rsidRDefault="00B01C23">
            <w:pPr>
              <w:pStyle w:val="enumlev1"/>
            </w:pPr>
            <w:r w:rsidRPr="00131A73">
              <w:t>−</w:t>
            </w:r>
            <w:r w:rsidR="00536C60" w:rsidRPr="00131A73">
              <w:rPr>
                <w:shd w:val="clear" w:color="auto" w:fill="FFFFFF"/>
              </w:rPr>
              <w:tab/>
            </w:r>
            <w:r w:rsidR="0019469D" w:rsidRPr="00131A73">
              <w:rPr>
                <w:shd w:val="clear" w:color="auto" w:fill="FFFFFF"/>
              </w:rPr>
              <w:t>региональные тренировочные занятия по кибербезопасности – Кот-д'Ивуар</w:t>
            </w:r>
            <w:r w:rsidR="00E265CD" w:rsidRPr="00131A73">
              <w:rPr>
                <w:shd w:val="clear" w:color="auto" w:fill="FFFFFF"/>
              </w:rPr>
              <w:t xml:space="preserve"> (2018</w:t>
            </w:r>
            <w:r w:rsidR="0019469D" w:rsidRPr="00131A73">
              <w:rPr>
                <w:shd w:val="clear" w:color="auto" w:fill="FFFFFF"/>
              </w:rPr>
              <w:t> г.</w:t>
            </w:r>
            <w:r w:rsidR="00E265CD" w:rsidRPr="00131A73">
              <w:rPr>
                <w:shd w:val="clear" w:color="auto" w:fill="FFFFFF"/>
              </w:rPr>
              <w:t xml:space="preserve">), </w:t>
            </w:r>
            <w:r w:rsidR="0019469D" w:rsidRPr="00131A73">
              <w:rPr>
                <w:shd w:val="clear" w:color="auto" w:fill="FFFFFF"/>
              </w:rPr>
              <w:t>Уганда</w:t>
            </w:r>
            <w:r w:rsidR="00E265CD" w:rsidRPr="00131A73">
              <w:rPr>
                <w:shd w:val="clear" w:color="auto" w:fill="FFFFFF"/>
              </w:rPr>
              <w:t xml:space="preserve"> (2019</w:t>
            </w:r>
            <w:r w:rsidR="0019469D" w:rsidRPr="00131A73">
              <w:rPr>
                <w:shd w:val="clear" w:color="auto" w:fill="FFFFFF"/>
              </w:rPr>
              <w:t> г.</w:t>
            </w:r>
            <w:r w:rsidR="00E265CD" w:rsidRPr="00131A73">
              <w:rPr>
                <w:shd w:val="clear" w:color="auto" w:fill="FFFFFF"/>
              </w:rPr>
              <w:t xml:space="preserve">), </w:t>
            </w:r>
            <w:r w:rsidR="0019469D" w:rsidRPr="00131A73">
              <w:rPr>
                <w:shd w:val="clear" w:color="auto" w:fill="FFFFFF"/>
              </w:rPr>
              <w:t xml:space="preserve">глобальные </w:t>
            </w:r>
            <w:r w:rsidR="00963CF6" w:rsidRPr="00131A73">
              <w:rPr>
                <w:shd w:val="clear" w:color="auto" w:fill="FFFFFF"/>
              </w:rPr>
              <w:t xml:space="preserve">тренировочные занятия по кибербезопасности </w:t>
            </w:r>
            <w:r w:rsidR="00E265CD" w:rsidRPr="00131A73">
              <w:rPr>
                <w:shd w:val="clear" w:color="auto" w:fill="FFFFFF"/>
              </w:rPr>
              <w:t>(</w:t>
            </w:r>
            <w:r w:rsidR="00963CF6" w:rsidRPr="00131A73">
              <w:rPr>
                <w:shd w:val="clear" w:color="auto" w:fill="FFFFFF"/>
              </w:rPr>
              <w:t>в онлайновом режиме</w:t>
            </w:r>
            <w:r w:rsidR="00E265CD" w:rsidRPr="00131A73">
              <w:rPr>
                <w:shd w:val="clear" w:color="auto" w:fill="FFFFFF"/>
              </w:rPr>
              <w:t xml:space="preserve"> – 2020</w:t>
            </w:r>
            <w:r w:rsidR="00963CF6" w:rsidRPr="00131A73">
              <w:rPr>
                <w:shd w:val="clear" w:color="auto" w:fill="FFFFFF"/>
              </w:rPr>
              <w:t> г.</w:t>
            </w:r>
            <w:r w:rsidR="00E265CD" w:rsidRPr="00131A73">
              <w:rPr>
                <w:shd w:val="clear" w:color="auto" w:fill="FFFFFF"/>
              </w:rPr>
              <w:t xml:space="preserve">) </w:t>
            </w:r>
            <w:r w:rsidR="00963CF6" w:rsidRPr="00131A73">
              <w:rPr>
                <w:shd w:val="clear" w:color="auto" w:fill="FFFFFF"/>
              </w:rPr>
              <w:t>и национальные тренировочные занятия по кибербезопасности на Маврикии</w:t>
            </w:r>
            <w:r w:rsidR="00E265CD" w:rsidRPr="00131A73">
              <w:rPr>
                <w:shd w:val="clear" w:color="auto" w:fill="FFFFFF"/>
              </w:rPr>
              <w:t xml:space="preserve"> (2018</w:t>
            </w:r>
            <w:r w:rsidR="00963CF6" w:rsidRPr="00131A73">
              <w:rPr>
                <w:shd w:val="clear" w:color="auto" w:fill="FFFFFF"/>
              </w:rPr>
              <w:t> г.</w:t>
            </w:r>
            <w:r w:rsidR="00E265CD" w:rsidRPr="00131A73">
              <w:rPr>
                <w:shd w:val="clear" w:color="auto" w:fill="FFFFFF"/>
              </w:rPr>
              <w:t xml:space="preserve">) </w:t>
            </w:r>
            <w:r w:rsidR="00963CF6" w:rsidRPr="00131A73">
              <w:rPr>
                <w:shd w:val="clear" w:color="auto" w:fill="FFFFFF"/>
              </w:rPr>
              <w:t>и в Королевстве Эсва</w:t>
            </w:r>
            <w:r w:rsidR="004D4235" w:rsidRPr="00131A73">
              <w:rPr>
                <w:shd w:val="clear" w:color="auto" w:fill="FFFFFF"/>
              </w:rPr>
              <w:t>тини</w:t>
            </w:r>
            <w:r w:rsidR="00E265CD" w:rsidRPr="00131A73">
              <w:rPr>
                <w:shd w:val="clear" w:color="auto" w:fill="FFFFFF"/>
              </w:rPr>
              <w:t xml:space="preserve"> (2020</w:t>
            </w:r>
            <w:r w:rsidR="00963CF6" w:rsidRPr="00131A73">
              <w:rPr>
                <w:shd w:val="clear" w:color="auto" w:fill="FFFFFF"/>
              </w:rPr>
              <w:t> г.</w:t>
            </w:r>
            <w:r w:rsidR="00E265CD" w:rsidRPr="00131A73">
              <w:rPr>
                <w:shd w:val="clear" w:color="auto" w:fill="FFFFFF"/>
              </w:rPr>
              <w:t>).</w:t>
            </w:r>
          </w:p>
          <w:p w14:paraId="1F011964" w14:textId="5D9753A8" w:rsidR="00E265CD" w:rsidRPr="00131A73" w:rsidRDefault="00B01C23" w:rsidP="00E265CD">
            <w:pPr>
              <w:pStyle w:val="enumlev1"/>
            </w:pPr>
            <w:r w:rsidRPr="00131A73">
              <w:t>−</w:t>
            </w:r>
            <w:r w:rsidR="00E265CD" w:rsidRPr="00131A73">
              <w:rPr>
                <w:shd w:val="clear" w:color="auto" w:fill="FFFFFF"/>
              </w:rPr>
              <w:tab/>
            </w:r>
            <w:r w:rsidR="00963CF6" w:rsidRPr="00131A73">
              <w:rPr>
                <w:shd w:val="clear" w:color="auto" w:fill="FFFFFF"/>
              </w:rPr>
              <w:t>МСЭ и его партнеры содействовали развитию потенциала в Буркина-Фасо</w:t>
            </w:r>
            <w:r w:rsidR="00E265CD" w:rsidRPr="00131A73">
              <w:t xml:space="preserve"> (2018</w:t>
            </w:r>
            <w:r w:rsidR="00963CF6" w:rsidRPr="00131A73">
              <w:t> г.</w:t>
            </w:r>
            <w:r w:rsidR="00E265CD" w:rsidRPr="00131A73">
              <w:t xml:space="preserve">), </w:t>
            </w:r>
            <w:r w:rsidR="00963CF6" w:rsidRPr="00131A73">
              <w:t>Эсва</w:t>
            </w:r>
            <w:r w:rsidR="004D4235" w:rsidRPr="00131A73">
              <w:t>тини</w:t>
            </w:r>
            <w:r w:rsidR="00E265CD" w:rsidRPr="00131A73">
              <w:t xml:space="preserve"> (2019</w:t>
            </w:r>
            <w:r w:rsidR="00963CF6" w:rsidRPr="00131A73">
              <w:t> г.</w:t>
            </w:r>
            <w:r w:rsidR="00E265CD" w:rsidRPr="00131A73">
              <w:t>)</w:t>
            </w:r>
            <w:r w:rsidR="00963CF6" w:rsidRPr="00131A73">
              <w:t>, а также провели межрегиональный семинар-практикум</w:t>
            </w:r>
            <w:r w:rsidR="00E265CD" w:rsidRPr="00131A73">
              <w:t xml:space="preserve"> </w:t>
            </w:r>
            <w:r w:rsidR="00DD7A96" w:rsidRPr="00131A73">
              <w:t>по национальной стратегии кибербезопасности в Тунисе</w:t>
            </w:r>
            <w:r w:rsidR="00E265CD" w:rsidRPr="00131A73">
              <w:t xml:space="preserve">. </w:t>
            </w:r>
            <w:r w:rsidR="00DD7A96" w:rsidRPr="00131A73">
              <w:t>В октябре 2019 года в Аккре</w:t>
            </w:r>
            <w:r w:rsidR="004D4235" w:rsidRPr="00131A73">
              <w:t xml:space="preserve"> (</w:t>
            </w:r>
            <w:r w:rsidR="00DD7A96" w:rsidRPr="00131A73">
              <w:t>Гана</w:t>
            </w:r>
            <w:r w:rsidR="004D4235" w:rsidRPr="00131A73">
              <w:t>)</w:t>
            </w:r>
            <w:r w:rsidR="00DD7A96" w:rsidRPr="00131A73">
              <w:t xml:space="preserve"> был проведен Региональный форум по защите ребенка в онлайновой среде. МСЭ провел техническую оценку готовности к созданию </w:t>
            </w:r>
            <w:r w:rsidR="00DD7A96" w:rsidRPr="00131A73">
              <w:rPr>
                <w:color w:val="000000"/>
              </w:rPr>
              <w:t xml:space="preserve">групп реагирования на компьютерные инциденты </w:t>
            </w:r>
            <w:r w:rsidR="00E265CD" w:rsidRPr="00131A73">
              <w:t xml:space="preserve">(CIRT) </w:t>
            </w:r>
            <w:r w:rsidR="00DD7A96" w:rsidRPr="00131A73">
              <w:t>для Малави</w:t>
            </w:r>
            <w:r w:rsidR="00E265CD" w:rsidRPr="00131A73">
              <w:t xml:space="preserve"> (2018</w:t>
            </w:r>
            <w:r w:rsidR="00DD7A96" w:rsidRPr="00131A73">
              <w:t> г.</w:t>
            </w:r>
            <w:r w:rsidR="00E265CD" w:rsidRPr="00131A73">
              <w:t xml:space="preserve">), </w:t>
            </w:r>
            <w:r w:rsidR="00DD7A96" w:rsidRPr="00131A73">
              <w:t>Конго</w:t>
            </w:r>
            <w:r w:rsidR="00E265CD" w:rsidRPr="00131A73">
              <w:t xml:space="preserve"> (2018</w:t>
            </w:r>
            <w:r w:rsidR="00CC1874" w:rsidRPr="00131A73">
              <w:t xml:space="preserve"> </w:t>
            </w:r>
            <w:r w:rsidR="00DD7A96" w:rsidRPr="00131A73">
              <w:t>г.</w:t>
            </w:r>
            <w:r w:rsidR="00E265CD" w:rsidRPr="00131A73">
              <w:t xml:space="preserve">), </w:t>
            </w:r>
            <w:r w:rsidR="00DD7A96" w:rsidRPr="00131A73">
              <w:t>Нигера</w:t>
            </w:r>
            <w:r w:rsidR="00E265CD" w:rsidRPr="00131A73">
              <w:t xml:space="preserve"> (2018</w:t>
            </w:r>
            <w:r w:rsidR="00CC1874" w:rsidRPr="00131A73">
              <w:t xml:space="preserve"> </w:t>
            </w:r>
            <w:r w:rsidR="00DD7A96" w:rsidRPr="00131A73">
              <w:t>г.</w:t>
            </w:r>
            <w:r w:rsidR="00E265CD" w:rsidRPr="00131A73">
              <w:t xml:space="preserve">), </w:t>
            </w:r>
            <w:r w:rsidR="00DD7A96" w:rsidRPr="00131A73">
              <w:t>Либерии</w:t>
            </w:r>
            <w:r w:rsidR="00E265CD" w:rsidRPr="00131A73">
              <w:t xml:space="preserve"> (2019</w:t>
            </w:r>
            <w:r w:rsidR="00CC1874" w:rsidRPr="00131A73">
              <w:t xml:space="preserve"> </w:t>
            </w:r>
            <w:r w:rsidR="00DD7A96" w:rsidRPr="00131A73">
              <w:t>г.</w:t>
            </w:r>
            <w:r w:rsidR="00E265CD" w:rsidRPr="00131A73">
              <w:t xml:space="preserve">), </w:t>
            </w:r>
            <w:r w:rsidR="00DD7A96" w:rsidRPr="00131A73">
              <w:t>Чада</w:t>
            </w:r>
            <w:r w:rsidR="00E265CD" w:rsidRPr="00131A73">
              <w:t xml:space="preserve"> (2019</w:t>
            </w:r>
            <w:r w:rsidR="00CC1874" w:rsidRPr="00131A73">
              <w:t xml:space="preserve"> </w:t>
            </w:r>
            <w:r w:rsidR="00DD7A96" w:rsidRPr="00131A73">
              <w:t>г.</w:t>
            </w:r>
            <w:r w:rsidR="00E265CD" w:rsidRPr="00131A73">
              <w:t xml:space="preserve">), </w:t>
            </w:r>
            <w:r w:rsidR="00DD7A96" w:rsidRPr="00131A73">
              <w:t>Гамбии</w:t>
            </w:r>
            <w:r w:rsidR="00E265CD" w:rsidRPr="00131A73">
              <w:t xml:space="preserve"> (2019</w:t>
            </w:r>
            <w:r w:rsidR="00CC1874" w:rsidRPr="00131A73">
              <w:t xml:space="preserve"> </w:t>
            </w:r>
            <w:r w:rsidR="00DD7A96" w:rsidRPr="00131A73">
              <w:t>г.</w:t>
            </w:r>
            <w:r w:rsidR="00E265CD" w:rsidRPr="00131A73">
              <w:t xml:space="preserve">) </w:t>
            </w:r>
            <w:r w:rsidR="00DD7A96" w:rsidRPr="00131A73">
              <w:t>и Гвинеи-Бисау</w:t>
            </w:r>
            <w:r w:rsidR="00E265CD" w:rsidRPr="00131A73">
              <w:t xml:space="preserve"> (2020</w:t>
            </w:r>
            <w:r w:rsidR="00CC1874" w:rsidRPr="00131A73">
              <w:t xml:space="preserve"> </w:t>
            </w:r>
            <w:r w:rsidR="00DD7A96" w:rsidRPr="00131A73">
              <w:t>г.</w:t>
            </w:r>
            <w:r w:rsidR="00E265CD" w:rsidRPr="00131A73">
              <w:t>).</w:t>
            </w:r>
          </w:p>
          <w:p w14:paraId="26EDDFC6" w14:textId="415ACEC2" w:rsidR="00E265CD" w:rsidRPr="00131A73" w:rsidRDefault="00B01C23" w:rsidP="00E265CD">
            <w:pPr>
              <w:pStyle w:val="enumlev1"/>
            </w:pPr>
            <w:r w:rsidRPr="00131A73">
              <w:t>−</w:t>
            </w:r>
            <w:r w:rsidR="00E265CD" w:rsidRPr="00131A73">
              <w:rPr>
                <w:shd w:val="clear" w:color="auto" w:fill="FFFFFF"/>
              </w:rPr>
              <w:tab/>
            </w:r>
            <w:r w:rsidR="00C1509B" w:rsidRPr="00131A73">
              <w:rPr>
                <w:shd w:val="clear" w:color="auto" w:fill="FFFFFF"/>
              </w:rPr>
              <w:t xml:space="preserve">МСЭ содействовал разработке национальной стратегии кибербезопасности для Бенина в </w:t>
            </w:r>
            <w:r w:rsidR="00E265CD" w:rsidRPr="00131A73">
              <w:t>2019</w:t>
            </w:r>
            <w:r w:rsidR="00C1509B" w:rsidRPr="00131A73">
              <w:t xml:space="preserve"> году и </w:t>
            </w:r>
            <w:r w:rsidR="00C1509B" w:rsidRPr="00131A73">
              <w:rPr>
                <w:shd w:val="clear" w:color="auto" w:fill="FFFFFF"/>
              </w:rPr>
              <w:t>национальной стратегии кибербезопасности для Либерии в декабре</w:t>
            </w:r>
            <w:r w:rsidR="00E265CD" w:rsidRPr="00131A73">
              <w:t xml:space="preserve"> 2020</w:t>
            </w:r>
            <w:r w:rsidR="00C1509B" w:rsidRPr="00131A73">
              <w:t> года</w:t>
            </w:r>
            <w:r w:rsidR="00E265CD" w:rsidRPr="00131A73">
              <w:t>.</w:t>
            </w:r>
          </w:p>
          <w:p w14:paraId="391A0E88" w14:textId="3CC0A5FD" w:rsidR="00E265CD" w:rsidRPr="00131A73" w:rsidRDefault="00B01C23" w:rsidP="00E265CD">
            <w:pPr>
              <w:pStyle w:val="enumlev1"/>
            </w:pPr>
            <w:r w:rsidRPr="00131A73">
              <w:t>−</w:t>
            </w:r>
            <w:r w:rsidR="00E265CD" w:rsidRPr="00131A73">
              <w:rPr>
                <w:shd w:val="clear" w:color="auto" w:fill="FFFFFF"/>
              </w:rPr>
              <w:tab/>
            </w:r>
            <w:r w:rsidR="003F38D1" w:rsidRPr="00131A73">
              <w:rPr>
                <w:shd w:val="clear" w:color="auto" w:fill="FFFFFF"/>
              </w:rPr>
              <w:t xml:space="preserve">Система </w:t>
            </w:r>
            <w:r w:rsidR="003F38D1" w:rsidRPr="00131A73">
              <w:rPr>
                <w:color w:val="000000"/>
              </w:rPr>
              <w:t>инфраструктуры открытых ключей</w:t>
            </w:r>
            <w:r w:rsidR="003F38D1" w:rsidRPr="00131A73">
              <w:t xml:space="preserve"> была разработана для Малави и соответствующая подготовка проведена в декабре 2020 года</w:t>
            </w:r>
            <w:r w:rsidR="00E265CD" w:rsidRPr="00131A73">
              <w:t>.</w:t>
            </w:r>
          </w:p>
          <w:p w14:paraId="3EA851E3" w14:textId="0DA1DB4C" w:rsidR="00536C60" w:rsidRPr="00131A73" w:rsidRDefault="00B01C23">
            <w:pPr>
              <w:pStyle w:val="enumlev1"/>
            </w:pPr>
            <w:r w:rsidRPr="00131A73">
              <w:t>−</w:t>
            </w:r>
            <w:r w:rsidR="00536C60" w:rsidRPr="00131A73">
              <w:tab/>
              <w:t>В Гамбии заинтересованные стороны прошли обучение по операциям национальной CIRT.</w:t>
            </w:r>
          </w:p>
          <w:p w14:paraId="5A5A4801" w14:textId="1B2B2441" w:rsidR="00536C60" w:rsidRPr="00131A73" w:rsidRDefault="00B01C23">
            <w:pPr>
              <w:pStyle w:val="enumlev1"/>
            </w:pPr>
            <w:r w:rsidRPr="00131A73">
              <w:t>−</w:t>
            </w:r>
            <w:r w:rsidR="00536C60" w:rsidRPr="00131A73">
              <w:tab/>
              <w:t xml:space="preserve">Для Кот-д'Ивуара </w:t>
            </w:r>
            <w:r w:rsidR="003F38D1" w:rsidRPr="00131A73">
              <w:t xml:space="preserve">в 2019 году </w:t>
            </w:r>
            <w:r w:rsidR="00536C60" w:rsidRPr="00131A73">
              <w:t xml:space="preserve">в партнерстве с консультантом по рискам компании Deloitte был проведен обзор ситуации в сфере кибербезопасности, включая показатели Глобального индекса кибербезопасности МСЭ. Этот обзор помог стране определить приоритетные инициативы </w:t>
            </w:r>
            <w:r w:rsidR="00536C60" w:rsidRPr="00131A73">
              <w:lastRenderedPageBreak/>
              <w:t>по</w:t>
            </w:r>
            <w:r w:rsidR="008F1A8E" w:rsidRPr="00131A73">
              <w:t> </w:t>
            </w:r>
            <w:r w:rsidR="00536C60" w:rsidRPr="00131A73">
              <w:t>улучшению положения в области кибербезопасности.</w:t>
            </w:r>
            <w:r w:rsidR="00E265CD" w:rsidRPr="00131A73">
              <w:t xml:space="preserve"> </w:t>
            </w:r>
            <w:r w:rsidR="003F38D1" w:rsidRPr="00131A73">
              <w:t xml:space="preserve">Руководящие указания были предоставлены Южно-Африканской Республике </w:t>
            </w:r>
            <w:r w:rsidR="00C01354" w:rsidRPr="00131A73">
              <w:t>для разработки национальной политики в области данных, в том числе для анализа проекта политики в отношении облачных вычислений, конфиденциальности и кибербезопасности</w:t>
            </w:r>
            <w:r w:rsidR="00E265CD" w:rsidRPr="00131A73">
              <w:t xml:space="preserve">. </w:t>
            </w:r>
            <w:r w:rsidR="00C01354" w:rsidRPr="00131A73">
              <w:t>В январе 2020 года был проведен семинар-практикум для основных органов в области политики</w:t>
            </w:r>
            <w:r w:rsidR="00E265CD" w:rsidRPr="00131A73">
              <w:t>.</w:t>
            </w:r>
          </w:p>
          <w:p w14:paraId="548946B2" w14:textId="0D80FC12" w:rsidR="00536C60" w:rsidRPr="00131A73" w:rsidRDefault="00536C60">
            <w:pPr>
              <w:rPr>
                <w:u w:val="single"/>
              </w:rPr>
            </w:pPr>
            <w:r w:rsidRPr="00131A73">
              <w:t xml:space="preserve">Регион арабских государств: </w:t>
            </w:r>
            <w:r w:rsidR="004D4235" w:rsidRPr="00131A73">
              <w:t>д</w:t>
            </w:r>
            <w:r w:rsidRPr="00131A73">
              <w:t>оверие и безопасность при использовании электросвязи/ИКТ</w:t>
            </w:r>
          </w:p>
          <w:p w14:paraId="316A0FEE" w14:textId="15E28DAA" w:rsidR="00536C60" w:rsidRPr="00131A73" w:rsidRDefault="00B01C23">
            <w:pPr>
              <w:pStyle w:val="enumlev1"/>
            </w:pPr>
            <w:r w:rsidRPr="00131A73">
              <w:t>−</w:t>
            </w:r>
            <w:r w:rsidR="00536C60" w:rsidRPr="00131A73">
              <w:rPr>
                <w:rFonts w:eastAsia="Calibri"/>
                <w:szCs w:val="22"/>
              </w:rPr>
              <w:tab/>
            </w:r>
            <w:r w:rsidR="00536C60" w:rsidRPr="00131A73">
              <w:t xml:space="preserve">В ходе Региональной недели кибербезопасности для региона арабских государств Арабский региональный центр кибербезопасности МСЭ (МСЭ–ARCC) способствовал обмену информацией и созданию потенциала в области кибербезопасности. Это мероприятие предоставило платформу, позволившую старшим должностным лицам в области ИКТ и кибербезопасности в регионе встретиться с соответствующими заинтересованными сторонами и обсудить угрозы, </w:t>
            </w:r>
            <w:r w:rsidR="004D4235" w:rsidRPr="00131A73">
              <w:t>динамику</w:t>
            </w:r>
            <w:r w:rsidR="00536C60" w:rsidRPr="00131A73">
              <w:t>, возможности и проблемы кибербезопасности.</w:t>
            </w:r>
          </w:p>
          <w:p w14:paraId="4CF1DB34" w14:textId="47F4CDF3" w:rsidR="00536C60" w:rsidRPr="00131A73" w:rsidRDefault="00B01C23">
            <w:pPr>
              <w:pStyle w:val="enumlev1"/>
            </w:pPr>
            <w:r w:rsidRPr="00131A73">
              <w:t>−</w:t>
            </w:r>
            <w:r w:rsidR="00536C60" w:rsidRPr="00131A73">
              <w:tab/>
              <w:t xml:space="preserve">Судану оказана техническая помощь и помощь по развитию потенциала в целях совершенствования его стратегии в области защиты </w:t>
            </w:r>
            <w:r w:rsidR="004D4235" w:rsidRPr="00131A73">
              <w:t>важнейшей</w:t>
            </w:r>
            <w:r w:rsidR="00536C60" w:rsidRPr="00131A73">
              <w:t xml:space="preserve"> информационной инфраструктуры.</w:t>
            </w:r>
          </w:p>
          <w:p w14:paraId="4DC73530" w14:textId="6C4CE504" w:rsidR="00E265CD" w:rsidRPr="00131A73" w:rsidRDefault="00E265CD" w:rsidP="008F1A8E">
            <w:pPr>
              <w:pStyle w:val="enumlev1"/>
              <w:spacing w:before="120"/>
            </w:pPr>
            <w:r w:rsidRPr="00131A73">
              <w:rPr>
                <w:rFonts w:cstheme="minorHAnsi"/>
                <w:szCs w:val="22"/>
              </w:rPr>
              <w:t>Регион Северной и Южной Америки</w:t>
            </w:r>
            <w:r w:rsidRPr="00131A73">
              <w:t>:</w:t>
            </w:r>
          </w:p>
          <w:p w14:paraId="6E505BEF" w14:textId="7A2CB31A" w:rsidR="00E265CD" w:rsidRPr="00131A73" w:rsidRDefault="00B01C23" w:rsidP="00E265CD">
            <w:pPr>
              <w:pStyle w:val="enumlev1"/>
            </w:pPr>
            <w:r w:rsidRPr="00131A73">
              <w:t>−</w:t>
            </w:r>
            <w:r w:rsidR="00E265CD" w:rsidRPr="00131A73">
              <w:tab/>
            </w:r>
            <w:r w:rsidR="00000D66" w:rsidRPr="00131A73">
              <w:t xml:space="preserve">С </w:t>
            </w:r>
            <w:r w:rsidR="00E265CD" w:rsidRPr="00131A73">
              <w:t>2021</w:t>
            </w:r>
            <w:r w:rsidR="00000D66" w:rsidRPr="00131A73">
              <w:t xml:space="preserve"> года МСЭ осуществляет программу кибербезопасности и </w:t>
            </w:r>
            <w:r w:rsidR="00000D66" w:rsidRPr="00131A73">
              <w:rPr>
                <w:color w:val="000000"/>
              </w:rPr>
              <w:t>уменьшения опасности бедствий для Барбадоса</w:t>
            </w:r>
            <w:r w:rsidR="00E265CD" w:rsidRPr="00131A73">
              <w:t>.</w:t>
            </w:r>
          </w:p>
          <w:p w14:paraId="1BE3D670" w14:textId="6A530766" w:rsidR="00E265CD" w:rsidRPr="00131A73" w:rsidRDefault="00B01C23" w:rsidP="00E265CD">
            <w:pPr>
              <w:pStyle w:val="enumlev1"/>
            </w:pPr>
            <w:r w:rsidRPr="00131A73">
              <w:t>−</w:t>
            </w:r>
            <w:r w:rsidR="00E265CD" w:rsidRPr="00131A73">
              <w:tab/>
            </w:r>
            <w:r w:rsidR="00D92A9E" w:rsidRPr="00131A73">
              <w:t>В 2019 и 2020 году проводился онлайновый курс профессиональной подготовки по современной политике и но</w:t>
            </w:r>
            <w:r w:rsidR="00FF21A5" w:rsidRPr="00131A73">
              <w:t>рмативам в области ИКТ для поддержки членов МСЭ, который охватывал темы, связанные с управлением использованием интернета, возможностью установления соединений и кибербезопасностью</w:t>
            </w:r>
            <w:r w:rsidR="00E265CD" w:rsidRPr="00131A73">
              <w:t>.</w:t>
            </w:r>
          </w:p>
          <w:p w14:paraId="0EA64ED9" w14:textId="23198CFE" w:rsidR="00E265CD" w:rsidRPr="00131A73" w:rsidRDefault="00B01C23" w:rsidP="00E265CD">
            <w:pPr>
              <w:pStyle w:val="enumlev1"/>
            </w:pPr>
            <w:r w:rsidRPr="00131A73">
              <w:t>−</w:t>
            </w:r>
            <w:r w:rsidR="00E265CD" w:rsidRPr="00131A73">
              <w:tab/>
            </w:r>
            <w:r w:rsidR="00FF21A5" w:rsidRPr="00131A73">
              <w:t>С</w:t>
            </w:r>
            <w:r w:rsidR="00E265CD" w:rsidRPr="00131A73">
              <w:t xml:space="preserve"> 4 </w:t>
            </w:r>
            <w:r w:rsidR="00FF21A5" w:rsidRPr="00131A73">
              <w:t>по</w:t>
            </w:r>
            <w:r w:rsidR="00E265CD" w:rsidRPr="00131A73">
              <w:t xml:space="preserve"> 8</w:t>
            </w:r>
            <w:r w:rsidR="00FF21A5" w:rsidRPr="00131A73">
              <w:t xml:space="preserve"> июня </w:t>
            </w:r>
            <w:r w:rsidR="00E265CD" w:rsidRPr="00131A73">
              <w:t>2018</w:t>
            </w:r>
            <w:r w:rsidR="00FF21A5" w:rsidRPr="00131A73">
              <w:t> года</w:t>
            </w:r>
            <w:r w:rsidR="00E265CD" w:rsidRPr="00131A73">
              <w:t xml:space="preserve"> </w:t>
            </w:r>
            <w:r w:rsidR="00FF21A5" w:rsidRPr="00131A73">
              <w:t xml:space="preserve">МСЭ провел региональный семинар-практикум по </w:t>
            </w:r>
            <w:r w:rsidR="00F45B27" w:rsidRPr="00131A73">
              <w:t xml:space="preserve">кибербезопасности и тренировочные занятия по кибербезопасности по любезному приглашению правительства Аргентины, принимающей стороной которых был </w:t>
            </w:r>
            <w:r w:rsidR="00F45B27" w:rsidRPr="00131A73">
              <w:rPr>
                <w:color w:val="000000"/>
              </w:rPr>
              <w:t>Университет Ла-Платы</w:t>
            </w:r>
            <w:r w:rsidR="00E265CD" w:rsidRPr="00131A73">
              <w:t xml:space="preserve">. </w:t>
            </w:r>
            <w:r w:rsidR="00F45B27" w:rsidRPr="00131A73">
              <w:t>В мероприятии приняли участие</w:t>
            </w:r>
            <w:r w:rsidR="00E265CD" w:rsidRPr="00131A73">
              <w:t xml:space="preserve"> 117</w:t>
            </w:r>
            <w:r w:rsidR="00F45B27" w:rsidRPr="00131A73">
              <w:t> человек</w:t>
            </w:r>
            <w:r w:rsidR="00E265CD" w:rsidRPr="00131A73">
              <w:t xml:space="preserve">. </w:t>
            </w:r>
            <w:r w:rsidR="00F45B27" w:rsidRPr="00131A73">
              <w:t>Из них 15 человек участвовали в сессии по защите ребенка в онлайновой среде и 50 человек участвовали в практических упражнениях по кибербезопасности</w:t>
            </w:r>
            <w:r w:rsidR="00E265CD" w:rsidRPr="00131A73">
              <w:t xml:space="preserve">. </w:t>
            </w:r>
            <w:r w:rsidR="000330E3" w:rsidRPr="00131A73">
              <w:t xml:space="preserve">Участвовали в мероприятии представители Аргентины, Багамских </w:t>
            </w:r>
            <w:r w:rsidR="004D4235" w:rsidRPr="00131A73">
              <w:t>О</w:t>
            </w:r>
            <w:r w:rsidR="000330E3" w:rsidRPr="00131A73">
              <w:t>стровов, Бразилии, Чили, Кубы, Эквадора, Эль</w:t>
            </w:r>
            <w:r w:rsidR="004D4235" w:rsidRPr="00131A73">
              <w:noBreakHyphen/>
            </w:r>
            <w:r w:rsidR="000330E3" w:rsidRPr="00131A73">
              <w:t>Сальвадора, Гайаны, Парагвая и Уругвая</w:t>
            </w:r>
            <w:r w:rsidR="00E265CD" w:rsidRPr="00131A73">
              <w:t>.</w:t>
            </w:r>
          </w:p>
          <w:p w14:paraId="72010655" w14:textId="689D9064" w:rsidR="00E265CD" w:rsidRPr="00131A73" w:rsidRDefault="00B01C23" w:rsidP="00E265CD">
            <w:pPr>
              <w:pStyle w:val="enumlev1"/>
            </w:pPr>
            <w:r w:rsidRPr="00131A73">
              <w:t>−</w:t>
            </w:r>
            <w:r w:rsidR="00E265CD" w:rsidRPr="00131A73">
              <w:tab/>
            </w:r>
            <w:r w:rsidR="00460CED" w:rsidRPr="00131A73">
              <w:t>МСЭ 15 сентября 2020 года провел онлайновый региональный диалог по кибербезопасности для Северной и Южной Америки</w:t>
            </w:r>
            <w:r w:rsidR="00E265CD" w:rsidRPr="00131A73">
              <w:t>: CIRT</w:t>
            </w:r>
            <w:r w:rsidR="00460CED" w:rsidRPr="00131A73">
              <w:t xml:space="preserve"> и уроки, извлеченные </w:t>
            </w:r>
            <w:r w:rsidR="008B46FC" w:rsidRPr="00131A73">
              <w:t xml:space="preserve">из кризиса </w:t>
            </w:r>
            <w:r w:rsidR="00E265CD" w:rsidRPr="00131A73">
              <w:t>COV</w:t>
            </w:r>
            <w:r w:rsidR="00CC1874" w:rsidRPr="00131A73">
              <w:t>I</w:t>
            </w:r>
            <w:r w:rsidR="00E265CD" w:rsidRPr="00131A73">
              <w:t>D</w:t>
            </w:r>
            <w:r w:rsidR="00CC1874" w:rsidRPr="00131A73">
              <w:t>-</w:t>
            </w:r>
            <w:r w:rsidR="00E265CD" w:rsidRPr="00131A73">
              <w:t xml:space="preserve">19. </w:t>
            </w:r>
            <w:r w:rsidR="008B46FC" w:rsidRPr="00131A73">
              <w:t>В мероприятии участвовали 100 человек из Аргентины</w:t>
            </w:r>
            <w:r w:rsidR="006E0EA3" w:rsidRPr="00131A73">
              <w:t>, Барбадоса, Белиза, Боливии, Бразилии, Чили, Колумбии, Доминиканской Республики, Эквадора, Эль-Сальвадора</w:t>
            </w:r>
            <w:r w:rsidR="00E265CD" w:rsidRPr="00131A73">
              <w:t xml:space="preserve">, </w:t>
            </w:r>
            <w:r w:rsidR="006E0EA3" w:rsidRPr="00131A73">
              <w:t>Гайаны, Мексики, Парагвая, Перу, Суринама, Тринидада и Тобаго, Соединенных Штатов Америки и Уругвая</w:t>
            </w:r>
            <w:r w:rsidR="00E265CD" w:rsidRPr="00131A73">
              <w:t>.</w:t>
            </w:r>
          </w:p>
          <w:p w14:paraId="75732724" w14:textId="414B8ACE" w:rsidR="00536C60" w:rsidRPr="00131A73" w:rsidRDefault="00536C60">
            <w:pPr>
              <w:rPr>
                <w:rFonts w:eastAsia="Calibri" w:cs="Calibri"/>
                <w:u w:val="single"/>
              </w:rPr>
            </w:pPr>
            <w:r w:rsidRPr="00131A73">
              <w:rPr>
                <w:rFonts w:eastAsia="Calibri" w:cs="Calibri"/>
              </w:rPr>
              <w:t xml:space="preserve">Европейский регион: </w:t>
            </w:r>
            <w:r w:rsidR="004D4235" w:rsidRPr="00131A73">
              <w:rPr>
                <w:rFonts w:eastAsia="Calibri" w:cs="Calibri"/>
              </w:rPr>
              <w:t>у</w:t>
            </w:r>
            <w:r w:rsidRPr="00131A73">
              <w:rPr>
                <w:rFonts w:eastAsia="Calibri" w:cs="Calibri"/>
              </w:rPr>
              <w:t>крепление уверенности и доверия при использовании ИКТ</w:t>
            </w:r>
          </w:p>
          <w:p w14:paraId="5DB17455" w14:textId="7D6A2C3F" w:rsidR="00536C60" w:rsidRPr="00131A73" w:rsidRDefault="00B01C23">
            <w:pPr>
              <w:pStyle w:val="enumlev1"/>
              <w:rPr>
                <w:rFonts w:cstheme="minorHAnsi"/>
                <w:szCs w:val="24"/>
                <w:shd w:val="clear" w:color="auto" w:fill="FFFFFF"/>
              </w:rPr>
            </w:pPr>
            <w:r w:rsidRPr="00131A73">
              <w:t>−</w:t>
            </w:r>
            <w:r w:rsidR="00536C60" w:rsidRPr="00131A73">
              <w:rPr>
                <w:rFonts w:cstheme="minorHAnsi"/>
              </w:rPr>
              <w:tab/>
            </w:r>
            <w:r w:rsidR="00536C60" w:rsidRPr="00131A73">
              <w:rPr>
                <w:rFonts w:eastAsia="Calibri" w:cs="Calibri"/>
              </w:rPr>
              <w:t xml:space="preserve">В </w:t>
            </w:r>
            <w:r w:rsidR="00A675E5" w:rsidRPr="00131A73">
              <w:rPr>
                <w:rFonts w:eastAsia="Calibri" w:cs="Calibri"/>
              </w:rPr>
              <w:t xml:space="preserve">2021 году МСЭ поддержал организацию ежегодной недели кибербезопасности Молдовы в </w:t>
            </w:r>
            <w:r w:rsidR="00536C60" w:rsidRPr="00131A73">
              <w:rPr>
                <w:rFonts w:eastAsia="Calibri" w:cs="Calibri"/>
              </w:rPr>
              <w:t xml:space="preserve">Кишиневе (Молдова). </w:t>
            </w:r>
            <w:r w:rsidR="00536C60" w:rsidRPr="00131A73">
              <w:t>Конференция</w:t>
            </w:r>
            <w:r w:rsidR="00536C60" w:rsidRPr="00131A73">
              <w:rPr>
                <w:rFonts w:cstheme="minorHAnsi"/>
                <w:szCs w:val="24"/>
                <w:shd w:val="clear" w:color="auto" w:fill="FFFFFF"/>
              </w:rPr>
              <w:t xml:space="preserve"> предоставила возможность для общения и платформу для обмена идеями, обсуждения и совместной работы в целях развития глобальных стратегий и решений в области кибербезопасности на основе инноваций.</w:t>
            </w:r>
            <w:r w:rsidR="00E265CD" w:rsidRPr="00131A73">
              <w:rPr>
                <w:rFonts w:cstheme="minorHAnsi"/>
                <w:szCs w:val="24"/>
                <w:shd w:val="clear" w:color="auto" w:fill="FFFFFF"/>
              </w:rPr>
              <w:t xml:space="preserve"> </w:t>
            </w:r>
            <w:r w:rsidR="00A675E5" w:rsidRPr="00131A73">
              <w:rPr>
                <w:rFonts w:cstheme="minorHAnsi"/>
                <w:szCs w:val="24"/>
                <w:shd w:val="clear" w:color="auto" w:fill="FFFFFF"/>
              </w:rPr>
              <w:t xml:space="preserve">В </w:t>
            </w:r>
            <w:r w:rsidR="00E265CD" w:rsidRPr="00131A73">
              <w:rPr>
                <w:rFonts w:cstheme="minorHAnsi"/>
                <w:szCs w:val="24"/>
                <w:shd w:val="clear" w:color="auto" w:fill="FFFFFF"/>
              </w:rPr>
              <w:t>2020</w:t>
            </w:r>
            <w:r w:rsidR="00A675E5" w:rsidRPr="00131A73">
              <w:rPr>
                <w:rFonts w:cstheme="minorHAnsi"/>
                <w:szCs w:val="24"/>
                <w:shd w:val="clear" w:color="auto" w:fill="FFFFFF"/>
              </w:rPr>
              <w:t xml:space="preserve"> году было организовано дополнительное специальное учебное занятие по </w:t>
            </w:r>
            <w:r w:rsidR="004D4235" w:rsidRPr="00131A73">
              <w:rPr>
                <w:rFonts w:cstheme="minorHAnsi"/>
                <w:szCs w:val="24"/>
                <w:shd w:val="clear" w:color="auto" w:fill="FFFFFF"/>
              </w:rPr>
              <w:t xml:space="preserve">защите </w:t>
            </w:r>
            <w:r w:rsidR="00A675E5" w:rsidRPr="00131A73">
              <w:rPr>
                <w:rFonts w:cstheme="minorHAnsi"/>
                <w:szCs w:val="24"/>
                <w:shd w:val="clear" w:color="auto" w:fill="FFFFFF"/>
              </w:rPr>
              <w:t>важнейшей инфраструктур</w:t>
            </w:r>
            <w:r w:rsidR="004D4235" w:rsidRPr="00131A73">
              <w:rPr>
                <w:rFonts w:cstheme="minorHAnsi"/>
                <w:szCs w:val="24"/>
                <w:shd w:val="clear" w:color="auto" w:fill="FFFFFF"/>
              </w:rPr>
              <w:t>ы</w:t>
            </w:r>
            <w:r w:rsidR="00E265CD" w:rsidRPr="00131A73">
              <w:rPr>
                <w:rFonts w:cstheme="minorHAnsi"/>
                <w:szCs w:val="24"/>
                <w:shd w:val="clear" w:color="auto" w:fill="FFFFFF"/>
              </w:rPr>
              <w:t>.</w:t>
            </w:r>
          </w:p>
          <w:p w14:paraId="776C75F1" w14:textId="74B0AA4A" w:rsidR="00E265CD" w:rsidRPr="00131A73" w:rsidRDefault="00B01C23">
            <w:pPr>
              <w:pStyle w:val="enumlev1"/>
              <w:rPr>
                <w:rFonts w:cstheme="minorHAnsi"/>
                <w:highlight w:val="yellow"/>
              </w:rPr>
            </w:pPr>
            <w:r w:rsidRPr="00131A73">
              <w:t>−</w:t>
            </w:r>
            <w:r w:rsidR="00E265CD" w:rsidRPr="00131A73">
              <w:rPr>
                <w:rFonts w:cstheme="minorHAnsi"/>
              </w:rPr>
              <w:tab/>
            </w:r>
            <w:r w:rsidR="00997F31" w:rsidRPr="00131A73">
              <w:rPr>
                <w:rFonts w:cstheme="minorHAnsi"/>
              </w:rPr>
              <w:t>Конференция "Онлайновая безопасность на Украине</w:t>
            </w:r>
            <w:r w:rsidR="00E265CD" w:rsidRPr="00131A73">
              <w:rPr>
                <w:rFonts w:cstheme="minorHAnsi"/>
              </w:rPr>
              <w:t xml:space="preserve">: </w:t>
            </w:r>
            <w:r w:rsidR="00997F31" w:rsidRPr="00131A73">
              <w:rPr>
                <w:rFonts w:cstheme="minorHAnsi"/>
              </w:rPr>
              <w:t>современные проблемы,</w:t>
            </w:r>
            <w:r w:rsidR="00E265CD" w:rsidRPr="00131A73">
              <w:rPr>
                <w:rFonts w:cstheme="minorHAnsi"/>
              </w:rPr>
              <w:t xml:space="preserve"> 2020</w:t>
            </w:r>
            <w:r w:rsidR="00997F31" w:rsidRPr="00131A73">
              <w:rPr>
                <w:rFonts w:cstheme="minorHAnsi"/>
              </w:rPr>
              <w:t> год" прошла на Украине при участии МСЭ</w:t>
            </w:r>
            <w:r w:rsidR="00E265CD" w:rsidRPr="00131A73">
              <w:rPr>
                <w:rFonts w:cstheme="minorHAnsi"/>
              </w:rPr>
              <w:t xml:space="preserve">. </w:t>
            </w:r>
            <w:r w:rsidR="00997F31" w:rsidRPr="00131A73">
              <w:rPr>
                <w:rFonts w:cstheme="minorHAnsi"/>
              </w:rPr>
              <w:t xml:space="preserve">Конференция предоставила возможность развития человеческого потенциала в области </w:t>
            </w:r>
            <w:r w:rsidR="00E265CD" w:rsidRPr="00131A73">
              <w:rPr>
                <w:rFonts w:cstheme="minorHAnsi"/>
              </w:rPr>
              <w:t xml:space="preserve">COP </w:t>
            </w:r>
            <w:r w:rsidR="00997F31" w:rsidRPr="00131A73">
              <w:rPr>
                <w:rFonts w:cstheme="minorHAnsi"/>
              </w:rPr>
              <w:t>на национальном уровне</w:t>
            </w:r>
            <w:r w:rsidR="00E265CD" w:rsidRPr="00131A73">
              <w:rPr>
                <w:rFonts w:cstheme="minorHAnsi"/>
              </w:rPr>
              <w:t>.</w:t>
            </w:r>
          </w:p>
          <w:p w14:paraId="7BC8BC37" w14:textId="692FAA34" w:rsidR="00536C60" w:rsidRPr="00131A73" w:rsidRDefault="00B01C23">
            <w:pPr>
              <w:pStyle w:val="enumlev1"/>
              <w:rPr>
                <w:rFonts w:cstheme="minorHAnsi"/>
              </w:rPr>
            </w:pPr>
            <w:r w:rsidRPr="00131A73">
              <w:t>−</w:t>
            </w:r>
            <w:r w:rsidR="00536C60" w:rsidRPr="00131A73">
              <w:rPr>
                <w:rFonts w:cstheme="minorHAnsi"/>
              </w:rPr>
              <w:tab/>
            </w:r>
            <w:r w:rsidR="00536C60" w:rsidRPr="00131A73">
              <w:rPr>
                <w:rFonts w:eastAsia="Calibri" w:cstheme="minorHAnsi"/>
              </w:rPr>
              <w:t xml:space="preserve">В </w:t>
            </w:r>
            <w:r w:rsidR="00536C60" w:rsidRPr="00131A73">
              <w:t>Анкаре</w:t>
            </w:r>
            <w:r w:rsidR="00536C60" w:rsidRPr="00131A73">
              <w:rPr>
                <w:rFonts w:eastAsia="Calibri" w:cstheme="minorHAnsi"/>
              </w:rPr>
              <w:t xml:space="preserve"> (Турция) при поддержке МСЭ проведены учения "Киберщит-2019". </w:t>
            </w:r>
            <w:r w:rsidR="00536C60" w:rsidRPr="00131A73">
              <w:rPr>
                <w:rFonts w:cstheme="minorHAnsi"/>
                <w:lang w:eastAsia="en-GB"/>
              </w:rPr>
              <w:t>Мероприятие предоставило уникальную возможность принять участие в многочисленных технических мероприятиях в области кибербезопасности.</w:t>
            </w:r>
            <w:r w:rsidR="00536C60" w:rsidRPr="00131A73">
              <w:rPr>
                <w:rFonts w:cstheme="minorHAnsi"/>
                <w:bdr w:val="none" w:sz="0" w:space="0" w:color="auto" w:frame="1"/>
                <w:lang w:eastAsia="en-GB"/>
              </w:rPr>
              <w:t xml:space="preserve"> </w:t>
            </w:r>
            <w:r w:rsidR="00536C60" w:rsidRPr="00131A73">
              <w:rPr>
                <w:rFonts w:cstheme="minorHAnsi"/>
                <w:lang w:eastAsia="en-GB"/>
              </w:rPr>
              <w:t xml:space="preserve">Основными задачами были расширение возможностей по реагированию на инциденты и повышение уровня готовности, улучшение взаимопонимания в отношении киберрисков и их последствий, а также обеспечение непрерывной совместной деятельности международных заинтересованных сторон в области кибербезопасности, особенно национальных групп реагирования на нарушение компьютерной защиты (CERT), в целях </w:t>
            </w:r>
            <w:r w:rsidR="004D4235" w:rsidRPr="00131A73">
              <w:rPr>
                <w:rFonts w:cstheme="minorHAnsi"/>
                <w:lang w:eastAsia="en-GB"/>
              </w:rPr>
              <w:t>смягчения последствий</w:t>
            </w:r>
            <w:r w:rsidR="00536C60" w:rsidRPr="00131A73">
              <w:rPr>
                <w:rFonts w:cstheme="minorHAnsi"/>
                <w:lang w:eastAsia="en-GB"/>
              </w:rPr>
              <w:t xml:space="preserve"> киберугроз.</w:t>
            </w:r>
          </w:p>
          <w:p w14:paraId="5EE973ED" w14:textId="1F64C04E" w:rsidR="00536C60" w:rsidRPr="00131A73" w:rsidRDefault="00B01C23">
            <w:pPr>
              <w:pStyle w:val="enumlev1"/>
              <w:rPr>
                <w:rFonts w:eastAsia="Calibri" w:cs="Calibri"/>
                <w:sz w:val="22"/>
                <w:szCs w:val="22"/>
              </w:rPr>
            </w:pPr>
            <w:r w:rsidRPr="00131A73">
              <w:t>−</w:t>
            </w:r>
            <w:r w:rsidR="00536C60" w:rsidRPr="00131A73">
              <w:rPr>
                <w:rFonts w:cstheme="minorHAnsi"/>
              </w:rPr>
              <w:tab/>
            </w:r>
            <w:r w:rsidR="00997F31" w:rsidRPr="00131A73">
              <w:rPr>
                <w:rFonts w:cstheme="minorHAnsi"/>
              </w:rPr>
              <w:t>Был д</w:t>
            </w:r>
            <w:r w:rsidR="00536C60" w:rsidRPr="00131A73">
              <w:rPr>
                <w:rFonts w:eastAsia="Calibri" w:cstheme="minorHAnsi"/>
                <w:szCs w:val="22"/>
              </w:rPr>
              <w:t xml:space="preserve">остигнут прогресс в области защиты </w:t>
            </w:r>
            <w:r w:rsidR="004D4235" w:rsidRPr="00131A73">
              <w:rPr>
                <w:rFonts w:eastAsia="Calibri" w:cstheme="minorHAnsi"/>
                <w:szCs w:val="22"/>
              </w:rPr>
              <w:t>ребенка</w:t>
            </w:r>
            <w:r w:rsidR="00536C60" w:rsidRPr="00131A73">
              <w:rPr>
                <w:rFonts w:eastAsia="Calibri" w:cstheme="minorHAnsi"/>
                <w:szCs w:val="22"/>
              </w:rPr>
              <w:t xml:space="preserve"> в онлайновой среде: в Варшаве (Польша) была организована международная европейская конференция по обеспечению безопасности детей и </w:t>
            </w:r>
            <w:r w:rsidR="00536C60" w:rsidRPr="00131A73">
              <w:rPr>
                <w:rFonts w:eastAsia="Calibri" w:cstheme="minorHAnsi"/>
                <w:szCs w:val="22"/>
              </w:rPr>
              <w:lastRenderedPageBreak/>
              <w:t xml:space="preserve">молодежи в онлайновой среде. </w:t>
            </w:r>
            <w:r w:rsidR="00335150" w:rsidRPr="00131A73">
              <w:rPr>
                <w:rFonts w:eastAsia="Calibri" w:cstheme="minorHAnsi"/>
                <w:szCs w:val="22"/>
              </w:rPr>
              <w:t xml:space="preserve">Региональный форум для Европы по </w:t>
            </w:r>
            <w:r w:rsidR="00335150" w:rsidRPr="00131A73">
              <w:t>защите ребенка в онлайновой среде был проведен в 2020 году (принимающей стороной была Академия ОНАС, Украина</w:t>
            </w:r>
            <w:r w:rsidR="00E265CD" w:rsidRPr="00131A73">
              <w:rPr>
                <w:rFonts w:eastAsia="Calibri" w:cstheme="minorHAnsi"/>
                <w:szCs w:val="22"/>
              </w:rPr>
              <w:t xml:space="preserve">) </w:t>
            </w:r>
            <w:r w:rsidR="00335150" w:rsidRPr="00131A73">
              <w:rPr>
                <w:rFonts w:eastAsia="Calibri" w:cstheme="minorHAnsi"/>
                <w:szCs w:val="22"/>
              </w:rPr>
              <w:t xml:space="preserve">для содействия сотрудничеству и расширению применения Руководящих указаний по </w:t>
            </w:r>
            <w:r w:rsidR="00E265CD" w:rsidRPr="00131A73">
              <w:rPr>
                <w:rFonts w:eastAsia="Calibri" w:cstheme="minorHAnsi"/>
                <w:szCs w:val="22"/>
              </w:rPr>
              <w:t xml:space="preserve">COP </w:t>
            </w:r>
            <w:r w:rsidR="00335150" w:rsidRPr="00131A73">
              <w:rPr>
                <w:rFonts w:eastAsia="Calibri" w:cstheme="minorHAnsi"/>
                <w:szCs w:val="22"/>
              </w:rPr>
              <w:t>в Европе</w:t>
            </w:r>
            <w:r w:rsidR="00E265CD" w:rsidRPr="00131A73">
              <w:rPr>
                <w:rFonts w:eastAsia="Calibri" w:cstheme="minorHAnsi"/>
                <w:szCs w:val="22"/>
              </w:rPr>
              <w:t xml:space="preserve">. </w:t>
            </w:r>
            <w:r w:rsidR="00536C60" w:rsidRPr="00131A73">
              <w:rPr>
                <w:rFonts w:eastAsia="Calibri" w:cstheme="minorHAnsi"/>
                <w:szCs w:val="22"/>
              </w:rPr>
              <w:t>Подготовлено к ознакомлению и открыто для консультаций со странами региональное исследование по национальным подходам к обеспечению безопасности молодежи и детей в онлайновой среде. Грузии и Украине оказана помощь в разработке национальных стратегий защиты детей в онлайновой среде.</w:t>
            </w:r>
            <w:r w:rsidR="00536C60" w:rsidRPr="00131A73">
              <w:rPr>
                <w:rFonts w:eastAsia="Calibri" w:cs="Calibri"/>
                <w:szCs w:val="22"/>
              </w:rPr>
              <w:t xml:space="preserve"> </w:t>
            </w:r>
            <w:r w:rsidR="00293568" w:rsidRPr="00131A73">
              <w:rPr>
                <w:rFonts w:eastAsia="Calibri" w:cs="Calibri"/>
                <w:szCs w:val="22"/>
              </w:rPr>
              <w:t xml:space="preserve">В Молдове был проведен стратегический обзор национальной оценке по </w:t>
            </w:r>
            <w:r w:rsidR="00E265CD" w:rsidRPr="00131A73">
              <w:rPr>
                <w:rFonts w:eastAsia="Calibri" w:cs="Calibri"/>
                <w:szCs w:val="22"/>
              </w:rPr>
              <w:t xml:space="preserve">COP. </w:t>
            </w:r>
            <w:r w:rsidR="00AB6249" w:rsidRPr="00131A73">
              <w:rPr>
                <w:rFonts w:eastAsia="Calibri" w:cs="Calibri"/>
                <w:szCs w:val="22"/>
              </w:rPr>
              <w:t>Более 16 стран активно участвовали в распространении Руководящих указаний по</w:t>
            </w:r>
            <w:r w:rsidR="00CC1874" w:rsidRPr="00131A73">
              <w:rPr>
                <w:rFonts w:eastAsia="Calibri" w:cs="Calibri"/>
                <w:szCs w:val="22"/>
              </w:rPr>
              <w:t xml:space="preserve"> </w:t>
            </w:r>
            <w:r w:rsidR="00E265CD" w:rsidRPr="00131A73">
              <w:rPr>
                <w:rFonts w:eastAsia="Calibri" w:cs="Calibri"/>
                <w:szCs w:val="22"/>
              </w:rPr>
              <w:t xml:space="preserve">COP, </w:t>
            </w:r>
            <w:r w:rsidR="00AB6249" w:rsidRPr="00131A73">
              <w:rPr>
                <w:rFonts w:eastAsia="Calibri" w:cs="Calibri"/>
                <w:szCs w:val="22"/>
              </w:rPr>
              <w:t xml:space="preserve">и Руководящие указания по </w:t>
            </w:r>
            <w:r w:rsidR="00E265CD" w:rsidRPr="00131A73">
              <w:rPr>
                <w:rFonts w:eastAsia="Calibri" w:cs="Calibri"/>
                <w:szCs w:val="22"/>
              </w:rPr>
              <w:t xml:space="preserve">COP </w:t>
            </w:r>
            <w:r w:rsidR="00AB6249" w:rsidRPr="00131A73">
              <w:rPr>
                <w:rFonts w:eastAsia="Calibri" w:cs="Calibri"/>
                <w:szCs w:val="22"/>
              </w:rPr>
              <w:t>имеются более чем на 10 европейских языках</w:t>
            </w:r>
            <w:r w:rsidR="00E265CD" w:rsidRPr="00131A73">
              <w:rPr>
                <w:rFonts w:eastAsia="Calibri" w:cs="Calibri"/>
                <w:szCs w:val="22"/>
              </w:rPr>
              <w:t>.</w:t>
            </w:r>
          </w:p>
          <w:p w14:paraId="3D11454E" w14:textId="0143B0EE" w:rsidR="00536C60" w:rsidRPr="00131A73" w:rsidRDefault="00536C60">
            <w:pPr>
              <w:rPr>
                <w:rFonts w:eastAsia="Calibri" w:cs="Calibri"/>
              </w:rPr>
            </w:pPr>
            <w:r w:rsidRPr="00131A73">
              <w:rPr>
                <w:rFonts w:eastAsia="Calibri" w:cs="Calibri"/>
                <w:szCs w:val="22"/>
              </w:rPr>
              <w:t>Азиатско-Тихоокеанский регион</w:t>
            </w:r>
            <w:r w:rsidRPr="00131A73">
              <w:rPr>
                <w:rFonts w:eastAsia="Calibri" w:cs="Calibri"/>
              </w:rPr>
              <w:t xml:space="preserve">: </w:t>
            </w:r>
            <w:r w:rsidR="004D4235" w:rsidRPr="00131A73">
              <w:rPr>
                <w:rFonts w:eastAsia="Calibri" w:cs="Calibri"/>
              </w:rPr>
              <w:t>с</w:t>
            </w:r>
            <w:r w:rsidRPr="00131A73">
              <w:rPr>
                <w:rFonts w:eastAsia="Calibri" w:cs="Calibri"/>
              </w:rPr>
              <w:t>одействие созданию защищенной и способной к восстановлению среды</w:t>
            </w:r>
          </w:p>
          <w:p w14:paraId="5A9CA4FD" w14:textId="5CF02D91" w:rsidR="00536C60" w:rsidRPr="00131A73" w:rsidRDefault="00B01C23">
            <w:pPr>
              <w:pStyle w:val="enumlev1"/>
              <w:rPr>
                <w:rFonts w:eastAsia="Calibri" w:cstheme="minorHAnsi"/>
                <w:szCs w:val="22"/>
              </w:rPr>
            </w:pPr>
            <w:r w:rsidRPr="00131A73">
              <w:t>−</w:t>
            </w:r>
            <w:r w:rsidR="00536C60" w:rsidRPr="00131A73">
              <w:rPr>
                <w:rFonts w:eastAsia="Calibri"/>
                <w:szCs w:val="22"/>
              </w:rPr>
              <w:tab/>
            </w:r>
            <w:r w:rsidR="00536C60" w:rsidRPr="00131A73">
              <w:rPr>
                <w:rFonts w:eastAsia="Calibri" w:cstheme="minorHAnsi"/>
                <w:szCs w:val="22"/>
              </w:rPr>
              <w:t xml:space="preserve">В рамках проекта, инициированного при поддержке Министерства инфраструктуры, транспорта, регионального развития и связи Австралии, была оказана специализированная помощь по оценке CIRT и формированию навыков таким странам, как Папуа-Новая Гвинея, Самоа, Тонга и Вануату. </w:t>
            </w:r>
          </w:p>
          <w:p w14:paraId="46726E14" w14:textId="74B6FB28" w:rsidR="00536C60" w:rsidRPr="00131A73" w:rsidRDefault="00B01C23">
            <w:pPr>
              <w:pStyle w:val="enumlev1"/>
              <w:rPr>
                <w:rFonts w:eastAsia="Calibri" w:cstheme="minorHAnsi"/>
                <w:szCs w:val="22"/>
              </w:rPr>
            </w:pPr>
            <w:r w:rsidRPr="00131A73">
              <w:t>−</w:t>
            </w:r>
            <w:r w:rsidR="00536C60" w:rsidRPr="00131A73">
              <w:rPr>
                <w:rFonts w:eastAsia="Calibri"/>
                <w:szCs w:val="22"/>
              </w:rPr>
              <w:tab/>
            </w:r>
            <w:r w:rsidR="00536C60" w:rsidRPr="00131A73">
              <w:rPr>
                <w:rFonts w:eastAsia="Calibri" w:cstheme="minorHAnsi"/>
                <w:szCs w:val="22"/>
              </w:rPr>
              <w:t>МСЭ оказал поддержку Кирибати и Соломоновым Островам в укреплении их стратегических рамок в области кибербезопасности, включая проведение настольных учений по созданию потенциала в области разработки и совершенствования национальных стратегий кибербезопасности. За</w:t>
            </w:r>
            <w:r w:rsidR="00F376CB" w:rsidRPr="00131A73">
              <w:rPr>
                <w:rFonts w:eastAsia="Calibri" w:cstheme="minorHAnsi"/>
                <w:szCs w:val="22"/>
              </w:rPr>
              <w:t> </w:t>
            </w:r>
            <w:r w:rsidR="00536C60" w:rsidRPr="00131A73">
              <w:rPr>
                <w:rFonts w:eastAsia="Calibri" w:cstheme="minorHAnsi"/>
                <w:szCs w:val="22"/>
              </w:rPr>
              <w:t>2019</w:t>
            </w:r>
            <w:r w:rsidR="00F376CB" w:rsidRPr="00131A73">
              <w:rPr>
                <w:rFonts w:eastAsia="Calibri" w:cstheme="minorHAnsi"/>
                <w:szCs w:val="22"/>
              </w:rPr>
              <w:t>−</w:t>
            </w:r>
            <w:r w:rsidR="00536C60" w:rsidRPr="00131A73">
              <w:rPr>
                <w:rFonts w:eastAsia="Calibri" w:cstheme="minorHAnsi"/>
                <w:szCs w:val="22"/>
              </w:rPr>
              <w:t xml:space="preserve">2020 годы более 550 участников повысили свой уровень осведомленности и приобрели навыки в области сохранения </w:t>
            </w:r>
            <w:r w:rsidR="0033434B" w:rsidRPr="00131A73">
              <w:rPr>
                <w:rFonts w:eastAsia="Calibri" w:cstheme="minorHAnsi"/>
                <w:szCs w:val="22"/>
              </w:rPr>
              <w:t>важнейшей</w:t>
            </w:r>
            <w:r w:rsidR="00536C60" w:rsidRPr="00131A73">
              <w:rPr>
                <w:rFonts w:eastAsia="Calibri" w:cstheme="minorHAnsi"/>
                <w:szCs w:val="22"/>
              </w:rPr>
              <w:t xml:space="preserve"> национальной инфраструктуры</w:t>
            </w:r>
            <w:r w:rsidR="0033434B" w:rsidRPr="00131A73">
              <w:rPr>
                <w:rFonts w:eastAsia="Calibri" w:cstheme="minorHAnsi"/>
                <w:szCs w:val="22"/>
              </w:rPr>
              <w:t xml:space="preserve"> </w:t>
            </w:r>
            <w:r w:rsidR="0033434B" w:rsidRPr="00131A73">
              <w:t>(CNI)</w:t>
            </w:r>
            <w:r w:rsidR="00536C60" w:rsidRPr="00131A73">
              <w:rPr>
                <w:rFonts w:eastAsia="Calibri" w:cstheme="minorHAnsi"/>
                <w:szCs w:val="22"/>
              </w:rPr>
              <w:t xml:space="preserve">, защиты </w:t>
            </w:r>
            <w:r w:rsidR="0033434B" w:rsidRPr="00131A73">
              <w:rPr>
                <w:rFonts w:eastAsia="Calibri" w:cstheme="minorHAnsi"/>
                <w:szCs w:val="22"/>
              </w:rPr>
              <w:t>важнейшей</w:t>
            </w:r>
            <w:r w:rsidR="00536C60" w:rsidRPr="00131A73">
              <w:rPr>
                <w:rFonts w:eastAsia="Calibri" w:cstheme="minorHAnsi"/>
                <w:szCs w:val="22"/>
              </w:rPr>
              <w:t xml:space="preserve"> информации и проведения тренировочных занятий по кибербезопасности; более 250 участников улучшили свои навыки в вопросах безопасности благодаря ЦПМ МСЭ для стран Азиатско-Тихоокеанского региона.</w:t>
            </w:r>
          </w:p>
          <w:p w14:paraId="2EF5CBE2" w14:textId="433051DF" w:rsidR="00536C60" w:rsidRPr="00131A73" w:rsidRDefault="00B01C23">
            <w:pPr>
              <w:pStyle w:val="enumlev1"/>
              <w:rPr>
                <w:rFonts w:eastAsia="Calibri" w:cstheme="minorHAnsi"/>
                <w:szCs w:val="22"/>
              </w:rPr>
            </w:pPr>
            <w:r w:rsidRPr="00131A73">
              <w:t>−</w:t>
            </w:r>
            <w:r w:rsidR="00536C60" w:rsidRPr="00131A73">
              <w:rPr>
                <w:rFonts w:eastAsia="Calibri"/>
                <w:szCs w:val="22"/>
              </w:rPr>
              <w:tab/>
            </w:r>
            <w:r w:rsidR="00536C60" w:rsidRPr="00131A73">
              <w:rPr>
                <w:rFonts w:eastAsia="Calibri" w:cstheme="minorHAnsi"/>
                <w:szCs w:val="22"/>
              </w:rPr>
              <w:t>Был проведен обзор Национальной стратегии кибербезопасности Фиджи.</w:t>
            </w:r>
          </w:p>
          <w:p w14:paraId="269B760B" w14:textId="3415F246" w:rsidR="00536C60" w:rsidRPr="00131A73" w:rsidRDefault="00B01C23">
            <w:pPr>
              <w:pStyle w:val="enumlev1"/>
              <w:rPr>
                <w:rFonts w:eastAsia="Calibri" w:cs="Calibri"/>
              </w:rPr>
            </w:pPr>
            <w:r w:rsidRPr="00131A73">
              <w:rPr>
                <w:rFonts w:eastAsia="Calibri" w:cstheme="minorHAnsi"/>
                <w:szCs w:val="22"/>
              </w:rPr>
              <w:t>−</w:t>
            </w:r>
            <w:r w:rsidR="00536C60" w:rsidRPr="00131A73">
              <w:rPr>
                <w:rFonts w:eastAsia="Calibri" w:cstheme="minorHAnsi"/>
                <w:szCs w:val="22"/>
              </w:rPr>
              <w:tab/>
            </w:r>
            <w:r w:rsidR="0033434B" w:rsidRPr="00131A73">
              <w:rPr>
                <w:rFonts w:eastAsia="Calibri" w:cstheme="minorHAnsi"/>
                <w:szCs w:val="22"/>
              </w:rPr>
              <w:t xml:space="preserve">В декабре 2020 года </w:t>
            </w:r>
            <w:r w:rsidR="00536C60" w:rsidRPr="00131A73">
              <w:rPr>
                <w:rFonts w:eastAsia="Calibri" w:cs="Calibri"/>
              </w:rPr>
              <w:t>МСЭ организовал Тихоокеанское тренировочное занятие по кибербезопасности, ориентированное на СИДС.</w:t>
            </w:r>
          </w:p>
          <w:p w14:paraId="34380A9B" w14:textId="77777777" w:rsidR="00E265CD" w:rsidRPr="00131A73" w:rsidRDefault="00536C60">
            <w:pPr>
              <w:rPr>
                <w:rFonts w:eastAsia="Calibri" w:cs="Calibri"/>
              </w:rPr>
            </w:pPr>
            <w:r w:rsidRPr="00131A73">
              <w:t>Регион СНГ</w:t>
            </w:r>
            <w:r w:rsidRPr="00131A73">
              <w:rPr>
                <w:rFonts w:eastAsia="Calibri" w:cs="Calibri"/>
              </w:rPr>
              <w:t xml:space="preserve">: </w:t>
            </w:r>
          </w:p>
          <w:p w14:paraId="350C4EC7" w14:textId="1035A7AE" w:rsidR="00536C60" w:rsidRPr="00131A73" w:rsidRDefault="00B01C23" w:rsidP="00E265CD">
            <w:pPr>
              <w:pStyle w:val="enumlev1"/>
              <w:rPr>
                <w:rFonts w:eastAsia="Calibri" w:cs="Calibri"/>
              </w:rPr>
            </w:pPr>
            <w:r w:rsidRPr="00131A73">
              <w:rPr>
                <w:rFonts w:eastAsia="Calibri" w:cstheme="minorHAnsi"/>
                <w:szCs w:val="22"/>
              </w:rPr>
              <w:t>−</w:t>
            </w:r>
            <w:r w:rsidR="00E265CD" w:rsidRPr="00131A73">
              <w:rPr>
                <w:rFonts w:eastAsia="Calibri" w:cstheme="minorHAnsi"/>
                <w:szCs w:val="22"/>
              </w:rPr>
              <w:tab/>
            </w:r>
            <w:r w:rsidR="00794556" w:rsidRPr="00131A73">
              <w:rPr>
                <w:rFonts w:eastAsia="Calibri" w:cstheme="minorHAnsi"/>
                <w:szCs w:val="22"/>
              </w:rPr>
              <w:t>МСЭ способствовал р</w:t>
            </w:r>
            <w:r w:rsidR="00536C60" w:rsidRPr="00131A73">
              <w:rPr>
                <w:rFonts w:eastAsia="Calibri" w:cs="Calibri"/>
              </w:rPr>
              <w:t>азвити</w:t>
            </w:r>
            <w:r w:rsidR="00794556" w:rsidRPr="00131A73">
              <w:rPr>
                <w:rFonts w:eastAsia="Calibri" w:cs="Calibri"/>
              </w:rPr>
              <w:t>ю</w:t>
            </w:r>
            <w:r w:rsidR="00536C60" w:rsidRPr="00131A73">
              <w:rPr>
                <w:rFonts w:eastAsia="Calibri" w:cs="Calibri"/>
              </w:rPr>
              <w:t xml:space="preserve"> и регулировани</w:t>
            </w:r>
            <w:r w:rsidR="00794556" w:rsidRPr="00131A73">
              <w:rPr>
                <w:rFonts w:eastAsia="Calibri" w:cs="Calibri"/>
              </w:rPr>
              <w:t>ю</w:t>
            </w:r>
            <w:r w:rsidR="00536C60" w:rsidRPr="00131A73">
              <w:rPr>
                <w:rFonts w:eastAsia="Calibri" w:cs="Calibri"/>
              </w:rPr>
              <w:t xml:space="preserve"> инфокоммуникационной инфраструктуры для обеспечения открытости, безопасности и жизнестойкости городов и населенных пунктов</w:t>
            </w:r>
            <w:r w:rsidR="009A1ECD" w:rsidRPr="00131A73">
              <w:rPr>
                <w:rFonts w:eastAsia="Calibri" w:cs="Calibri"/>
              </w:rPr>
              <w:t>.</w:t>
            </w:r>
          </w:p>
          <w:p w14:paraId="3436E669" w14:textId="2C7EB6E8" w:rsidR="00536C60" w:rsidRPr="00131A73" w:rsidRDefault="00B01C23">
            <w:pPr>
              <w:pStyle w:val="enumlev1"/>
              <w:rPr>
                <w:rFonts w:eastAsia="Calibri" w:cstheme="minorHAnsi"/>
                <w:szCs w:val="22"/>
              </w:rPr>
            </w:pPr>
            <w:r w:rsidRPr="00131A73">
              <w:t>−</w:t>
            </w:r>
            <w:r w:rsidR="00536C60" w:rsidRPr="00131A73">
              <w:rPr>
                <w:rFonts w:eastAsia="Calibri"/>
                <w:szCs w:val="22"/>
              </w:rPr>
              <w:tab/>
            </w:r>
            <w:r w:rsidR="00536C60" w:rsidRPr="00131A73">
              <w:rPr>
                <w:rFonts w:eastAsia="Calibri" w:cstheme="minorHAnsi"/>
                <w:szCs w:val="22"/>
              </w:rPr>
              <w:t>МСЭ провел оценку CIRT в Кыргызстане и работает над проектом по созданию CIRT в стране.</w:t>
            </w:r>
          </w:p>
          <w:p w14:paraId="393213E0" w14:textId="52BE0228" w:rsidR="00536C60" w:rsidRPr="00131A73" w:rsidRDefault="00B01C23">
            <w:pPr>
              <w:pStyle w:val="enumlev1"/>
              <w:rPr>
                <w:rFonts w:eastAsia="Calibri" w:cstheme="minorHAnsi"/>
                <w:szCs w:val="22"/>
              </w:rPr>
            </w:pPr>
            <w:r w:rsidRPr="00131A73">
              <w:t>−</w:t>
            </w:r>
            <w:r w:rsidR="00536C60" w:rsidRPr="00131A73">
              <w:rPr>
                <w:rFonts w:eastAsia="Calibri"/>
                <w:szCs w:val="22"/>
              </w:rPr>
              <w:tab/>
            </w:r>
            <w:r w:rsidR="00794556" w:rsidRPr="00131A73">
              <w:rPr>
                <w:rFonts w:eastAsia="Calibri" w:cstheme="minorHAnsi"/>
                <w:szCs w:val="22"/>
              </w:rPr>
              <w:t>МСЭ провел ряд</w:t>
            </w:r>
            <w:r w:rsidR="00536C60" w:rsidRPr="00131A73">
              <w:rPr>
                <w:rFonts w:eastAsia="Calibri" w:cstheme="minorHAnsi"/>
                <w:szCs w:val="22"/>
              </w:rPr>
              <w:t xml:space="preserve"> региональны</w:t>
            </w:r>
            <w:r w:rsidR="00794556" w:rsidRPr="00131A73">
              <w:rPr>
                <w:rFonts w:eastAsia="Calibri" w:cstheme="minorHAnsi"/>
                <w:szCs w:val="22"/>
              </w:rPr>
              <w:t>х</w:t>
            </w:r>
            <w:r w:rsidR="00536C60" w:rsidRPr="00131A73">
              <w:rPr>
                <w:rFonts w:eastAsia="Calibri" w:cstheme="minorHAnsi"/>
                <w:szCs w:val="22"/>
              </w:rPr>
              <w:t xml:space="preserve"> и межрегиональны</w:t>
            </w:r>
            <w:r w:rsidR="00794556" w:rsidRPr="00131A73">
              <w:rPr>
                <w:rFonts w:eastAsia="Calibri" w:cstheme="minorHAnsi"/>
                <w:szCs w:val="22"/>
              </w:rPr>
              <w:t>х</w:t>
            </w:r>
            <w:r w:rsidR="00536C60" w:rsidRPr="00131A73">
              <w:rPr>
                <w:rFonts w:eastAsia="Calibri" w:cstheme="minorHAnsi"/>
                <w:szCs w:val="22"/>
              </w:rPr>
              <w:t xml:space="preserve"> тренировочны</w:t>
            </w:r>
            <w:r w:rsidR="00794556" w:rsidRPr="00131A73">
              <w:rPr>
                <w:rFonts w:eastAsia="Calibri" w:cstheme="minorHAnsi"/>
                <w:szCs w:val="22"/>
              </w:rPr>
              <w:t>х</w:t>
            </w:r>
            <w:r w:rsidR="00536C60" w:rsidRPr="00131A73">
              <w:rPr>
                <w:rFonts w:eastAsia="Calibri" w:cstheme="minorHAnsi"/>
                <w:szCs w:val="22"/>
              </w:rPr>
              <w:t xml:space="preserve"> заняти</w:t>
            </w:r>
            <w:r w:rsidR="00794556" w:rsidRPr="00131A73">
              <w:rPr>
                <w:rFonts w:eastAsia="Calibri" w:cstheme="minorHAnsi"/>
                <w:szCs w:val="22"/>
              </w:rPr>
              <w:t>й</w:t>
            </w:r>
            <w:r w:rsidR="00536C60" w:rsidRPr="00131A73">
              <w:rPr>
                <w:rFonts w:eastAsia="Calibri" w:cstheme="minorHAnsi"/>
                <w:szCs w:val="22"/>
              </w:rPr>
              <w:t xml:space="preserve"> по кибербезопасности, в каждом из которых приняло участие от 200 до 300 человек. В 2017 году тренировочное занятие по кибербезопасности состоялось в Молдове, в 2018 году – в</w:t>
            </w:r>
            <w:r w:rsidR="00F376CB" w:rsidRPr="00131A73">
              <w:rPr>
                <w:rFonts w:eastAsia="Calibri" w:cstheme="minorHAnsi"/>
                <w:szCs w:val="22"/>
              </w:rPr>
              <w:t> </w:t>
            </w:r>
            <w:r w:rsidR="00536C60" w:rsidRPr="00131A73">
              <w:rPr>
                <w:rFonts w:eastAsia="Calibri" w:cstheme="minorHAnsi"/>
                <w:szCs w:val="22"/>
              </w:rPr>
              <w:t>Азербайджане, в 2019 году – в Малайзии.</w:t>
            </w:r>
          </w:p>
          <w:p w14:paraId="51314806" w14:textId="7BA7016B" w:rsidR="00536C60" w:rsidRPr="00131A73" w:rsidRDefault="00B01C23">
            <w:pPr>
              <w:pStyle w:val="enumlev1"/>
              <w:rPr>
                <w:rFonts w:eastAsia="Calibri" w:cstheme="minorHAnsi"/>
                <w:szCs w:val="22"/>
              </w:rPr>
            </w:pPr>
            <w:r w:rsidRPr="00131A73">
              <w:t>−</w:t>
            </w:r>
            <w:r w:rsidR="00536C60" w:rsidRPr="00131A73">
              <w:rPr>
                <w:rFonts w:eastAsia="Calibri"/>
                <w:szCs w:val="22"/>
              </w:rPr>
              <w:tab/>
            </w:r>
            <w:r w:rsidR="00536C60" w:rsidRPr="00131A73">
              <w:rPr>
                <w:rFonts w:eastAsia="Calibri" w:cstheme="minorHAnsi"/>
                <w:szCs w:val="22"/>
              </w:rPr>
              <w:t>Были установлены важные партнерские отношения в области кибербезопасности с рядом организаций, таких как ОБСЕ и Всемирный банк.</w:t>
            </w:r>
          </w:p>
          <w:p w14:paraId="6AA4EB3D" w14:textId="65477337" w:rsidR="00536C60" w:rsidRPr="00131A73" w:rsidRDefault="00B01C23">
            <w:pPr>
              <w:pStyle w:val="enumlev1"/>
              <w:spacing w:after="120"/>
              <w:rPr>
                <w:rFonts w:eastAsia="Calibri" w:cs="Calibri"/>
                <w:szCs w:val="22"/>
              </w:rPr>
            </w:pPr>
            <w:r w:rsidRPr="00131A73">
              <w:t>−</w:t>
            </w:r>
            <w:r w:rsidR="00536C60" w:rsidRPr="00131A73">
              <w:rPr>
                <w:rFonts w:eastAsia="Calibri"/>
                <w:szCs w:val="22"/>
              </w:rPr>
              <w:tab/>
            </w:r>
            <w:r w:rsidR="00536C60" w:rsidRPr="00131A73">
              <w:t xml:space="preserve">В большинстве стран региона </w:t>
            </w:r>
            <w:r w:rsidR="00794556" w:rsidRPr="00131A73">
              <w:t xml:space="preserve">важным приоритетом был </w:t>
            </w:r>
            <w:r w:rsidR="00536C60" w:rsidRPr="00131A73">
              <w:t xml:space="preserve">GCI, в связи с чем МСЭ предоставлял необходимые рекомендации </w:t>
            </w:r>
            <w:r w:rsidR="00633E65" w:rsidRPr="00131A73">
              <w:t xml:space="preserve">по этому предмету </w:t>
            </w:r>
            <w:r w:rsidR="00536C60" w:rsidRPr="00131A73">
              <w:t>Казахстану, Кыргызстану и Узбекистану.</w:t>
            </w:r>
          </w:p>
        </w:tc>
      </w:tr>
    </w:tbl>
    <w:p w14:paraId="0B29331A" w14:textId="77777777" w:rsidR="00536C60" w:rsidRPr="00131A73" w:rsidRDefault="00536C60" w:rsidP="00A75177">
      <w:pPr>
        <w:spacing w:before="0"/>
        <w:rPr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29"/>
      </w:tblGrid>
      <w:tr w:rsidR="00536C60" w:rsidRPr="00131A73" w14:paraId="53FDAA9C" w14:textId="77777777" w:rsidTr="00536C60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246B" w14:textId="77777777" w:rsidR="00536C60" w:rsidRPr="00131A73" w:rsidRDefault="00536C60">
            <w:pPr>
              <w:shd w:val="clear" w:color="auto" w:fill="FFFFFF"/>
              <w:rPr>
                <w:b/>
                <w:bCs/>
                <w:sz w:val="22"/>
              </w:rPr>
            </w:pPr>
            <w:r w:rsidRPr="00131A73">
              <w:rPr>
                <w:b/>
                <w:bCs/>
                <w:sz w:val="22"/>
              </w:rPr>
              <w:t>ИССЛЕДОВАТЕЛЬСКИЕ КОМИССИИ</w:t>
            </w:r>
          </w:p>
          <w:p w14:paraId="2273EAA6" w14:textId="17C5E6DC" w:rsidR="00536C60" w:rsidRPr="00131A73" w:rsidRDefault="00536C60">
            <w:pPr>
              <w:shd w:val="clear" w:color="auto" w:fill="FFFFFF"/>
              <w:overflowPunct/>
              <w:autoSpaceDE/>
              <w:adjustRightInd/>
              <w:spacing w:after="120"/>
              <w:rPr>
                <w:rFonts w:cstheme="minorHAnsi"/>
                <w:sz w:val="22"/>
              </w:rPr>
            </w:pPr>
            <w:r w:rsidRPr="00131A73">
              <w:t xml:space="preserve">В октябре 2018 года был проведен </w:t>
            </w:r>
            <w:hyperlink r:id="rId48" w:history="1">
              <w:r w:rsidR="005117C9" w:rsidRPr="00131A73">
                <w:rPr>
                  <w:rStyle w:val="Hyperlink"/>
                  <w:szCs w:val="22"/>
                </w:rPr>
                <w:t xml:space="preserve">семинар-практикум по </w:t>
              </w:r>
              <w:r w:rsidR="00A2576E" w:rsidRPr="00131A73">
                <w:rPr>
                  <w:rStyle w:val="Hyperlink"/>
                  <w:szCs w:val="22"/>
                </w:rPr>
                <w:t>возникающим</w:t>
              </w:r>
              <w:r w:rsidR="005117C9" w:rsidRPr="00131A73">
                <w:rPr>
                  <w:rStyle w:val="Hyperlink"/>
                  <w:szCs w:val="22"/>
                </w:rPr>
                <w:t xml:space="preserve"> проблемам кибербезопасности</w:t>
              </w:r>
            </w:hyperlink>
            <w:r w:rsidRPr="00131A73">
              <w:rPr>
                <w:szCs w:val="22"/>
              </w:rPr>
              <w:t xml:space="preserve"> в рамках Вопроса 3/2 2-й Исследовательской комиссии МСЭ-D (</w:t>
            </w:r>
            <w:r w:rsidRPr="00131A73">
              <w:rPr>
                <w:i/>
                <w:iCs/>
                <w:szCs w:val="22"/>
              </w:rPr>
              <w:t>Защищенность сетей информации и связи: передовой опыт по созданию культуры кибербезопасности</w:t>
            </w:r>
            <w:r w:rsidRPr="00131A73">
              <w:rPr>
                <w:szCs w:val="22"/>
              </w:rPr>
              <w:t>). Участники мероприятия обменялись обновленной информацией о тенденциях в области кибербезопасности, рассмотрели новые элементы, которые следует отразить в соответствующих стратегиях и политических мерах, а также обсудили механизмы взаимодействия заинтересованных сторон в целях эффективного содействия их осуществлению.</w:t>
            </w:r>
          </w:p>
        </w:tc>
      </w:tr>
    </w:tbl>
    <w:p w14:paraId="45870760" w14:textId="77777777" w:rsidR="00536C60" w:rsidRPr="00131A73" w:rsidRDefault="00536C60" w:rsidP="00536C60">
      <w:pPr>
        <w:pStyle w:val="Heading1"/>
        <w:rPr>
          <w:bCs/>
        </w:rPr>
      </w:pPr>
      <w:r w:rsidRPr="00131A73">
        <w:rPr>
          <w:bCs/>
        </w:rPr>
        <w:lastRenderedPageBreak/>
        <w:t>3</w:t>
      </w:r>
      <w:r w:rsidRPr="00131A73">
        <w:rPr>
          <w:bCs/>
        </w:rPr>
        <w:tab/>
        <w:t>Охват цифровыми технологиями: разработка всеохватывающей политики для обеспечения равных возможностей доступа к ИКТ и их использования</w:t>
      </w:r>
    </w:p>
    <w:p w14:paraId="6832CC82" w14:textId="77777777" w:rsidR="00536C60" w:rsidRPr="00131A73" w:rsidRDefault="00536C60" w:rsidP="00536C60">
      <w:pPr>
        <w:pStyle w:val="Headingb"/>
        <w:rPr>
          <w:szCs w:val="20"/>
        </w:rPr>
      </w:pPr>
      <w:r w:rsidRPr="00131A73">
        <w:t>Обеспечение открытого и равного для всех доступа к ИКТ и их использования</w:t>
      </w:r>
    </w:p>
    <w:p w14:paraId="4948EF8F" w14:textId="719CF6BC" w:rsidR="00536C60" w:rsidRPr="00131A73" w:rsidRDefault="00A2576E" w:rsidP="00536C60">
      <w:r w:rsidRPr="00131A73">
        <w:rPr>
          <w:b/>
          <w:bCs/>
        </w:rPr>
        <w:t>Повышение осведомленности о д</w:t>
      </w:r>
      <w:r w:rsidR="00536C60" w:rsidRPr="00131A73">
        <w:rPr>
          <w:b/>
          <w:bCs/>
        </w:rPr>
        <w:t>оступност</w:t>
      </w:r>
      <w:r w:rsidRPr="00131A73">
        <w:rPr>
          <w:b/>
          <w:bCs/>
        </w:rPr>
        <w:t>и</w:t>
      </w:r>
      <w:r w:rsidR="00536C60" w:rsidRPr="00131A73">
        <w:rPr>
          <w:b/>
          <w:bCs/>
        </w:rPr>
        <w:t xml:space="preserve"> ИКТ</w:t>
      </w:r>
      <w:r w:rsidR="00B16371" w:rsidRPr="00131A73">
        <w:t xml:space="preserve">: </w:t>
      </w:r>
      <w:r w:rsidRPr="00131A73">
        <w:t>МСЭ-D</w:t>
      </w:r>
      <w:r w:rsidR="00536C60" w:rsidRPr="00131A73">
        <w:t xml:space="preserve"> прове</w:t>
      </w:r>
      <w:r w:rsidRPr="00131A73">
        <w:t>л</w:t>
      </w:r>
      <w:r w:rsidR="00536C60" w:rsidRPr="00131A73">
        <w:t xml:space="preserve"> работ</w:t>
      </w:r>
      <w:r w:rsidR="004D4235" w:rsidRPr="00131A73">
        <w:t>у</w:t>
      </w:r>
      <w:r w:rsidR="00536C60" w:rsidRPr="00131A73">
        <w:t xml:space="preserve"> по повышению уровня осведомленности по вопросам </w:t>
      </w:r>
      <w:hyperlink r:id="rId49" w:history="1">
        <w:r w:rsidR="00536C60" w:rsidRPr="00131A73">
          <w:rPr>
            <w:rStyle w:val="Hyperlink"/>
          </w:rPr>
          <w:t>доступности ИКТ</w:t>
        </w:r>
      </w:hyperlink>
      <w:r w:rsidR="00536C60" w:rsidRPr="00131A73">
        <w:t xml:space="preserve"> </w:t>
      </w:r>
      <w:r w:rsidRPr="00131A73">
        <w:t>и содействовал распространению ряда инструментов и ресурсов. Они были предоставлены более чем</w:t>
      </w:r>
      <w:r w:rsidR="00536C60" w:rsidRPr="00131A73">
        <w:t xml:space="preserve"> </w:t>
      </w:r>
      <w:r w:rsidRPr="00131A73">
        <w:t>20 </w:t>
      </w:r>
      <w:r w:rsidR="00536C60" w:rsidRPr="00131A73">
        <w:t>000 член</w:t>
      </w:r>
      <w:r w:rsidRPr="00131A73">
        <w:t>ов</w:t>
      </w:r>
      <w:r w:rsidR="00536C60" w:rsidRPr="00131A73">
        <w:t xml:space="preserve"> МСЭ, заинтересованных сторон и директивных органов в целях поддержки </w:t>
      </w:r>
      <w:r w:rsidRPr="00131A73">
        <w:t>глобальных</w:t>
      </w:r>
      <w:r w:rsidR="00536C60" w:rsidRPr="00131A73">
        <w:t xml:space="preserve"> усилий </w:t>
      </w:r>
      <w:r w:rsidRPr="00131A73">
        <w:t xml:space="preserve">и обязательств по созданию обстановки доступности </w:t>
      </w:r>
      <w:r w:rsidR="00536C60" w:rsidRPr="00131A73">
        <w:t>и инклюзивной связи для всех, независимо от пола, возраста, возможностей и местонахождения.</w:t>
      </w:r>
    </w:p>
    <w:p w14:paraId="0E1B273B" w14:textId="247235FD" w:rsidR="00536C60" w:rsidRPr="00131A73" w:rsidRDefault="00A2576E" w:rsidP="00536C60">
      <w:r w:rsidRPr="00131A73">
        <w:t xml:space="preserve">Повышение осведомленности и распространение инструментов и </w:t>
      </w:r>
      <w:hyperlink r:id="rId50" w:history="1">
        <w:r w:rsidRPr="00131A73">
          <w:rPr>
            <w:rStyle w:val="Hyperlink"/>
          </w:rPr>
          <w:t>ресурсов</w:t>
        </w:r>
      </w:hyperlink>
      <w:r w:rsidRPr="00131A73">
        <w:t xml:space="preserve"> МСЭ-D с целью поддержки </w:t>
      </w:r>
      <w:r w:rsidR="00E530F9" w:rsidRPr="00131A73">
        <w:t>проведения этой деятельности на региональном и глобальном уровн</w:t>
      </w:r>
      <w:r w:rsidR="008C7FD7" w:rsidRPr="00131A73">
        <w:t>ях</w:t>
      </w:r>
      <w:r w:rsidR="00536C60" w:rsidRPr="00131A73">
        <w:t xml:space="preserve"> проводил</w:t>
      </w:r>
      <w:r w:rsidR="00E530F9" w:rsidRPr="00131A73">
        <w:t>о</w:t>
      </w:r>
      <w:r w:rsidR="00536C60" w:rsidRPr="00131A73">
        <w:t xml:space="preserve">сь </w:t>
      </w:r>
      <w:r w:rsidR="00E530F9" w:rsidRPr="00131A73">
        <w:t xml:space="preserve">в очной и онлайновой форме </w:t>
      </w:r>
      <w:r w:rsidR="00536C60" w:rsidRPr="00131A73">
        <w:t xml:space="preserve">в рамках многочисленных </w:t>
      </w:r>
      <w:r w:rsidR="00E530F9" w:rsidRPr="00131A73">
        <w:t>мероприятий,</w:t>
      </w:r>
      <w:r w:rsidR="00536C60" w:rsidRPr="00131A73">
        <w:t xml:space="preserve"> тематических встреч, семинаров-практикумов, конференций и форумов. Среди них следует отметить сегмент</w:t>
      </w:r>
      <w:r w:rsidR="00E530F9" w:rsidRPr="00131A73">
        <w:t>ы</w:t>
      </w:r>
      <w:r w:rsidR="00536C60" w:rsidRPr="00131A73">
        <w:t xml:space="preserve"> </w:t>
      </w:r>
      <w:hyperlink r:id="rId51" w:history="1">
        <w:r w:rsidR="00536C60" w:rsidRPr="00131A73">
          <w:rPr>
            <w:rStyle w:val="Hyperlink"/>
          </w:rPr>
          <w:t>ВВУИО</w:t>
        </w:r>
      </w:hyperlink>
      <w:r w:rsidR="00536C60" w:rsidRPr="00131A73">
        <w:t xml:space="preserve"> по доступности ИКТ (2018, 2019, 2020</w:t>
      </w:r>
      <w:r w:rsidR="00E530F9" w:rsidRPr="00131A73">
        <w:t>, 2021</w:t>
      </w:r>
      <w:r w:rsidR="00536C60" w:rsidRPr="00131A73">
        <w:t xml:space="preserve"> гг.), мероприятия ООН и </w:t>
      </w:r>
      <w:r w:rsidR="00E530F9" w:rsidRPr="00131A73">
        <w:rPr>
          <w:color w:val="000000"/>
        </w:rPr>
        <w:t>Конференции государств – участников Конвенции о правах инвалидов</w:t>
      </w:r>
      <w:r w:rsidR="00E530F9" w:rsidRPr="00131A73">
        <w:t xml:space="preserve"> (</w:t>
      </w:r>
      <w:r w:rsidR="00536C60" w:rsidRPr="00131A73">
        <w:t>КПИ</w:t>
      </w:r>
      <w:r w:rsidR="00E530F9" w:rsidRPr="00131A73">
        <w:t>)</w:t>
      </w:r>
      <w:r w:rsidR="00536C60" w:rsidRPr="00131A73">
        <w:t xml:space="preserve"> (2018, 2019, 2020 гг.); </w:t>
      </w:r>
      <w:r w:rsidR="00E530F9" w:rsidRPr="00131A73">
        <w:rPr>
          <w:color w:val="000000"/>
        </w:rPr>
        <w:t>Недели мобильного обучения</w:t>
      </w:r>
      <w:r w:rsidR="00E530F9" w:rsidRPr="00131A73">
        <w:t xml:space="preserve"> (ЮНЕСКО, 2018, 2019 гг.); </w:t>
      </w:r>
      <w:r w:rsidR="00536C60" w:rsidRPr="00131A73">
        <w:t>Саммит</w:t>
      </w:r>
      <w:r w:rsidR="00E530F9" w:rsidRPr="00131A73">
        <w:t>ы</w:t>
      </w:r>
      <w:r w:rsidR="00536C60" w:rsidRPr="00131A73">
        <w:t xml:space="preserve"> по вопросам мобильной благоприятной среды (2018, 2019 гг.); Международный конгресс по технологиям в интересах разнообразия (2018 г.); </w:t>
      </w:r>
      <w:r w:rsidR="00E530F9" w:rsidRPr="00131A73">
        <w:rPr>
          <w:color w:val="000000"/>
        </w:rPr>
        <w:t>Конференцию по проекту "Ноль"</w:t>
      </w:r>
      <w:r w:rsidR="00E530F9" w:rsidRPr="00131A73">
        <w:t xml:space="preserve"> (2018, 2019, 2020, 2021 гг.); </w:t>
      </w:r>
      <w:r w:rsidR="00536C60" w:rsidRPr="00131A73">
        <w:t>Инклюзивн</w:t>
      </w:r>
      <w:r w:rsidR="00E530F9" w:rsidRPr="00131A73">
        <w:t>ую</w:t>
      </w:r>
      <w:r w:rsidR="00536C60" w:rsidRPr="00131A73">
        <w:t xml:space="preserve"> онлайнов</w:t>
      </w:r>
      <w:r w:rsidR="00E530F9" w:rsidRPr="00131A73">
        <w:t>ую</w:t>
      </w:r>
      <w:r w:rsidR="00536C60" w:rsidRPr="00131A73">
        <w:t xml:space="preserve"> конференция в Африке (2020 г.), QITCOM АРБ (2019 г.)</w:t>
      </w:r>
      <w:r w:rsidR="00E530F9" w:rsidRPr="00131A73">
        <w:t>;</w:t>
      </w:r>
      <w:r w:rsidR="00536C60" w:rsidRPr="00131A73">
        <w:t xml:space="preserve"> проводим</w:t>
      </w:r>
      <w:r w:rsidR="00E530F9" w:rsidRPr="00131A73">
        <w:t>ую</w:t>
      </w:r>
      <w:r w:rsidR="00536C60" w:rsidRPr="00131A73">
        <w:t xml:space="preserve"> МСЭ совместно с ЮНЕСКО Недел</w:t>
      </w:r>
      <w:r w:rsidR="00E530F9" w:rsidRPr="00131A73">
        <w:t>ю</w:t>
      </w:r>
      <w:r w:rsidR="00536C60" w:rsidRPr="00131A73">
        <w:t xml:space="preserve"> охвата цифровыми технологиями для региона арабских государств (2018, 2019, 2020 гг.); </w:t>
      </w:r>
      <w:r w:rsidR="00536C60" w:rsidRPr="00131A73">
        <w:rPr>
          <w:rFonts w:eastAsia="Calibri" w:cs="Calibri"/>
          <w:lang w:eastAsia="en-GB"/>
        </w:rPr>
        <w:t xml:space="preserve">онлайновое мероприятие </w:t>
      </w:r>
      <w:r w:rsidR="00E530F9" w:rsidRPr="00131A73">
        <w:rPr>
          <w:rFonts w:eastAsia="Calibri" w:cs="Calibri"/>
          <w:lang w:eastAsia="en-GB"/>
        </w:rPr>
        <w:t xml:space="preserve">ЮНИТАР в </w:t>
      </w:r>
      <w:r w:rsidR="00536C60" w:rsidRPr="00131A73">
        <w:rPr>
          <w:rFonts w:eastAsia="Calibri" w:cs="Calibri"/>
          <w:lang w:eastAsia="en-GB"/>
        </w:rPr>
        <w:t>АТР (2020 г.), р</w:t>
      </w:r>
      <w:r w:rsidR="00E530F9" w:rsidRPr="00131A73">
        <w:rPr>
          <w:rFonts w:eastAsia="Calibri" w:cs="Calibri"/>
          <w:lang w:eastAsia="en-GB"/>
        </w:rPr>
        <w:t>яд</w:t>
      </w:r>
      <w:r w:rsidR="00536C60" w:rsidRPr="00131A73">
        <w:rPr>
          <w:rFonts w:eastAsia="Calibri" w:cs="Calibri"/>
          <w:lang w:eastAsia="en-GB"/>
        </w:rPr>
        <w:t xml:space="preserve"> мероприяти</w:t>
      </w:r>
      <w:r w:rsidR="00E530F9" w:rsidRPr="00131A73">
        <w:rPr>
          <w:rFonts w:eastAsia="Calibri" w:cs="Calibri"/>
          <w:lang w:eastAsia="en-GB"/>
        </w:rPr>
        <w:t>й</w:t>
      </w:r>
      <w:r w:rsidR="00536C60" w:rsidRPr="00131A73">
        <w:rPr>
          <w:rFonts w:eastAsia="Calibri" w:cs="Calibri"/>
          <w:lang w:eastAsia="en-GB"/>
        </w:rPr>
        <w:t xml:space="preserve"> МСЭ "Доступная Северная и Южная Америка</w:t>
      </w:r>
      <w:r w:rsidR="001522F1" w:rsidRPr="00131A73">
        <w:rPr>
          <w:rFonts w:eastAsia="Calibri" w:cs="Calibri"/>
          <w:lang w:eastAsia="en-GB"/>
        </w:rPr>
        <w:t xml:space="preserve"> – ИКТ для всех</w:t>
      </w:r>
      <w:r w:rsidR="00536C60" w:rsidRPr="00131A73">
        <w:rPr>
          <w:rFonts w:eastAsia="Calibri" w:cs="Calibri"/>
          <w:lang w:eastAsia="en-GB"/>
        </w:rPr>
        <w:t xml:space="preserve">" </w:t>
      </w:r>
      <w:r w:rsidR="001522F1" w:rsidRPr="00131A73">
        <w:rPr>
          <w:rFonts w:eastAsia="Calibri" w:cs="Calibri"/>
          <w:lang w:eastAsia="en-GB"/>
        </w:rPr>
        <w:t>(</w:t>
      </w:r>
      <w:r w:rsidR="00536C60" w:rsidRPr="00131A73">
        <w:rPr>
          <w:rFonts w:eastAsia="Calibri" w:cs="Calibri"/>
          <w:lang w:eastAsia="en-GB"/>
        </w:rPr>
        <w:t>Ямайк</w:t>
      </w:r>
      <w:r w:rsidR="001522F1" w:rsidRPr="00131A73">
        <w:rPr>
          <w:rFonts w:eastAsia="Calibri" w:cs="Calibri"/>
          <w:lang w:eastAsia="en-GB"/>
        </w:rPr>
        <w:t xml:space="preserve">а, </w:t>
      </w:r>
      <w:r w:rsidR="00536C60" w:rsidRPr="00131A73">
        <w:rPr>
          <w:rFonts w:eastAsia="Calibri" w:cs="Calibri"/>
          <w:lang w:eastAsia="en-GB"/>
        </w:rPr>
        <w:t xml:space="preserve">2018 г.), </w:t>
      </w:r>
      <w:r w:rsidR="001522F1" w:rsidRPr="00131A73">
        <w:rPr>
          <w:rFonts w:eastAsia="Calibri" w:cs="Calibri"/>
          <w:lang w:eastAsia="en-GB"/>
        </w:rPr>
        <w:t>(</w:t>
      </w:r>
      <w:r w:rsidR="00536C60" w:rsidRPr="00131A73">
        <w:rPr>
          <w:rFonts w:eastAsia="Calibri" w:cs="Calibri"/>
          <w:lang w:eastAsia="en-GB"/>
        </w:rPr>
        <w:t>Эквадор</w:t>
      </w:r>
      <w:r w:rsidR="001522F1" w:rsidRPr="00131A73">
        <w:rPr>
          <w:rFonts w:eastAsia="Calibri" w:cs="Calibri"/>
          <w:lang w:eastAsia="en-GB"/>
        </w:rPr>
        <w:t xml:space="preserve">, </w:t>
      </w:r>
      <w:r w:rsidR="00536C60" w:rsidRPr="00131A73">
        <w:rPr>
          <w:rFonts w:eastAsia="Calibri" w:cs="Calibri"/>
          <w:lang w:eastAsia="en-GB"/>
        </w:rPr>
        <w:t xml:space="preserve">2019 г.), </w:t>
      </w:r>
      <w:r w:rsidR="001522F1" w:rsidRPr="00131A73">
        <w:rPr>
          <w:rFonts w:eastAsia="Calibri" w:cs="Calibri"/>
          <w:lang w:eastAsia="en-GB"/>
        </w:rPr>
        <w:t xml:space="preserve">ряд мероприятий МСЭ </w:t>
      </w:r>
      <w:r w:rsidR="00536C60" w:rsidRPr="00131A73">
        <w:rPr>
          <w:rFonts w:eastAsia="Calibri" w:cs="Calibri"/>
          <w:lang w:eastAsia="en-GB"/>
        </w:rPr>
        <w:t>"Доступная Европа</w:t>
      </w:r>
      <w:r w:rsidR="001522F1" w:rsidRPr="00131A73">
        <w:rPr>
          <w:rFonts w:eastAsia="Calibri" w:cs="Calibri"/>
          <w:lang w:eastAsia="en-GB"/>
        </w:rPr>
        <w:t xml:space="preserve"> – ИКТ для всех"</w:t>
      </w:r>
      <w:r w:rsidR="00536C60" w:rsidRPr="00131A73">
        <w:rPr>
          <w:rFonts w:eastAsia="Calibri" w:cs="Calibri"/>
          <w:lang w:eastAsia="en-GB"/>
        </w:rPr>
        <w:t xml:space="preserve"> </w:t>
      </w:r>
      <w:r w:rsidR="001522F1" w:rsidRPr="00131A73">
        <w:rPr>
          <w:rFonts w:eastAsia="Calibri" w:cs="Calibri"/>
          <w:lang w:eastAsia="en-GB"/>
        </w:rPr>
        <w:t>(</w:t>
      </w:r>
      <w:r w:rsidR="00536C60" w:rsidRPr="00131A73">
        <w:rPr>
          <w:rFonts w:eastAsia="Calibri" w:cs="Calibri"/>
          <w:lang w:eastAsia="en-GB"/>
        </w:rPr>
        <w:t>Австри</w:t>
      </w:r>
      <w:r w:rsidR="001522F1" w:rsidRPr="00131A73">
        <w:rPr>
          <w:rFonts w:eastAsia="Calibri" w:cs="Calibri"/>
          <w:lang w:eastAsia="en-GB"/>
        </w:rPr>
        <w:t xml:space="preserve">я, </w:t>
      </w:r>
      <w:r w:rsidR="00536C60" w:rsidRPr="00131A73">
        <w:t xml:space="preserve">2018 г.), </w:t>
      </w:r>
      <w:r w:rsidR="001522F1" w:rsidRPr="00131A73">
        <w:t>(</w:t>
      </w:r>
      <w:r w:rsidR="00536C60" w:rsidRPr="00131A73">
        <w:t>Мальт</w:t>
      </w:r>
      <w:r w:rsidR="001522F1" w:rsidRPr="00131A73">
        <w:t>а,</w:t>
      </w:r>
      <w:r w:rsidR="00536C60" w:rsidRPr="00131A73">
        <w:t xml:space="preserve"> 2019 г.), </w:t>
      </w:r>
      <w:r w:rsidR="00FA14CE" w:rsidRPr="00131A73">
        <w:t xml:space="preserve">онлайновое (2020 г.) Португалия онлайновое (2021 г.), </w:t>
      </w:r>
      <w:r w:rsidR="00536C60" w:rsidRPr="00131A73">
        <w:t>а</w:t>
      </w:r>
      <w:r w:rsidR="00C63CDA" w:rsidRPr="00131A73">
        <w:t> </w:t>
      </w:r>
      <w:r w:rsidR="00536C60" w:rsidRPr="00131A73">
        <w:t xml:space="preserve">также </w:t>
      </w:r>
      <w:r w:rsidR="00FA14CE" w:rsidRPr="00131A73">
        <w:t>пять региональных</w:t>
      </w:r>
      <w:r w:rsidR="00536C60" w:rsidRPr="00131A73">
        <w:t xml:space="preserve"> онлайновых </w:t>
      </w:r>
      <w:r w:rsidR="00FA14CE" w:rsidRPr="00131A73">
        <w:t xml:space="preserve">семинаров-практикумов </w:t>
      </w:r>
      <w:r w:rsidR="008C7FD7" w:rsidRPr="00131A73">
        <w:t>по</w:t>
      </w:r>
      <w:r w:rsidR="00FA14CE" w:rsidRPr="00131A73">
        <w:t xml:space="preserve"> доступности ИКТ, на которых представлялась самооценка для осуществления доступности ИКТ (апрель 2021 г. на английском и французском языках)</w:t>
      </w:r>
      <w:r w:rsidR="00536C60" w:rsidRPr="00131A73">
        <w:t>.</w:t>
      </w:r>
    </w:p>
    <w:p w14:paraId="21CB0EF4" w14:textId="4C8DFE01" w:rsidR="00B16371" w:rsidRPr="00131A73" w:rsidRDefault="00431AEC" w:rsidP="00B16371">
      <w:r w:rsidRPr="00131A73">
        <w:t>Ресурсы</w:t>
      </w:r>
      <w:r w:rsidRPr="00131A73">
        <w:rPr>
          <w:b/>
          <w:bCs/>
        </w:rPr>
        <w:t xml:space="preserve"> доступности ИКТ</w:t>
      </w:r>
      <w:r w:rsidR="00B16371" w:rsidRPr="00131A73">
        <w:t xml:space="preserve">: </w:t>
      </w:r>
      <w:r w:rsidRPr="00131A73">
        <w:t>с</w:t>
      </w:r>
      <w:r w:rsidR="00B16371" w:rsidRPr="00131A73">
        <w:t xml:space="preserve"> 2018 </w:t>
      </w:r>
      <w:r w:rsidRPr="00131A73">
        <w:t>года по апрель 2021 года МСЭ</w:t>
      </w:r>
      <w:r w:rsidRPr="00131A73">
        <w:noBreakHyphen/>
      </w:r>
      <w:r w:rsidR="00B16371" w:rsidRPr="00131A73">
        <w:t xml:space="preserve">D </w:t>
      </w:r>
      <w:r w:rsidRPr="00131A73">
        <w:t>спроектировал, разработал и предоставил шестьдесят (60) инструментов и ресурсов для членов МСЭ и заинтересованных сторон</w:t>
      </w:r>
      <w:r w:rsidR="00B16371" w:rsidRPr="00131A73">
        <w:t xml:space="preserve">. </w:t>
      </w:r>
      <w:r w:rsidRPr="00131A73">
        <w:t>К</w:t>
      </w:r>
      <w:r w:rsidR="008C7FD7" w:rsidRPr="00131A73">
        <w:t> </w:t>
      </w:r>
      <w:r w:rsidRPr="00131A73">
        <w:t>числе этих</w:t>
      </w:r>
      <w:r w:rsidR="00B16371" w:rsidRPr="00131A73">
        <w:t xml:space="preserve"> </w:t>
      </w:r>
      <w:hyperlink r:id="rId52">
        <w:r w:rsidRPr="00131A73">
          <w:rPr>
            <w:rStyle w:val="Hyperlink"/>
          </w:rPr>
          <w:t>ресурсов</w:t>
        </w:r>
      </w:hyperlink>
      <w:r w:rsidR="00B16371" w:rsidRPr="00131A73">
        <w:t xml:space="preserve"> </w:t>
      </w:r>
      <w:r w:rsidRPr="00131A73">
        <w:t>и инструментов относятся руководящие указания по политике, комплекты материалов</w:t>
      </w:r>
      <w:r w:rsidR="00DE0023" w:rsidRPr="00131A73">
        <w:t>, материалы для учебных занятий (онлайновых/очных) по образовательным программам по доступности ИКТ (в стране)</w:t>
      </w:r>
      <w:r w:rsidR="00B16371" w:rsidRPr="00131A73">
        <w:t xml:space="preserve">, </w:t>
      </w:r>
      <w:r w:rsidR="00DE0023" w:rsidRPr="00131A73">
        <w:t>учебные видеоматериалы</w:t>
      </w:r>
      <w:r w:rsidR="00B16371" w:rsidRPr="00131A73">
        <w:t xml:space="preserve">; </w:t>
      </w:r>
      <w:r w:rsidR="00DE0023" w:rsidRPr="00131A73">
        <w:t>и оценки на уровне стран и регионов</w:t>
      </w:r>
      <w:r w:rsidR="00B16371" w:rsidRPr="00131A73">
        <w:t xml:space="preserve">. </w:t>
      </w:r>
      <w:r w:rsidR="00DE0023" w:rsidRPr="00131A73">
        <w:t>Были также разработаны специальные ресурсы по реагированию на пандемию</w:t>
      </w:r>
      <w:r w:rsidR="00B16371" w:rsidRPr="00131A73">
        <w:t xml:space="preserve"> COVID</w:t>
      </w:r>
      <w:r w:rsidR="00DE0023" w:rsidRPr="00131A73">
        <w:noBreakHyphen/>
      </w:r>
      <w:r w:rsidR="00B16371" w:rsidRPr="00131A73">
        <w:t xml:space="preserve">19 </w:t>
      </w:r>
      <w:r w:rsidR="00DE0023" w:rsidRPr="00131A73">
        <w:t>и мерам восстановления после этой инфекции</w:t>
      </w:r>
      <w:r w:rsidR="00B16371" w:rsidRPr="00131A73">
        <w:t xml:space="preserve">. </w:t>
      </w:r>
      <w:r w:rsidR="00DE0023" w:rsidRPr="00131A73">
        <w:t>Эти ресурсы проектировались, разрабатывались и предоставлялись на нескольких языках ООН для поддержки членов МСЭ в обеспечении доступности ИКТ на региональном и глобальном уровнях</w:t>
      </w:r>
      <w:r w:rsidR="00B16371" w:rsidRPr="00131A73">
        <w:t xml:space="preserve">. </w:t>
      </w:r>
      <w:r w:rsidR="00DE0023" w:rsidRPr="00131A73">
        <w:t>Онлайновые занятия по профессиональной подготовке бесплатно пр</w:t>
      </w:r>
      <w:r w:rsidR="00AC51D8" w:rsidRPr="00131A73">
        <w:t xml:space="preserve">оводятся по линии Академии МСЭ, со свободным графиком, </w:t>
      </w:r>
      <w:r w:rsidR="00AC51D8" w:rsidRPr="00131A73">
        <w:rPr>
          <w:color w:val="000000"/>
        </w:rPr>
        <w:t>локализованным контентом и возможностью получения сертификата</w:t>
      </w:r>
      <w:r w:rsidR="00B16371" w:rsidRPr="00131A73">
        <w:t>.</w:t>
      </w:r>
    </w:p>
    <w:p w14:paraId="0609704D" w14:textId="4A0F2176" w:rsidR="00B16371" w:rsidRPr="00131A73" w:rsidRDefault="00703B74" w:rsidP="00B16371">
      <w:r w:rsidRPr="00131A73">
        <w:t>Все ресурсы МСЭ</w:t>
      </w:r>
      <w:r w:rsidRPr="00131A73">
        <w:noBreakHyphen/>
      </w:r>
      <w:r w:rsidR="00B16371" w:rsidRPr="00131A73">
        <w:t xml:space="preserve">D </w:t>
      </w:r>
      <w:r w:rsidRPr="00131A73">
        <w:t>по доступности ИКТ предоставляются в доступных форматах, чтобы их могли использовать и лица с ограниченными возможностями</w:t>
      </w:r>
      <w:r w:rsidR="00B16371" w:rsidRPr="00131A73">
        <w:t xml:space="preserve">. </w:t>
      </w:r>
      <w:r w:rsidRPr="00131A73">
        <w:t xml:space="preserve">Примеры </w:t>
      </w:r>
      <w:r w:rsidR="005C2A62" w:rsidRPr="00131A73">
        <w:t>этого: комплект материалов МСЭ</w:t>
      </w:r>
      <w:r w:rsidR="00B16371" w:rsidRPr="00131A73">
        <w:t xml:space="preserve"> "На пути к созданию открытых для всех цифровых сообществ"</w:t>
      </w:r>
      <w:r w:rsidR="005C2A62" w:rsidRPr="00131A73">
        <w:t xml:space="preserve"> и интерактивная самооценка </w:t>
      </w:r>
      <w:r w:rsidR="00D8653C" w:rsidRPr="00131A73">
        <w:t>для реализации доступности ИКТ</w:t>
      </w:r>
      <w:r w:rsidR="00B16371" w:rsidRPr="00131A73">
        <w:t xml:space="preserve"> (</w:t>
      </w:r>
      <w:r w:rsidR="008C7FD7" w:rsidRPr="00131A73">
        <w:t xml:space="preserve">на </w:t>
      </w:r>
      <w:r w:rsidR="00D8653C" w:rsidRPr="00131A73">
        <w:t>англ</w:t>
      </w:r>
      <w:r w:rsidR="008C7FD7" w:rsidRPr="00131A73">
        <w:t>ийском языке</w:t>
      </w:r>
      <w:r w:rsidR="00B16371" w:rsidRPr="00131A73">
        <w:t>, 2021</w:t>
      </w:r>
      <w:r w:rsidR="00D8653C" w:rsidRPr="00131A73">
        <w:t> г.</w:t>
      </w:r>
      <w:r w:rsidR="00B16371" w:rsidRPr="00131A73">
        <w:t xml:space="preserve">). </w:t>
      </w:r>
    </w:p>
    <w:p w14:paraId="3325DC4A" w14:textId="6DDE203A" w:rsidR="00B16371" w:rsidRPr="00131A73" w:rsidRDefault="00D8653C" w:rsidP="00B16371">
      <w:pPr>
        <w:rPr>
          <w:rFonts w:eastAsiaTheme="minorEastAsia"/>
        </w:rPr>
      </w:pPr>
      <w:r w:rsidRPr="00131A73">
        <w:t>Такие ресурсы, как упомянутый выше комплект материалов, дают членам МСЭ и директивным органам возможность получить знания по вопросу доступности И</w:t>
      </w:r>
      <w:r w:rsidR="008C7FD7" w:rsidRPr="00131A73">
        <w:t>К</w:t>
      </w:r>
      <w:r w:rsidRPr="00131A73">
        <w:t>Т и предоставляют им инструменты и навыки для обеспечения охвата всех цифровыми технологиями в своих странах</w:t>
      </w:r>
      <w:r w:rsidR="00B16371" w:rsidRPr="00131A73">
        <w:t xml:space="preserve">. </w:t>
      </w:r>
      <w:r w:rsidRPr="00131A73">
        <w:t>Они также позволяют членам МСЭ осуществлять мониторинг и оценку реализации доступности ИКТ с целью создания открытых для всех цифровых условий и сообществ</w:t>
      </w:r>
      <w:r w:rsidR="00B16371" w:rsidRPr="00131A73">
        <w:t xml:space="preserve">. </w:t>
      </w:r>
      <w:r w:rsidRPr="00131A73">
        <w:t>К числу ключевых ресурсов относятся</w:t>
      </w:r>
      <w:r w:rsidR="00B16371" w:rsidRPr="00131A73">
        <w:t>:</w:t>
      </w:r>
    </w:p>
    <w:p w14:paraId="4E80E410" w14:textId="5CAE963B" w:rsidR="00B16371" w:rsidRPr="00131A73" w:rsidRDefault="00B16371" w:rsidP="00651707">
      <w:pPr>
        <w:pStyle w:val="enumlev1"/>
        <w:spacing w:before="50"/>
      </w:pPr>
      <w:r w:rsidRPr="00131A73">
        <w:t>−</w:t>
      </w:r>
      <w:r w:rsidRPr="00131A73">
        <w:tab/>
      </w:r>
      <w:r w:rsidR="00DB20A6" w:rsidRPr="00131A73">
        <w:t>учебное видеопособие МСЭ по разработке самооценки для страны</w:t>
      </w:r>
      <w:r w:rsidRPr="00131A73">
        <w:t xml:space="preserve"> (</w:t>
      </w:r>
      <w:r w:rsidR="00DB20A6" w:rsidRPr="00131A73">
        <w:t>комплект материалов МСЭ</w:t>
      </w:r>
      <w:r w:rsidRPr="00131A73">
        <w:t>, 2021</w:t>
      </w:r>
      <w:r w:rsidR="00DB20A6" w:rsidRPr="00131A73">
        <w:t> г.</w:t>
      </w:r>
      <w:r w:rsidRPr="00131A73">
        <w:t>);</w:t>
      </w:r>
    </w:p>
    <w:p w14:paraId="41BA2A35" w14:textId="682622D6" w:rsidR="00B16371" w:rsidRPr="00131A73" w:rsidRDefault="00B16371" w:rsidP="00651707">
      <w:pPr>
        <w:pStyle w:val="enumlev1"/>
        <w:spacing w:before="50"/>
        <w:rPr>
          <w:rFonts w:eastAsiaTheme="minorEastAsia"/>
        </w:rPr>
      </w:pPr>
      <w:r w:rsidRPr="00131A73">
        <w:lastRenderedPageBreak/>
        <w:t>−</w:t>
      </w:r>
      <w:r w:rsidRPr="00131A73">
        <w:tab/>
      </w:r>
      <w:r w:rsidR="00DB20A6" w:rsidRPr="00131A73">
        <w:t>учебное видеопособие по доступности ИКТ</w:t>
      </w:r>
      <w:r w:rsidRPr="00131A73">
        <w:t xml:space="preserve">: </w:t>
      </w:r>
      <w:r w:rsidR="00DB20A6" w:rsidRPr="00131A73">
        <w:t>ключ к обеспечению открытого для всех цифрового мира</w:t>
      </w:r>
      <w:r w:rsidRPr="00131A73">
        <w:t xml:space="preserve"> (2021</w:t>
      </w:r>
      <w:r w:rsidR="00DB20A6" w:rsidRPr="00131A73">
        <w:t> г.</w:t>
      </w:r>
      <w:r w:rsidRPr="00131A73">
        <w:t>);</w:t>
      </w:r>
    </w:p>
    <w:p w14:paraId="1DF1F86A" w14:textId="55BB7AD3" w:rsidR="00B16371" w:rsidRPr="00131A73" w:rsidRDefault="00B16371" w:rsidP="00651707">
      <w:pPr>
        <w:pStyle w:val="enumlev1"/>
        <w:spacing w:before="50"/>
        <w:rPr>
          <w:rFonts w:eastAsiaTheme="minorEastAsia"/>
        </w:rPr>
      </w:pPr>
      <w:r w:rsidRPr="00131A73">
        <w:t>−</w:t>
      </w:r>
      <w:r w:rsidRPr="00131A73">
        <w:tab/>
      </w:r>
      <w:r w:rsidR="00DB20A6" w:rsidRPr="00131A73">
        <w:t xml:space="preserve">Отчет МСЭ по анализу политики Республики Сербии в отношении доступности информационно-коммуникационных технологий (ИКТ) </w:t>
      </w:r>
      <w:r w:rsidRPr="00131A73">
        <w:t>(2021</w:t>
      </w:r>
      <w:r w:rsidR="00DB20A6" w:rsidRPr="00131A73">
        <w:t> г.</w:t>
      </w:r>
      <w:r w:rsidRPr="00131A73">
        <w:t>);</w:t>
      </w:r>
    </w:p>
    <w:p w14:paraId="66D3C715" w14:textId="108221FA" w:rsidR="00B16371" w:rsidRPr="00131A73" w:rsidRDefault="00B16371" w:rsidP="00651707">
      <w:pPr>
        <w:pStyle w:val="enumlev1"/>
        <w:spacing w:before="50"/>
        <w:rPr>
          <w:rFonts w:eastAsiaTheme="minorEastAsia"/>
        </w:rPr>
      </w:pPr>
      <w:r w:rsidRPr="00131A73">
        <w:t>−</w:t>
      </w:r>
      <w:r w:rsidRPr="00131A73">
        <w:tab/>
      </w:r>
      <w:r w:rsidR="00DB20A6" w:rsidRPr="00131A73">
        <w:t>отчет по оценке доступности ИКТ для региона Европы</w:t>
      </w:r>
      <w:r w:rsidRPr="00131A73">
        <w:t xml:space="preserve"> (2021</w:t>
      </w:r>
      <w:r w:rsidR="00DB20A6" w:rsidRPr="00131A73">
        <w:t> г.</w:t>
      </w:r>
      <w:r w:rsidRPr="00131A73">
        <w:t>);</w:t>
      </w:r>
    </w:p>
    <w:p w14:paraId="658962E5" w14:textId="403F27F8" w:rsidR="00B16371" w:rsidRPr="00131A73" w:rsidRDefault="00B16371" w:rsidP="00651707">
      <w:pPr>
        <w:pStyle w:val="enumlev1"/>
        <w:spacing w:before="50"/>
        <w:rPr>
          <w:rFonts w:eastAsiaTheme="minorEastAsia"/>
        </w:rPr>
      </w:pPr>
      <w:r w:rsidRPr="00131A73">
        <w:t>−</w:t>
      </w:r>
      <w:r w:rsidRPr="00131A73">
        <w:tab/>
      </w:r>
      <w:r w:rsidR="00C63CDA" w:rsidRPr="00131A73">
        <w:t>Руководящие указания МСЭ об обеспечении доступности цифровой информации, услуг и продуктов для всех людей, включая лиц с ограниченными возможностями, в условиях пандемии COVID-19 (</w:t>
      </w:r>
      <w:r w:rsidR="00DB20A6" w:rsidRPr="00131A73">
        <w:t xml:space="preserve">2020 г., </w:t>
      </w:r>
      <w:r w:rsidR="00C63CDA" w:rsidRPr="00131A73">
        <w:t>на арабском, английском, испанском, китайском, русском и французском языках). Эт</w:t>
      </w:r>
      <w:r w:rsidR="00DB20A6" w:rsidRPr="00131A73">
        <w:t>и руководящие указания</w:t>
      </w:r>
      <w:r w:rsidR="00C63CDA" w:rsidRPr="00131A73">
        <w:t xml:space="preserve"> был</w:t>
      </w:r>
      <w:r w:rsidR="00DB20A6" w:rsidRPr="00131A73">
        <w:t>и</w:t>
      </w:r>
      <w:r w:rsidR="00C63CDA" w:rsidRPr="00131A73">
        <w:t xml:space="preserve"> отобран</w:t>
      </w:r>
      <w:r w:rsidR="00DB20A6" w:rsidRPr="00131A73">
        <w:t>ы</w:t>
      </w:r>
      <w:r w:rsidR="00C63CDA" w:rsidRPr="00131A73">
        <w:t xml:space="preserve"> группой ООН по реагированию на COVID-19 и переведен</w:t>
      </w:r>
      <w:r w:rsidR="00DB20A6" w:rsidRPr="00131A73">
        <w:t>ы</w:t>
      </w:r>
      <w:r w:rsidR="00C63CDA" w:rsidRPr="00131A73">
        <w:t xml:space="preserve"> на 22 самых распространенных языка мира</w:t>
      </w:r>
      <w:r w:rsidRPr="00131A73">
        <w:t>;</w:t>
      </w:r>
    </w:p>
    <w:p w14:paraId="62A3C51B" w14:textId="072F1EA3" w:rsidR="00B16371" w:rsidRPr="00131A73" w:rsidRDefault="00B16371" w:rsidP="00651707">
      <w:pPr>
        <w:pStyle w:val="enumlev1"/>
        <w:spacing w:before="50"/>
        <w:rPr>
          <w:rFonts w:eastAsiaTheme="minorEastAsia"/>
        </w:rPr>
      </w:pPr>
      <w:r w:rsidRPr="00131A73">
        <w:t>−</w:t>
      </w:r>
      <w:r w:rsidRPr="00131A73">
        <w:tab/>
      </w:r>
      <w:r w:rsidR="00683CB0" w:rsidRPr="00131A73">
        <w:t>региональная оценка МСЭ доступности ИКТ для Азиатско-Тихоокеанского региона</w:t>
      </w:r>
      <w:r w:rsidRPr="00131A73">
        <w:t xml:space="preserve"> (2020</w:t>
      </w:r>
      <w:r w:rsidR="00683CB0" w:rsidRPr="00131A73">
        <w:t> г.</w:t>
      </w:r>
      <w:r w:rsidRPr="00131A73">
        <w:t>);</w:t>
      </w:r>
    </w:p>
    <w:p w14:paraId="3FCD7573" w14:textId="226926C6" w:rsidR="00B16371" w:rsidRPr="00131A73" w:rsidRDefault="00B16371" w:rsidP="00651707">
      <w:pPr>
        <w:pStyle w:val="enumlev1"/>
        <w:spacing w:before="50"/>
        <w:rPr>
          <w:rFonts w:eastAsiaTheme="minorEastAsia"/>
        </w:rPr>
      </w:pPr>
      <w:r w:rsidRPr="00131A73">
        <w:t>−</w:t>
      </w:r>
      <w:r w:rsidRPr="00131A73">
        <w:tab/>
      </w:r>
      <w:r w:rsidR="00550E87" w:rsidRPr="00131A73">
        <w:t>онлайновая профессиональная подготовка со свободным графиком по теме</w:t>
      </w:r>
      <w:r w:rsidRPr="00131A73">
        <w:t xml:space="preserve">: </w:t>
      </w:r>
      <w:r w:rsidR="00550E87" w:rsidRPr="00131A73">
        <w:t>как обеспечить открытую для всех цифровую связь во время кризисов и в чрезвычайных ситуациях</w:t>
      </w:r>
      <w:r w:rsidRPr="00131A73">
        <w:t xml:space="preserve"> (2020</w:t>
      </w:r>
      <w:r w:rsidR="00683CB0" w:rsidRPr="00131A73">
        <w:t> г.</w:t>
      </w:r>
      <w:r w:rsidRPr="00131A73">
        <w:t xml:space="preserve">, </w:t>
      </w:r>
      <w:r w:rsidR="00550E87" w:rsidRPr="00131A73">
        <w:t>на английском, французском, испанском языках</w:t>
      </w:r>
      <w:r w:rsidRPr="00131A73">
        <w:t>);</w:t>
      </w:r>
    </w:p>
    <w:p w14:paraId="481F920C" w14:textId="335D6E9C" w:rsidR="00B16371" w:rsidRPr="00131A73" w:rsidRDefault="00B16371" w:rsidP="00651707">
      <w:pPr>
        <w:pStyle w:val="enumlev1"/>
        <w:spacing w:before="50"/>
        <w:rPr>
          <w:rFonts w:eastAsiaTheme="minorEastAsia"/>
        </w:rPr>
      </w:pPr>
      <w:r w:rsidRPr="00131A73">
        <w:t>−</w:t>
      </w:r>
      <w:r w:rsidRPr="00131A73">
        <w:tab/>
      </w:r>
      <w:r w:rsidR="00550E87" w:rsidRPr="00131A73">
        <w:t>учебное видеопособие по теме</w:t>
      </w:r>
      <w:r w:rsidRPr="00131A73">
        <w:t xml:space="preserve">: </w:t>
      </w:r>
      <w:r w:rsidR="00550E87" w:rsidRPr="00131A73">
        <w:t>как обеспечить открытую для всех цифровую связь во время кризисов и в чрезвычайных ситуациях</w:t>
      </w:r>
      <w:r w:rsidRPr="00131A73">
        <w:t xml:space="preserve"> (2020</w:t>
      </w:r>
      <w:r w:rsidR="00683CB0" w:rsidRPr="00131A73">
        <w:t> г.</w:t>
      </w:r>
      <w:r w:rsidRPr="00131A73">
        <w:t xml:space="preserve">, </w:t>
      </w:r>
      <w:r w:rsidR="00550E87" w:rsidRPr="00131A73">
        <w:t>на английском, французском, испанском языках</w:t>
      </w:r>
      <w:r w:rsidRPr="00131A73">
        <w:t>);</w:t>
      </w:r>
    </w:p>
    <w:p w14:paraId="7E32A4F5" w14:textId="7AD0FFC1" w:rsidR="00B16371" w:rsidRPr="00131A73" w:rsidRDefault="00B16371" w:rsidP="00651707">
      <w:pPr>
        <w:pStyle w:val="enumlev1"/>
        <w:spacing w:before="50"/>
        <w:rPr>
          <w:rFonts w:eastAsiaTheme="minorEastAsia"/>
        </w:rPr>
      </w:pPr>
      <w:r w:rsidRPr="00131A73">
        <w:t>−</w:t>
      </w:r>
      <w:r w:rsidRPr="00131A73">
        <w:tab/>
      </w:r>
      <w:r w:rsidR="00550E87" w:rsidRPr="00131A73">
        <w:t>онлайновая профессиональная подготовка со свободным графиком по доступности ИКТ</w:t>
      </w:r>
      <w:r w:rsidRPr="00131A73">
        <w:t xml:space="preserve">: </w:t>
      </w:r>
      <w:r w:rsidR="00550E87" w:rsidRPr="00131A73">
        <w:t>ключ к открытой для всех связи</w:t>
      </w:r>
      <w:r w:rsidRPr="00131A73">
        <w:t xml:space="preserve"> (2020</w:t>
      </w:r>
      <w:r w:rsidR="00683CB0" w:rsidRPr="00131A73">
        <w:t> г.</w:t>
      </w:r>
      <w:r w:rsidRPr="00131A73">
        <w:t xml:space="preserve">, </w:t>
      </w:r>
      <w:r w:rsidR="00550E87" w:rsidRPr="00131A73">
        <w:t>на арабском, английском, французском, испанском языках</w:t>
      </w:r>
      <w:r w:rsidRPr="00131A73">
        <w:t>);</w:t>
      </w:r>
    </w:p>
    <w:p w14:paraId="77EF3998" w14:textId="3641323E" w:rsidR="00B16371" w:rsidRPr="00131A73" w:rsidRDefault="00B16371" w:rsidP="00651707">
      <w:pPr>
        <w:pStyle w:val="enumlev1"/>
        <w:spacing w:before="50"/>
      </w:pPr>
      <w:r w:rsidRPr="00131A73">
        <w:t>−</w:t>
      </w:r>
      <w:r w:rsidRPr="00131A73">
        <w:tab/>
      </w:r>
      <w:r w:rsidR="00550E87" w:rsidRPr="00131A73">
        <w:t xml:space="preserve">онлайновая профессиональная подготовка со свободным графиком по </w:t>
      </w:r>
      <w:r w:rsidR="00907C1E" w:rsidRPr="00131A73">
        <w:t>сетевой доступности</w:t>
      </w:r>
      <w:r w:rsidRPr="00131A73">
        <w:t xml:space="preserve">: </w:t>
      </w:r>
      <w:r w:rsidR="00907C1E" w:rsidRPr="00131A73">
        <w:t>основа открытого для всех цифрового общества</w:t>
      </w:r>
      <w:r w:rsidRPr="00131A73">
        <w:t xml:space="preserve"> (</w:t>
      </w:r>
      <w:r w:rsidR="00907C1E" w:rsidRPr="00131A73">
        <w:t xml:space="preserve">на английском, французском, испанском языках </w:t>
      </w:r>
      <w:r w:rsidRPr="00131A73">
        <w:t>(2020</w:t>
      </w:r>
      <w:r w:rsidR="00683CB0" w:rsidRPr="00131A73">
        <w:t> г.</w:t>
      </w:r>
      <w:r w:rsidRPr="00131A73">
        <w:t>));</w:t>
      </w:r>
    </w:p>
    <w:p w14:paraId="2F818052" w14:textId="37058AB9" w:rsidR="00B16371" w:rsidRPr="00131A73" w:rsidRDefault="00B16371" w:rsidP="00651707">
      <w:pPr>
        <w:pStyle w:val="enumlev1"/>
        <w:spacing w:before="50"/>
      </w:pPr>
      <w:r w:rsidRPr="00131A73">
        <w:t>−</w:t>
      </w:r>
      <w:r w:rsidRPr="00131A73">
        <w:tab/>
      </w:r>
      <w:r w:rsidR="00907C1E" w:rsidRPr="00131A73">
        <w:t xml:space="preserve">Комплект материалов и глобальный стандарт МСЭ-ВОЗ </w:t>
      </w:r>
      <w:r w:rsidR="00907C1E" w:rsidRPr="00131A73">
        <w:rPr>
          <w:color w:val="000000"/>
        </w:rPr>
        <w:t>по безопасным устройствам и системам прослушивания (на английском, арабском, испанском, китайском, русском и французском языках</w:t>
      </w:r>
      <w:r w:rsidRPr="00131A73">
        <w:t>), 2019</w:t>
      </w:r>
      <w:r w:rsidR="00907C1E" w:rsidRPr="00131A73">
        <w:t> г.</w:t>
      </w:r>
      <w:r w:rsidRPr="00131A73">
        <w:t>;</w:t>
      </w:r>
    </w:p>
    <w:p w14:paraId="16248642" w14:textId="20DF9BFC" w:rsidR="00B16371" w:rsidRPr="00131A73" w:rsidRDefault="00B16371" w:rsidP="00651707">
      <w:pPr>
        <w:pStyle w:val="enumlev1"/>
        <w:spacing w:before="50"/>
      </w:pPr>
      <w:r w:rsidRPr="00131A73">
        <w:t>−</w:t>
      </w:r>
      <w:r w:rsidRPr="00131A73">
        <w:tab/>
      </w:r>
      <w:r w:rsidR="00907C1E" w:rsidRPr="00131A73">
        <w:t xml:space="preserve">учебные видеопособия по комплекту материалов и глобальному стандарту МСЭ-ВОЗ </w:t>
      </w:r>
      <w:r w:rsidR="00907C1E" w:rsidRPr="00131A73">
        <w:rPr>
          <w:color w:val="000000"/>
        </w:rPr>
        <w:t>по безопасным устройствам и системам прослушивания</w:t>
      </w:r>
      <w:r w:rsidRPr="00131A73">
        <w:t xml:space="preserve"> (2019</w:t>
      </w:r>
      <w:r w:rsidR="00683CB0" w:rsidRPr="00131A73">
        <w:t> г.</w:t>
      </w:r>
      <w:r w:rsidRPr="00131A73">
        <w:t xml:space="preserve">, </w:t>
      </w:r>
      <w:r w:rsidR="00907C1E" w:rsidRPr="00131A73">
        <w:rPr>
          <w:color w:val="000000"/>
        </w:rPr>
        <w:t>на английском, арабском, испанском, китайском, русском и французском языках</w:t>
      </w:r>
      <w:r w:rsidRPr="00131A73">
        <w:t>);</w:t>
      </w:r>
    </w:p>
    <w:p w14:paraId="123F5BDC" w14:textId="1A844FA2" w:rsidR="00B16371" w:rsidRPr="00131A73" w:rsidRDefault="00B16371" w:rsidP="00651707">
      <w:pPr>
        <w:pStyle w:val="enumlev1"/>
        <w:spacing w:before="50"/>
      </w:pPr>
      <w:r w:rsidRPr="00131A73">
        <w:t>−</w:t>
      </w:r>
      <w:r w:rsidRPr="00131A73">
        <w:tab/>
      </w:r>
      <w:r w:rsidR="008C7FD7" w:rsidRPr="00131A73">
        <w:rPr>
          <w:color w:val="000000"/>
        </w:rPr>
        <w:t>и</w:t>
      </w:r>
      <w:r w:rsidR="00907C1E" w:rsidRPr="00131A73">
        <w:rPr>
          <w:color w:val="000000"/>
        </w:rPr>
        <w:t>скусственный интеллект и доступность информационно-коммуникационных технологий</w:t>
      </w:r>
      <w:r w:rsidR="00CC1874" w:rsidRPr="00131A73">
        <w:rPr>
          <w:color w:val="000000"/>
        </w:rPr>
        <w:t xml:space="preserve"> </w:t>
      </w:r>
      <w:r w:rsidRPr="00131A73">
        <w:t>(2019</w:t>
      </w:r>
      <w:r w:rsidR="00683CB0" w:rsidRPr="00131A73">
        <w:t> г.</w:t>
      </w:r>
      <w:r w:rsidRPr="00131A73">
        <w:t>);</w:t>
      </w:r>
    </w:p>
    <w:p w14:paraId="23B3BE25" w14:textId="1BAFCEA3" w:rsidR="00B16371" w:rsidRPr="00131A73" w:rsidRDefault="00B16371" w:rsidP="00651707">
      <w:pPr>
        <w:pStyle w:val="enumlev1"/>
        <w:spacing w:before="50"/>
      </w:pPr>
      <w:r w:rsidRPr="00131A73">
        <w:t>−</w:t>
      </w:r>
      <w:r w:rsidRPr="00131A73">
        <w:tab/>
      </w:r>
      <w:r w:rsidR="008C7FD7" w:rsidRPr="00131A73">
        <w:rPr>
          <w:color w:val="000000"/>
        </w:rPr>
        <w:t>с</w:t>
      </w:r>
      <w:r w:rsidR="00907C1E" w:rsidRPr="00131A73">
        <w:rPr>
          <w:color w:val="000000"/>
        </w:rPr>
        <w:t>тандарты по закупкам доступных продуктов и услуг (на английском языке</w:t>
      </w:r>
      <w:r w:rsidRPr="00131A73">
        <w:t>) (2019</w:t>
      </w:r>
      <w:r w:rsidR="00683CB0" w:rsidRPr="00131A73">
        <w:t> г.</w:t>
      </w:r>
      <w:r w:rsidRPr="00131A73">
        <w:t>);</w:t>
      </w:r>
    </w:p>
    <w:p w14:paraId="41926643" w14:textId="34158664" w:rsidR="00B16371" w:rsidRPr="00131A73" w:rsidRDefault="00B16371" w:rsidP="00651707">
      <w:pPr>
        <w:pStyle w:val="enumlev1"/>
        <w:spacing w:before="50"/>
      </w:pPr>
      <w:r w:rsidRPr="00131A73">
        <w:t>−</w:t>
      </w:r>
      <w:r w:rsidRPr="00131A73">
        <w:tab/>
      </w:r>
      <w:r w:rsidR="008C7FD7" w:rsidRPr="00131A73">
        <w:rPr>
          <w:color w:val="000000"/>
        </w:rPr>
        <w:t>б</w:t>
      </w:r>
      <w:r w:rsidR="00907C1E" w:rsidRPr="00131A73">
        <w:rPr>
          <w:color w:val="000000"/>
        </w:rPr>
        <w:t xml:space="preserve">удущее доступных аудиовизуальных мультимедийных услуг, ТВ и видеопрограмм </w:t>
      </w:r>
      <w:r w:rsidRPr="00131A73">
        <w:t>(2019</w:t>
      </w:r>
      <w:r w:rsidR="00907C1E" w:rsidRPr="00131A73">
        <w:t> г.</w:t>
      </w:r>
      <w:r w:rsidRPr="00131A73">
        <w:t>);</w:t>
      </w:r>
    </w:p>
    <w:p w14:paraId="2869E37F" w14:textId="55A07BA2" w:rsidR="00B16371" w:rsidRPr="00131A73" w:rsidRDefault="00B16371" w:rsidP="00651707">
      <w:pPr>
        <w:pStyle w:val="enumlev1"/>
        <w:spacing w:before="50"/>
      </w:pPr>
      <w:r w:rsidRPr="00131A73">
        <w:t>−</w:t>
      </w:r>
      <w:r w:rsidRPr="00131A73">
        <w:tab/>
      </w:r>
      <w:r w:rsidR="008C7FD7" w:rsidRPr="00131A73">
        <w:t>с</w:t>
      </w:r>
      <w:r w:rsidR="007344E1" w:rsidRPr="00131A73">
        <w:t>трановая образовательная программа по сетевой доступности "Интернет для всех" (</w:t>
      </w:r>
      <w:r w:rsidRPr="00131A73">
        <w:t>"Internet for @all"</w:t>
      </w:r>
      <w:r w:rsidR="007344E1" w:rsidRPr="00131A73">
        <w:t>)</w:t>
      </w:r>
      <w:r w:rsidRPr="00131A73">
        <w:t xml:space="preserve">, </w:t>
      </w:r>
      <w:r w:rsidR="007344E1" w:rsidRPr="00131A73">
        <w:t>с сетевой учебной программой на арабском, английском, французском, испанском языках</w:t>
      </w:r>
      <w:r w:rsidRPr="00131A73">
        <w:t xml:space="preserve"> (2018</w:t>
      </w:r>
      <w:r w:rsidR="00683CB0" w:rsidRPr="00131A73">
        <w:t> г.</w:t>
      </w:r>
      <w:r w:rsidRPr="00131A73">
        <w:t>);</w:t>
      </w:r>
    </w:p>
    <w:p w14:paraId="014939BC" w14:textId="38DE686E" w:rsidR="00B16371" w:rsidRPr="00131A73" w:rsidRDefault="00B16371" w:rsidP="00651707">
      <w:pPr>
        <w:pStyle w:val="enumlev1"/>
        <w:spacing w:before="50"/>
      </w:pPr>
      <w:r w:rsidRPr="00131A73">
        <w:t>−</w:t>
      </w:r>
      <w:r w:rsidRPr="00131A73">
        <w:tab/>
      </w:r>
      <w:r w:rsidR="007344E1" w:rsidRPr="00131A73">
        <w:t>учебное видеопособие по образовательн</w:t>
      </w:r>
      <w:r w:rsidR="00D25DD1" w:rsidRPr="00131A73">
        <w:t>ой</w:t>
      </w:r>
      <w:r w:rsidR="007344E1" w:rsidRPr="00131A73">
        <w:t xml:space="preserve"> программ</w:t>
      </w:r>
      <w:r w:rsidR="00D25DD1" w:rsidRPr="00131A73">
        <w:t>е</w:t>
      </w:r>
      <w:r w:rsidR="007344E1" w:rsidRPr="00131A73">
        <w:t xml:space="preserve"> по сетевой доступности "Интернет для всех" ("Internet for @all")</w:t>
      </w:r>
      <w:r w:rsidRPr="00131A73">
        <w:t xml:space="preserve"> (2018</w:t>
      </w:r>
      <w:r w:rsidR="00683CB0" w:rsidRPr="00131A73">
        <w:t> г.</w:t>
      </w:r>
      <w:r w:rsidRPr="00131A73">
        <w:t>);</w:t>
      </w:r>
    </w:p>
    <w:p w14:paraId="7138966B" w14:textId="69A7B558" w:rsidR="00B16371" w:rsidRPr="00131A73" w:rsidRDefault="00B16371" w:rsidP="00651707">
      <w:pPr>
        <w:pStyle w:val="enumlev1"/>
        <w:spacing w:before="50"/>
      </w:pPr>
      <w:r w:rsidRPr="00131A73">
        <w:t>−</w:t>
      </w:r>
      <w:r w:rsidRPr="00131A73">
        <w:tab/>
      </w:r>
      <w:r w:rsidR="007344E1" w:rsidRPr="00131A73">
        <w:t xml:space="preserve">учебные видеопособия </w:t>
      </w:r>
      <w:r w:rsidR="00A01B2D" w:rsidRPr="00131A73">
        <w:t xml:space="preserve">по </w:t>
      </w:r>
      <w:r w:rsidR="00A01B2D" w:rsidRPr="00131A73">
        <w:rPr>
          <w:color w:val="000000"/>
        </w:rPr>
        <w:t>созданию доступного цифрового контента и устранени</w:t>
      </w:r>
      <w:r w:rsidR="008C7FD7" w:rsidRPr="00131A73">
        <w:rPr>
          <w:color w:val="000000"/>
        </w:rPr>
        <w:t>ю</w:t>
      </w:r>
      <w:r w:rsidR="00A01B2D" w:rsidRPr="00131A73">
        <w:rPr>
          <w:color w:val="000000"/>
        </w:rPr>
        <w:t xml:space="preserve"> недостатков (пять учебных видеопособий)</w:t>
      </w:r>
      <w:r w:rsidR="00A01B2D" w:rsidRPr="00131A73">
        <w:t xml:space="preserve"> </w:t>
      </w:r>
      <w:r w:rsidRPr="00131A73">
        <w:t>(2018</w:t>
      </w:r>
      <w:r w:rsidR="00CC1874" w:rsidRPr="00131A73">
        <w:t xml:space="preserve"> </w:t>
      </w:r>
      <w:r w:rsidR="00683CB0" w:rsidRPr="00131A73">
        <w:t>г.</w:t>
      </w:r>
      <w:r w:rsidRPr="00131A73">
        <w:t xml:space="preserve">, </w:t>
      </w:r>
      <w:r w:rsidR="00550E87" w:rsidRPr="00131A73">
        <w:t>на английском, французском, испанском языках</w:t>
      </w:r>
      <w:r w:rsidRPr="00131A73">
        <w:t>).</w:t>
      </w:r>
    </w:p>
    <w:p w14:paraId="7F500947" w14:textId="4A2305CD" w:rsidR="00C63CDA" w:rsidRPr="00131A73" w:rsidRDefault="00A01B2D" w:rsidP="00651707">
      <w:r w:rsidRPr="00131A73">
        <w:t xml:space="preserve">Был создан потенциал более чем для 1300 человек из числа членов МСЭ, заинтересованных сторон и директивных органов по темам, связанным с цифровой доступностью, в рамках </w:t>
      </w:r>
      <w:r w:rsidR="00920E42" w:rsidRPr="00131A73">
        <w:t>очных, смешанных и онлайновых занятий</w:t>
      </w:r>
      <w:r w:rsidR="00C63CDA" w:rsidRPr="00131A73">
        <w:t xml:space="preserve">. </w:t>
      </w:r>
      <w:r w:rsidR="00920E42" w:rsidRPr="00131A73">
        <w:t>Ряд участников получили сертификаты МСЭ</w:t>
      </w:r>
      <w:r w:rsidR="00C63CDA" w:rsidRPr="00131A73">
        <w:t xml:space="preserve">. </w:t>
      </w:r>
    </w:p>
    <w:p w14:paraId="3C80E4F3" w14:textId="0CB86E70" w:rsidR="00C63CDA" w:rsidRPr="00131A73" w:rsidRDefault="00920E42" w:rsidP="00651707">
      <w:r w:rsidRPr="00131A73">
        <w:t>Наряду с этим специальный опыт и знания МСЭ</w:t>
      </w:r>
      <w:r w:rsidRPr="00131A73">
        <w:noBreakHyphen/>
      </w:r>
      <w:r w:rsidR="00C63CDA" w:rsidRPr="00131A73">
        <w:t xml:space="preserve">D </w:t>
      </w:r>
      <w:r w:rsidRPr="00131A73">
        <w:t xml:space="preserve">способствовали осуществлению </w:t>
      </w:r>
      <w:r w:rsidRPr="00131A73">
        <w:rPr>
          <w:color w:val="000000"/>
        </w:rPr>
        <w:t xml:space="preserve">Стратегии ООН по интеграции лиц с ограниченными возможностями и развитию связанных с ООН ресурсов, </w:t>
      </w:r>
      <w:r w:rsidR="008F48C1" w:rsidRPr="00131A73">
        <w:rPr>
          <w:color w:val="000000"/>
        </w:rPr>
        <w:t>к</w:t>
      </w:r>
      <w:r w:rsidRPr="00131A73">
        <w:rPr>
          <w:color w:val="000000"/>
        </w:rPr>
        <w:t xml:space="preserve"> числ</w:t>
      </w:r>
      <w:r w:rsidR="008F48C1" w:rsidRPr="00131A73">
        <w:rPr>
          <w:color w:val="000000"/>
        </w:rPr>
        <w:t>у которых относятся</w:t>
      </w:r>
      <w:r w:rsidR="00C63CDA" w:rsidRPr="00131A73">
        <w:t>:</w:t>
      </w:r>
    </w:p>
    <w:p w14:paraId="37DC175E" w14:textId="40996E90" w:rsidR="00C63CDA" w:rsidRPr="00131A73" w:rsidRDefault="00C63CDA" w:rsidP="00651707">
      <w:pPr>
        <w:pStyle w:val="enumlev1"/>
        <w:spacing w:before="60"/>
      </w:pPr>
      <w:r w:rsidRPr="00131A73">
        <w:t>−</w:t>
      </w:r>
      <w:r w:rsidRPr="00131A73">
        <w:tab/>
      </w:r>
      <w:r w:rsidR="008F48C1" w:rsidRPr="00131A73">
        <w:t>Тенденции в технологиях ВОИС и ассистивные технологии</w:t>
      </w:r>
      <w:r w:rsidRPr="00131A73">
        <w:t xml:space="preserve"> (2020</w:t>
      </w:r>
      <w:r w:rsidR="008F48C1" w:rsidRPr="00131A73">
        <w:t> г.</w:t>
      </w:r>
      <w:r w:rsidRPr="00131A73">
        <w:t>);</w:t>
      </w:r>
    </w:p>
    <w:p w14:paraId="117949DE" w14:textId="03B2941B" w:rsidR="00C63CDA" w:rsidRPr="00131A73" w:rsidRDefault="00C63CDA" w:rsidP="00651707">
      <w:pPr>
        <w:pStyle w:val="enumlev1"/>
        <w:spacing w:before="60"/>
      </w:pPr>
      <w:r w:rsidRPr="00131A73">
        <w:lastRenderedPageBreak/>
        <w:t>−</w:t>
      </w:r>
      <w:r w:rsidRPr="00131A73">
        <w:tab/>
      </w:r>
      <w:r w:rsidR="008F48C1" w:rsidRPr="00131A73">
        <w:t xml:space="preserve">Практика </w:t>
      </w:r>
      <w:r w:rsidR="008F48C1" w:rsidRPr="00131A73">
        <w:rPr>
          <w:color w:val="000000"/>
        </w:rPr>
        <w:t xml:space="preserve">ООН по интеграции лиц с ограниченными возможностями </w:t>
      </w:r>
      <w:r w:rsidR="00971CC7" w:rsidRPr="00131A73">
        <w:rPr>
          <w:color w:val="000000"/>
        </w:rPr>
        <w:t>для стратегии ведения оперативной деятельности</w:t>
      </w:r>
      <w:r w:rsidRPr="00131A73">
        <w:t xml:space="preserve"> (2021</w:t>
      </w:r>
      <w:r w:rsidR="008F48C1" w:rsidRPr="00131A73">
        <w:t> г.</w:t>
      </w:r>
      <w:r w:rsidRPr="00131A73">
        <w:t>);</w:t>
      </w:r>
    </w:p>
    <w:p w14:paraId="75137F85" w14:textId="1761B532" w:rsidR="00C63CDA" w:rsidRPr="00131A73" w:rsidRDefault="00C63CDA" w:rsidP="00651707">
      <w:pPr>
        <w:pStyle w:val="enumlev1"/>
        <w:spacing w:before="60"/>
      </w:pPr>
      <w:r w:rsidRPr="00131A73">
        <w:t>−</w:t>
      </w:r>
      <w:r w:rsidRPr="00131A73">
        <w:tab/>
      </w:r>
      <w:r w:rsidR="00971CC7" w:rsidRPr="00131A73">
        <w:t>Круг ведения "Руководящих указаний</w:t>
      </w:r>
      <w:r w:rsidR="00A41B6A" w:rsidRPr="00131A73">
        <w:t xml:space="preserve"> по </w:t>
      </w:r>
      <w:r w:rsidR="00971CC7" w:rsidRPr="00131A73">
        <w:t>ИКТ/</w:t>
      </w:r>
      <w:r w:rsidR="00A41B6A" w:rsidRPr="00131A73">
        <w:t>доступности приложений телемедицины и электронного здравоохранения</w:t>
      </w:r>
      <w:r w:rsidR="00971CC7" w:rsidRPr="00131A73">
        <w:t>"</w:t>
      </w:r>
      <w:r w:rsidR="00A41B6A" w:rsidRPr="00131A73">
        <w:t>, разработанн</w:t>
      </w:r>
      <w:r w:rsidR="00971CC7" w:rsidRPr="00131A73">
        <w:t xml:space="preserve">ый </w:t>
      </w:r>
      <w:r w:rsidR="00A41B6A" w:rsidRPr="00131A73">
        <w:t xml:space="preserve">совместной </w:t>
      </w:r>
      <w:r w:rsidR="00D25DD1" w:rsidRPr="00131A73">
        <w:t xml:space="preserve">чрезвычайной </w:t>
      </w:r>
      <w:r w:rsidR="00A41B6A" w:rsidRPr="00131A73">
        <w:t>рабочей группой ООН по вопросам здравоохранения, реагирования и восстановления в условиях пандемии COVID-19</w:t>
      </w:r>
      <w:r w:rsidR="00D25DD1" w:rsidRPr="00131A73">
        <w:t xml:space="preserve"> по направлению деятельности в области здравоохранения</w:t>
      </w:r>
      <w:r w:rsidRPr="00131A73">
        <w:t xml:space="preserve"> (2020</w:t>
      </w:r>
      <w:r w:rsidR="00A41B6A" w:rsidRPr="00131A73">
        <w:t> г.</w:t>
      </w:r>
      <w:r w:rsidRPr="00131A73">
        <w:t>);</w:t>
      </w:r>
    </w:p>
    <w:p w14:paraId="0810022A" w14:textId="3809D2BC" w:rsidR="00C63CDA" w:rsidRPr="00131A73" w:rsidRDefault="00C63CDA" w:rsidP="00651707">
      <w:pPr>
        <w:pStyle w:val="enumlev1"/>
        <w:spacing w:before="60"/>
      </w:pPr>
      <w:r w:rsidRPr="00131A73">
        <w:t>−</w:t>
      </w:r>
      <w:r w:rsidRPr="00131A73">
        <w:tab/>
      </w:r>
      <w:r w:rsidR="00D25DD1" w:rsidRPr="00131A73">
        <w:t xml:space="preserve">Отчет МСЭ по </w:t>
      </w:r>
      <w:r w:rsidR="00D25DD1" w:rsidRPr="00131A73">
        <w:rPr>
          <w:color w:val="000000"/>
        </w:rPr>
        <w:t>Стратегии ООН по интеграции лиц с ограниченными возможностями</w:t>
      </w:r>
      <w:r w:rsidR="00D25DD1" w:rsidRPr="00131A73">
        <w:t xml:space="preserve"> </w:t>
      </w:r>
      <w:r w:rsidRPr="00131A73">
        <w:t>(2019</w:t>
      </w:r>
      <w:r w:rsidR="008F48C1" w:rsidRPr="00131A73">
        <w:t> г.</w:t>
      </w:r>
      <w:r w:rsidRPr="00131A73">
        <w:t>);</w:t>
      </w:r>
    </w:p>
    <w:p w14:paraId="692FA7A6" w14:textId="61BD3A07" w:rsidR="00C63CDA" w:rsidRPr="00131A73" w:rsidRDefault="00C63CDA" w:rsidP="00651707">
      <w:pPr>
        <w:pStyle w:val="enumlev1"/>
        <w:spacing w:before="60"/>
      </w:pPr>
      <w:r w:rsidRPr="00131A73">
        <w:t>−</w:t>
      </w:r>
      <w:r w:rsidRPr="00131A73">
        <w:tab/>
      </w:r>
      <w:r w:rsidR="00D25DD1" w:rsidRPr="00131A73">
        <w:t xml:space="preserve">Совместный проект МСЭ и МОТ по разработке Руководящих указаний для обеспечения цифровой </w:t>
      </w:r>
      <w:r w:rsidR="00D25DD1" w:rsidRPr="00131A73">
        <w:rPr>
          <w:color w:val="000000"/>
        </w:rPr>
        <w:t>доступности онлайновых систем поиска работы и подбора персонала</w:t>
      </w:r>
      <w:r w:rsidRPr="00131A73">
        <w:t xml:space="preserve">. </w:t>
      </w:r>
      <w:r w:rsidR="00D25DD1" w:rsidRPr="00131A73">
        <w:t xml:space="preserve">Этот проект </w:t>
      </w:r>
      <w:r w:rsidR="003E2157" w:rsidRPr="00131A73">
        <w:t>обеспечивает ориентацию и развивает потенциал правительств и учреждений ООН по гарантии доступа к работе для всех</w:t>
      </w:r>
      <w:r w:rsidRPr="00131A73">
        <w:t xml:space="preserve"> (2021</w:t>
      </w:r>
      <w:r w:rsidR="008F48C1" w:rsidRPr="00131A73">
        <w:t> г.</w:t>
      </w:r>
      <w:r w:rsidRPr="00131A73">
        <w:t>).</w:t>
      </w:r>
    </w:p>
    <w:p w14:paraId="24A818AB" w14:textId="77777777" w:rsidR="00536C60" w:rsidRPr="00131A73" w:rsidRDefault="00536C60" w:rsidP="00255945">
      <w:pPr>
        <w:pStyle w:val="Headingb"/>
      </w:pPr>
      <w:r w:rsidRPr="00131A73">
        <w:t>Женщины и девушки</w:t>
      </w:r>
    </w:p>
    <w:p w14:paraId="75E4C1B2" w14:textId="7E56570F" w:rsidR="00A41B6A" w:rsidRPr="00131A73" w:rsidRDefault="0043194D" w:rsidP="00A41B6A">
      <w:pPr>
        <w:pStyle w:val="Heading3"/>
        <w:keepNext w:val="0"/>
        <w:snapToGrid w:val="0"/>
        <w:spacing w:before="120" w:after="120"/>
        <w:ind w:left="0" w:firstLine="0"/>
        <w:rPr>
          <w:b w:val="0"/>
        </w:rPr>
      </w:pPr>
      <w:r w:rsidRPr="00131A73">
        <w:rPr>
          <w:b w:val="0"/>
        </w:rPr>
        <w:t>22 апреля 2021 года отмечалась</w:t>
      </w:r>
      <w:r w:rsidR="00A41B6A" w:rsidRPr="00131A73">
        <w:rPr>
          <w:b w:val="0"/>
        </w:rPr>
        <w:t xml:space="preserve"> </w:t>
      </w:r>
      <w:hyperlink r:id="rId53" w:history="1">
        <w:r w:rsidRPr="00131A73">
          <w:rPr>
            <w:rStyle w:val="Hyperlink"/>
            <w:b w:val="0"/>
          </w:rPr>
          <w:t>десятая годовщина Дня "Девушки в ИКТ"</w:t>
        </w:r>
      </w:hyperlink>
      <w:r w:rsidR="00A41B6A" w:rsidRPr="00131A73">
        <w:rPr>
          <w:b w:val="0"/>
        </w:rPr>
        <w:t xml:space="preserve">. </w:t>
      </w:r>
      <w:r w:rsidRPr="00131A73">
        <w:rPr>
          <w:b w:val="0"/>
        </w:rPr>
        <w:t>Серия виртуальных мероприятий "Девушки в ИКТ: 10 эпизодов" по теме "</w:t>
      </w:r>
      <w:r w:rsidRPr="00131A73">
        <w:rPr>
          <w:b w:val="0"/>
          <w:bCs/>
          <w:color w:val="000000"/>
        </w:rPr>
        <w:t>Соединим девушек, создадим более светлое будущее" была проведена МСЭ и его партнерами</w:t>
      </w:r>
      <w:r w:rsidR="00A41B6A" w:rsidRPr="00131A73">
        <w:rPr>
          <w:b w:val="0"/>
        </w:rPr>
        <w:t xml:space="preserve">. </w:t>
      </w:r>
      <w:r w:rsidR="00991843" w:rsidRPr="00131A73">
        <w:rPr>
          <w:b w:val="0"/>
        </w:rPr>
        <w:t>Серия "10 эпизодов" разрабатывалась с тремя целями</w:t>
      </w:r>
      <w:r w:rsidR="00A41B6A" w:rsidRPr="00131A73">
        <w:rPr>
          <w:b w:val="0"/>
        </w:rPr>
        <w:t xml:space="preserve">: </w:t>
      </w:r>
      <w:r w:rsidR="00991843" w:rsidRPr="00131A73">
        <w:rPr>
          <w:b w:val="0"/>
          <w:bCs/>
          <w:color w:val="000000"/>
        </w:rPr>
        <w:t>активизация деятельности и повышение осведомленности</w:t>
      </w:r>
      <w:r w:rsidR="00991843" w:rsidRPr="00131A73">
        <w:rPr>
          <w:b w:val="0"/>
        </w:rPr>
        <w:t xml:space="preserve"> о значении привлечения девушек в сферу</w:t>
      </w:r>
      <w:r w:rsidR="00A41B6A" w:rsidRPr="00131A73">
        <w:rPr>
          <w:b w:val="0"/>
        </w:rPr>
        <w:t xml:space="preserve"> STEM; </w:t>
      </w:r>
      <w:r w:rsidR="00991843" w:rsidRPr="00131A73">
        <w:rPr>
          <w:b w:val="0"/>
        </w:rPr>
        <w:t>привлечение основных заинтересованных сторон и сообществ</w:t>
      </w:r>
      <w:r w:rsidR="00A41B6A" w:rsidRPr="00131A73">
        <w:rPr>
          <w:b w:val="0"/>
        </w:rPr>
        <w:t xml:space="preserve">; </w:t>
      </w:r>
      <w:r w:rsidR="00991843" w:rsidRPr="00131A73">
        <w:rPr>
          <w:b w:val="0"/>
        </w:rPr>
        <w:t xml:space="preserve">и создание открытой для всех платформы для обсуждения оптимальных способов </w:t>
      </w:r>
      <w:r w:rsidR="00991843" w:rsidRPr="00131A73">
        <w:rPr>
          <w:b w:val="0"/>
          <w:bCs/>
          <w:color w:val="000000"/>
        </w:rPr>
        <w:t>стимулирования девушек к выбору профессий в дисциплинах STEM</w:t>
      </w:r>
      <w:r w:rsidR="00A41B6A" w:rsidRPr="00131A73">
        <w:rPr>
          <w:b w:val="0"/>
        </w:rPr>
        <w:t>.</w:t>
      </w:r>
    </w:p>
    <w:p w14:paraId="0C787431" w14:textId="1D51D2F7" w:rsidR="00536C60" w:rsidRPr="00131A73" w:rsidRDefault="00536C60" w:rsidP="00536C60">
      <w:pPr>
        <w:overflowPunct/>
        <w:autoSpaceDE/>
        <w:adjustRightInd/>
        <w:rPr>
          <w:rFonts w:eastAsia="SimSun"/>
        </w:rPr>
      </w:pPr>
      <w:r w:rsidRPr="00131A73">
        <w:rPr>
          <w:rFonts w:cstheme="minorHAnsi"/>
          <w:bCs/>
          <w:szCs w:val="24"/>
        </w:rPr>
        <w:t xml:space="preserve">Более 500 девушек приняли участие в семинарах-практикумах по программированию в рамках инициативы МСЭ </w:t>
      </w:r>
      <w:r w:rsidRPr="00131A73">
        <w:t>"</w:t>
      </w:r>
      <w:hyperlink r:id="rId54" w:history="1">
        <w:r w:rsidRPr="00131A73">
          <w:rPr>
            <w:rStyle w:val="Hyperlink"/>
            <w:rFonts w:cstheme="minorHAnsi"/>
            <w:bCs/>
            <w:szCs w:val="24"/>
          </w:rPr>
          <w:t>Африканские девушки могут программировать</w:t>
        </w:r>
      </w:hyperlink>
      <w:r w:rsidRPr="00131A73">
        <w:t>"</w:t>
      </w:r>
      <w:r w:rsidRPr="00131A73">
        <w:rPr>
          <w:rFonts w:cstheme="minorHAnsi"/>
          <w:bCs/>
          <w:szCs w:val="24"/>
        </w:rPr>
        <w:t xml:space="preserve">, осуществляемой </w:t>
      </w:r>
      <w:r w:rsidRPr="00131A73">
        <w:t xml:space="preserve">при поддержке </w:t>
      </w:r>
      <w:r w:rsidR="00991843" w:rsidRPr="00131A73">
        <w:t xml:space="preserve">МСЭ, </w:t>
      </w:r>
      <w:r w:rsidRPr="00131A73">
        <w:t xml:space="preserve">Африканского союза и Структуры "ООН-женщины" и при финансовой поддержке МСЭ и посольства Дании в Эфиопии. </w:t>
      </w:r>
      <w:r w:rsidRPr="00131A73">
        <w:rPr>
          <w:rFonts w:eastAsia="SimSun"/>
        </w:rPr>
        <w:t>В рамках инициативы "</w:t>
      </w:r>
      <w:hyperlink r:id="rId55" w:history="1">
        <w:r w:rsidRPr="00131A73">
          <w:rPr>
            <w:rStyle w:val="Hyperlink"/>
            <w:rFonts w:eastAsia="SimSun"/>
          </w:rPr>
          <w:t>Американские девушки могут программировать</w:t>
        </w:r>
      </w:hyperlink>
      <w:r w:rsidRPr="00131A73">
        <w:rPr>
          <w:rFonts w:eastAsia="SimSun"/>
        </w:rPr>
        <w:t xml:space="preserve">" более 7000 девушек научились программировать в ходе серии семинаров-практикумов, организованных при поддержке многочисленных </w:t>
      </w:r>
      <w:r w:rsidR="00991843" w:rsidRPr="00131A73">
        <w:rPr>
          <w:rFonts w:eastAsia="SimSun"/>
        </w:rPr>
        <w:t>различных партнеров</w:t>
      </w:r>
      <w:r w:rsidRPr="00131A73">
        <w:rPr>
          <w:rFonts w:eastAsia="SimSun"/>
        </w:rPr>
        <w:t>.</w:t>
      </w:r>
    </w:p>
    <w:p w14:paraId="7218A8F8" w14:textId="1C5D7441" w:rsidR="00A41B6A" w:rsidRPr="00131A73" w:rsidRDefault="00A41B6A" w:rsidP="00A41B6A">
      <w:r w:rsidRPr="00131A73">
        <w:t xml:space="preserve">МСЭ является одним из основателей </w:t>
      </w:r>
      <w:r w:rsidR="00BE1E73" w:rsidRPr="00131A73">
        <w:t>инициативы</w:t>
      </w:r>
      <w:r w:rsidRPr="00131A73">
        <w:t xml:space="preserve"> "РАВНЫЕ", учрежденно</w:t>
      </w:r>
      <w:r w:rsidR="00BE1E73" w:rsidRPr="00131A73">
        <w:t>й</w:t>
      </w:r>
      <w:r w:rsidRPr="00131A73">
        <w:t xml:space="preserve"> в 2016 году, и вместе с другими членами возглавляет усилия по обеспечению доступа женщин к ИКТ, получения ими цифровых навыков и укрепления ими лидерских позиций. Инициатива "РАВНЫЕ" – это сотрудничество более 100 партнеров из 115 стран. Благодаря данному партнерству более 52 000 женщин и девушек получили цифровые навыки и участвовали в программах наставничества</w:t>
      </w:r>
      <w:r w:rsidR="00BE1E73" w:rsidRPr="00131A73">
        <w:t>.</w:t>
      </w:r>
      <w:r w:rsidRPr="00131A73">
        <w:t xml:space="preserve"> </w:t>
      </w:r>
      <w:r w:rsidR="00BE1E73" w:rsidRPr="00131A73">
        <w:t>Б</w:t>
      </w:r>
      <w:r w:rsidRPr="00131A73">
        <w:t>ыло</w:t>
      </w:r>
      <w:r w:rsidR="00BE1E73" w:rsidRPr="00131A73">
        <w:t xml:space="preserve"> </w:t>
      </w:r>
      <w:r w:rsidRPr="00131A73">
        <w:t xml:space="preserve">изучено </w:t>
      </w:r>
      <w:r w:rsidR="00BE1E73" w:rsidRPr="00131A73">
        <w:t xml:space="preserve">около </w:t>
      </w:r>
      <w:r w:rsidRPr="00131A73">
        <w:t>146 научно-исследовательских проектов, направленных на преодоление гендерного цифрового разрыва и определение решений для районов, в которых отсутствует регулярный доступ к интернету и цифровым технологиям. Инициативы, которые возглавляет МСЭ в рамках партнерства "РАВНЫЕ" и через региональные отделения, стали возможны благодаря экспертным знаниям и сотрудничеству правительств стран-партнеров и компаний частного сектора.</w:t>
      </w:r>
    </w:p>
    <w:p w14:paraId="0D64DCA4" w14:textId="2F4F9540" w:rsidR="00A41B6A" w:rsidRPr="00131A73" w:rsidRDefault="00A41B6A" w:rsidP="00A41B6A">
      <w:r w:rsidRPr="00131A73">
        <w:t xml:space="preserve">В течение длительного времени МСЭ проводит работу по защите ребенка в онлайновой среде в целях разработки программы подготовки по обеспечению безопасности девушек в онлайновой среде. </w:t>
      </w:r>
      <w:r w:rsidR="00BE1E73" w:rsidRPr="00131A73">
        <w:t xml:space="preserve">В </w:t>
      </w:r>
      <w:r w:rsidRPr="00131A73">
        <w:t xml:space="preserve">2020 </w:t>
      </w:r>
      <w:r w:rsidR="00BE1E73" w:rsidRPr="00131A73">
        <w:t>и</w:t>
      </w:r>
      <w:r w:rsidRPr="00131A73">
        <w:t xml:space="preserve"> 2021</w:t>
      </w:r>
      <w:r w:rsidR="00BE1E73" w:rsidRPr="00131A73">
        <w:t> годах в Пакистане были проведены семинары-практикумы</w:t>
      </w:r>
      <w:r w:rsidRPr="00131A73">
        <w:t xml:space="preserve">. </w:t>
      </w:r>
      <w:r w:rsidR="00BE1E73" w:rsidRPr="00131A73">
        <w:t>В 2021 году модуль</w:t>
      </w:r>
      <w:r w:rsidRPr="00131A73">
        <w:t xml:space="preserve"> безопасности станет частью семинаров-практикумов для девушек, проводимых совместно с Ассоциацией GSM в двенадцати странах.</w:t>
      </w:r>
    </w:p>
    <w:p w14:paraId="5AC22E77" w14:textId="5C180514" w:rsidR="00A41B6A" w:rsidRPr="00131A73" w:rsidRDefault="00A41B6A" w:rsidP="00A41B6A">
      <w:r w:rsidRPr="00131A73">
        <w:t>(</w:t>
      </w:r>
      <w:r w:rsidR="0072154D" w:rsidRPr="00131A73">
        <w:t xml:space="preserve">См. дополнительную информацию по деятельности, связанной с </w:t>
      </w:r>
      <w:r w:rsidRPr="00131A73">
        <w:t>COP</w:t>
      </w:r>
      <w:r w:rsidR="0072154D" w:rsidRPr="00131A73">
        <w:t>, в разделе 2 настоящего документа.</w:t>
      </w:r>
      <w:r w:rsidRPr="00131A73">
        <w:t>)</w:t>
      </w:r>
    </w:p>
    <w:p w14:paraId="6867C847" w14:textId="15A8F531" w:rsidR="00A41B6A" w:rsidRPr="00131A73" w:rsidRDefault="00E93344" w:rsidP="00A41B6A">
      <w:r w:rsidRPr="00131A73">
        <w:t xml:space="preserve">Совместно с такими партнерами по коалиции "Навыки" партнерства "РАВНЫЕ", как </w:t>
      </w:r>
      <w:r w:rsidR="00A41B6A" w:rsidRPr="00131A73">
        <w:t xml:space="preserve">Ernst and Young </w:t>
      </w:r>
      <w:r w:rsidRPr="00131A73">
        <w:t xml:space="preserve">и Ассоциация </w:t>
      </w:r>
      <w:r w:rsidR="00A41B6A" w:rsidRPr="00131A73">
        <w:t xml:space="preserve">GSM, </w:t>
      </w:r>
      <w:r w:rsidRPr="00131A73">
        <w:t xml:space="preserve">МСЭ планирует провести первый курс профессиональной подготовки по гендерным вопросам и ИКТ, чтобы обеспечить наличие у девушек и молодых женщин в различных странах мира цифровых навыков, необходимых для доступа </w:t>
      </w:r>
      <w:r w:rsidR="006017CE" w:rsidRPr="00131A73">
        <w:t>к</w:t>
      </w:r>
      <w:r w:rsidRPr="00131A73">
        <w:t xml:space="preserve"> перспективам занятости и предпринимательства</w:t>
      </w:r>
      <w:r w:rsidR="00A41B6A" w:rsidRPr="00131A73">
        <w:t>.</w:t>
      </w:r>
    </w:p>
    <w:p w14:paraId="7171415D" w14:textId="2EA960BE" w:rsidR="00A41B6A" w:rsidRPr="00131A73" w:rsidRDefault="00A41B6A" w:rsidP="00A41B6A">
      <w:r w:rsidRPr="00131A73">
        <w:lastRenderedPageBreak/>
        <w:t xml:space="preserve">В марте 2021 года МСЭ, инициатива FIRST и партнерство "РАВНЫЕ" приступили к осуществлению программы наставничества </w:t>
      </w:r>
      <w:hyperlink r:id="rId56" w:history="1">
        <w:r w:rsidRPr="00131A73">
          <w:rPr>
            <w:rStyle w:val="Hyperlink"/>
          </w:rPr>
          <w:t>"Женщины в киберсфере"</w:t>
        </w:r>
      </w:hyperlink>
      <w:r w:rsidRPr="00131A73">
        <w:t xml:space="preserve">, в рамках которой будут проводиться ежемесячные встречи с наставниками, а также вспомогательные мероприятия, такие как серия </w:t>
      </w:r>
      <w:r w:rsidR="00130398" w:rsidRPr="00131A73">
        <w:t>мотивационных</w:t>
      </w:r>
      <w:r w:rsidRPr="00131A73">
        <w:t xml:space="preserve"> выступлений и курсы по обучению техническим навыкам и навыкам работы с людьми. Программа </w:t>
      </w:r>
      <w:r w:rsidR="00130398" w:rsidRPr="00131A73">
        <w:t>имеет целью</w:t>
      </w:r>
      <w:r w:rsidRPr="00131A73">
        <w:t xml:space="preserve"> изменение менталитета и преодоление системных барьеров, препятствующих большей открытости для всех, создание стимулов для женщин брать на себя руководящие роли в сфере кибербезопасности, а также содействие обмену знаниями о передовом профессиональном опыте.</w:t>
      </w:r>
    </w:p>
    <w:p w14:paraId="20E5790F" w14:textId="1D971846" w:rsidR="00A41B6A" w:rsidRPr="00131A73" w:rsidRDefault="00A41B6A" w:rsidP="00A41B6A">
      <w:r w:rsidRPr="00131A73">
        <w:t xml:space="preserve">МСЭ и компания CISCO представили </w:t>
      </w:r>
      <w:hyperlink r:id="rId57" w:history="1">
        <w:r w:rsidRPr="00131A73">
          <w:t>учебное пространство CISCO-РАВНЫЕ</w:t>
        </w:r>
      </w:hyperlink>
      <w:r w:rsidRPr="00131A73">
        <w:t xml:space="preserve">, целью которого является предоставление онлайновых курсов для развития технических навыков, где девушки и молодые женщины могут получить доступ к бесплатному обучению по конкретным темам, таким как кибербезопасность, предпринимательство и интернет вещей. Курсы </w:t>
      </w:r>
      <w:r w:rsidR="006017CE" w:rsidRPr="00131A73">
        <w:t>предусматривают свободный график</w:t>
      </w:r>
      <w:r w:rsidRPr="00131A73">
        <w:t xml:space="preserve"> и включают сессии в режиме реального времени, которые проводят эксперты сети "РАВНЫЕ". </w:t>
      </w:r>
      <w:r w:rsidR="00130398" w:rsidRPr="00131A73">
        <w:t>Участники, которые успешно завершат обучение</w:t>
      </w:r>
      <w:r w:rsidR="007B54EB" w:rsidRPr="00131A73">
        <w:t xml:space="preserve">, получат сертификат </w:t>
      </w:r>
      <w:r w:rsidRPr="00131A73">
        <w:t xml:space="preserve">CISCO </w:t>
      </w:r>
      <w:r w:rsidR="007B54EB" w:rsidRPr="00131A73">
        <w:t>и партнерства "РАВНЫЕ" и присоединятся к сообществу девушек и женщин, чьи права и возможности расширены благодаря знанию ИКТ и техническим навыкам</w:t>
      </w:r>
      <w:r w:rsidRPr="00131A73">
        <w:t xml:space="preserve">. </w:t>
      </w:r>
      <w:r w:rsidR="007B54EB" w:rsidRPr="00131A73">
        <w:t>Дополнительная информация размещена</w:t>
      </w:r>
      <w:r w:rsidRPr="00131A73">
        <w:t xml:space="preserve"> </w:t>
      </w:r>
      <w:hyperlink r:id="rId58" w:history="1">
        <w:r w:rsidR="007B54EB" w:rsidRPr="00131A73">
          <w:rPr>
            <w:rStyle w:val="Hyperlink"/>
          </w:rPr>
          <w:t>здесь</w:t>
        </w:r>
      </w:hyperlink>
      <w:r w:rsidRPr="00131A73">
        <w:t>.</w:t>
      </w:r>
    </w:p>
    <w:p w14:paraId="1E61FA0F" w14:textId="516D0AF4" w:rsidR="00A41B6A" w:rsidRPr="00131A73" w:rsidRDefault="007B54EB" w:rsidP="00A41B6A">
      <w:pPr>
        <w:rPr>
          <w:rFonts w:asciiTheme="minorHAnsi" w:hAnsiTheme="minorHAnsi" w:cstheme="minorHAnsi"/>
        </w:rPr>
      </w:pPr>
      <w:r w:rsidRPr="00131A73">
        <w:rPr>
          <w:rFonts w:asciiTheme="minorHAnsi" w:hAnsiTheme="minorHAnsi" w:cstheme="minorHAnsi"/>
        </w:rPr>
        <w:t>9</w:t>
      </w:r>
      <w:r w:rsidR="00A41B6A" w:rsidRPr="00131A73">
        <w:rPr>
          <w:rFonts w:asciiTheme="minorHAnsi" w:hAnsiTheme="minorHAnsi" w:cstheme="minorHAnsi"/>
        </w:rPr>
        <w:t xml:space="preserve"> март</w:t>
      </w:r>
      <w:r w:rsidRPr="00131A73">
        <w:rPr>
          <w:rFonts w:asciiTheme="minorHAnsi" w:hAnsiTheme="minorHAnsi" w:cstheme="minorHAnsi"/>
        </w:rPr>
        <w:t>а,</w:t>
      </w:r>
      <w:r w:rsidR="00A41B6A" w:rsidRPr="00131A73">
        <w:rPr>
          <w:rFonts w:asciiTheme="minorHAnsi" w:hAnsiTheme="minorHAnsi" w:cstheme="minorHAnsi"/>
        </w:rPr>
        <w:t xml:space="preserve"> в рамках специальной сессии по теме "</w:t>
      </w:r>
      <w:hyperlink r:id="rId59" w:history="1">
        <w:r w:rsidR="00A41B6A" w:rsidRPr="00131A73">
          <w:rPr>
            <w:rFonts w:asciiTheme="minorHAnsi" w:hAnsiTheme="minorHAnsi" w:cstheme="minorHAnsi"/>
          </w:rPr>
          <w:t>Обеспеченное цифровыми возможностями равенство поколений после пандемии COVID-19</w:t>
        </w:r>
      </w:hyperlink>
      <w:r w:rsidR="00A41B6A" w:rsidRPr="00131A73">
        <w:rPr>
          <w:rFonts w:asciiTheme="minorHAnsi" w:hAnsiTheme="minorHAnsi" w:cstheme="minorHAnsi"/>
        </w:rPr>
        <w:t xml:space="preserve">" Отделение МСЭ для Европы представило совместный отчет МСЭ и структуры "ООН-Женщины", посвященный </w:t>
      </w:r>
      <w:hyperlink r:id="rId60" w:history="1">
        <w:r w:rsidR="00A41B6A" w:rsidRPr="00131A73">
          <w:rPr>
            <w:rStyle w:val="Hyperlink"/>
            <w:rFonts w:asciiTheme="minorHAnsi" w:hAnsiTheme="minorHAnsi" w:cstheme="minorHAnsi"/>
          </w:rPr>
          <w:t xml:space="preserve">основным проблемам и </w:t>
        </w:r>
        <w:r w:rsidRPr="00131A73">
          <w:rPr>
            <w:rStyle w:val="Hyperlink"/>
            <w:rFonts w:asciiTheme="minorHAnsi" w:hAnsiTheme="minorHAnsi" w:cstheme="minorHAnsi"/>
          </w:rPr>
          <w:t>перспективам</w:t>
        </w:r>
        <w:r w:rsidR="00A41B6A" w:rsidRPr="00131A73">
          <w:rPr>
            <w:rStyle w:val="Hyperlink"/>
            <w:rFonts w:asciiTheme="minorHAnsi" w:hAnsiTheme="minorHAnsi" w:cstheme="minorHAnsi"/>
          </w:rPr>
          <w:t xml:space="preserve"> в области расширения прав и возможностей женщин и девушек с помощью ИКТ</w:t>
        </w:r>
      </w:hyperlink>
      <w:r w:rsidR="00A41B6A" w:rsidRPr="00131A73">
        <w:rPr>
          <w:rFonts w:asciiTheme="minorHAnsi" w:hAnsiTheme="minorHAnsi" w:cstheme="minorHAnsi"/>
        </w:rPr>
        <w:t>.</w:t>
      </w:r>
    </w:p>
    <w:p w14:paraId="6D3665D7" w14:textId="21BD42D4" w:rsidR="00A41B6A" w:rsidRPr="00131A73" w:rsidRDefault="00A41B6A" w:rsidP="00A41B6A">
      <w:r w:rsidRPr="00131A73">
        <w:t xml:space="preserve">Для стран Латинской Америки дважды проводился онлайновый учебный курс, посвященный работе женщин-руководителей в секторе электросвязи и ИКТ, который был организован </w:t>
      </w:r>
      <w:r w:rsidR="007B54EB" w:rsidRPr="00131A73">
        <w:t xml:space="preserve">в марте 2021 года </w:t>
      </w:r>
      <w:r w:rsidRPr="00131A73">
        <w:t xml:space="preserve">в координации с Глобальным партнерством "РАВНЫЕ". В </w:t>
      </w:r>
      <w:hyperlink r:id="rId61" w:history="1">
        <w:r w:rsidR="007B54EB" w:rsidRPr="00131A73">
          <w:rPr>
            <w:rStyle w:val="Hyperlink"/>
          </w:rPr>
          <w:t>учебных курсах</w:t>
        </w:r>
      </w:hyperlink>
      <w:r w:rsidRPr="00131A73">
        <w:t xml:space="preserve"> приняли участие </w:t>
      </w:r>
      <w:r w:rsidR="007B54EB" w:rsidRPr="00131A73">
        <w:t>почти</w:t>
      </w:r>
      <w:r w:rsidRPr="00131A73">
        <w:t xml:space="preserve"> 100</w:t>
      </w:r>
      <w:r w:rsidR="007B54EB" w:rsidRPr="00131A73">
        <w:t> </w:t>
      </w:r>
      <w:r w:rsidRPr="00131A73">
        <w:t>человек.</w:t>
      </w:r>
    </w:p>
    <w:p w14:paraId="04E55B97" w14:textId="7088A12D" w:rsidR="00A41B6A" w:rsidRPr="00131A73" w:rsidRDefault="00A41B6A" w:rsidP="00A41B6A">
      <w:pPr>
        <w:rPr>
          <w:bdr w:val="none" w:sz="0" w:space="0" w:color="auto" w:frame="1"/>
        </w:rPr>
      </w:pPr>
      <w:r w:rsidRPr="00131A73">
        <w:rPr>
          <w:rFonts w:cstheme="minorHAnsi"/>
        </w:rPr>
        <w:t>Наград</w:t>
      </w:r>
      <w:r w:rsidR="007B54EB" w:rsidRPr="00131A73">
        <w:rPr>
          <w:rFonts w:cstheme="minorHAnsi"/>
        </w:rPr>
        <w:t>ами</w:t>
      </w:r>
      <w:r w:rsidRPr="00131A73">
        <w:rPr>
          <w:rFonts w:cstheme="minorHAnsi"/>
        </w:rPr>
        <w:t xml:space="preserve"> "РАВНЫЕ в технологиях",</w:t>
      </w:r>
      <w:r w:rsidRPr="00131A73">
        <w:t xml:space="preserve"> присуждаемы</w:t>
      </w:r>
      <w:r w:rsidR="007B54EB" w:rsidRPr="00131A73">
        <w:t>ми</w:t>
      </w:r>
      <w:r w:rsidRPr="00131A73">
        <w:t xml:space="preserve"> </w:t>
      </w:r>
      <w:r w:rsidRPr="00131A73">
        <w:rPr>
          <w:bdr w:val="none" w:sz="0" w:space="0" w:color="auto" w:frame="1"/>
        </w:rPr>
        <w:t>Глобальным партнерством "РАВНЫЕ"</w:t>
      </w:r>
      <w:r w:rsidRPr="00131A73">
        <w:t xml:space="preserve">, </w:t>
      </w:r>
      <w:r w:rsidR="007B54EB" w:rsidRPr="00131A73">
        <w:t>отмечаются</w:t>
      </w:r>
      <w:r w:rsidRPr="00131A73">
        <w:t xml:space="preserve"> </w:t>
      </w:r>
      <w:r w:rsidRPr="00131A73">
        <w:rPr>
          <w:rFonts w:cstheme="minorHAnsi"/>
        </w:rPr>
        <w:t>инновационные</w:t>
      </w:r>
      <w:r w:rsidRPr="00131A73">
        <w:t xml:space="preserve"> решения, направленные на устранение цифрового гендерного разрыва. </w:t>
      </w:r>
      <w:r w:rsidRPr="00131A73">
        <w:rPr>
          <w:bdr w:val="none" w:sz="0" w:space="0" w:color="auto" w:frame="1"/>
        </w:rPr>
        <w:t xml:space="preserve">В рамках проведения седьмого конкурса </w:t>
      </w:r>
      <w:r w:rsidRPr="00131A73">
        <w:rPr>
          <w:rFonts w:cstheme="minorHAnsi"/>
        </w:rPr>
        <w:t xml:space="preserve">"РАВНЫЕ в технологиях" 2020 года </w:t>
      </w:r>
      <w:r w:rsidRPr="00131A73">
        <w:rPr>
          <w:bdr w:val="none" w:sz="0" w:space="0" w:color="auto" w:frame="1"/>
        </w:rPr>
        <w:t>было получено более 340 заявок из 70 стран от кандидатов, представляющих частны</w:t>
      </w:r>
      <w:r w:rsidR="006017CE" w:rsidRPr="00131A73">
        <w:rPr>
          <w:bdr w:val="none" w:sz="0" w:space="0" w:color="auto" w:frame="1"/>
        </w:rPr>
        <w:t>й</w:t>
      </w:r>
      <w:r w:rsidRPr="00131A73">
        <w:rPr>
          <w:bdr w:val="none" w:sz="0" w:space="0" w:color="auto" w:frame="1"/>
        </w:rPr>
        <w:t xml:space="preserve"> сектор, гражданское общество, правительства и академические организации.</w:t>
      </w:r>
      <w:r w:rsidRPr="00131A73">
        <w:t xml:space="preserve"> </w:t>
      </w:r>
      <w:r w:rsidRPr="00131A73">
        <w:rPr>
          <w:bdr w:val="none" w:sz="0" w:space="0" w:color="auto" w:frame="1"/>
        </w:rPr>
        <w:t>Церемония вручения наград состоялась в виртуальном формате во время проведения Форума по вопросам управления использованием интернета 6 ноября 2020 года.</w:t>
      </w:r>
    </w:p>
    <w:p w14:paraId="7D408012" w14:textId="449C2D63" w:rsidR="003B08E5" w:rsidRPr="00131A73" w:rsidRDefault="00536C60" w:rsidP="00536C60">
      <w:pPr>
        <w:rPr>
          <w:rFonts w:cstheme="minorHAnsi"/>
        </w:rPr>
      </w:pPr>
      <w:r w:rsidRPr="00131A73">
        <w:rPr>
          <w:rFonts w:cstheme="minorHAnsi"/>
        </w:rPr>
        <w:t xml:space="preserve">В </w:t>
      </w:r>
      <w:r w:rsidR="007B54EB" w:rsidRPr="00131A73">
        <w:rPr>
          <w:rFonts w:cstheme="minorHAnsi"/>
        </w:rPr>
        <w:t xml:space="preserve">сентябре </w:t>
      </w:r>
      <w:r w:rsidRPr="00131A73">
        <w:rPr>
          <w:rFonts w:cstheme="minorHAnsi"/>
        </w:rPr>
        <w:t>2020 год</w:t>
      </w:r>
      <w:r w:rsidR="007B54EB" w:rsidRPr="00131A73">
        <w:rPr>
          <w:rFonts w:cstheme="minorHAnsi"/>
        </w:rPr>
        <w:t>а</w:t>
      </w:r>
      <w:r w:rsidRPr="00131A73">
        <w:rPr>
          <w:rFonts w:cstheme="minorHAnsi"/>
        </w:rPr>
        <w:t xml:space="preserve"> МСЭ в партнерстве с Расширенной комплексной рамочной программой (РКРП) и ЮНОПС приступил к осуществлению совместного проекта по укреплению цифровой экосистемы и формированию цифровых навыков среди женщин в наименее развитых странах (НРС). Этот проект направлен на оказание поддержки женщинам в Бурунди, </w:t>
      </w:r>
      <w:r w:rsidR="003B08E5" w:rsidRPr="00131A73">
        <w:rPr>
          <w:rFonts w:cstheme="minorHAnsi"/>
        </w:rPr>
        <w:t xml:space="preserve">Эфиопии и на </w:t>
      </w:r>
      <w:r w:rsidRPr="00131A73">
        <w:rPr>
          <w:rFonts w:cstheme="minorHAnsi"/>
        </w:rPr>
        <w:t>Гаити</w:t>
      </w:r>
      <w:r w:rsidR="003B08E5" w:rsidRPr="00131A73">
        <w:rPr>
          <w:rFonts w:cstheme="minorHAnsi"/>
        </w:rPr>
        <w:t>. Это будет обеспечиваться</w:t>
      </w:r>
      <w:r w:rsidRPr="00131A73">
        <w:rPr>
          <w:rFonts w:cstheme="minorHAnsi"/>
        </w:rPr>
        <w:t xml:space="preserve"> путем создания потенциала на политическом уровне, расширения возможностей правительств по учету гендерной проблематики и ИКТ, а также расширения перспектив женщин-предпринимателей с помощью технологий в таких секторах, как текстильная и швейная промышленность</w:t>
      </w:r>
      <w:r w:rsidR="006017CE" w:rsidRPr="00131A73">
        <w:rPr>
          <w:rFonts w:cstheme="minorHAnsi"/>
        </w:rPr>
        <w:t>,</w:t>
      </w:r>
      <w:r w:rsidRPr="00131A73">
        <w:rPr>
          <w:rFonts w:cstheme="minorHAnsi"/>
        </w:rPr>
        <w:t xml:space="preserve"> и в производственно-сбытовых цепочках, связанных с производством кофе и какао.</w:t>
      </w:r>
    </w:p>
    <w:p w14:paraId="5FF2F105" w14:textId="2E7E35D1" w:rsidR="00536C60" w:rsidRPr="00131A73" w:rsidRDefault="00536C60" w:rsidP="00536C60">
      <w:r w:rsidRPr="00131A73">
        <w:t xml:space="preserve">Этот совместный проект является вкладом в </w:t>
      </w:r>
      <w:hyperlink r:id="rId62" w:history="1">
        <w:r w:rsidRPr="00131A73">
          <w:rPr>
            <w:rStyle w:val="Hyperlink"/>
          </w:rPr>
          <w:t>Глобальное партнерство "РАВНЫЕ"</w:t>
        </w:r>
      </w:hyperlink>
      <w:r w:rsidRPr="00131A73">
        <w:t xml:space="preserve"> и частью инициативы РКРП "</w:t>
      </w:r>
      <w:hyperlink r:id="rId63" w:history="1">
        <w:r w:rsidRPr="00131A73">
          <w:rPr>
            <w:rStyle w:val="Hyperlink"/>
          </w:rPr>
          <w:t>Расширение прав и возможностей женщин как движущая сила торговли</w:t>
        </w:r>
      </w:hyperlink>
      <w:r w:rsidRPr="00131A73">
        <w:t>".</w:t>
      </w:r>
    </w:p>
    <w:p w14:paraId="6CE165C3" w14:textId="309325DA" w:rsidR="000B58AD" w:rsidRPr="00131A73" w:rsidRDefault="000B58AD" w:rsidP="000B58AD">
      <w:pPr>
        <w:rPr>
          <w:rFonts w:eastAsia="Calibri"/>
        </w:rPr>
      </w:pPr>
      <w:r w:rsidRPr="00131A73">
        <w:rPr>
          <w:rFonts w:eastAsiaTheme="minorHAnsi" w:cs="Calibri"/>
          <w:color w:val="000000"/>
        </w:rPr>
        <w:t xml:space="preserve">В январе 2021 года </w:t>
      </w:r>
      <w:r w:rsidR="003B08E5" w:rsidRPr="00131A73">
        <w:rPr>
          <w:rFonts w:eastAsiaTheme="minorHAnsi" w:cs="Calibri"/>
          <w:color w:val="000000"/>
        </w:rPr>
        <w:t>БРЭ</w:t>
      </w:r>
      <w:r w:rsidRPr="00131A73">
        <w:rPr>
          <w:rFonts w:eastAsiaTheme="minorHAnsi" w:cs="Calibri"/>
          <w:color w:val="000000"/>
        </w:rPr>
        <w:t xml:space="preserve"> объявил</w:t>
      </w:r>
      <w:r w:rsidR="003B08E5" w:rsidRPr="00131A73">
        <w:rPr>
          <w:rFonts w:eastAsiaTheme="minorHAnsi" w:cs="Calibri"/>
          <w:color w:val="000000"/>
        </w:rPr>
        <w:t>о</w:t>
      </w:r>
      <w:r w:rsidRPr="00131A73">
        <w:rPr>
          <w:rFonts w:eastAsiaTheme="minorHAnsi" w:cs="Calibri"/>
          <w:color w:val="000000"/>
        </w:rPr>
        <w:t xml:space="preserve"> об инициативе "Сеть женщин на В</w:t>
      </w:r>
      <w:r w:rsidR="003B08E5" w:rsidRPr="00131A73">
        <w:rPr>
          <w:rFonts w:eastAsiaTheme="minorHAnsi" w:cs="Calibri"/>
          <w:color w:val="000000"/>
        </w:rPr>
        <w:t>КРЭ</w:t>
      </w:r>
      <w:r w:rsidRPr="00131A73">
        <w:rPr>
          <w:rFonts w:eastAsiaTheme="minorHAnsi" w:cs="Calibri"/>
          <w:color w:val="000000"/>
        </w:rPr>
        <w:t>"</w:t>
      </w:r>
      <w:r w:rsidR="006017CE" w:rsidRPr="00131A73">
        <w:rPr>
          <w:rFonts w:eastAsiaTheme="minorHAnsi" w:cs="Calibri"/>
          <w:color w:val="000000"/>
        </w:rPr>
        <w:t>.</w:t>
      </w:r>
      <w:r w:rsidRPr="00131A73">
        <w:rPr>
          <w:rFonts w:eastAsiaTheme="minorHAnsi" w:cs="Calibri"/>
          <w:color w:val="000000"/>
        </w:rPr>
        <w:t xml:space="preserve"> </w:t>
      </w:r>
      <w:r w:rsidR="006017CE" w:rsidRPr="00131A73">
        <w:rPr>
          <w:rFonts w:eastAsiaTheme="minorHAnsi" w:cs="Calibri"/>
          <w:color w:val="000000"/>
        </w:rPr>
        <w:t>О</w:t>
      </w:r>
      <w:r w:rsidR="003B08E5" w:rsidRPr="00131A73">
        <w:rPr>
          <w:rFonts w:eastAsiaTheme="minorHAnsi" w:cs="Calibri"/>
          <w:color w:val="000000"/>
        </w:rPr>
        <w:t>бщей</w:t>
      </w:r>
      <w:r w:rsidR="006017CE" w:rsidRPr="00131A73">
        <w:rPr>
          <w:rFonts w:eastAsiaTheme="minorHAnsi" w:cs="Calibri"/>
          <w:color w:val="000000"/>
        </w:rPr>
        <w:t xml:space="preserve"> </w:t>
      </w:r>
      <w:r w:rsidRPr="00131A73">
        <w:rPr>
          <w:rFonts w:eastAsiaTheme="minorHAnsi" w:cs="Calibri"/>
          <w:color w:val="000000"/>
        </w:rPr>
        <w:t xml:space="preserve">целью </w:t>
      </w:r>
      <w:r w:rsidR="00B81254" w:rsidRPr="00131A73">
        <w:rPr>
          <w:rFonts w:eastAsiaTheme="minorHAnsi" w:cs="Calibri"/>
          <w:color w:val="000000"/>
        </w:rPr>
        <w:t xml:space="preserve">Инициативы </w:t>
      </w:r>
      <w:r w:rsidR="00B81254" w:rsidRPr="00131A73">
        <w:t>NoW4WTDC21</w:t>
      </w:r>
      <w:r w:rsidRPr="00131A73">
        <w:rPr>
          <w:rFonts w:eastAsiaTheme="minorHAnsi" w:cs="Calibri"/>
          <w:color w:val="000000"/>
        </w:rPr>
        <w:t xml:space="preserve"> является увеличение числа женщин, участвующих в собраниях МСЭ-D, а также занятие ими руководящих должностей, таких как </w:t>
      </w:r>
      <w:r w:rsidR="006017CE" w:rsidRPr="00131A73">
        <w:rPr>
          <w:rFonts w:eastAsiaTheme="minorHAnsi" w:cs="Calibri"/>
          <w:color w:val="000000"/>
        </w:rPr>
        <w:t xml:space="preserve">должности </w:t>
      </w:r>
      <w:r w:rsidRPr="00131A73">
        <w:rPr>
          <w:rFonts w:eastAsiaTheme="minorHAnsi" w:cs="Calibri"/>
          <w:color w:val="000000"/>
        </w:rPr>
        <w:t>председател</w:t>
      </w:r>
      <w:r w:rsidR="006017CE" w:rsidRPr="00131A73">
        <w:rPr>
          <w:rFonts w:eastAsiaTheme="minorHAnsi" w:cs="Calibri"/>
          <w:color w:val="000000"/>
        </w:rPr>
        <w:t>ей</w:t>
      </w:r>
      <w:r w:rsidRPr="00131A73">
        <w:rPr>
          <w:rFonts w:eastAsiaTheme="minorHAnsi" w:cs="Calibri"/>
          <w:color w:val="000000"/>
        </w:rPr>
        <w:t xml:space="preserve"> комитетов и рабочих групп, и выполнение других управленческих функций, связанных с подготовкой собственно ВКРЭ и </w:t>
      </w:r>
      <w:r w:rsidR="006017CE" w:rsidRPr="00131A73">
        <w:rPr>
          <w:rFonts w:eastAsiaTheme="minorHAnsi" w:cs="Calibri"/>
          <w:color w:val="000000"/>
        </w:rPr>
        <w:t xml:space="preserve">с </w:t>
      </w:r>
      <w:r w:rsidRPr="00131A73">
        <w:rPr>
          <w:rFonts w:eastAsiaTheme="minorHAnsi" w:cs="Calibri"/>
          <w:color w:val="000000"/>
        </w:rPr>
        <w:t xml:space="preserve">другими процессами. </w:t>
      </w:r>
      <w:r w:rsidR="00B81254" w:rsidRPr="00131A73">
        <w:rPr>
          <w:rFonts w:eastAsiaTheme="minorHAnsi" w:cs="Calibri"/>
          <w:color w:val="000000"/>
        </w:rPr>
        <w:t>На каждом из региональных подготовительных собраний была создана своя самоуправляющаяся региональная сеть</w:t>
      </w:r>
      <w:r w:rsidRPr="00131A73">
        <w:t xml:space="preserve"> NoW4WTDC21. </w:t>
      </w:r>
      <w:r w:rsidRPr="00131A73">
        <w:rPr>
          <w:rFonts w:eastAsiaTheme="minorHAnsi" w:cs="Calibri"/>
          <w:color w:val="000000"/>
        </w:rPr>
        <w:t xml:space="preserve">Эта инициатива станет платформой для понимания проблем, с которыми сталкиваются женщины-делегаты, и изучения возможных путей их </w:t>
      </w:r>
      <w:r w:rsidRPr="00131A73">
        <w:rPr>
          <w:rFonts w:eastAsiaTheme="minorHAnsi" w:cs="Calibri"/>
          <w:color w:val="000000"/>
        </w:rPr>
        <w:lastRenderedPageBreak/>
        <w:t xml:space="preserve">преодоления. Кроме того, она позволит обмениваться важными уроками в </w:t>
      </w:r>
      <w:r w:rsidR="00B81254" w:rsidRPr="00131A73">
        <w:rPr>
          <w:rFonts w:cs="Calibri"/>
        </w:rPr>
        <w:t>положительно</w:t>
      </w:r>
      <w:r w:rsidRPr="00131A73">
        <w:rPr>
          <w:rFonts w:cs="Calibri"/>
        </w:rPr>
        <w:t xml:space="preserve"> настроенном сообществе</w:t>
      </w:r>
      <w:r w:rsidRPr="00131A73">
        <w:rPr>
          <w:rFonts w:eastAsiaTheme="minorHAnsi" w:cs="Calibri"/>
          <w:color w:val="000000"/>
        </w:rPr>
        <w:t xml:space="preserve"> благодаря созданию возможностей для наставничества и налаживания контактов.</w:t>
      </w:r>
    </w:p>
    <w:p w14:paraId="5F3331B0" w14:textId="3DDC4688" w:rsidR="000B58AD" w:rsidRPr="00131A73" w:rsidRDefault="00B81254" w:rsidP="000B58AD">
      <w:pPr>
        <w:spacing w:after="120"/>
      </w:pPr>
      <w:r w:rsidRPr="00131A73">
        <w:rPr>
          <w:rFonts w:eastAsia="SimSun"/>
        </w:rPr>
        <w:t>В Азиатско-Тихоокеанском регионе празднование Дня "Девушки в ИКТ"</w:t>
      </w:r>
      <w:r w:rsidR="00615F7D" w:rsidRPr="00131A73">
        <w:rPr>
          <w:rFonts w:eastAsia="SimSun"/>
        </w:rPr>
        <w:t xml:space="preserve"> в Таиланде проходило в виртуальном формате с августа по сентябрь</w:t>
      </w:r>
      <w:r w:rsidR="000B58AD" w:rsidRPr="00131A73">
        <w:rPr>
          <w:rFonts w:eastAsia="SimSun"/>
        </w:rPr>
        <w:t xml:space="preserve"> 2020</w:t>
      </w:r>
      <w:r w:rsidR="00615F7D" w:rsidRPr="00131A73">
        <w:rPr>
          <w:rFonts w:eastAsia="SimSun"/>
        </w:rPr>
        <w:t> года и проводилось совместно правительством, учреждениями ООН и компаниями частного сектора</w:t>
      </w:r>
      <w:r w:rsidR="000B58AD" w:rsidRPr="00131A73">
        <w:rPr>
          <w:rFonts w:eastAsia="SimSun"/>
        </w:rPr>
        <w:t xml:space="preserve">. </w:t>
      </w:r>
      <w:r w:rsidR="00615F7D" w:rsidRPr="00131A73">
        <w:rPr>
          <w:rFonts w:eastAsia="SimSun"/>
        </w:rPr>
        <w:t>Мероприятие, в котором приняли участие почти 300 девушек и молодых женщин из отдаленных провинций, дало им возможность получить базовые знания о ИИ, кибербезопасности, электронном сельском хозяйстве, электронной коммерции и руководящих функциях</w:t>
      </w:r>
      <w:r w:rsidR="000B58AD" w:rsidRPr="00131A73">
        <w:rPr>
          <w:rFonts w:eastAsia="SimSun"/>
        </w:rPr>
        <w:t xml:space="preserve">. </w:t>
      </w:r>
    </w:p>
    <w:p w14:paraId="4A0614F0" w14:textId="779ED28B" w:rsidR="000B58AD" w:rsidRPr="00131A73" w:rsidRDefault="00615F7D" w:rsidP="000B58AD">
      <w:pPr>
        <w:spacing w:after="120"/>
      </w:pPr>
      <w:r w:rsidRPr="00131A73">
        <w:t xml:space="preserve">Глобальное официальное празднование </w:t>
      </w:r>
      <w:hyperlink r:id="rId64" w:history="1">
        <w:r w:rsidRPr="00131A73">
          <w:rPr>
            <w:rStyle w:val="Hyperlink"/>
          </w:rPr>
          <w:t>Дня "Девушки в ИКТ" 2019 года</w:t>
        </w:r>
      </w:hyperlink>
      <w:r w:rsidRPr="00131A73">
        <w:t xml:space="preserve"> прошло в Аддис-Абебе (Эфиопия) 24 и 25 апре</w:t>
      </w:r>
      <w:r w:rsidR="006B7CDA" w:rsidRPr="00131A73">
        <w:t>ля, в сотрудничестве с Комиссией Африканского союза и такими учреждениями ООН, как Структура "ООН-женщины", ПРООН, ЭКА ООН, а также корпорациями</w:t>
      </w:r>
      <w:r w:rsidR="000B58AD" w:rsidRPr="00131A73">
        <w:t xml:space="preserve"> Huawei Ethiopia </w:t>
      </w:r>
      <w:r w:rsidR="006B7CDA" w:rsidRPr="00131A73">
        <w:t>и</w:t>
      </w:r>
      <w:r w:rsidR="000B58AD" w:rsidRPr="00131A73">
        <w:t xml:space="preserve"> Ethio Telecom. </w:t>
      </w:r>
      <w:r w:rsidR="006B7CDA" w:rsidRPr="00131A73">
        <w:t xml:space="preserve">В праздновании в Аддис-Абебе </w:t>
      </w:r>
      <w:r w:rsidR="00C7671E" w:rsidRPr="00131A73">
        <w:t>приняли участие 250 школьниц в торжественный день в штаб-квартире Комиссии Африканского союза</w:t>
      </w:r>
      <w:r w:rsidR="000B58AD" w:rsidRPr="00131A73">
        <w:t xml:space="preserve">. </w:t>
      </w:r>
      <w:r w:rsidR="00C7671E" w:rsidRPr="00131A73">
        <w:t>До этого состоялись посещения двух школ в Бишофту вблизи Аддис-Абебе</w:t>
      </w:r>
      <w:r w:rsidR="000B58AD" w:rsidRPr="00131A73">
        <w:t xml:space="preserve">. </w:t>
      </w:r>
    </w:p>
    <w:p w14:paraId="665E1985" w14:textId="506FBACD" w:rsidR="000B58AD" w:rsidRPr="00131A73" w:rsidRDefault="00B54A6D" w:rsidP="000B58AD">
      <w:pPr>
        <w:spacing w:after="120"/>
      </w:pPr>
      <w:r w:rsidRPr="00131A73">
        <w:t>При праздновании Дня "Девушки в ИКТ" в 2020 году МСЭ совместно со странами Африки организовывал онлайновые мероприятия для празднования Дня "Девушки в ИКТ" в виртуальном формате</w:t>
      </w:r>
      <w:r w:rsidR="000B58AD" w:rsidRPr="00131A73">
        <w:t xml:space="preserve">. </w:t>
      </w:r>
      <w:r w:rsidRPr="00131A73">
        <w:t xml:space="preserve">Невзирая на глобальную пандемию </w:t>
      </w:r>
      <w:r w:rsidR="000B58AD" w:rsidRPr="00131A73">
        <w:t>COVID-19</w:t>
      </w:r>
      <w:r w:rsidRPr="00131A73">
        <w:t>, многие активные партнеры этого глобального движения</w:t>
      </w:r>
      <w:r w:rsidR="000B58AD" w:rsidRPr="00131A73">
        <w:t xml:space="preserve"> </w:t>
      </w:r>
      <w:r w:rsidRPr="00131A73">
        <w:t xml:space="preserve">предприняли </w:t>
      </w:r>
      <w:r w:rsidR="00A92D70" w:rsidRPr="00131A73">
        <w:t xml:space="preserve">грандиозные и впечатляющие усилия для преобразования своих проводимых на местах мероприятий в интересные виртуальные виды деятельности в связи с празднованием </w:t>
      </w:r>
      <w:hyperlink r:id="rId65" w:history="1">
        <w:r w:rsidR="00A92D70" w:rsidRPr="00131A73">
          <w:rPr>
            <w:rStyle w:val="Hyperlink"/>
          </w:rPr>
          <w:t>Дня "Девушки в ИКТ" 2020 года</w:t>
        </w:r>
      </w:hyperlink>
      <w:r w:rsidR="00A92D70" w:rsidRPr="00131A73">
        <w:t>, наглядно демонстрируя мощь технологий</w:t>
      </w:r>
      <w:r w:rsidR="000B58AD" w:rsidRPr="00131A73">
        <w:t>.</w:t>
      </w:r>
    </w:p>
    <w:p w14:paraId="4305F775" w14:textId="4DB4F328" w:rsidR="000B58AD" w:rsidRPr="00131A73" w:rsidRDefault="00A92D70" w:rsidP="000B58AD">
      <w:pPr>
        <w:spacing w:after="120"/>
      </w:pPr>
      <w:r w:rsidRPr="00131A73">
        <w:t>В Азиатско-Тихоокеанском регионе правительство Афганистана предложило МСЭ поддержать деятельность по подготовке программы "РАВНЫЕ" Афганистана</w:t>
      </w:r>
      <w:r w:rsidR="000B58AD" w:rsidRPr="00131A73">
        <w:t xml:space="preserve">. </w:t>
      </w:r>
      <w:r w:rsidRPr="00131A73">
        <w:t>В январе 2021 года была организована информационная сессия при поддержке первой леди Афганистана</w:t>
      </w:r>
      <w:r w:rsidR="000B58AD" w:rsidRPr="00131A73">
        <w:t xml:space="preserve">, ATRA, </w:t>
      </w:r>
      <w:r w:rsidR="00955E17" w:rsidRPr="00131A73">
        <w:t>Министерства связи и ИТ</w:t>
      </w:r>
      <w:r w:rsidR="000B58AD" w:rsidRPr="00131A73">
        <w:t xml:space="preserve">, </w:t>
      </w:r>
      <w:r w:rsidR="00955E17" w:rsidRPr="00131A73">
        <w:t>координатора-резидента системы ООН в Афганистане, УООН и Структуры "ООН-женщины"</w:t>
      </w:r>
      <w:r w:rsidR="000B58AD" w:rsidRPr="00131A73">
        <w:t>.</w:t>
      </w:r>
    </w:p>
    <w:p w14:paraId="1E516328" w14:textId="77777777" w:rsidR="00536C60" w:rsidRPr="00131A73" w:rsidRDefault="00536C60" w:rsidP="00536C60">
      <w:pPr>
        <w:pStyle w:val="Headingb"/>
      </w:pPr>
      <w:r w:rsidRPr="00131A73">
        <w:t>Коренные народы</w:t>
      </w:r>
    </w:p>
    <w:p w14:paraId="3355B4D9" w14:textId="45851197" w:rsidR="00536C60" w:rsidRPr="00131A73" w:rsidRDefault="00955E17" w:rsidP="00536C60">
      <w:r w:rsidRPr="00131A73">
        <w:rPr>
          <w:rFonts w:cs="Calibri"/>
        </w:rPr>
        <w:t xml:space="preserve">С 2005 года группа МСЭ-D по охвату цифровыми технологиями разработала программу </w:t>
      </w:r>
      <w:hyperlink r:id="rId66" w:history="1">
        <w:r w:rsidRPr="00131A73">
          <w:rPr>
            <w:rStyle w:val="Hyperlink"/>
            <w:rFonts w:cs="Calibri"/>
          </w:rPr>
          <w:t>создания потенциала для сообществ коренных народов</w:t>
        </w:r>
      </w:hyperlink>
      <w:r w:rsidRPr="00131A73">
        <w:rPr>
          <w:rFonts w:cs="Calibri"/>
        </w:rPr>
        <w:t xml:space="preserve">. Целью программы, разработанной </w:t>
      </w:r>
      <w:r w:rsidR="00536C60" w:rsidRPr="00131A73">
        <w:rPr>
          <w:rFonts w:cs="Calibri"/>
        </w:rPr>
        <w:t xml:space="preserve">в сотрудничестве с Фондом развития коренных народов Латинской Америки и Карибского бассейна (ФИЛАК), </w:t>
      </w:r>
      <w:r w:rsidR="00F06E7F" w:rsidRPr="00131A73">
        <w:rPr>
          <w:rFonts w:cs="Calibri"/>
        </w:rPr>
        <w:t xml:space="preserve">является </w:t>
      </w:r>
      <w:r w:rsidR="00536C60" w:rsidRPr="00131A73">
        <w:rPr>
          <w:rFonts w:cs="Calibri"/>
        </w:rPr>
        <w:t>расширени</w:t>
      </w:r>
      <w:r w:rsidR="00F06E7F" w:rsidRPr="00131A73">
        <w:rPr>
          <w:rFonts w:cs="Calibri"/>
        </w:rPr>
        <w:t>е</w:t>
      </w:r>
      <w:r w:rsidR="00536C60" w:rsidRPr="00131A73">
        <w:rPr>
          <w:rFonts w:cs="Calibri"/>
        </w:rPr>
        <w:t xml:space="preserve"> прав и возможностей коренных народов и их сообществ с помощью технологий </w:t>
      </w:r>
      <w:r w:rsidR="00F06E7F" w:rsidRPr="00131A73">
        <w:rPr>
          <w:rFonts w:cs="Calibri"/>
        </w:rPr>
        <w:t>и</w:t>
      </w:r>
      <w:r w:rsidR="00536C60" w:rsidRPr="00131A73">
        <w:rPr>
          <w:rFonts w:cs="Calibri"/>
        </w:rPr>
        <w:t xml:space="preserve"> поддержки </w:t>
      </w:r>
      <w:r w:rsidR="00F06E7F" w:rsidRPr="00131A73">
        <w:rPr>
          <w:rFonts w:cs="Calibri"/>
        </w:rPr>
        <w:t xml:space="preserve">их </w:t>
      </w:r>
      <w:r w:rsidR="00536C60" w:rsidRPr="00131A73">
        <w:rPr>
          <w:rFonts w:cs="Calibri"/>
        </w:rPr>
        <w:t xml:space="preserve">социально-экономического развития и развития образования, а также </w:t>
      </w:r>
      <w:r w:rsidR="00F06E7F" w:rsidRPr="00131A73">
        <w:rPr>
          <w:rFonts w:cs="Calibri"/>
        </w:rPr>
        <w:t>содействия</w:t>
      </w:r>
      <w:r w:rsidR="00536C60" w:rsidRPr="00131A73">
        <w:rPr>
          <w:rFonts w:cs="Calibri"/>
        </w:rPr>
        <w:t xml:space="preserve"> самодостаточности сообществ коренных народов и сохранения их культурного наследия. </w:t>
      </w:r>
      <w:r w:rsidR="00536C60" w:rsidRPr="00131A73">
        <w:t>За период с 2018 по 2020 год около 550 мужчин и женщин из числа коренных народов (53 процента мужчин, 47 процентов женщин) прошли обучение по инновационным коммуникационным средствам, направленное на укрепление знаний сообществ коренных народов в области ИКТ</w:t>
      </w:r>
      <w:r w:rsidR="0028690D" w:rsidRPr="00131A73">
        <w:t>, причем</w:t>
      </w:r>
      <w:r w:rsidR="00536C60" w:rsidRPr="00131A73">
        <w:t xml:space="preserve"> особо</w:t>
      </w:r>
      <w:r w:rsidR="0028690D" w:rsidRPr="00131A73">
        <w:t>е</w:t>
      </w:r>
      <w:r w:rsidR="00536C60" w:rsidRPr="00131A73">
        <w:t xml:space="preserve"> внимани</w:t>
      </w:r>
      <w:r w:rsidR="0028690D" w:rsidRPr="00131A73">
        <w:t>е уделялось</w:t>
      </w:r>
      <w:r w:rsidR="00536C60" w:rsidRPr="00131A73">
        <w:t xml:space="preserve"> вопросам развития</w:t>
      </w:r>
      <w:r w:rsidR="0028690D" w:rsidRPr="00131A73">
        <w:t>, управления и эксплуатации</w:t>
      </w:r>
      <w:r w:rsidR="00536C60" w:rsidRPr="00131A73">
        <w:t xml:space="preserve"> радиосетей для </w:t>
      </w:r>
      <w:r w:rsidR="0028690D" w:rsidRPr="00131A73">
        <w:t xml:space="preserve">сообществ </w:t>
      </w:r>
      <w:r w:rsidR="00536C60" w:rsidRPr="00131A73">
        <w:t xml:space="preserve">коренного населения, и обучение (в смешанном формате) по </w:t>
      </w:r>
      <w:hyperlink r:id="rId67" w:history="1">
        <w:r w:rsidR="00536C60" w:rsidRPr="00131A73">
          <w:rPr>
            <w:rStyle w:val="Hyperlink"/>
          </w:rPr>
          <w:t>Учебной программе для технических координаторов в сообществах коренных народов по созданию, развитию и обслуживанию технологий сетей связи и вещания</w:t>
        </w:r>
      </w:hyperlink>
      <w:r w:rsidR="00536C60" w:rsidRPr="00131A73">
        <w:t>.</w:t>
      </w:r>
    </w:p>
    <w:p w14:paraId="7A07AEF6" w14:textId="0B4D80EB" w:rsidR="00536C60" w:rsidRPr="00131A73" w:rsidRDefault="00536C60" w:rsidP="00536C60">
      <w:pPr>
        <w:rPr>
          <w:bCs/>
          <w:color w:val="002060"/>
        </w:rPr>
      </w:pPr>
      <w:r w:rsidRPr="00131A73">
        <w:t xml:space="preserve">С учетом событий, связанных с пандемией COVID-19, онлайновый курс по инновационным коммуникационным средствам был </w:t>
      </w:r>
      <w:r w:rsidR="006017CE" w:rsidRPr="00131A73">
        <w:t>пере</w:t>
      </w:r>
      <w:r w:rsidRPr="00131A73">
        <w:t>работан: в него был включен специальный модуль по вопросам обеспечения связи в чрезвычайных ситуациях, предназначенный для координаторов из сообществ коренных народов. В него была включена интерактивная сессия с участием координаторов из сообществ коренных народов для обмена опытом, полученным за время пандемии.</w:t>
      </w:r>
      <w:r w:rsidR="00970251" w:rsidRPr="00131A73">
        <w:t xml:space="preserve"> </w:t>
      </w:r>
      <w:r w:rsidR="0028690D" w:rsidRPr="00131A73">
        <w:t>В</w:t>
      </w:r>
      <w:r w:rsidR="00970251" w:rsidRPr="00131A73">
        <w:t xml:space="preserve"> 2021</w:t>
      </w:r>
      <w:r w:rsidR="0028690D" w:rsidRPr="00131A73">
        <w:t> году продолжается осуществление онлайновой программы профессиональной подготовки для коренных народов по двум направлениям</w:t>
      </w:r>
      <w:r w:rsidR="00970251" w:rsidRPr="00131A73">
        <w:t>: "Formación en Herramientas Innovadoras de Comunicación para el fortalecimiento de las capacidades de comunidades indígenas" (</w:t>
      </w:r>
      <w:r w:rsidR="0028690D" w:rsidRPr="00131A73">
        <w:t>с марта по май</w:t>
      </w:r>
      <w:r w:rsidR="00970251" w:rsidRPr="00131A73">
        <w:t xml:space="preserve"> </w:t>
      </w:r>
      <w:r w:rsidR="00970251" w:rsidRPr="00131A73">
        <w:lastRenderedPageBreak/>
        <w:t>2021</w:t>
      </w:r>
      <w:r w:rsidR="0028690D" w:rsidRPr="00131A73">
        <w:t> г.</w:t>
      </w:r>
      <w:r w:rsidR="00970251" w:rsidRPr="00131A73">
        <w:t xml:space="preserve">) </w:t>
      </w:r>
      <w:r w:rsidR="0028690D" w:rsidRPr="00131A73">
        <w:t>и</w:t>
      </w:r>
      <w:r w:rsidR="00970251" w:rsidRPr="00131A73">
        <w:t xml:space="preserve"> "Programa de Formación de Promotoras y Promotores Técnicos en Comunidades Indígenas en Telecomunicaciones y Radiodifusión" (</w:t>
      </w:r>
      <w:r w:rsidR="0028690D" w:rsidRPr="00131A73">
        <w:t xml:space="preserve">с </w:t>
      </w:r>
      <w:r w:rsidR="00970251" w:rsidRPr="00131A73">
        <w:t>22 </w:t>
      </w:r>
      <w:r w:rsidR="0028690D" w:rsidRPr="00131A73">
        <w:t>февраля по</w:t>
      </w:r>
      <w:r w:rsidR="00970251" w:rsidRPr="00131A73">
        <w:t xml:space="preserve"> 3</w:t>
      </w:r>
      <w:r w:rsidR="0028690D" w:rsidRPr="00131A73">
        <w:t xml:space="preserve"> сентября</w:t>
      </w:r>
      <w:r w:rsidR="00970251" w:rsidRPr="00131A73">
        <w:t xml:space="preserve"> 2021</w:t>
      </w:r>
      <w:r w:rsidR="0028690D" w:rsidRPr="00131A73">
        <w:t> г.</w:t>
      </w:r>
      <w:r w:rsidR="00970251" w:rsidRPr="00131A73">
        <w:t>).</w:t>
      </w:r>
    </w:p>
    <w:p w14:paraId="13D0142C" w14:textId="77777777" w:rsidR="00536C60" w:rsidRPr="00131A73" w:rsidRDefault="00536C60" w:rsidP="00536C60">
      <w:r w:rsidRPr="00131A73">
        <w:t>В 2018 и 2019 годах во время проведения Постоянного форума ООН в Нью-Йорке были организованы совместные сопутствующие мероприятия, направленные на повышение осведомленности о проблемах и возможностях сообществ коренных народов и благоприятствующей роли ИКТ.</w:t>
      </w:r>
    </w:p>
    <w:p w14:paraId="4A8698F7" w14:textId="77777777" w:rsidR="00536C60" w:rsidRPr="00131A73" w:rsidRDefault="00536C60" w:rsidP="00536C60">
      <w:pPr>
        <w:pStyle w:val="Headingb"/>
      </w:pPr>
      <w:r w:rsidRPr="00131A73">
        <w:t>Молодежь</w:t>
      </w:r>
    </w:p>
    <w:p w14:paraId="28A7120D" w14:textId="06F8BEFF" w:rsidR="00536C60" w:rsidRPr="00131A73" w:rsidRDefault="00536C60" w:rsidP="00536C60">
      <w:pPr>
        <w:rPr>
          <w:rFonts w:eastAsia="Calibri" w:cs="Calibri"/>
        </w:rPr>
      </w:pPr>
      <w:r w:rsidRPr="00131A73">
        <w:rPr>
          <w:rFonts w:eastAsia="Calibri" w:cs="Calibri"/>
        </w:rPr>
        <w:t>В 2020 году началась реализация глобальной инициативы "Поколение подключений", цель которой состоит в том, чтобы дать молодежи возможность выразить свое мнение и содействовать ее эффективному участию в цифровой трансформации. "Поколение подключений" является ведущей инициативой в рамках молодежной стратегии МСЭ на пути к Всемирной конференции по развитию электросвязи 2021 года (ВКРЭ</w:t>
      </w:r>
      <w:r w:rsidRPr="00131A73">
        <w:rPr>
          <w:rFonts w:eastAsia="Calibri" w:cs="Calibri"/>
        </w:rPr>
        <w:noBreakHyphen/>
        <w:t xml:space="preserve">21) и на последующие годы. Три основных направления работы молодежной стратегии МСЭ: расширение прав и возможностей, привлечение и участие. Инициатива "Поколение подключений" направлена на то, чтобы привлекать внимание молодых людей во всем мире и поощрять их участие в качестве полноправных партнеров вместе с лидерами сегодняшних изменений в области цифровых технологий, расширяя их возможности за счет развития навыков и перспектив для продвижения их собственного видения соединенного будущего. Для содействия осуществлению молодежной стратегии МСЭ была создана новая </w:t>
      </w:r>
      <w:r w:rsidR="0028690D" w:rsidRPr="00131A73">
        <w:rPr>
          <w:rFonts w:eastAsia="Calibri" w:cs="Calibri"/>
        </w:rPr>
        <w:t xml:space="preserve">молодежная </w:t>
      </w:r>
      <w:r w:rsidRPr="00131A73">
        <w:rPr>
          <w:rFonts w:eastAsia="Calibri" w:cs="Calibri"/>
        </w:rPr>
        <w:t>целевая группа МСЭ и запланировано проведение Глобального молодежного саммита "Поколение подключений" в преддверии ВКРЭ-21.</w:t>
      </w:r>
      <w:r w:rsidR="00970251" w:rsidRPr="00131A73">
        <w:rPr>
          <w:rFonts w:eastAsia="Calibri" w:cs="Calibri"/>
        </w:rPr>
        <w:t xml:space="preserve"> </w:t>
      </w:r>
      <w:r w:rsidR="00947EDA" w:rsidRPr="00131A73">
        <w:rPr>
          <w:rFonts w:eastAsia="Calibri" w:cs="Calibri"/>
        </w:rPr>
        <w:t xml:space="preserve">МСЭ назначил </w:t>
      </w:r>
      <w:r w:rsidR="00970251" w:rsidRPr="00131A73">
        <w:t xml:space="preserve">37 </w:t>
      </w:r>
      <w:r w:rsidR="00947EDA" w:rsidRPr="00131A73">
        <w:t xml:space="preserve">молодежных координаторов из БРЭ, </w:t>
      </w:r>
      <w:r w:rsidR="001B7CCB" w:rsidRPr="00131A73">
        <w:t>Б</w:t>
      </w:r>
      <w:r w:rsidR="00947EDA" w:rsidRPr="00131A73">
        <w:t>СЭ, БР и Генерального секретариата, а также региональных и зональных отделений МСЭ, для эффективной координации и направления деятельности в рамках МСЭ в целом, касающейся осуществления Молодежной стратегии МСЭ</w:t>
      </w:r>
      <w:r w:rsidR="00970251" w:rsidRPr="00131A73">
        <w:t xml:space="preserve">. </w:t>
      </w:r>
      <w:r w:rsidR="00947EDA" w:rsidRPr="00131A73">
        <w:t>Целевая группа была разбита на три рабочие группы на основании направлений деятельности Молодежной стратегии МСЭ, и с октября 2020 года они проводили регулярные собрания</w:t>
      </w:r>
      <w:r w:rsidR="00970251" w:rsidRPr="00131A73">
        <w:t>.</w:t>
      </w:r>
    </w:p>
    <w:p w14:paraId="1B603BDB" w14:textId="60A88248" w:rsidR="00970251" w:rsidRPr="00131A73" w:rsidRDefault="001B7CCB" w:rsidP="00970251">
      <w:pPr>
        <w:rPr>
          <w:caps/>
        </w:rPr>
      </w:pPr>
      <w:r w:rsidRPr="00131A73">
        <w:t xml:space="preserve">В соответствии с </w:t>
      </w:r>
      <w:r w:rsidR="00970251" w:rsidRPr="00131A73">
        <w:t>Молодежной стратеги</w:t>
      </w:r>
      <w:r w:rsidRPr="00131A73">
        <w:t>ей</w:t>
      </w:r>
      <w:r w:rsidR="00970251" w:rsidRPr="00131A73">
        <w:rPr>
          <w:caps/>
        </w:rPr>
        <w:t xml:space="preserve"> МСЭ</w:t>
      </w:r>
      <w:r w:rsidR="00970251" w:rsidRPr="00131A73">
        <w:t xml:space="preserve"> </w:t>
      </w:r>
      <w:r w:rsidRPr="00131A73">
        <w:t>молодежи каждого региона было предложено внести вклад в процесс подготовки к ВКРЭ</w:t>
      </w:r>
      <w:r w:rsidRPr="00131A73">
        <w:noBreakHyphen/>
        <w:t>21 и региональным подготовительным собраниям (РПС). Были созданы шесть региональных молодежных групп "Поколение подключений", которые были представлены на различных РПС, в рамках сопутствующих мероприятий и пленарных сессий. В</w:t>
      </w:r>
      <w:r w:rsidR="00C0593F" w:rsidRPr="00131A73">
        <w:t> </w:t>
      </w:r>
      <w:r w:rsidRPr="00131A73">
        <w:t>качестве вклада в соответствующее РПС членам каждой региональной молодежной группы было поручено разработать документ, который содержал бы их взгляды на приоритеты, важные для каждого региона, а также на проблемы и перспективы. Члены каждой региональной молодежной группы отбирались в рамках конкурентного и открытого процесса и работали в личном качестве как частные лица</w:t>
      </w:r>
      <w:r w:rsidR="00970251" w:rsidRPr="00131A73">
        <w:t>.</w:t>
      </w:r>
    </w:p>
    <w:p w14:paraId="3F1CAD3E" w14:textId="79D8AD68" w:rsidR="00970251" w:rsidRPr="00131A73" w:rsidRDefault="004F4F15" w:rsidP="00970251">
      <w:pPr>
        <w:rPr>
          <w:rFonts w:eastAsia="Calibri" w:cs="Calibri"/>
        </w:rPr>
      </w:pPr>
      <w:r w:rsidRPr="00131A73">
        <w:rPr>
          <w:color w:val="000000"/>
        </w:rPr>
        <w:t xml:space="preserve">Совет мыслителей инициативы "Поколение подключений" был созван </w:t>
      </w:r>
      <w:r w:rsidR="00C0593F" w:rsidRPr="00131A73">
        <w:rPr>
          <w:color w:val="000000"/>
        </w:rPr>
        <w:t>с целью</w:t>
      </w:r>
      <w:r w:rsidRPr="00131A73">
        <w:rPr>
          <w:color w:val="000000"/>
        </w:rPr>
        <w:t xml:space="preserve"> предоставления стратегических указаний высокого уровня для связанной с молодежью работой МСЭ, поскольку МСЭ осуществляет Молодежную стратегию и выступает за реальное участие молодежи</w:t>
      </w:r>
      <w:r w:rsidR="00970251" w:rsidRPr="00131A73">
        <w:rPr>
          <w:rFonts w:eastAsia="Calibri" w:cs="Calibri"/>
        </w:rPr>
        <w:t xml:space="preserve">. </w:t>
      </w:r>
      <w:r w:rsidR="0012574A" w:rsidRPr="00131A73">
        <w:rPr>
          <w:rFonts w:eastAsia="Calibri" w:cs="Calibri"/>
        </w:rPr>
        <w:t xml:space="preserve">Работа этого Совета будет способствовать организации </w:t>
      </w:r>
      <w:r w:rsidR="0012574A" w:rsidRPr="00131A73">
        <w:rPr>
          <w:color w:val="000000"/>
        </w:rPr>
        <w:t>Глобального молодежного саммита ВКРЭ-21 "Поколение подключений" и осуществлени</w:t>
      </w:r>
      <w:r w:rsidR="00C0593F" w:rsidRPr="00131A73">
        <w:rPr>
          <w:color w:val="000000"/>
        </w:rPr>
        <w:t>ю</w:t>
      </w:r>
      <w:r w:rsidR="0012574A" w:rsidRPr="00131A73">
        <w:rPr>
          <w:color w:val="000000"/>
        </w:rPr>
        <w:t xml:space="preserve"> Молодежной стратегии МСЭ</w:t>
      </w:r>
      <w:r w:rsidR="00970251" w:rsidRPr="00131A73">
        <w:rPr>
          <w:rFonts w:eastAsia="Calibri" w:cs="Calibri"/>
        </w:rPr>
        <w:t xml:space="preserve">. </w:t>
      </w:r>
      <w:r w:rsidR="0012574A" w:rsidRPr="00131A73">
        <w:rPr>
          <w:rFonts w:eastAsia="Calibri" w:cs="Calibri"/>
        </w:rPr>
        <w:t xml:space="preserve">В состав </w:t>
      </w:r>
      <w:r w:rsidR="0012574A" w:rsidRPr="00131A73">
        <w:rPr>
          <w:color w:val="000000"/>
        </w:rPr>
        <w:t>Совета мыслителей инициативы "Поколение подключений" входят один представитель МСЭ, восемь молодых лидеров и восемь назначенных членов высокого уровня, которые будут сообща работать над выполнением стратегических задач Совета</w:t>
      </w:r>
      <w:r w:rsidR="00970251" w:rsidRPr="00131A73">
        <w:rPr>
          <w:rFonts w:eastAsia="Calibri" w:cs="Calibri"/>
        </w:rPr>
        <w:t xml:space="preserve">. </w:t>
      </w:r>
      <w:r w:rsidR="0012574A" w:rsidRPr="00131A73">
        <w:rPr>
          <w:rFonts w:eastAsia="Calibri" w:cs="Calibri"/>
        </w:rPr>
        <w:t xml:space="preserve">Первое собрание </w:t>
      </w:r>
      <w:r w:rsidR="0012574A" w:rsidRPr="00131A73">
        <w:rPr>
          <w:color w:val="000000"/>
        </w:rPr>
        <w:t>Совета мыслителей инициативы "Поколение подключений" прошло 14 апреля 2021 года</w:t>
      </w:r>
      <w:r w:rsidR="00970251" w:rsidRPr="00131A73">
        <w:rPr>
          <w:rFonts w:eastAsia="Calibri" w:cs="Calibri"/>
        </w:rPr>
        <w:t>.</w:t>
      </w:r>
    </w:p>
    <w:p w14:paraId="4A2EEB9B" w14:textId="689FAA76" w:rsidR="00970251" w:rsidRPr="00131A73" w:rsidRDefault="002F13E6" w:rsidP="00970251">
      <w:pPr>
        <w:rPr>
          <w:rFonts w:eastAsia="Calibri" w:cs="Calibri"/>
        </w:rPr>
      </w:pPr>
      <w:r w:rsidRPr="00131A73">
        <w:rPr>
          <w:rFonts w:eastAsia="Calibri" w:cs="Calibri"/>
        </w:rPr>
        <w:t xml:space="preserve">С марта 2021 года МСЭ стал новым сопредседателем </w:t>
      </w:r>
      <w:r w:rsidRPr="00131A73">
        <w:rPr>
          <w:color w:val="000000"/>
        </w:rPr>
        <w:t>Межучрежденческой сети Организации Объединенных Наций по вопросам развития молодежи</w:t>
      </w:r>
      <w:r w:rsidRPr="00131A73">
        <w:rPr>
          <w:rFonts w:eastAsia="Calibri" w:cs="Calibri"/>
        </w:rPr>
        <w:t xml:space="preserve"> </w:t>
      </w:r>
      <w:r w:rsidR="00970251" w:rsidRPr="00131A73">
        <w:rPr>
          <w:rFonts w:eastAsia="Calibri" w:cs="Calibri"/>
        </w:rPr>
        <w:t xml:space="preserve">(IANYD) </w:t>
      </w:r>
      <w:r w:rsidRPr="00131A73">
        <w:rPr>
          <w:rFonts w:eastAsia="Calibri" w:cs="Calibri"/>
        </w:rPr>
        <w:t>с мандатом на один год</w:t>
      </w:r>
      <w:r w:rsidR="00970251" w:rsidRPr="00131A73">
        <w:rPr>
          <w:rFonts w:eastAsia="Calibri" w:cs="Calibri"/>
        </w:rPr>
        <w:t xml:space="preserve">. IANYD </w:t>
      </w:r>
      <w:r w:rsidRPr="00131A73">
        <w:rPr>
          <w:rFonts w:eastAsia="Calibri" w:cs="Calibri"/>
        </w:rPr>
        <w:t>представляет собой сеть, состоящую из объединений системы ООН</w:t>
      </w:r>
      <w:r w:rsidR="00970251" w:rsidRPr="00131A73">
        <w:rPr>
          <w:rFonts w:eastAsia="Calibri" w:cs="Calibri"/>
        </w:rPr>
        <w:t xml:space="preserve">, </w:t>
      </w:r>
      <w:r w:rsidRPr="00131A73">
        <w:rPr>
          <w:rFonts w:eastAsia="Calibri" w:cs="Calibri"/>
        </w:rPr>
        <w:t>представленных на уровне штаб</w:t>
      </w:r>
      <w:r w:rsidR="00C0593F" w:rsidRPr="00131A73">
        <w:rPr>
          <w:rFonts w:eastAsia="Calibri" w:cs="Calibri"/>
        </w:rPr>
        <w:noBreakHyphen/>
      </w:r>
      <w:r w:rsidRPr="00131A73">
        <w:rPr>
          <w:rFonts w:eastAsia="Calibri" w:cs="Calibri"/>
        </w:rPr>
        <w:t>квартиры, работа которых имеет значение для молодежи</w:t>
      </w:r>
      <w:r w:rsidR="00970251" w:rsidRPr="00131A73">
        <w:rPr>
          <w:rFonts w:eastAsia="Calibri" w:cs="Calibri"/>
        </w:rPr>
        <w:t xml:space="preserve">. </w:t>
      </w:r>
      <w:r w:rsidRPr="00131A73">
        <w:rPr>
          <w:rFonts w:eastAsia="Calibri" w:cs="Calibri"/>
        </w:rPr>
        <w:t xml:space="preserve">Цель Сети – повышение эффективности работы ООН </w:t>
      </w:r>
      <w:r w:rsidR="00463A76" w:rsidRPr="00131A73">
        <w:rPr>
          <w:rFonts w:eastAsia="Calibri" w:cs="Calibri"/>
        </w:rPr>
        <w:t>по вопросам развития молодежи путем укрепления сотрудничества и обмена информацией между всеми соответствующими организациями системы ООН, при соблюдении и использовании преимуществ их сильных сторон, уникальных подходов и мандатов</w:t>
      </w:r>
      <w:r w:rsidR="00970251" w:rsidRPr="00131A73">
        <w:rPr>
          <w:rFonts w:eastAsia="Calibri" w:cs="Calibri"/>
        </w:rPr>
        <w:t>.</w:t>
      </w:r>
    </w:p>
    <w:p w14:paraId="0511691C" w14:textId="505B61B5" w:rsidR="00970251" w:rsidRPr="00131A73" w:rsidRDefault="00463A76" w:rsidP="00970251">
      <w:pPr>
        <w:rPr>
          <w:rFonts w:eastAsia="Calibri" w:cs="Calibri"/>
        </w:rPr>
      </w:pPr>
      <w:r w:rsidRPr="00131A73">
        <w:rPr>
          <w:rFonts w:eastAsia="Calibri" w:cs="Calibri"/>
        </w:rPr>
        <w:lastRenderedPageBreak/>
        <w:t>Молодежная целевая группа продолжает работу по подготовке</w:t>
      </w:r>
      <w:r w:rsidR="00970251" w:rsidRPr="00131A73">
        <w:rPr>
          <w:rFonts w:eastAsia="Calibri" w:cs="Calibri"/>
        </w:rPr>
        <w:t xml:space="preserve"> </w:t>
      </w:r>
      <w:r w:rsidR="00970251" w:rsidRPr="00131A73">
        <w:t>Глобальн</w:t>
      </w:r>
      <w:r w:rsidRPr="00131A73">
        <w:t>ого</w:t>
      </w:r>
      <w:r w:rsidR="00970251" w:rsidRPr="00131A73">
        <w:t xml:space="preserve"> молодежн</w:t>
      </w:r>
      <w:r w:rsidRPr="00131A73">
        <w:t>ого</w:t>
      </w:r>
      <w:r w:rsidR="00970251" w:rsidRPr="00131A73">
        <w:t xml:space="preserve"> саммит</w:t>
      </w:r>
      <w:r w:rsidRPr="00131A73">
        <w:t>а</w:t>
      </w:r>
      <w:r w:rsidR="00970251" w:rsidRPr="00131A73">
        <w:t xml:space="preserve"> </w:t>
      </w:r>
      <w:r w:rsidR="00970251" w:rsidRPr="00131A73">
        <w:rPr>
          <w:rFonts w:asciiTheme="minorHAnsi" w:hAnsiTheme="minorHAnsi"/>
        </w:rPr>
        <w:t xml:space="preserve">"Поколение подключений" </w:t>
      </w:r>
      <w:r w:rsidRPr="00131A73">
        <w:rPr>
          <w:rFonts w:asciiTheme="minorHAnsi" w:hAnsiTheme="minorHAnsi"/>
        </w:rPr>
        <w:t>ВКРЭ</w:t>
      </w:r>
      <w:r w:rsidRPr="00131A73">
        <w:rPr>
          <w:rFonts w:asciiTheme="minorHAnsi" w:hAnsiTheme="minorHAnsi"/>
        </w:rPr>
        <w:noBreakHyphen/>
        <w:t>21 и проводит еженедельные собрания с октября 2020 года</w:t>
      </w:r>
      <w:r w:rsidR="00970251" w:rsidRPr="00131A73">
        <w:rPr>
          <w:rFonts w:eastAsia="Calibri" w:cs="Calibri"/>
        </w:rPr>
        <w:t xml:space="preserve">. </w:t>
      </w:r>
      <w:r w:rsidR="00A6531D" w:rsidRPr="00131A73">
        <w:rPr>
          <w:rFonts w:eastAsia="Calibri" w:cs="Calibri"/>
        </w:rPr>
        <w:t>Молодежный форум пройдет перед ВКРЭ</w:t>
      </w:r>
      <w:r w:rsidR="00A6531D" w:rsidRPr="00131A73">
        <w:rPr>
          <w:rFonts w:eastAsia="Calibri" w:cs="Calibri"/>
        </w:rPr>
        <w:noBreakHyphen/>
        <w:t>21, 6 и 7 ноября 2021 года в штаб-квартире Африканского союза, в Аддис-Абебе</w:t>
      </w:r>
      <w:r w:rsidR="00C0593F" w:rsidRPr="00131A73">
        <w:rPr>
          <w:rFonts w:eastAsia="Calibri" w:cs="Calibri"/>
        </w:rPr>
        <w:t xml:space="preserve"> </w:t>
      </w:r>
      <w:r w:rsidR="00A6531D" w:rsidRPr="00131A73">
        <w:rPr>
          <w:rFonts w:eastAsia="Calibri" w:cs="Calibri"/>
        </w:rPr>
        <w:t>(Эфиопия)</w:t>
      </w:r>
      <w:r w:rsidR="00970251" w:rsidRPr="00131A73">
        <w:rPr>
          <w:rFonts w:eastAsia="Calibri" w:cs="Calibri"/>
        </w:rPr>
        <w:t xml:space="preserve">. </w:t>
      </w:r>
      <w:r w:rsidR="00A6531D" w:rsidRPr="00131A73">
        <w:rPr>
          <w:rFonts w:eastAsia="Calibri" w:cs="Calibri"/>
        </w:rPr>
        <w:t xml:space="preserve">Основное внимание на Форуме будет уделяться </w:t>
      </w:r>
      <w:r w:rsidR="00226C8E" w:rsidRPr="00131A73">
        <w:rPr>
          <w:rFonts w:eastAsia="Calibri" w:cs="Calibri"/>
        </w:rPr>
        <w:t xml:space="preserve">реальному участию молодежи, консультациям, сотрудничеству, расширению прав и возможностей, участию и призывам к действиям, </w:t>
      </w:r>
      <w:r w:rsidR="00226C8E" w:rsidRPr="00131A73">
        <w:rPr>
          <w:color w:val="000000"/>
        </w:rPr>
        <w:t>целью которых является организация участия молодых людей в дискуссиях, сессиях и видах деятельности ВКРЭ-21</w:t>
      </w:r>
      <w:r w:rsidR="00970251" w:rsidRPr="00131A73">
        <w:rPr>
          <w:rFonts w:eastAsia="Calibri" w:cs="Calibri"/>
        </w:rPr>
        <w:t>.</w:t>
      </w:r>
    </w:p>
    <w:p w14:paraId="07FA1BCF" w14:textId="0E2EFB81" w:rsidR="00970251" w:rsidRPr="00131A73" w:rsidRDefault="00226C8E" w:rsidP="00C0593F">
      <w:pPr>
        <w:pStyle w:val="Default"/>
        <w:spacing w:before="120"/>
        <w:rPr>
          <w:rFonts w:asciiTheme="minorHAnsi" w:eastAsia="Calibri" w:hAnsiTheme="minorHAnsi" w:cstheme="minorHAnsi"/>
          <w:lang w:val="ru-RU"/>
        </w:rPr>
      </w:pPr>
      <w:r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>МСЭ провел 6 апреля</w:t>
      </w:r>
      <w:r w:rsidR="00970251"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 2021</w:t>
      </w:r>
      <w:r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> года сопутствующее мероприятие на Молодежном форуме ЭКОСОС под названием</w:t>
      </w:r>
      <w:r w:rsidR="00970251"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 </w:t>
      </w:r>
      <w:r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>"</w:t>
      </w:r>
      <w:r w:rsidRPr="00131A73">
        <w:rPr>
          <w:rFonts w:asciiTheme="minorHAnsi" w:hAnsiTheme="minorHAnsi" w:cstheme="minorHAnsi"/>
          <w:sz w:val="22"/>
          <w:szCs w:val="22"/>
          <w:lang w:val="ru-RU"/>
        </w:rPr>
        <w:t>Поколение подключений: молодые люди формируют цифровую повестку дня", организатором которого также была Основная группа ООН по проблемам детей и молодежи</w:t>
      </w:r>
      <w:r w:rsidR="00970251"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. </w:t>
      </w:r>
      <w:r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Мероприятие также получило поддержку </w:t>
      </w:r>
      <w:r w:rsidR="00BC4931"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>Молодежной платформы взаимодействия науки и политики</w:t>
      </w:r>
      <w:r w:rsidR="00970251"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 (SPI), </w:t>
      </w:r>
      <w:r w:rsidR="00BC4931"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Постоянного молодежного совещания </w:t>
      </w:r>
      <w:r w:rsidR="00BC4931" w:rsidRPr="00131A73">
        <w:rPr>
          <w:rFonts w:asciiTheme="minorHAnsi" w:hAnsiTheme="minorHAnsi" w:cstheme="minorHAnsi"/>
          <w:sz w:val="22"/>
          <w:szCs w:val="22"/>
          <w:lang w:val="ru-RU"/>
        </w:rPr>
        <w:t>Межучрежденческой сети Организации Объединенных Наций по вопросам развития молодежи</w:t>
      </w:r>
      <w:r w:rsidR="00BC4931"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 (UN IANYD</w:t>
      </w:r>
      <w:r w:rsidR="00970251"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) </w:t>
      </w:r>
      <w:r w:rsidR="00BC4931"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>и Нидерландов в рамках Стратегии "Молодежь в центре внимания"</w:t>
      </w:r>
      <w:r w:rsidR="00970251"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. </w:t>
      </w:r>
      <w:r w:rsidR="00BC4931"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МСЭ также является одним из ведущих </w:t>
      </w:r>
      <w:r w:rsidR="00C0593F"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участников </w:t>
      </w:r>
      <w:r w:rsidR="00BC4931"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>тематической сессии 7 апреля 2021 года</w:t>
      </w:r>
      <w:r w:rsidR="00970251"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: </w:t>
      </w:r>
      <w:r w:rsidR="00BC4931"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>мир и включение в жизнь общества</w:t>
      </w:r>
      <w:r w:rsidR="00970251"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 </w:t>
      </w:r>
      <w:r w:rsidR="00BC4931"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>–</w:t>
      </w:r>
      <w:r w:rsidR="00970251"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 </w:t>
      </w:r>
      <w:r w:rsidR="00BC4931"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>ЦУР</w:t>
      </w:r>
      <w:r w:rsidR="00970251"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 10 </w:t>
      </w:r>
      <w:r w:rsidR="00BC4931"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>и ЦУР</w:t>
      </w:r>
      <w:r w:rsidR="00970251"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 16, </w:t>
      </w:r>
      <w:r w:rsidR="00BC4931"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>организованной УНП ООН</w:t>
      </w:r>
      <w:r w:rsidR="00970251"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, </w:t>
      </w:r>
      <w:r w:rsidR="00BC4931"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>Глобальным постоянным молодежным совещанием</w:t>
      </w:r>
      <w:r w:rsidR="00970251"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, </w:t>
      </w:r>
      <w:r w:rsidR="00BC4931"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МСЭ, ЮНЕСКО, ЮНИСЕФ и </w:t>
      </w:r>
      <w:r w:rsidR="0038102C" w:rsidRPr="00131A73">
        <w:rPr>
          <w:rFonts w:asciiTheme="minorHAnsi" w:hAnsiTheme="minorHAnsi" w:cstheme="minorHAnsi"/>
          <w:sz w:val="22"/>
          <w:szCs w:val="22"/>
          <w:lang w:val="ru-RU"/>
        </w:rPr>
        <w:t>Канцелярией Посланника Генерального секретаря ООН по делам молодежи</w:t>
      </w:r>
      <w:r w:rsidR="00970251" w:rsidRPr="00131A73">
        <w:rPr>
          <w:rFonts w:asciiTheme="minorHAnsi" w:eastAsia="Calibri" w:hAnsiTheme="minorHAnsi" w:cstheme="minorHAnsi"/>
          <w:sz w:val="22"/>
          <w:szCs w:val="22"/>
          <w:lang w:val="ru-RU"/>
        </w:rPr>
        <w:t>.</w:t>
      </w:r>
      <w:r w:rsidR="00970251" w:rsidRPr="00131A73">
        <w:rPr>
          <w:rFonts w:asciiTheme="minorHAnsi" w:eastAsia="Calibri" w:hAnsiTheme="minorHAnsi" w:cstheme="minorHAnsi"/>
          <w:lang w:val="ru-RU"/>
        </w:rPr>
        <w:t xml:space="preserve"> </w:t>
      </w:r>
    </w:p>
    <w:p w14:paraId="2109965D" w14:textId="222F439A" w:rsidR="00970251" w:rsidRPr="00131A73" w:rsidRDefault="0038102C" w:rsidP="00970251">
      <w:pPr>
        <w:rPr>
          <w:rFonts w:eastAsia="Calibri" w:cs="Calibri"/>
        </w:rPr>
      </w:pPr>
      <w:r w:rsidRPr="00131A73">
        <w:rPr>
          <w:rFonts w:eastAsia="Calibri" w:cs="Calibri"/>
        </w:rPr>
        <w:t>В феврале</w:t>
      </w:r>
      <w:r w:rsidR="00970251" w:rsidRPr="00131A73">
        <w:rPr>
          <w:rFonts w:eastAsia="Calibri" w:cs="Calibri"/>
        </w:rPr>
        <w:t xml:space="preserve"> 2021</w:t>
      </w:r>
      <w:r w:rsidRPr="00131A73">
        <w:rPr>
          <w:rFonts w:eastAsia="Calibri" w:cs="Calibri"/>
        </w:rPr>
        <w:t xml:space="preserve"> года МСЭ образовал в </w:t>
      </w:r>
      <w:r w:rsidR="00970251" w:rsidRPr="00131A73">
        <w:rPr>
          <w:rFonts w:eastAsia="Calibri" w:cs="Calibri"/>
        </w:rPr>
        <w:t xml:space="preserve">Facebook </w:t>
      </w:r>
      <w:r w:rsidRPr="00131A73">
        <w:rPr>
          <w:rFonts w:eastAsia="Calibri" w:cs="Calibri"/>
        </w:rPr>
        <w:t>и</w:t>
      </w:r>
      <w:r w:rsidR="00970251" w:rsidRPr="00131A73">
        <w:rPr>
          <w:rFonts w:eastAsia="Calibri" w:cs="Calibri"/>
        </w:rPr>
        <w:t xml:space="preserve"> LinkedIn </w:t>
      </w:r>
      <w:r w:rsidRPr="00131A73">
        <w:rPr>
          <w:rFonts w:eastAsia="Calibri" w:cs="Calibri"/>
        </w:rPr>
        <w:t>новые виртуальные сообщества "</w:t>
      </w:r>
      <w:r w:rsidRPr="00131A73">
        <w:rPr>
          <w:rFonts w:asciiTheme="minorHAnsi" w:hAnsiTheme="minorHAnsi" w:cstheme="minorHAnsi"/>
          <w:color w:val="000000"/>
        </w:rPr>
        <w:t>Поколения подключений"</w:t>
      </w:r>
      <w:r w:rsidR="00970251" w:rsidRPr="00131A73">
        <w:rPr>
          <w:rFonts w:eastAsia="Calibri" w:cs="Calibri"/>
        </w:rPr>
        <w:t xml:space="preserve">. </w:t>
      </w:r>
      <w:r w:rsidRPr="00131A73">
        <w:rPr>
          <w:rFonts w:eastAsia="Calibri" w:cs="Calibri"/>
        </w:rPr>
        <w:t xml:space="preserve">К вступлению в них приглашаются молодые люди </w:t>
      </w:r>
      <w:r w:rsidR="0083640D" w:rsidRPr="00131A73">
        <w:rPr>
          <w:rFonts w:eastAsia="Calibri" w:cs="Calibri"/>
        </w:rPr>
        <w:t>из различных региональных групп "</w:t>
      </w:r>
      <w:r w:rsidR="0083640D" w:rsidRPr="00131A73">
        <w:rPr>
          <w:rFonts w:asciiTheme="minorHAnsi" w:hAnsiTheme="minorHAnsi" w:cstheme="minorHAnsi"/>
          <w:color w:val="000000"/>
        </w:rPr>
        <w:t>Поколения подключений", а также другие инициативы и мероприятия</w:t>
      </w:r>
      <w:r w:rsidR="00970251" w:rsidRPr="00131A73">
        <w:rPr>
          <w:rFonts w:eastAsia="Calibri" w:cs="Calibri"/>
        </w:rPr>
        <w:t xml:space="preserve">. </w:t>
      </w:r>
      <w:r w:rsidR="0083640D" w:rsidRPr="00131A73">
        <w:rPr>
          <w:rFonts w:eastAsia="Calibri" w:cs="Calibri"/>
        </w:rPr>
        <w:t>Информация о различных видах деятельности инициативы "</w:t>
      </w:r>
      <w:r w:rsidR="0083640D" w:rsidRPr="00131A73">
        <w:rPr>
          <w:rFonts w:asciiTheme="minorHAnsi" w:hAnsiTheme="minorHAnsi" w:cstheme="minorHAnsi"/>
          <w:color w:val="000000"/>
        </w:rPr>
        <w:t>Поколения подключений", как и по другим инициативам, таким как Инициатива "Носители перемен Кофи Аннана</w:t>
      </w:r>
      <w:r w:rsidR="0083640D" w:rsidRPr="00131A73">
        <w:rPr>
          <w:rFonts w:eastAsia="Calibri" w:cs="Calibri"/>
        </w:rPr>
        <w:t>"</w:t>
      </w:r>
      <w:r w:rsidR="00C0593F" w:rsidRPr="00131A73">
        <w:rPr>
          <w:rFonts w:eastAsia="Calibri" w:cs="Calibri"/>
        </w:rPr>
        <w:t>, распространяется на еженедельной основе</w:t>
      </w:r>
      <w:r w:rsidR="00970251" w:rsidRPr="00131A73">
        <w:rPr>
          <w:rFonts w:eastAsia="Calibri" w:cs="Calibri"/>
        </w:rPr>
        <w:t>.</w:t>
      </w:r>
    </w:p>
    <w:p w14:paraId="07DA302D" w14:textId="46147DAD" w:rsidR="00970251" w:rsidRPr="00131A73" w:rsidRDefault="0083640D" w:rsidP="00970251">
      <w:pPr>
        <w:rPr>
          <w:rFonts w:eastAsia="Calibri" w:cs="Calibri"/>
        </w:rPr>
      </w:pPr>
      <w:r w:rsidRPr="00131A73">
        <w:rPr>
          <w:rFonts w:eastAsia="Calibri" w:cs="Calibri"/>
        </w:rPr>
        <w:t xml:space="preserve">В рамках серии мероприятий </w:t>
      </w:r>
      <w:r w:rsidRPr="00131A73">
        <w:rPr>
          <w:color w:val="000000"/>
        </w:rPr>
        <w:t>"На пути в Аддис-Абебу"</w:t>
      </w:r>
      <w:r w:rsidRPr="00131A73">
        <w:rPr>
          <w:rFonts w:eastAsia="Calibri" w:cs="Calibri"/>
        </w:rPr>
        <w:t xml:space="preserve"> МСЭ организовал мероприятие </w:t>
      </w:r>
      <w:r w:rsidR="00970251" w:rsidRPr="00131A73">
        <w:rPr>
          <w:rFonts w:eastAsia="Calibri" w:cs="Calibri"/>
        </w:rPr>
        <w:t>Connect2Include: Include2Connect</w:t>
      </w:r>
      <w:r w:rsidRPr="00131A73">
        <w:rPr>
          <w:rFonts w:eastAsia="Calibri" w:cs="Calibri"/>
        </w:rPr>
        <w:t xml:space="preserve"> (Соединить для включения: включить для соединения)</w:t>
      </w:r>
      <w:r w:rsidR="00970251" w:rsidRPr="00131A73">
        <w:rPr>
          <w:rFonts w:eastAsia="Calibri" w:cs="Calibri"/>
        </w:rPr>
        <w:t xml:space="preserve">, </w:t>
      </w:r>
      <w:r w:rsidRPr="00131A73">
        <w:rPr>
          <w:rFonts w:eastAsia="Calibri" w:cs="Calibri"/>
        </w:rPr>
        <w:t xml:space="preserve">которое прошло </w:t>
      </w:r>
      <w:r w:rsidR="00970251" w:rsidRPr="00131A73">
        <w:rPr>
          <w:rFonts w:eastAsia="Calibri" w:cs="Calibri"/>
        </w:rPr>
        <w:t>18</w:t>
      </w:r>
      <w:r w:rsidRPr="00131A73">
        <w:rPr>
          <w:rFonts w:eastAsia="Calibri" w:cs="Calibri"/>
        </w:rPr>
        <w:t> марта</w:t>
      </w:r>
      <w:r w:rsidR="00970251" w:rsidRPr="00131A73">
        <w:rPr>
          <w:rFonts w:eastAsia="Calibri" w:cs="Calibri"/>
        </w:rPr>
        <w:t xml:space="preserve"> 2021</w:t>
      </w:r>
      <w:r w:rsidRPr="00131A73">
        <w:rPr>
          <w:rFonts w:eastAsia="Calibri" w:cs="Calibri"/>
        </w:rPr>
        <w:t> года и было посвящено охвату цифровыми технологиями</w:t>
      </w:r>
      <w:r w:rsidR="005C4201" w:rsidRPr="00131A73">
        <w:rPr>
          <w:rFonts w:eastAsia="Calibri" w:cs="Calibri"/>
        </w:rPr>
        <w:t xml:space="preserve"> при активном участии молодежи</w:t>
      </w:r>
      <w:r w:rsidR="00970251" w:rsidRPr="00131A73">
        <w:rPr>
          <w:rFonts w:eastAsia="Calibri" w:cs="Calibri"/>
        </w:rPr>
        <w:t xml:space="preserve">. </w:t>
      </w:r>
      <w:r w:rsidR="005C4201" w:rsidRPr="00131A73">
        <w:rPr>
          <w:rFonts w:eastAsia="Calibri" w:cs="Calibri"/>
        </w:rPr>
        <w:t xml:space="preserve">Еще одно мероприятие из серии </w:t>
      </w:r>
      <w:r w:rsidR="00003C8B" w:rsidRPr="00131A73">
        <w:rPr>
          <w:color w:val="000000"/>
        </w:rPr>
        <w:t>"На пути в Аддис-Абебу", предназначенное специально для молодежи, пройдет 12 августа, в Международный день молодежи</w:t>
      </w:r>
      <w:r w:rsidR="00970251" w:rsidRPr="00131A73">
        <w:rPr>
          <w:rFonts w:eastAsia="Calibri" w:cs="Calibri"/>
        </w:rPr>
        <w:t xml:space="preserve">. </w:t>
      </w:r>
      <w:r w:rsidR="00003C8B" w:rsidRPr="00131A73">
        <w:rPr>
          <w:rFonts w:eastAsia="Calibri" w:cs="Calibri"/>
        </w:rPr>
        <w:t xml:space="preserve">Каждое из остальных мероприятий серии </w:t>
      </w:r>
      <w:r w:rsidR="00003C8B" w:rsidRPr="00131A73">
        <w:rPr>
          <w:color w:val="000000"/>
        </w:rPr>
        <w:t>"На пути в Аддис-Абебу"</w:t>
      </w:r>
      <w:r w:rsidR="00003C8B" w:rsidRPr="00131A73">
        <w:rPr>
          <w:rFonts w:eastAsia="Calibri" w:cs="Calibri"/>
        </w:rPr>
        <w:t xml:space="preserve"> также имеет существенный компонент, связанный с молодежью</w:t>
      </w:r>
      <w:r w:rsidR="00C36489" w:rsidRPr="00131A73">
        <w:rPr>
          <w:rFonts w:eastAsia="Calibri" w:cs="Calibri"/>
        </w:rPr>
        <w:t xml:space="preserve">, как один из благоприятствующих факторов серии </w:t>
      </w:r>
      <w:r w:rsidR="00C36489" w:rsidRPr="00131A73">
        <w:rPr>
          <w:color w:val="000000"/>
        </w:rPr>
        <w:t>"На пути в Аддис-Абебу"</w:t>
      </w:r>
      <w:r w:rsidR="00970251" w:rsidRPr="00131A73">
        <w:rPr>
          <w:rFonts w:eastAsia="Calibri" w:cs="Calibri"/>
        </w:rPr>
        <w:t>.</w:t>
      </w:r>
    </w:p>
    <w:p w14:paraId="2C6C39CA" w14:textId="67D4F4A7" w:rsidR="00536C60" w:rsidRPr="00131A73" w:rsidRDefault="00536C60" w:rsidP="00536C60">
      <w:pPr>
        <w:rPr>
          <w:rFonts w:eastAsia="Calibri" w:cs="Calibri"/>
        </w:rPr>
      </w:pPr>
      <w:r w:rsidRPr="00131A73">
        <w:rPr>
          <w:rFonts w:eastAsia="Calibri" w:cs="Calibri"/>
        </w:rPr>
        <w:t>В ноябре 20</w:t>
      </w:r>
      <w:r w:rsidR="004919B4" w:rsidRPr="00131A73">
        <w:rPr>
          <w:rFonts w:eastAsia="Calibri" w:cs="Calibri"/>
        </w:rPr>
        <w:t>19</w:t>
      </w:r>
      <w:r w:rsidRPr="00131A73">
        <w:rPr>
          <w:rFonts w:eastAsia="Calibri" w:cs="Calibri"/>
        </w:rPr>
        <w:t> года в ходе мероприятия AfriLabs в Аддис-Абебе (Эфиопия) проводились консультации с представителями молодежи по вопросу о том, как улучшить их цифровые навыки. Консультации были организованы в рамках программы МСЭ–МОТ "Содействие созданию достойных рабочих мест для молодежи и приобретению молодежью цифровых навыков в цифровой экономике Африканского региона", реализуемой при поддержке Африканского союза.</w:t>
      </w:r>
    </w:p>
    <w:p w14:paraId="4EF1D5A5" w14:textId="77777777" w:rsidR="00536C60" w:rsidRPr="00131A73" w:rsidRDefault="00536C60" w:rsidP="009E2146">
      <w:pPr>
        <w:pStyle w:val="Headingb"/>
      </w:pPr>
      <w:r w:rsidRPr="00131A73">
        <w:t>Пожилые люди</w:t>
      </w:r>
    </w:p>
    <w:p w14:paraId="2E9DFDEC" w14:textId="4DEA84F0" w:rsidR="00536C60" w:rsidRPr="00131A73" w:rsidRDefault="00C36489" w:rsidP="009E2146">
      <w:pPr>
        <w:spacing w:line="252" w:lineRule="exact"/>
      </w:pPr>
      <w:r w:rsidRPr="00131A73">
        <w:t xml:space="preserve">Для поддержки членов </w:t>
      </w:r>
      <w:r w:rsidR="00C0593F" w:rsidRPr="00131A73">
        <w:t xml:space="preserve">МСЭ </w:t>
      </w:r>
      <w:r w:rsidRPr="00131A73">
        <w:t>в связи с глобальной цифровой проблемой (согласно докладу ООН за 2019 год</w:t>
      </w:r>
      <w:r w:rsidR="00D60203" w:rsidRPr="00131A73">
        <w:t>,</w:t>
      </w:r>
      <w:r w:rsidRPr="00131A73">
        <w:t xml:space="preserve"> </w:t>
      </w:r>
      <w:r w:rsidR="00C0593F" w:rsidRPr="00131A73">
        <w:t>через</w:t>
      </w:r>
      <w:r w:rsidRPr="00131A73">
        <w:t xml:space="preserve"> следующие 30 лет людей в возрасте 60 лет и старше будет более 2 млрд. человек) </w:t>
      </w:r>
      <w:r w:rsidR="00536C60" w:rsidRPr="00131A73">
        <w:t>МСЭ</w:t>
      </w:r>
      <w:r w:rsidRPr="00131A73">
        <w:noBreakHyphen/>
        <w:t>D также спроектировал и разработал ресурс</w:t>
      </w:r>
      <w:r w:rsidR="00536C60" w:rsidRPr="00131A73">
        <w:t xml:space="preserve"> по руководящим принципам на тему "Старение в цифровом мире: от уязвимости к востребованности". Цель этого </w:t>
      </w:r>
      <w:r w:rsidRPr="00131A73">
        <w:t>ресурса</w:t>
      </w:r>
      <w:r w:rsidR="00536C60" w:rsidRPr="00131A73">
        <w:t xml:space="preserve"> заключается в том, чтобы представить членам МСЭ комплексное видение в отношении глобального старения населения и соответствующих социально-экономических последствий, а также в отношении проблем и возможностей, которые могут быть созданы благодаря осуществлению надлежащих политических мер и стратегий по охвату пожилых людей цифровыми технологиями.</w:t>
      </w:r>
    </w:p>
    <w:p w14:paraId="3522CAF9" w14:textId="5156CD77" w:rsidR="004919B4" w:rsidRPr="00131A73" w:rsidRDefault="00C36489" w:rsidP="009E2146">
      <w:pPr>
        <w:spacing w:line="252" w:lineRule="exact"/>
      </w:pPr>
      <w:r w:rsidRPr="00131A73">
        <w:t>В 2021 году были также разработаны учебное видеопособие и учебный курс по теме старения в цифровом мире</w:t>
      </w:r>
      <w:r w:rsidR="004919B4" w:rsidRPr="00131A73">
        <w:t>.</w:t>
      </w:r>
    </w:p>
    <w:p w14:paraId="12D17BF7" w14:textId="045CD178" w:rsidR="004919B4" w:rsidRPr="00131A73" w:rsidRDefault="00C36489" w:rsidP="009E2146">
      <w:pPr>
        <w:spacing w:after="160" w:line="252" w:lineRule="exact"/>
      </w:pPr>
      <w:r w:rsidRPr="00131A73">
        <w:t>МСЭ также вносит вклад в работу по Десятилетию ООН по здоровому старению путем разработки аналитической записки по социальной изол</w:t>
      </w:r>
      <w:r w:rsidR="00C41514" w:rsidRPr="00131A73">
        <w:t>яции и одиночеству пожилых людей, а также роли технологии в решении этой задачи</w:t>
      </w:r>
      <w:r w:rsidR="004919B4" w:rsidRPr="00131A73">
        <w:t xml:space="preserve">. 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36C60" w:rsidRPr="00131A73" w14:paraId="148CC51F" w14:textId="77777777" w:rsidTr="004919B4">
        <w:tc>
          <w:tcPr>
            <w:tcW w:w="9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31E8C" w14:textId="77777777" w:rsidR="00536C60" w:rsidRPr="00131A73" w:rsidRDefault="00536C60">
            <w:pPr>
              <w:rPr>
                <w:b/>
                <w:szCs w:val="22"/>
              </w:rPr>
            </w:pPr>
            <w:r w:rsidRPr="00131A73">
              <w:rPr>
                <w:b/>
                <w:szCs w:val="22"/>
              </w:rPr>
              <w:lastRenderedPageBreak/>
              <w:t>РЕГИОНАЛЬНЫЕ ИНИЦИАТИВЫ</w:t>
            </w:r>
          </w:p>
          <w:p w14:paraId="2457DC91" w14:textId="05F85FA5" w:rsidR="00536C60" w:rsidRPr="00131A73" w:rsidRDefault="00536C60">
            <w:pPr>
              <w:rPr>
                <w:rFonts w:eastAsia="Calibri" w:cs="Calibri"/>
                <w:szCs w:val="22"/>
              </w:rPr>
            </w:pPr>
            <w:r w:rsidRPr="00131A73">
              <w:rPr>
                <w:rFonts w:eastAsia="Calibri" w:cs="Calibri"/>
                <w:szCs w:val="22"/>
              </w:rPr>
              <w:t>Азиатско-Тихоокеанск</w:t>
            </w:r>
            <w:r w:rsidR="00085402" w:rsidRPr="00131A73">
              <w:rPr>
                <w:rFonts w:eastAsia="Calibri" w:cs="Calibri"/>
                <w:szCs w:val="22"/>
              </w:rPr>
              <w:t>ий</w:t>
            </w:r>
            <w:r w:rsidRPr="00131A73">
              <w:rPr>
                <w:rFonts w:eastAsia="Calibri" w:cs="Calibri"/>
                <w:szCs w:val="22"/>
              </w:rPr>
              <w:t xml:space="preserve"> регион</w:t>
            </w:r>
            <w:r w:rsidR="00085402" w:rsidRPr="00131A73">
              <w:rPr>
                <w:rFonts w:eastAsia="Calibri" w:cs="Calibri"/>
                <w:szCs w:val="22"/>
              </w:rPr>
              <w:t xml:space="preserve"> – региональная инициатива</w:t>
            </w:r>
            <w:r w:rsidR="004919B4" w:rsidRPr="00131A73">
              <w:t xml:space="preserve"> </w:t>
            </w:r>
            <w:r w:rsidR="004919B4" w:rsidRPr="00131A73">
              <w:rPr>
                <w:rFonts w:eastAsia="Calibri" w:cs="Calibri"/>
                <w:szCs w:val="22"/>
              </w:rPr>
              <w:t>ASP 4</w:t>
            </w:r>
            <w:r w:rsidRPr="00131A73">
              <w:rPr>
                <w:rFonts w:eastAsia="Calibri" w:cs="Calibri"/>
                <w:szCs w:val="22"/>
              </w:rPr>
              <w:t xml:space="preserve">: </w:t>
            </w:r>
            <w:r w:rsidR="00C0593F" w:rsidRPr="00131A73">
              <w:rPr>
                <w:rFonts w:eastAsia="Calibri" w:cs="Calibri"/>
                <w:szCs w:val="22"/>
              </w:rPr>
              <w:t>и</w:t>
            </w:r>
            <w:r w:rsidRPr="00131A73">
              <w:rPr>
                <w:rFonts w:eastAsia="Calibri" w:cs="Calibri"/>
                <w:szCs w:val="22"/>
              </w:rPr>
              <w:t>спользование информационно-коммуникационных технологий для поддержки цифровой экономики и открытого для всех цифрового общества</w:t>
            </w:r>
            <w:r w:rsidR="004919B4" w:rsidRPr="00131A73">
              <w:rPr>
                <w:rFonts w:eastAsia="Calibri" w:cs="Calibri"/>
                <w:szCs w:val="22"/>
              </w:rPr>
              <w:t>:</w:t>
            </w:r>
          </w:p>
          <w:p w14:paraId="4F7E4AE0" w14:textId="49DC8784" w:rsidR="004919B4" w:rsidRPr="00131A73" w:rsidRDefault="00C517DF" w:rsidP="004919B4">
            <w:pPr>
              <w:pStyle w:val="enumlev1"/>
            </w:pPr>
            <w:r w:rsidRPr="00131A73">
              <w:t>−</w:t>
            </w:r>
            <w:r w:rsidR="004919B4" w:rsidRPr="00131A73">
              <w:tab/>
            </w:r>
            <w:r w:rsidR="00D60203" w:rsidRPr="00131A73">
              <w:t>В 2020 году разработана оценка доступности ИКТ для Азиатско-Тихоокеанского региона</w:t>
            </w:r>
            <w:r w:rsidR="004919B4" w:rsidRPr="00131A73">
              <w:t>.</w:t>
            </w:r>
          </w:p>
          <w:p w14:paraId="3B0B621F" w14:textId="60B86014" w:rsidR="004919B4" w:rsidRPr="00131A73" w:rsidRDefault="00C517DF" w:rsidP="004919B4">
            <w:pPr>
              <w:pStyle w:val="enumlev1"/>
            </w:pPr>
            <w:r w:rsidRPr="00131A73">
              <w:t>−</w:t>
            </w:r>
            <w:r w:rsidR="004919B4" w:rsidRPr="00131A73">
              <w:tab/>
            </w:r>
            <w:r w:rsidR="00D60203" w:rsidRPr="00131A73">
              <w:t xml:space="preserve">Онлайновые учебные занятия по доступности ИКТ, сетевой доступности </w:t>
            </w:r>
            <w:r w:rsidR="005E052C" w:rsidRPr="00131A73">
              <w:t>и открытой для всех цифровой связи</w:t>
            </w:r>
            <w:r w:rsidR="004919B4" w:rsidRPr="00131A73">
              <w:t>.</w:t>
            </w:r>
          </w:p>
          <w:p w14:paraId="0128726C" w14:textId="7DAE444F" w:rsidR="004919B4" w:rsidRPr="00131A73" w:rsidRDefault="00C517DF" w:rsidP="004919B4">
            <w:pPr>
              <w:pStyle w:val="enumlev1"/>
            </w:pPr>
            <w:r w:rsidRPr="00131A73">
              <w:t>−</w:t>
            </w:r>
            <w:r w:rsidR="004919B4" w:rsidRPr="00131A73">
              <w:tab/>
            </w:r>
            <w:r w:rsidR="005E052C" w:rsidRPr="00131A73">
              <w:t xml:space="preserve">Осведомленность о доступности ИКТ повышалась </w:t>
            </w:r>
            <w:r w:rsidR="00085402" w:rsidRPr="00131A73">
              <w:t>в ходе региональных мероприятий по теме доступности, в том числе мероприятия "Цифровая устойчивость для обеспечения открытого для всех общества", проведенного СИФАЛ ЮНИТАР в 2020 году</w:t>
            </w:r>
            <w:r w:rsidR="004919B4" w:rsidRPr="00131A73">
              <w:t>.</w:t>
            </w:r>
          </w:p>
          <w:p w14:paraId="59B57C51" w14:textId="32ECC9AB" w:rsidR="00536C60" w:rsidRPr="00131A73" w:rsidRDefault="00C517DF">
            <w:pPr>
              <w:pStyle w:val="enumlev1"/>
              <w:rPr>
                <w:rFonts w:eastAsiaTheme="minorEastAsia"/>
              </w:rPr>
            </w:pPr>
            <w:r w:rsidRPr="00131A73">
              <w:t>−</w:t>
            </w:r>
            <w:r w:rsidR="00536C60" w:rsidRPr="00131A73">
              <w:tab/>
              <w:t>В регионе проведено более 80 мероприятий, посвященных празднованию Дня "Девушки в ИКТ". Например, в Таиланде девушки и молодые женщины прошли обучение, организованное компанией Agritech в партнерстве с правительством, учреждениями ООН, научными и отраслевыми организациями.</w:t>
            </w:r>
          </w:p>
          <w:p w14:paraId="226F20DF" w14:textId="72E9C2FC" w:rsidR="00536C60" w:rsidRPr="00131A73" w:rsidRDefault="00536C60">
            <w:pPr>
              <w:rPr>
                <w:rFonts w:eastAsia="Calibri" w:cs="Calibri"/>
                <w:szCs w:val="22"/>
              </w:rPr>
            </w:pPr>
            <w:r w:rsidRPr="00131A73">
              <w:rPr>
                <w:rFonts w:eastAsia="Calibri" w:cs="Calibri"/>
                <w:szCs w:val="22"/>
              </w:rPr>
              <w:t>Регион Северной и Южной Америки</w:t>
            </w:r>
            <w:r w:rsidR="004919B4" w:rsidRPr="00131A73">
              <w:t xml:space="preserve"> </w:t>
            </w:r>
            <w:r w:rsidR="00085402" w:rsidRPr="00131A73">
              <w:t xml:space="preserve">– региональная инициатива </w:t>
            </w:r>
            <w:r w:rsidR="004919B4" w:rsidRPr="00131A73">
              <w:rPr>
                <w:rFonts w:eastAsia="Calibri" w:cs="Calibri"/>
                <w:szCs w:val="22"/>
              </w:rPr>
              <w:t>AMS 4</w:t>
            </w:r>
            <w:r w:rsidRPr="00131A73">
              <w:rPr>
                <w:rFonts w:eastAsia="Calibri" w:cs="Calibri"/>
                <w:szCs w:val="22"/>
              </w:rPr>
              <w:t xml:space="preserve">: </w:t>
            </w:r>
            <w:r w:rsidR="00C0593F" w:rsidRPr="00131A73">
              <w:rPr>
                <w:rFonts w:eastAsia="Calibri" w:cs="Calibri"/>
                <w:szCs w:val="22"/>
              </w:rPr>
              <w:t>д</w:t>
            </w:r>
            <w:r w:rsidRPr="00131A73">
              <w:rPr>
                <w:rFonts w:eastAsia="Calibri" w:cs="Calibri"/>
                <w:szCs w:val="22"/>
              </w:rPr>
              <w:t>оступность и приемлемость в ценовом отношении в интересах открытого для всех и устойчивого региона Северной и Южной Америки</w:t>
            </w:r>
          </w:p>
          <w:p w14:paraId="5060073B" w14:textId="6CFB4861" w:rsidR="004919B4" w:rsidRPr="00131A73" w:rsidRDefault="00C517DF" w:rsidP="004919B4">
            <w:pPr>
              <w:pStyle w:val="enumlev1"/>
            </w:pPr>
            <w:r w:rsidRPr="00131A73">
              <w:t>−</w:t>
            </w:r>
            <w:r w:rsidR="004919B4" w:rsidRPr="00131A73">
              <w:tab/>
            </w:r>
            <w:r w:rsidR="00EC7FA5" w:rsidRPr="00131A73">
              <w:t xml:space="preserve">Доступная Северная и Южная Америка </w:t>
            </w:r>
            <w:r w:rsidR="004919B4" w:rsidRPr="00131A73">
              <w:t xml:space="preserve">– </w:t>
            </w:r>
            <w:r w:rsidR="00EC7FA5" w:rsidRPr="00131A73">
              <w:t xml:space="preserve">платформы развития знаний "ИКТ для всех" были организованы в </w:t>
            </w:r>
            <w:r w:rsidR="004919B4" w:rsidRPr="00131A73">
              <w:t xml:space="preserve">2018, 2019 </w:t>
            </w:r>
            <w:r w:rsidR="00EC7FA5" w:rsidRPr="00131A73">
              <w:t>и</w:t>
            </w:r>
            <w:r w:rsidR="004919B4" w:rsidRPr="00131A73">
              <w:t xml:space="preserve"> 2020</w:t>
            </w:r>
            <w:r w:rsidR="00EC7FA5" w:rsidRPr="00131A73">
              <w:t> годах</w:t>
            </w:r>
            <w:r w:rsidR="004919B4" w:rsidRPr="00131A73">
              <w:t xml:space="preserve">, </w:t>
            </w:r>
            <w:r w:rsidR="00EC7FA5" w:rsidRPr="00131A73">
              <w:t>и была повышена осведомленность более чем 700 региональных директивных органов (включая членов МСЭ и заинтересованны</w:t>
            </w:r>
            <w:r w:rsidR="00C0593F" w:rsidRPr="00131A73">
              <w:t>е</w:t>
            </w:r>
            <w:r w:rsidR="00EC7FA5" w:rsidRPr="00131A73">
              <w:t xml:space="preserve"> сторон</w:t>
            </w:r>
            <w:r w:rsidR="00C0593F" w:rsidRPr="00131A73">
              <w:t>ы</w:t>
            </w:r>
            <w:r w:rsidR="004919B4" w:rsidRPr="00131A73">
              <w:t>).</w:t>
            </w:r>
          </w:p>
          <w:p w14:paraId="0F024245" w14:textId="55CE85E8" w:rsidR="004919B4" w:rsidRPr="00131A73" w:rsidRDefault="00C517DF" w:rsidP="004919B4">
            <w:pPr>
              <w:pStyle w:val="enumlev1"/>
            </w:pPr>
            <w:r w:rsidRPr="00131A73">
              <w:t>−</w:t>
            </w:r>
            <w:r w:rsidR="004919B4" w:rsidRPr="00131A73">
              <w:tab/>
            </w:r>
            <w:r w:rsidR="00BE3ECC" w:rsidRPr="00131A73">
              <w:t xml:space="preserve">Образовательная программа сетевой доступности </w:t>
            </w:r>
            <w:r w:rsidR="004919B4" w:rsidRPr="00131A73">
              <w:t xml:space="preserve">"Internet for @ll" </w:t>
            </w:r>
            <w:r w:rsidR="00F03925" w:rsidRPr="00131A73">
              <w:t xml:space="preserve">("Интернет для всех") в 2020 году была осуществлена в Гайане, что дало правительству Гайаны возможность обеспечить доступность всех его </w:t>
            </w:r>
            <w:r w:rsidR="003A1889" w:rsidRPr="00131A73">
              <w:t xml:space="preserve">общедоступных </w:t>
            </w:r>
            <w:r w:rsidR="00F03925" w:rsidRPr="00131A73">
              <w:t xml:space="preserve">веб-сайтов </w:t>
            </w:r>
            <w:r w:rsidR="003A1889" w:rsidRPr="00131A73">
              <w:t>и приобрести возможности в области сетевой доступности</w:t>
            </w:r>
            <w:r w:rsidR="004919B4" w:rsidRPr="00131A73">
              <w:t>.</w:t>
            </w:r>
          </w:p>
          <w:p w14:paraId="64B510C1" w14:textId="1F9C44C3" w:rsidR="004919B4" w:rsidRPr="00131A73" w:rsidRDefault="00C517DF" w:rsidP="004919B4">
            <w:pPr>
              <w:pStyle w:val="enumlev1"/>
            </w:pPr>
            <w:r w:rsidRPr="00131A73">
              <w:t>−</w:t>
            </w:r>
            <w:r w:rsidR="004919B4" w:rsidRPr="00131A73">
              <w:tab/>
            </w:r>
            <w:r w:rsidR="003A1889" w:rsidRPr="00131A73">
              <w:t>Были проведены учебные занятия по доступности ИКТ в очной или онлайновой форме примерно для 400 человек, из которых свыше 300 подтвердили свои знания и получили сертификаты МСЭ по этой теме</w:t>
            </w:r>
            <w:r w:rsidR="004919B4" w:rsidRPr="00131A73">
              <w:t>.</w:t>
            </w:r>
          </w:p>
          <w:p w14:paraId="1150A517" w14:textId="2240670F" w:rsidR="004919B4" w:rsidRPr="00131A73" w:rsidRDefault="00C517DF" w:rsidP="004919B4">
            <w:pPr>
              <w:pStyle w:val="enumlev1"/>
            </w:pPr>
            <w:r w:rsidRPr="00131A73">
              <w:t>−</w:t>
            </w:r>
            <w:r w:rsidR="004919B4" w:rsidRPr="00131A73">
              <w:tab/>
              <w:t>В 2000 году МСЭ поставил оборудование в Доминику для</w:t>
            </w:r>
            <w:r w:rsidR="004919B4" w:rsidRPr="00131A73">
              <w:rPr>
                <w:rFonts w:cstheme="minorHAnsi"/>
                <w:szCs w:val="22"/>
              </w:rPr>
              <w:t xml:space="preserve"> помощи лицам с нарушениями зрения</w:t>
            </w:r>
            <w:r w:rsidR="004919B4" w:rsidRPr="00131A73">
              <w:t>.</w:t>
            </w:r>
          </w:p>
          <w:p w14:paraId="228E2502" w14:textId="75702D5D" w:rsidR="004919B4" w:rsidRPr="00131A73" w:rsidRDefault="00C517DF" w:rsidP="004919B4">
            <w:pPr>
              <w:pStyle w:val="enumlev1"/>
            </w:pPr>
            <w:r w:rsidRPr="00131A73">
              <w:t>−</w:t>
            </w:r>
            <w:r w:rsidR="004919B4" w:rsidRPr="00131A73">
              <w:tab/>
            </w:r>
            <w:r w:rsidR="00DE1315" w:rsidRPr="00131A73">
              <w:t>С</w:t>
            </w:r>
            <w:r w:rsidR="004919B4" w:rsidRPr="00131A73">
              <w:t xml:space="preserve"> 2018 </w:t>
            </w:r>
            <w:r w:rsidR="00DE1315" w:rsidRPr="00131A73">
              <w:t>по</w:t>
            </w:r>
            <w:r w:rsidR="004919B4" w:rsidRPr="00131A73">
              <w:t xml:space="preserve"> 2021</w:t>
            </w:r>
            <w:r w:rsidR="00DE1315" w:rsidRPr="00131A73">
              <w:t xml:space="preserve"> год более тысячи (1000) представителей коренных народов </w:t>
            </w:r>
            <w:r w:rsidR="00022267" w:rsidRPr="00131A73">
              <w:t>воспользовались программой развития знаний коренных народов, состоящей из онлайновых занятий под руководством преподавателя и смешанных занятий, целью которых является использование цифровых навыков коренных народов, благодаря чему МСЭ может поддерживать социально-экономическое развитие и самодостаточность сообществ коренных народов</w:t>
            </w:r>
            <w:r w:rsidR="004919B4" w:rsidRPr="00131A73">
              <w:t>.</w:t>
            </w:r>
          </w:p>
          <w:p w14:paraId="04FA3B90" w14:textId="0A1283E2" w:rsidR="004919B4" w:rsidRPr="00131A73" w:rsidRDefault="001252B9" w:rsidP="004919B4">
            <w:pPr>
              <w:rPr>
                <w:rFonts w:eastAsia="Calibri" w:cs="Calibri"/>
                <w:szCs w:val="22"/>
              </w:rPr>
            </w:pPr>
            <w:r w:rsidRPr="00131A73">
              <w:rPr>
                <w:rFonts w:eastAsia="Calibri" w:cs="Calibri"/>
                <w:szCs w:val="22"/>
              </w:rPr>
              <w:t>Арабские государства – региональная инициатива</w:t>
            </w:r>
            <w:r w:rsidR="004919B4" w:rsidRPr="00131A73">
              <w:rPr>
                <w:rFonts w:eastAsia="Calibri" w:cs="Calibri"/>
                <w:szCs w:val="22"/>
              </w:rPr>
              <w:t xml:space="preserve"> ARB 3: </w:t>
            </w:r>
          </w:p>
          <w:p w14:paraId="0ECBC687" w14:textId="0C7CE6C4" w:rsidR="004919B4" w:rsidRPr="00131A73" w:rsidRDefault="00C517DF" w:rsidP="004919B4">
            <w:pPr>
              <w:pStyle w:val="enumlev1"/>
            </w:pPr>
            <w:r w:rsidRPr="00131A73">
              <w:t>−</w:t>
            </w:r>
            <w:r w:rsidR="004919B4" w:rsidRPr="00131A73">
              <w:tab/>
            </w:r>
            <w:r w:rsidR="001252B9" w:rsidRPr="00131A73">
              <w:t>Была оказана помощь Судану и Ираку в разработке их национальных стратегий доступности ИКТ</w:t>
            </w:r>
            <w:r w:rsidR="004919B4" w:rsidRPr="00131A73">
              <w:t>.</w:t>
            </w:r>
          </w:p>
          <w:p w14:paraId="3A8BD9E6" w14:textId="548A1570" w:rsidR="004919B4" w:rsidRPr="00131A73" w:rsidRDefault="00C517DF" w:rsidP="004919B4">
            <w:pPr>
              <w:pStyle w:val="enumlev1"/>
            </w:pPr>
            <w:r w:rsidRPr="00131A73">
              <w:t>−</w:t>
            </w:r>
            <w:r w:rsidR="004919B4" w:rsidRPr="00131A73">
              <w:tab/>
            </w:r>
            <w:r w:rsidR="001252B9" w:rsidRPr="00131A73">
              <w:t xml:space="preserve">Была повышена осведомленность о доступности ИКТ для развития регионального потенциала по этой теме во время ежегодной </w:t>
            </w:r>
            <w:r w:rsidR="001252B9" w:rsidRPr="00131A73">
              <w:rPr>
                <w:color w:val="000000"/>
              </w:rPr>
              <w:t>Недели охвата цифровыми технологиями (проводившейся МСЭ совместно с ЮНЕСКО в сентябре</w:t>
            </w:r>
            <w:r w:rsidR="004919B4" w:rsidRPr="00131A73">
              <w:t xml:space="preserve"> 2018, 2019</w:t>
            </w:r>
            <w:r w:rsidR="001252B9" w:rsidRPr="00131A73">
              <w:t xml:space="preserve"> и</w:t>
            </w:r>
            <w:r w:rsidR="004919B4" w:rsidRPr="00131A73">
              <w:t xml:space="preserve"> 2020</w:t>
            </w:r>
            <w:r w:rsidR="001252B9" w:rsidRPr="00131A73">
              <w:t> гг.</w:t>
            </w:r>
            <w:r w:rsidR="004919B4" w:rsidRPr="00131A73">
              <w:t>)</w:t>
            </w:r>
            <w:r w:rsidR="001252B9" w:rsidRPr="00131A73">
              <w:t xml:space="preserve"> в Каире (Египет)</w:t>
            </w:r>
            <w:r w:rsidR="004919B4" w:rsidRPr="00131A73">
              <w:t>.</w:t>
            </w:r>
          </w:p>
          <w:p w14:paraId="22331084" w14:textId="565B350B" w:rsidR="004919B4" w:rsidRPr="00131A73" w:rsidRDefault="00C517DF" w:rsidP="004919B4">
            <w:pPr>
              <w:pStyle w:val="enumlev1"/>
            </w:pPr>
            <w:r w:rsidRPr="00131A73">
              <w:t>−</w:t>
            </w:r>
            <w:r w:rsidR="004919B4" w:rsidRPr="00131A73">
              <w:tab/>
            </w:r>
            <w:r w:rsidR="001252B9" w:rsidRPr="00131A73">
              <w:t xml:space="preserve">Было разработано и адаптировано для Арабского региона очное мероприятие "Подготовка </w:t>
            </w:r>
            <w:r w:rsidR="00BF7BB8" w:rsidRPr="00131A73">
              <w:t>инструкторов</w:t>
            </w:r>
            <w:r w:rsidR="001252B9" w:rsidRPr="00131A73">
              <w:t>"</w:t>
            </w:r>
            <w:r w:rsidR="00BF7BB8" w:rsidRPr="00131A73">
              <w:t xml:space="preserve"> по теме "</w:t>
            </w:r>
            <w:r w:rsidR="00BF7BB8" w:rsidRPr="00131A73">
              <w:rPr>
                <w:color w:val="000000"/>
              </w:rPr>
              <w:t>Доступный цифровой контент и его адаптация для заинтересованных сторон, предоставляющих цифровые финансовые услуги", которое в 2018 году было проведено для директивных органов в Каире (Египет)</w:t>
            </w:r>
            <w:r w:rsidR="004919B4" w:rsidRPr="00131A73">
              <w:t>.</w:t>
            </w:r>
          </w:p>
          <w:p w14:paraId="1C0D6821" w14:textId="1572E7A8" w:rsidR="004919B4" w:rsidRPr="00131A73" w:rsidRDefault="00BF7BB8" w:rsidP="004919B4">
            <w:pPr>
              <w:rPr>
                <w:rFonts w:eastAsia="Calibri" w:cs="Calibri"/>
                <w:szCs w:val="22"/>
              </w:rPr>
            </w:pPr>
            <w:r w:rsidRPr="00131A73">
              <w:rPr>
                <w:rFonts w:eastAsia="Calibri" w:cs="Calibri"/>
                <w:szCs w:val="22"/>
              </w:rPr>
              <w:t xml:space="preserve">Африка – региональные инициативы </w:t>
            </w:r>
            <w:r w:rsidR="004919B4" w:rsidRPr="00131A73">
              <w:rPr>
                <w:rFonts w:eastAsia="Calibri" w:cs="Calibri"/>
                <w:szCs w:val="22"/>
              </w:rPr>
              <w:t xml:space="preserve">2 </w:t>
            </w:r>
            <w:r w:rsidRPr="00131A73">
              <w:rPr>
                <w:rFonts w:eastAsia="Calibri" w:cs="Calibri"/>
                <w:szCs w:val="22"/>
              </w:rPr>
              <w:t>и</w:t>
            </w:r>
            <w:r w:rsidR="004919B4" w:rsidRPr="00131A73">
              <w:rPr>
                <w:rFonts w:eastAsia="Calibri" w:cs="Calibri"/>
                <w:szCs w:val="22"/>
              </w:rPr>
              <w:t xml:space="preserve"> 4:</w:t>
            </w:r>
          </w:p>
          <w:p w14:paraId="49607B1A" w14:textId="473C0A11" w:rsidR="004919B4" w:rsidRPr="00131A73" w:rsidRDefault="00C517DF" w:rsidP="004919B4">
            <w:pPr>
              <w:pStyle w:val="enumlev1"/>
            </w:pPr>
            <w:r w:rsidRPr="00131A73">
              <w:t>−</w:t>
            </w:r>
            <w:r w:rsidR="004919B4" w:rsidRPr="00131A73">
              <w:tab/>
            </w:r>
            <w:r w:rsidR="00D42F77" w:rsidRPr="00131A73">
              <w:t xml:space="preserve">Была повышена осведомленность по использованию регионального потенциала для доступности ИКТ в ходе нескольких соответствующих региональных собраний, включая </w:t>
            </w:r>
            <w:r w:rsidR="00D42F77" w:rsidRPr="00131A73">
              <w:rPr>
                <w:color w:val="000000"/>
              </w:rPr>
              <w:t>Инклюзивную конференцию в Африке</w:t>
            </w:r>
            <w:r w:rsidR="004919B4" w:rsidRPr="00131A73">
              <w:t xml:space="preserve"> (2020</w:t>
            </w:r>
            <w:r w:rsidR="00D42F77" w:rsidRPr="00131A73">
              <w:t> г.</w:t>
            </w:r>
            <w:r w:rsidR="004919B4" w:rsidRPr="00131A73">
              <w:t xml:space="preserve">, </w:t>
            </w:r>
            <w:r w:rsidR="00C91B9F" w:rsidRPr="00131A73">
              <w:t>онлайновый формат</w:t>
            </w:r>
            <w:r w:rsidR="004919B4" w:rsidRPr="00131A73">
              <w:t>).</w:t>
            </w:r>
          </w:p>
          <w:p w14:paraId="155F685E" w14:textId="6FED9785" w:rsidR="004919B4" w:rsidRPr="00131A73" w:rsidRDefault="00C517DF" w:rsidP="004919B4">
            <w:pPr>
              <w:pStyle w:val="enumlev1"/>
            </w:pPr>
            <w:r w:rsidRPr="00131A73">
              <w:t>−</w:t>
            </w:r>
            <w:r w:rsidR="004919B4" w:rsidRPr="00131A73">
              <w:tab/>
            </w:r>
            <w:r w:rsidR="005C7BEC" w:rsidRPr="00131A73">
              <w:t>На французском языке были проведены онлайновые учебные занятия по доступности ИКТ и сетевой доступности</w:t>
            </w:r>
            <w:r w:rsidR="004919B4" w:rsidRPr="00131A73">
              <w:t xml:space="preserve"> (2020</w:t>
            </w:r>
            <w:r w:rsidR="005C7BEC" w:rsidRPr="00131A73">
              <w:t> г.</w:t>
            </w:r>
            <w:r w:rsidR="004919B4" w:rsidRPr="00131A73">
              <w:t>).</w:t>
            </w:r>
          </w:p>
          <w:p w14:paraId="0833A269" w14:textId="4A60DCDC" w:rsidR="004919B4" w:rsidRPr="00131A73" w:rsidRDefault="00C517DF" w:rsidP="004919B4">
            <w:pPr>
              <w:pStyle w:val="enumlev1"/>
            </w:pPr>
            <w:r w:rsidRPr="00131A73">
              <w:t>−</w:t>
            </w:r>
            <w:r w:rsidR="004919B4" w:rsidRPr="00131A73">
              <w:tab/>
            </w:r>
            <w:r w:rsidR="005C7BEC" w:rsidRPr="00131A73">
              <w:t xml:space="preserve">Были проведены пять региональных семинаров-практикумов на английском и французском языках для членов МСЭ и заинтересованных сторон с целью укрепления регионального потенциала </w:t>
            </w:r>
            <w:r w:rsidR="005C7BEC" w:rsidRPr="00131A73">
              <w:lastRenderedPageBreak/>
              <w:t>директивных органов в области доступности ИКТ и подготовки их к разработке страновых самооценок для дальнейшего мониторинга осуществления</w:t>
            </w:r>
            <w:r w:rsidR="004919B4" w:rsidRPr="00131A73">
              <w:t xml:space="preserve"> (2021</w:t>
            </w:r>
            <w:r w:rsidR="005C7BEC" w:rsidRPr="00131A73">
              <w:t> г.</w:t>
            </w:r>
            <w:r w:rsidR="004919B4" w:rsidRPr="00131A73">
              <w:t>).</w:t>
            </w:r>
          </w:p>
          <w:p w14:paraId="3FEA5BD4" w14:textId="53EED7C7" w:rsidR="004919B4" w:rsidRPr="00131A73" w:rsidRDefault="00C517DF" w:rsidP="004919B4">
            <w:pPr>
              <w:pStyle w:val="enumlev1"/>
            </w:pPr>
            <w:r w:rsidRPr="00131A73">
              <w:t>−</w:t>
            </w:r>
            <w:r w:rsidR="004919B4" w:rsidRPr="00131A73">
              <w:tab/>
            </w:r>
            <w:r w:rsidR="005C7BEC" w:rsidRPr="00131A73">
              <w:t>Оценка доступности ИКТ для Африканского региона</w:t>
            </w:r>
            <w:r w:rsidR="004919B4" w:rsidRPr="00131A73">
              <w:t xml:space="preserve"> (2021</w:t>
            </w:r>
            <w:r w:rsidR="005C7BEC" w:rsidRPr="00131A73">
              <w:t> г.</w:t>
            </w:r>
            <w:r w:rsidR="004919B4" w:rsidRPr="00131A73">
              <w:t>).</w:t>
            </w:r>
          </w:p>
          <w:p w14:paraId="238839CD" w14:textId="31195D80" w:rsidR="00536C60" w:rsidRPr="00131A73" w:rsidRDefault="00536C60">
            <w:pPr>
              <w:rPr>
                <w:rFonts w:cstheme="minorHAnsi"/>
                <w:szCs w:val="22"/>
              </w:rPr>
            </w:pPr>
            <w:r w:rsidRPr="00131A73">
              <w:rPr>
                <w:rFonts w:cstheme="minorHAnsi"/>
                <w:szCs w:val="22"/>
              </w:rPr>
              <w:t>Европейский регион</w:t>
            </w:r>
            <w:r w:rsidR="005C7BEC" w:rsidRPr="00131A73">
              <w:rPr>
                <w:rFonts w:cstheme="minorHAnsi"/>
                <w:szCs w:val="22"/>
              </w:rPr>
              <w:t xml:space="preserve"> – региональная инициатива</w:t>
            </w:r>
            <w:r w:rsidR="00A1088E" w:rsidRPr="00131A73">
              <w:rPr>
                <w:rFonts w:cstheme="minorHAnsi"/>
                <w:szCs w:val="22"/>
              </w:rPr>
              <w:t xml:space="preserve"> EUR 3</w:t>
            </w:r>
            <w:r w:rsidRPr="00131A73">
              <w:rPr>
                <w:rFonts w:cstheme="minorHAnsi"/>
                <w:szCs w:val="22"/>
              </w:rPr>
              <w:t xml:space="preserve">: </w:t>
            </w:r>
            <w:r w:rsidR="00E6308B" w:rsidRPr="00131A73">
              <w:rPr>
                <w:rFonts w:cstheme="minorHAnsi"/>
                <w:szCs w:val="22"/>
              </w:rPr>
              <w:t>д</w:t>
            </w:r>
            <w:r w:rsidRPr="00131A73">
              <w:rPr>
                <w:rFonts w:cstheme="minorHAnsi"/>
                <w:szCs w:val="22"/>
              </w:rPr>
              <w:t>оступность, приемлемость в ценовом отношении и развитие навыков для всех, с тем чтобы обеспечить охват цифровыми технологиями и устойчивое развитие</w:t>
            </w:r>
          </w:p>
          <w:p w14:paraId="675D5917" w14:textId="766CFD2E" w:rsidR="00A1088E" w:rsidRPr="00131A73" w:rsidRDefault="00C517DF" w:rsidP="00A1088E">
            <w:pPr>
              <w:pStyle w:val="enumlev1"/>
            </w:pPr>
            <w:r w:rsidRPr="00131A73">
              <w:t>−</w:t>
            </w:r>
            <w:r w:rsidR="00A1088E" w:rsidRPr="00131A73">
              <w:tab/>
            </w:r>
            <w:r w:rsidR="0037284D" w:rsidRPr="00131A73">
              <w:t xml:space="preserve">В ряде стран в 2021 году было проведено, совместно со Структурой "ООН-женщины", региональное исследование </w:t>
            </w:r>
            <w:r w:rsidR="0037284D" w:rsidRPr="00131A73">
              <w:rPr>
                <w:i/>
                <w:iCs/>
              </w:rPr>
              <w:t>"</w:t>
            </w:r>
            <w:r w:rsidR="0037284D" w:rsidRPr="00131A73">
              <w:rPr>
                <w:i/>
                <w:iCs/>
                <w:color w:val="000000"/>
              </w:rPr>
              <w:t>Обеспеченное цифровыми возможностями равенство поколений: женщины, девушки и ИКТ в контексте</w:t>
            </w:r>
            <w:r w:rsidR="00A1088E" w:rsidRPr="00131A73">
              <w:rPr>
                <w:i/>
                <w:iCs/>
              </w:rPr>
              <w:t xml:space="preserve"> COVID-19</w:t>
            </w:r>
            <w:r w:rsidR="0037284D" w:rsidRPr="00131A73">
              <w:rPr>
                <w:i/>
                <w:iCs/>
              </w:rPr>
              <w:t>"</w:t>
            </w:r>
            <w:r w:rsidR="0037284D" w:rsidRPr="00131A73">
              <w:t>, в результате чего удалось выявить в регионе конкретные пробелы в рамках проектов и технической помощи</w:t>
            </w:r>
            <w:r w:rsidR="00A1088E" w:rsidRPr="00131A73">
              <w:t>.</w:t>
            </w:r>
          </w:p>
          <w:p w14:paraId="032FC431" w14:textId="17787FF8" w:rsidR="00A1088E" w:rsidRPr="00131A73" w:rsidRDefault="00C517DF" w:rsidP="00A1088E">
            <w:pPr>
              <w:pStyle w:val="enumlev1"/>
            </w:pPr>
            <w:r w:rsidRPr="00131A73">
              <w:t>−</w:t>
            </w:r>
            <w:r w:rsidR="00A1088E" w:rsidRPr="00131A73">
              <w:tab/>
            </w:r>
            <w:r w:rsidR="0037284D" w:rsidRPr="00131A73">
              <w:t>В 2021 году было начато осуществление проекта "РАВНЫЕ-ЕС", финансируемого Рамочной программой ЕС "Горизонт-2020", с целью развития потенциала</w:t>
            </w:r>
            <w:r w:rsidR="00E22374" w:rsidRPr="00131A73">
              <w:t xml:space="preserve"> в области учитывающих гендерные аспекты инноваций в Европе и странах-партнерах во всем мире, с масштабной и ориентированной на ценности повесткой дня</w:t>
            </w:r>
            <w:r w:rsidR="00A1088E" w:rsidRPr="00131A73">
              <w:t xml:space="preserve">. </w:t>
            </w:r>
            <w:r w:rsidR="00E22374" w:rsidRPr="00131A73">
              <w:t>Это инициатива</w:t>
            </w:r>
            <w:r w:rsidR="00A1088E" w:rsidRPr="00131A73">
              <w:t>.</w:t>
            </w:r>
          </w:p>
          <w:p w14:paraId="5A863070" w14:textId="08D9C24A" w:rsidR="00A1088E" w:rsidRPr="00131A73" w:rsidRDefault="00C517DF" w:rsidP="00A1088E">
            <w:pPr>
              <w:pStyle w:val="enumlev1"/>
            </w:pPr>
            <w:r w:rsidRPr="00131A73">
              <w:t>−</w:t>
            </w:r>
            <w:r w:rsidR="00A1088E" w:rsidRPr="00131A73">
              <w:tab/>
            </w:r>
            <w:r w:rsidR="00E22374" w:rsidRPr="00131A73">
              <w:t xml:space="preserve">Совместная инициатива МСЭ и Европейской комиссии "Доступная Европа" привлекла все соответствующие заинтересованные стороны из стран, входящих и не входящих в ЕС, обеспечивая уникальную платформу для обмена опытом, содействия инновациям </w:t>
            </w:r>
            <w:r w:rsidR="00D95DCA" w:rsidRPr="00131A73">
              <w:t>и оказания технической помощи странам, находящимся в трудном положении</w:t>
            </w:r>
            <w:r w:rsidR="00A1088E" w:rsidRPr="00131A73">
              <w:t>.</w:t>
            </w:r>
          </w:p>
          <w:p w14:paraId="68FD3212" w14:textId="71EB1833" w:rsidR="00A1088E" w:rsidRPr="00131A73" w:rsidRDefault="00C517DF" w:rsidP="00A1088E">
            <w:pPr>
              <w:pStyle w:val="enumlev1"/>
            </w:pPr>
            <w:r w:rsidRPr="00131A73">
              <w:t>−</w:t>
            </w:r>
            <w:r w:rsidR="00A1088E" w:rsidRPr="00131A73">
              <w:tab/>
            </w:r>
            <w:r w:rsidR="00D95DCA" w:rsidRPr="00131A73">
              <w:t>Доступная Европа – платформы развития знаний "ИКТ для всех" были организованы в 2018, 2019, 2020 и 2021 годах</w:t>
            </w:r>
            <w:r w:rsidR="00DA75A1" w:rsidRPr="00131A73">
              <w:t>, для повышения осведомленности и использования потенциала более чем 2000 региональных директивных органов и заинтересованных сторон при обеспечении доступности ИКТ как ключевого благоприятствующего фактора создания доступных условий и сообществ</w:t>
            </w:r>
            <w:r w:rsidR="00A1088E" w:rsidRPr="00131A73">
              <w:t>.</w:t>
            </w:r>
          </w:p>
          <w:p w14:paraId="5476D745" w14:textId="6C28E56F" w:rsidR="00A1088E" w:rsidRPr="00131A73" w:rsidRDefault="00C517DF" w:rsidP="00A1088E">
            <w:pPr>
              <w:pStyle w:val="enumlev1"/>
            </w:pPr>
            <w:r w:rsidRPr="00131A73">
              <w:t>−</w:t>
            </w:r>
            <w:r w:rsidR="00A1088E" w:rsidRPr="00131A73">
              <w:tab/>
            </w:r>
            <w:r w:rsidR="0075684C" w:rsidRPr="00131A73">
              <w:t xml:space="preserve">Был разработан и/или предоставлен ряд ресурсов для поддержки членов МСЭ в реализации доступности ИКТ, </w:t>
            </w:r>
            <w:r w:rsidR="001321F0" w:rsidRPr="00131A73">
              <w:t>и в</w:t>
            </w:r>
            <w:r w:rsidR="001321F0" w:rsidRPr="00131A73">
              <w:rPr>
                <w:rFonts w:cstheme="minorHAnsi"/>
                <w:szCs w:val="22"/>
              </w:rPr>
              <w:t xml:space="preserve"> регионе </w:t>
            </w:r>
            <w:r w:rsidR="001321F0" w:rsidRPr="00131A73">
              <w:rPr>
                <w:rFonts w:cstheme="minorHAnsi"/>
                <w:lang w:eastAsia="en-GB"/>
              </w:rPr>
              <w:t>поощряется</w:t>
            </w:r>
            <w:r w:rsidR="001321F0" w:rsidRPr="00131A73">
              <w:rPr>
                <w:rFonts w:cstheme="minorHAnsi"/>
                <w:szCs w:val="22"/>
              </w:rPr>
              <w:t xml:space="preserve"> самостоятельное онлайн</w:t>
            </w:r>
            <w:r w:rsidR="0075684C" w:rsidRPr="00131A73">
              <w:rPr>
                <w:rFonts w:cstheme="minorHAnsi"/>
                <w:szCs w:val="22"/>
              </w:rPr>
              <w:t xml:space="preserve">овое </w:t>
            </w:r>
            <w:r w:rsidR="001321F0" w:rsidRPr="00131A73">
              <w:rPr>
                <w:rFonts w:cstheme="minorHAnsi"/>
                <w:szCs w:val="22"/>
              </w:rPr>
              <w:t>обучение по вопросам доступности ИКТ с привлечением более 200 </w:t>
            </w:r>
            <w:r w:rsidR="0075684C" w:rsidRPr="00131A73">
              <w:rPr>
                <w:rFonts w:cstheme="minorHAnsi"/>
                <w:szCs w:val="22"/>
              </w:rPr>
              <w:t>заинтересованных сторон</w:t>
            </w:r>
            <w:r w:rsidR="00A1088E" w:rsidRPr="00131A73">
              <w:t>.</w:t>
            </w:r>
          </w:p>
          <w:p w14:paraId="623967CE" w14:textId="51AAE48C" w:rsidR="001321F0" w:rsidRPr="00131A73" w:rsidRDefault="00C517DF" w:rsidP="00A1088E">
            <w:pPr>
              <w:pStyle w:val="enumlev1"/>
              <w:rPr>
                <w:rFonts w:cstheme="minorHAnsi"/>
                <w:lang w:eastAsia="en-GB"/>
              </w:rPr>
            </w:pPr>
            <w:r w:rsidRPr="00131A73">
              <w:t>−</w:t>
            </w:r>
            <w:r w:rsidR="001321F0" w:rsidRPr="00131A73">
              <w:tab/>
              <w:t>Проведен</w:t>
            </w:r>
            <w:r w:rsidR="001321F0" w:rsidRPr="00131A73">
              <w:rPr>
                <w:rFonts w:cstheme="minorHAnsi"/>
                <w:lang w:eastAsia="en-GB"/>
              </w:rPr>
              <w:t xml:space="preserve"> региональный конкурс "Цифровые инновационные решения для доступной Европы</w:t>
            </w:r>
            <w:r w:rsidR="001321F0" w:rsidRPr="00131A73">
              <w:rPr>
                <w:szCs w:val="22"/>
              </w:rPr>
              <w:t>",</w:t>
            </w:r>
            <w:r w:rsidR="001321F0" w:rsidRPr="00131A73">
              <w:rPr>
                <w:rFonts w:cstheme="minorHAnsi"/>
                <w:lang w:eastAsia="en-GB"/>
              </w:rPr>
              <w:t xml:space="preserve"> в котором приняли участие более 80 </w:t>
            </w:r>
            <w:r w:rsidR="0075684C" w:rsidRPr="00131A73">
              <w:rPr>
                <w:rFonts w:cstheme="minorHAnsi"/>
                <w:lang w:eastAsia="en-GB"/>
              </w:rPr>
              <w:t xml:space="preserve">начинающих </w:t>
            </w:r>
            <w:r w:rsidR="001321F0" w:rsidRPr="00131A73">
              <w:rPr>
                <w:rFonts w:cstheme="minorHAnsi"/>
                <w:lang w:eastAsia="en-GB"/>
              </w:rPr>
              <w:t>компаний.</w:t>
            </w:r>
          </w:p>
          <w:p w14:paraId="5DCDF209" w14:textId="62A11EBB" w:rsidR="00A1088E" w:rsidRPr="00131A73" w:rsidRDefault="00C517DF" w:rsidP="00A1088E">
            <w:pPr>
              <w:pStyle w:val="enumlev1"/>
            </w:pPr>
            <w:r w:rsidRPr="00131A73">
              <w:t>−</w:t>
            </w:r>
            <w:r w:rsidR="00A1088E" w:rsidRPr="00131A73">
              <w:tab/>
            </w:r>
            <w:r w:rsidR="001321F0" w:rsidRPr="00131A73">
              <w:rPr>
                <w:szCs w:val="22"/>
              </w:rPr>
              <w:t>Представлен</w:t>
            </w:r>
            <w:r w:rsidR="0075684C" w:rsidRPr="00131A73">
              <w:rPr>
                <w:szCs w:val="22"/>
              </w:rPr>
              <w:t xml:space="preserve"> ряд</w:t>
            </w:r>
            <w:r w:rsidR="001321F0" w:rsidRPr="00131A73">
              <w:rPr>
                <w:szCs w:val="22"/>
              </w:rPr>
              <w:t xml:space="preserve"> доклад</w:t>
            </w:r>
            <w:r w:rsidR="0075684C" w:rsidRPr="00131A73">
              <w:rPr>
                <w:szCs w:val="22"/>
              </w:rPr>
              <w:t>ов</w:t>
            </w:r>
            <w:r w:rsidR="001321F0" w:rsidRPr="00131A73">
              <w:rPr>
                <w:szCs w:val="22"/>
              </w:rPr>
              <w:t xml:space="preserve"> по доступности ИКТ для содействия осуществлению работы в области </w:t>
            </w:r>
            <w:r w:rsidR="001321F0" w:rsidRPr="00131A73">
              <w:t>искусственного</w:t>
            </w:r>
            <w:r w:rsidR="001321F0" w:rsidRPr="00131A73">
              <w:rPr>
                <w:szCs w:val="22"/>
              </w:rPr>
              <w:t xml:space="preserve"> интеллекта, радиовещания, стандартов и закупок</w:t>
            </w:r>
            <w:r w:rsidR="00A1088E" w:rsidRPr="00131A73">
              <w:t>.</w:t>
            </w:r>
          </w:p>
          <w:p w14:paraId="40CB1C82" w14:textId="51FD34FF" w:rsidR="00A1088E" w:rsidRPr="00131A73" w:rsidRDefault="00C517DF" w:rsidP="00A1088E">
            <w:pPr>
              <w:pStyle w:val="enumlev1"/>
            </w:pPr>
            <w:r w:rsidRPr="00131A73">
              <w:t>−</w:t>
            </w:r>
            <w:r w:rsidR="00A1088E" w:rsidRPr="00131A73">
              <w:tab/>
            </w:r>
            <w:r w:rsidR="0075684C" w:rsidRPr="00131A73">
              <w:t>Была разработана оценка доступности ИКТ для региона Европы</w:t>
            </w:r>
            <w:r w:rsidR="007B446D" w:rsidRPr="00131A73">
              <w:t xml:space="preserve"> с целью отслеживания хода работы и определения пробелов, по которым должны проводить работу заинтересованные стороны для достижения целевого показателя </w:t>
            </w:r>
            <w:r w:rsidR="009A2C6A" w:rsidRPr="00131A73">
              <w:t>2.9 МСЭ, в отношении доступности</w:t>
            </w:r>
            <w:r w:rsidR="00A1088E" w:rsidRPr="00131A73">
              <w:t>.</w:t>
            </w:r>
          </w:p>
          <w:p w14:paraId="3E331F97" w14:textId="2A9FD09E" w:rsidR="00A1088E" w:rsidRPr="00131A73" w:rsidRDefault="00C517DF" w:rsidP="00A1088E">
            <w:pPr>
              <w:pStyle w:val="enumlev1"/>
            </w:pPr>
            <w:r w:rsidRPr="00131A73">
              <w:t>−</w:t>
            </w:r>
            <w:r w:rsidR="00A1088E" w:rsidRPr="00131A73">
              <w:tab/>
            </w:r>
            <w:r w:rsidR="009A2C6A" w:rsidRPr="00131A73">
              <w:t>Была оказана помощь Сербии в разработке национальной оценки доступности ИКТ</w:t>
            </w:r>
            <w:r w:rsidR="00A1088E" w:rsidRPr="00131A73">
              <w:t>.</w:t>
            </w:r>
          </w:p>
          <w:p w14:paraId="0836D4A3" w14:textId="5F21180E" w:rsidR="00536C60" w:rsidRPr="00131A73" w:rsidRDefault="00536C60">
            <w:pPr>
              <w:rPr>
                <w:rFonts w:cstheme="minorBidi"/>
              </w:rPr>
            </w:pPr>
            <w:r w:rsidRPr="00131A73">
              <w:t>Регион СНГ</w:t>
            </w:r>
            <w:r w:rsidR="001321F0" w:rsidRPr="00131A73">
              <w:t xml:space="preserve"> </w:t>
            </w:r>
            <w:r w:rsidR="009A2C6A" w:rsidRPr="00131A73">
              <w:t xml:space="preserve">– региональная инициатива </w:t>
            </w:r>
            <w:r w:rsidR="001321F0" w:rsidRPr="00131A73">
              <w:t>CIS 2</w:t>
            </w:r>
            <w:r w:rsidRPr="00131A73">
              <w:rPr>
                <w:rFonts w:cstheme="minorBidi"/>
              </w:rPr>
              <w:t xml:space="preserve">: </w:t>
            </w:r>
            <w:r w:rsidR="00E6308B" w:rsidRPr="00131A73">
              <w:rPr>
                <w:rFonts w:cstheme="minorBidi"/>
              </w:rPr>
              <w:t>и</w:t>
            </w:r>
            <w:r w:rsidRPr="00131A73">
              <w:rPr>
                <w:rFonts w:cstheme="minorBidi"/>
              </w:rPr>
              <w:t>спользование электросвязи/информационно-коммуникационных технологий для обеспечения всеохватного, справедливого, качественного и безопасного образования, включая повышение уровня знаний женщин в сфере ИКТ и электронного правительства.</w:t>
            </w:r>
          </w:p>
          <w:p w14:paraId="45DD3E16" w14:textId="0455F488" w:rsidR="00536C60" w:rsidRPr="00131A73" w:rsidRDefault="00C517DF" w:rsidP="001321F0">
            <w:pPr>
              <w:pStyle w:val="enumlev1"/>
              <w:rPr>
                <w:rFonts w:cstheme="minorBidi"/>
              </w:rPr>
            </w:pPr>
            <w:r w:rsidRPr="00131A73">
              <w:t>−</w:t>
            </w:r>
            <w:r w:rsidR="00536C60" w:rsidRPr="00131A73">
              <w:rPr>
                <w:rFonts w:cstheme="minorBidi"/>
              </w:rPr>
              <w:tab/>
              <w:t xml:space="preserve">Целевая помощь была предоставлена Кыргызстану </w:t>
            </w:r>
            <w:r w:rsidR="00410DA0" w:rsidRPr="00131A73">
              <w:rPr>
                <w:rFonts w:cstheme="minorBidi"/>
              </w:rPr>
              <w:t>для развития потенциала</w:t>
            </w:r>
            <w:r w:rsidR="00536C60" w:rsidRPr="00131A73">
              <w:rPr>
                <w:rFonts w:cstheme="minorBidi"/>
              </w:rPr>
              <w:t xml:space="preserve"> учителей информатики в сельских и отдаленных районах страны и Армении </w:t>
            </w:r>
            <w:r w:rsidR="00410DA0" w:rsidRPr="00131A73">
              <w:rPr>
                <w:rFonts w:cstheme="minorBidi"/>
              </w:rPr>
              <w:t xml:space="preserve">для поддержки </w:t>
            </w:r>
            <w:r w:rsidR="00536C60" w:rsidRPr="00131A73">
              <w:rPr>
                <w:rFonts w:cstheme="minorBidi"/>
              </w:rPr>
              <w:t>лаборатори</w:t>
            </w:r>
            <w:r w:rsidR="00410DA0" w:rsidRPr="00131A73">
              <w:rPr>
                <w:rFonts w:cstheme="minorBidi"/>
              </w:rPr>
              <w:t>и</w:t>
            </w:r>
            <w:r w:rsidR="00536C60" w:rsidRPr="00131A73">
              <w:rPr>
                <w:rFonts w:cstheme="minorBidi"/>
              </w:rPr>
              <w:t xml:space="preserve"> виртуальной реальности/дополненной реальности в Эчмиадзине.</w:t>
            </w:r>
          </w:p>
          <w:p w14:paraId="3A8828AA" w14:textId="45B4DFD4" w:rsidR="001321F0" w:rsidRPr="00131A73" w:rsidRDefault="00C517DF">
            <w:pPr>
              <w:pStyle w:val="enumlev1"/>
              <w:spacing w:after="120"/>
              <w:rPr>
                <w:rFonts w:cstheme="minorBidi"/>
                <w:color w:val="444444"/>
              </w:rPr>
            </w:pPr>
            <w:r w:rsidRPr="00131A73">
              <w:t>−</w:t>
            </w:r>
            <w:r w:rsidR="001321F0" w:rsidRPr="00131A73">
              <w:rPr>
                <w:rFonts w:cstheme="minorBidi"/>
              </w:rPr>
              <w:tab/>
            </w:r>
            <w:r w:rsidR="00410DA0" w:rsidRPr="00131A73">
              <w:rPr>
                <w:rFonts w:cstheme="minorBidi"/>
              </w:rPr>
              <w:t>Ведется разработка региональной базовой оценки доступности ИКТ для региона СНГ (будет завершена во втором квартале 2021 г.</w:t>
            </w:r>
            <w:r w:rsidR="001321F0" w:rsidRPr="00131A73">
              <w:rPr>
                <w:rFonts w:cstheme="minorBidi"/>
              </w:rPr>
              <w:t>).</w:t>
            </w:r>
          </w:p>
        </w:tc>
      </w:tr>
    </w:tbl>
    <w:p w14:paraId="524C3AD1" w14:textId="77777777" w:rsidR="00A1088E" w:rsidRPr="00131A73" w:rsidRDefault="00A1088E" w:rsidP="00A53525">
      <w:pPr>
        <w:spacing w:before="0"/>
        <w:rPr>
          <w:szCs w:val="24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36C60" w:rsidRPr="00131A73" w14:paraId="06759F9D" w14:textId="77777777" w:rsidTr="00536C60"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FD5CF" w14:textId="77777777" w:rsidR="00536C60" w:rsidRPr="00131A73" w:rsidRDefault="00536C60">
            <w:pPr>
              <w:shd w:val="clear" w:color="auto" w:fill="FFFFFF" w:themeFill="background1"/>
              <w:overflowPunct/>
              <w:autoSpaceDE/>
              <w:adjustRightInd/>
              <w:rPr>
                <w:rFonts w:cstheme="minorBidi"/>
                <w:b/>
                <w:bCs/>
                <w:szCs w:val="24"/>
              </w:rPr>
            </w:pPr>
            <w:r w:rsidRPr="00131A73">
              <w:rPr>
                <w:rFonts w:cstheme="minorBidi"/>
                <w:b/>
                <w:bCs/>
                <w:szCs w:val="24"/>
              </w:rPr>
              <w:t>ИССЛЕДОВАТЕЛЬСКИЕ КОМИССИИ</w:t>
            </w:r>
          </w:p>
          <w:p w14:paraId="65D5C4FD" w14:textId="3302F4F2" w:rsidR="00A97932" w:rsidRPr="00131A73" w:rsidRDefault="000B2F7F" w:rsidP="00A97932">
            <w:pPr>
              <w:shd w:val="clear" w:color="auto" w:fill="FFFFFF" w:themeFill="background1"/>
              <w:overflowPunct/>
              <w:autoSpaceDE/>
              <w:adjustRightInd/>
              <w:rPr>
                <w:szCs w:val="22"/>
              </w:rPr>
            </w:pPr>
            <w:r w:rsidRPr="00131A73">
              <w:rPr>
                <w:szCs w:val="22"/>
              </w:rPr>
              <w:t>Было завершено составление отчета за рабочий период 2018–2021 годов для следующей ВКРЭ по Вопросу 7/1 Исследовательской комиссии МСЭ</w:t>
            </w:r>
            <w:r w:rsidR="00A97932" w:rsidRPr="00131A73">
              <w:rPr>
                <w:szCs w:val="22"/>
              </w:rPr>
              <w:t>-D</w:t>
            </w:r>
            <w:r w:rsidRPr="00131A73">
              <w:rPr>
                <w:szCs w:val="22"/>
              </w:rPr>
              <w:t xml:space="preserve"> по доступности электросвязи/ИКТ для лиц с ограниченными возможностями и лиц с особыми потребностями</w:t>
            </w:r>
            <w:r w:rsidR="00A97932" w:rsidRPr="00131A73">
              <w:rPr>
                <w:szCs w:val="22"/>
              </w:rPr>
              <w:t xml:space="preserve">. </w:t>
            </w:r>
          </w:p>
          <w:p w14:paraId="34AEE2F2" w14:textId="2FC81190" w:rsidR="00A97932" w:rsidRPr="00131A73" w:rsidRDefault="000B2F7F" w:rsidP="00A97932">
            <w:pPr>
              <w:shd w:val="clear" w:color="auto" w:fill="FFFFFF" w:themeFill="background1"/>
              <w:overflowPunct/>
              <w:autoSpaceDE/>
              <w:adjustRightInd/>
              <w:rPr>
                <w:szCs w:val="22"/>
              </w:rPr>
            </w:pPr>
            <w:r w:rsidRPr="00131A73">
              <w:rPr>
                <w:szCs w:val="22"/>
              </w:rPr>
              <w:t>На мероприятии "Доступная Европа", прошедшем в марте 2021 года, вклад представил Докладчик по Вопросу 7/1</w:t>
            </w:r>
            <w:r w:rsidR="00A97932" w:rsidRPr="00131A73">
              <w:rPr>
                <w:szCs w:val="22"/>
              </w:rPr>
              <w:t xml:space="preserve">. </w:t>
            </w:r>
            <w:r w:rsidRPr="00131A73">
              <w:rPr>
                <w:szCs w:val="22"/>
              </w:rPr>
              <w:t xml:space="preserve">На нескольких мероприятиях по охвату цифровыми технологиями (например, </w:t>
            </w:r>
            <w:r w:rsidRPr="00131A73">
              <w:rPr>
                <w:color w:val="000000"/>
              </w:rPr>
              <w:t>"На пути в Аддис</w:t>
            </w:r>
            <w:r w:rsidR="00E6308B" w:rsidRPr="00131A73">
              <w:rPr>
                <w:color w:val="000000"/>
              </w:rPr>
              <w:noBreakHyphen/>
            </w:r>
            <w:r w:rsidRPr="00131A73">
              <w:rPr>
                <w:color w:val="000000"/>
              </w:rPr>
              <w:t>Абебу"</w:t>
            </w:r>
            <w:r w:rsidR="00A97932" w:rsidRPr="00131A73">
              <w:rPr>
                <w:szCs w:val="22"/>
              </w:rPr>
              <w:t xml:space="preserve">) </w:t>
            </w:r>
            <w:r w:rsidRPr="00131A73">
              <w:rPr>
                <w:szCs w:val="22"/>
              </w:rPr>
              <w:t>и по партнерству "РАВНЫЕ" вклады были представлены заместителем Докладчика по Вопросу 7/1</w:t>
            </w:r>
            <w:r w:rsidR="00A97932" w:rsidRPr="00131A73">
              <w:rPr>
                <w:szCs w:val="22"/>
              </w:rPr>
              <w:t>.</w:t>
            </w:r>
          </w:p>
          <w:p w14:paraId="662870DF" w14:textId="395996DF" w:rsidR="00536C60" w:rsidRPr="00131A73" w:rsidRDefault="00536C60" w:rsidP="00A97932">
            <w:pPr>
              <w:shd w:val="clear" w:color="auto" w:fill="FFFFFF" w:themeFill="background1"/>
              <w:overflowPunct/>
              <w:autoSpaceDE/>
              <w:adjustRightInd/>
            </w:pPr>
            <w:r w:rsidRPr="00131A73">
              <w:lastRenderedPageBreak/>
              <w:t>В 2020 году в связи с пандемией COVID-19 исследовательскими комиссиями МСЭ-D были проведены вебинары "</w:t>
            </w:r>
            <w:hyperlink r:id="rId68" w:history="1">
              <w:r w:rsidRPr="00131A73">
                <w:rPr>
                  <w:rStyle w:val="Hyperlink"/>
                </w:rPr>
                <w:t>Соображения по поводу COVID-19</w:t>
              </w:r>
            </w:hyperlink>
            <w:r w:rsidRPr="00131A73">
              <w:t xml:space="preserve">", после которых состоялся </w:t>
            </w:r>
            <w:hyperlink r:id="rId69" w:history="1">
              <w:r w:rsidRPr="00131A73">
                <w:rPr>
                  <w:rStyle w:val="Hyperlink"/>
                  <w:rFonts w:cstheme="minorBidi"/>
                </w:rPr>
                <w:t>вебинар</w:t>
              </w:r>
            </w:hyperlink>
            <w:r w:rsidRPr="00131A73">
              <w:t xml:space="preserve"> "Цифровая доступность в период COVID-19 и в период восстановления: необходимое условие для обеспечения открытых для всех обществ в цифровом мире". Участники проанализировали </w:t>
            </w:r>
            <w:r w:rsidR="00AA6149" w:rsidRPr="00131A73">
              <w:t>значение</w:t>
            </w:r>
            <w:r w:rsidRPr="00131A73">
              <w:t xml:space="preserve"> обеспечения доступности ИКТ и соответствующее влияние пандемии COVID-19 на жизнь людей с ограниченными возможностями. По итогам дискуссий, состоявшихся в ходе вебинара, в июне 2020 года в журнале "Новости МСЭ" вышла статья о</w:t>
            </w:r>
            <w:r w:rsidR="00A97932" w:rsidRPr="00131A73">
              <w:t> </w:t>
            </w:r>
            <w:r w:rsidRPr="00131A73">
              <w:t xml:space="preserve">необходимости повышения доступности цифровых технологий во время пандемии COVID-19 и после нее. </w:t>
            </w:r>
          </w:p>
          <w:p w14:paraId="66D4A2C7" w14:textId="45322A6A" w:rsidR="00A97932" w:rsidRPr="00131A73" w:rsidRDefault="00A97932">
            <w:pPr>
              <w:shd w:val="clear" w:color="auto" w:fill="FFFFFF" w:themeFill="background1"/>
              <w:overflowPunct/>
              <w:autoSpaceDE/>
              <w:adjustRightInd/>
              <w:spacing w:after="120"/>
              <w:rPr>
                <w:rFonts w:cstheme="minorBidi"/>
                <w:szCs w:val="22"/>
              </w:rPr>
            </w:pPr>
            <w:r w:rsidRPr="00131A73">
              <w:rPr>
                <w:szCs w:val="22"/>
              </w:rPr>
              <w:t xml:space="preserve">В октябре 2019 года для участников Группы Докладчика ИК1 МСЭ-D была проведена </w:t>
            </w:r>
            <w:r w:rsidR="00AA6149" w:rsidRPr="00131A73">
              <w:rPr>
                <w:szCs w:val="22"/>
              </w:rPr>
              <w:t xml:space="preserve">специальная </w:t>
            </w:r>
            <w:r w:rsidRPr="00131A73">
              <w:rPr>
                <w:szCs w:val="22"/>
              </w:rPr>
              <w:t xml:space="preserve">сессия по </w:t>
            </w:r>
            <w:r w:rsidRPr="00131A73">
              <w:rPr>
                <w:rFonts w:cstheme="minorHAnsi"/>
                <w:szCs w:val="22"/>
              </w:rPr>
              <w:t>расширению</w:t>
            </w:r>
            <w:r w:rsidRPr="00131A73">
              <w:rPr>
                <w:szCs w:val="22"/>
              </w:rPr>
              <w:t xml:space="preserve"> знаний об основах доступности ИКТ. </w:t>
            </w:r>
            <w:r w:rsidRPr="00131A73">
              <w:rPr>
                <w:rFonts w:cstheme="minorHAnsi"/>
                <w:szCs w:val="22"/>
              </w:rPr>
              <w:t>Это помогло Государствам – Членам МСЭ понять ключевые определения и тенденции, связанные с политикой и стратегиями обеспечения доступности ИКТ, определить требования к цифровой доступности, представить доступность ИКТ в качестве коммерческой возможности и осознать преимущества для всех заинтересованных сторон.</w:t>
            </w:r>
          </w:p>
        </w:tc>
      </w:tr>
    </w:tbl>
    <w:p w14:paraId="6978EC0D" w14:textId="77777777" w:rsidR="00536C60" w:rsidRPr="00131A73" w:rsidRDefault="00536C60" w:rsidP="00536C60">
      <w:pPr>
        <w:pStyle w:val="Heading1"/>
      </w:pPr>
      <w:r w:rsidRPr="00131A73">
        <w:lastRenderedPageBreak/>
        <w:t>4</w:t>
      </w:r>
      <w:r w:rsidRPr="00131A73">
        <w:tab/>
        <w:t>Экосистемы цифровых инноваций: экосистемы ускорения инноваций для инструментов цифровой трансформации</w:t>
      </w:r>
    </w:p>
    <w:p w14:paraId="5F049A65" w14:textId="77777777" w:rsidR="00536C60" w:rsidRPr="00131A73" w:rsidRDefault="00536C60" w:rsidP="00536C60">
      <w:pPr>
        <w:pStyle w:val="Headingb"/>
      </w:pPr>
      <w:r w:rsidRPr="00131A73">
        <w:t>Конкурсы инноваций</w:t>
      </w:r>
    </w:p>
    <w:p w14:paraId="4EA3EF34" w14:textId="33E82C0C" w:rsidR="00536C60" w:rsidRPr="00131A73" w:rsidRDefault="00600F1F" w:rsidP="00536C60">
      <w:pPr>
        <w:overflowPunct/>
        <w:autoSpaceDE/>
        <w:adjustRightInd/>
      </w:pPr>
      <w:hyperlink r:id="rId70" w:history="1">
        <w:r w:rsidR="00536C60" w:rsidRPr="00131A73">
          <w:rPr>
            <w:rStyle w:val="Hyperlink"/>
            <w:szCs w:val="24"/>
          </w:rPr>
          <w:t>Конкурсы инноваций</w:t>
        </w:r>
      </w:hyperlink>
      <w:r w:rsidR="00536C60" w:rsidRPr="00131A73">
        <w:rPr>
          <w:szCs w:val="24"/>
        </w:rPr>
        <w:t xml:space="preserve"> служат открытой платформой, на которой люди представляют свои идеи и проекты, направленные на содействие цифровой трансформации </w:t>
      </w:r>
      <w:r w:rsidR="00E6308B" w:rsidRPr="00131A73">
        <w:rPr>
          <w:szCs w:val="24"/>
        </w:rPr>
        <w:t xml:space="preserve">жизни </w:t>
      </w:r>
      <w:r w:rsidR="00536C60" w:rsidRPr="00131A73">
        <w:rPr>
          <w:szCs w:val="24"/>
        </w:rPr>
        <w:t xml:space="preserve">отдельных лиц, сообществ и общества в целом благодаря инновациям. Этот конкурс </w:t>
      </w:r>
      <w:hyperlink r:id="rId71" w:history="1">
        <w:r w:rsidR="00536C60" w:rsidRPr="00131A73">
          <w:rPr>
            <w:rStyle w:val="Hyperlink"/>
            <w:szCs w:val="24"/>
          </w:rPr>
          <w:t>изменил жизнь</w:t>
        </w:r>
      </w:hyperlink>
      <w:r w:rsidR="00536C60" w:rsidRPr="00131A73">
        <w:rPr>
          <w:szCs w:val="24"/>
        </w:rPr>
        <w:t xml:space="preserve"> многих его участников. Благодаря платформе </w:t>
      </w:r>
      <w:hyperlink r:id="rId72" w:history="1">
        <w:r w:rsidR="00536C60" w:rsidRPr="00131A73">
          <w:rPr>
            <w:rStyle w:val="Hyperlink"/>
          </w:rPr>
          <w:t>cocreate.itu.int</w:t>
        </w:r>
      </w:hyperlink>
      <w:r w:rsidR="00536C60" w:rsidRPr="00131A73">
        <w:t xml:space="preserve"> к участию в </w:t>
      </w:r>
      <w:hyperlink r:id="rId73" w:history="1">
        <w:r w:rsidR="00536C60" w:rsidRPr="00131A73">
          <w:rPr>
            <w:rStyle w:val="Hyperlink"/>
          </w:rPr>
          <w:t>конкурсе 2019 года</w:t>
        </w:r>
      </w:hyperlink>
      <w:r w:rsidR="00536C60" w:rsidRPr="00131A73">
        <w:t xml:space="preserve"> удалось привлечь более 140 проектов и 1200 человек, участвующих в совместном создании продуктов, из 400 городов. </w:t>
      </w:r>
      <w:r w:rsidR="00536C60" w:rsidRPr="00131A73">
        <w:rPr>
          <w:szCs w:val="24"/>
        </w:rPr>
        <w:t>Базирующаяся в Дурбане предпринимательская технологическая компания, которая была одним из победителей конкурса из Южно</w:t>
      </w:r>
      <w:r w:rsidR="002F57B8" w:rsidRPr="00131A73">
        <w:rPr>
          <w:szCs w:val="24"/>
        </w:rPr>
        <w:t>-</w:t>
      </w:r>
      <w:r w:rsidR="00536C60" w:rsidRPr="00131A73">
        <w:rPr>
          <w:szCs w:val="24"/>
        </w:rPr>
        <w:t>Африк</w:t>
      </w:r>
      <w:r w:rsidR="002F57B8" w:rsidRPr="00131A73">
        <w:rPr>
          <w:szCs w:val="24"/>
        </w:rPr>
        <w:t>анской Республики</w:t>
      </w:r>
      <w:r w:rsidR="00536C60" w:rsidRPr="00131A73">
        <w:rPr>
          <w:szCs w:val="24"/>
        </w:rPr>
        <w:t xml:space="preserve"> в 2019 году, была отмечена за выдающиеся достижения на Всемирном мероприятии ITU Telecom-2019 в Будапеште (Венгрия). Компания получила 1,5 млн. долл. США для тиражирования своих проектов в других городах в окрестностях Дурбана и почти 10 млн. долл. США "оптового финансирования" для коммерциализации своих инноваций. </w:t>
      </w:r>
      <w:r w:rsidR="00536C60" w:rsidRPr="00131A73">
        <w:t>Конкурс инноваций МСЭ 2020 года проводился МСЭ во второй раз и был организован в партнерстве с инициативой "</w:t>
      </w:r>
      <w:hyperlink r:id="rId74" w:history="1">
        <w:r w:rsidR="00536C60" w:rsidRPr="00131A73">
          <w:rPr>
            <w:rStyle w:val="Hyperlink"/>
          </w:rPr>
          <w:t>РАВНЫЕ</w:t>
        </w:r>
      </w:hyperlink>
      <w:r w:rsidR="00536C60" w:rsidRPr="00131A73">
        <w:t xml:space="preserve">" и программой </w:t>
      </w:r>
      <w:hyperlink r:id="rId75" w:history="1">
        <w:r w:rsidR="00536C60" w:rsidRPr="00131A73">
          <w:rPr>
            <w:rStyle w:val="Hyperlink"/>
          </w:rPr>
          <w:t>INPUT</w:t>
        </w:r>
      </w:hyperlink>
      <w:r w:rsidR="00536C60" w:rsidRPr="00131A73">
        <w:t xml:space="preserve"> правительства Венгрии. Более 60 отобранных победителей первого и второго конкурсов прошли программу подготовки в целях </w:t>
      </w:r>
      <w:hyperlink r:id="rId76" w:history="1">
        <w:r w:rsidR="00536C60" w:rsidRPr="00131A73">
          <w:rPr>
            <w:rStyle w:val="Hyperlink"/>
          </w:rPr>
          <w:t>доработки и поддержки их проектов</w:t>
        </w:r>
      </w:hyperlink>
      <w:r w:rsidR="00536C60" w:rsidRPr="00131A73">
        <w:t>.</w:t>
      </w:r>
    </w:p>
    <w:p w14:paraId="021C87EB" w14:textId="77777777" w:rsidR="00536C60" w:rsidRPr="00131A73" w:rsidRDefault="00536C60" w:rsidP="00536C60">
      <w:pPr>
        <w:pStyle w:val="Headingb"/>
      </w:pPr>
      <w:r w:rsidRPr="00131A73">
        <w:t>Форумы по инновациям и обмен знаниями</w:t>
      </w:r>
    </w:p>
    <w:p w14:paraId="1B96F6AC" w14:textId="77777777" w:rsidR="00536C60" w:rsidRPr="00131A73" w:rsidRDefault="00536C60" w:rsidP="00536C60">
      <w:r w:rsidRPr="00131A73">
        <w:t xml:space="preserve">В 2018 и 2019 годах в Пусане (Республика Корея) проводился Форум молодых лидеров в сфере ИКТ. </w:t>
      </w:r>
      <w:r w:rsidRPr="00131A73">
        <w:rPr>
          <w:szCs w:val="24"/>
        </w:rPr>
        <w:t xml:space="preserve">Форумы </w:t>
      </w:r>
      <w:hyperlink r:id="rId77" w:history="1">
        <w:r w:rsidRPr="00131A73">
          <w:rPr>
            <w:rStyle w:val="Hyperlink"/>
          </w:rPr>
          <w:t>YILF2018</w:t>
        </w:r>
      </w:hyperlink>
      <w:r w:rsidRPr="00131A73">
        <w:t xml:space="preserve"> и </w:t>
      </w:r>
      <w:hyperlink r:id="rId78" w:history="1">
        <w:r w:rsidRPr="00131A73">
          <w:rPr>
            <w:rStyle w:val="Hyperlink"/>
          </w:rPr>
          <w:t>YILF2019</w:t>
        </w:r>
      </w:hyperlink>
      <w:r w:rsidRPr="00131A73">
        <w:t xml:space="preserve"> </w:t>
      </w:r>
      <w:r w:rsidRPr="00131A73">
        <w:rPr>
          <w:szCs w:val="24"/>
        </w:rPr>
        <w:t>послужили площадкой, где молодые реформаторы в сфере ИКТ могли устанавливать контакты и связи и совершенствовать свои инновационные идеи для создания интеллектуальных сообществ.</w:t>
      </w:r>
      <w:r w:rsidRPr="00131A73">
        <w:t xml:space="preserve"> </w:t>
      </w:r>
      <w:r w:rsidRPr="00131A73">
        <w:rPr>
          <w:szCs w:val="24"/>
        </w:rPr>
        <w:t>В рамках региональных форумов по вопросам инноваций, состоявшихся в регионе арабских государств и Африканском регионе (в Браззавиле и Каире) в 2019 году, представители директивных органов и научных кругов, новаторы и проектировщики экосистем из 16 стран обсудили вопросы, связанные с разработкой динамичных и гибких экосистем, способствующих цифровым инновациям</w:t>
      </w:r>
      <w:r w:rsidRPr="00131A73">
        <w:t xml:space="preserve">. </w:t>
      </w:r>
    </w:p>
    <w:p w14:paraId="0981F616" w14:textId="19C8B097" w:rsidR="00536C60" w:rsidRPr="00131A73" w:rsidRDefault="00536C60" w:rsidP="00536C60">
      <w:r w:rsidRPr="00131A73">
        <w:t xml:space="preserve">В 2019 году также состоялся первый Всемирный форум по инновациям </w:t>
      </w:r>
      <w:r w:rsidR="002F57B8" w:rsidRPr="00131A73">
        <w:t xml:space="preserve">(GIF) </w:t>
      </w:r>
      <w:r w:rsidRPr="00131A73">
        <w:t>в рамках "</w:t>
      </w:r>
      <w:hyperlink r:id="rId79" w:history="1">
        <w:r w:rsidRPr="00131A73">
          <w:rPr>
            <w:rStyle w:val="Hyperlink"/>
          </w:rPr>
          <w:t>Программы глобальной экосистемы</w:t>
        </w:r>
      </w:hyperlink>
      <w:r w:rsidRPr="00131A73">
        <w:t xml:space="preserve">" на Всемирном мероприятии ITU Telecom в Будапеште (Венгрия). Второй форум был проведен в 2020 году </w:t>
      </w:r>
      <w:r w:rsidR="002F57B8" w:rsidRPr="00131A73">
        <w:t>в виртуальном формате</w:t>
      </w:r>
      <w:r w:rsidRPr="00131A73">
        <w:t xml:space="preserve"> и включал рассмотрение региональных подходов для пяти регионов (А</w:t>
      </w:r>
      <w:r w:rsidR="002F57B8" w:rsidRPr="00131A73">
        <w:t>фрики, Северной и Южной Америки, арабских государств, Азиатско-Тихоокеанского региона и Европы</w:t>
      </w:r>
      <w:r w:rsidRPr="00131A73">
        <w:t xml:space="preserve">). </w:t>
      </w:r>
      <w:hyperlink r:id="rId80" w:history="1">
        <w:r w:rsidR="002F57B8" w:rsidRPr="00131A73">
          <w:rPr>
            <w:rStyle w:val="Hyperlink"/>
          </w:rPr>
          <w:t>GIF</w:t>
        </w:r>
        <w:r w:rsidRPr="00131A73">
          <w:rPr>
            <w:rStyle w:val="Hyperlink"/>
          </w:rPr>
          <w:t xml:space="preserve"> 2020</w:t>
        </w:r>
      </w:hyperlink>
      <w:r w:rsidRPr="00131A73">
        <w:t xml:space="preserve"> подчеркнул</w:t>
      </w:r>
      <w:r w:rsidR="002F57B8" w:rsidRPr="00131A73">
        <w:t xml:space="preserve"> значение</w:t>
      </w:r>
      <w:r w:rsidRPr="00131A73">
        <w:t xml:space="preserve"> инноваций, ориентированных на предпринимательство, и цифровых экосистем в условиях глобальной пандемии. </w:t>
      </w:r>
      <w:bookmarkStart w:id="7" w:name="_Hlk72160286"/>
      <w:r w:rsidR="00FA29E1" w:rsidRPr="00131A73">
        <w:t xml:space="preserve">На </w:t>
      </w:r>
      <w:r w:rsidRPr="00131A73">
        <w:t>мероприяти</w:t>
      </w:r>
      <w:r w:rsidR="00FA29E1" w:rsidRPr="00131A73">
        <w:t>е</w:t>
      </w:r>
      <w:r w:rsidRPr="00131A73">
        <w:t xml:space="preserve"> </w:t>
      </w:r>
      <w:r w:rsidR="00FA29E1" w:rsidRPr="00131A73">
        <w:t>собрались</w:t>
      </w:r>
      <w:r w:rsidRPr="00131A73">
        <w:t xml:space="preserve"> 700 </w:t>
      </w:r>
      <w:r w:rsidR="00FA29E1" w:rsidRPr="00131A73">
        <w:t>участников</w:t>
      </w:r>
      <w:r w:rsidRPr="00131A73">
        <w:t xml:space="preserve"> и 175 экспертов</w:t>
      </w:r>
      <w:bookmarkEnd w:id="7"/>
      <w:r w:rsidRPr="00131A73">
        <w:t>, которые обсудили активизацию создания устойчивых экосистем цифровых инноваций.</w:t>
      </w:r>
    </w:p>
    <w:p w14:paraId="59CA6D0D" w14:textId="560702C3" w:rsidR="00536C60" w:rsidRPr="00131A73" w:rsidRDefault="00536C60" w:rsidP="00334864">
      <w:r w:rsidRPr="00131A73">
        <w:lastRenderedPageBreak/>
        <w:t xml:space="preserve">Кроме того, МСЭ организовал сессии по инновациям в рамках </w:t>
      </w:r>
      <w:r w:rsidR="00FA29E1" w:rsidRPr="00131A73">
        <w:t>Ф</w:t>
      </w:r>
      <w:r w:rsidRPr="00131A73">
        <w:t>орума ВВУИО в 2018, 2019 и 2020 годах для обсуждения технологических тенденций, ускоряющих цифровую трансформацию, обмена национальным опытом и формирования культуры инноваций в целях ускорения достижения</w:t>
      </w:r>
      <w:r w:rsidR="00557CF7" w:rsidRPr="00131A73">
        <w:t> </w:t>
      </w:r>
      <w:r w:rsidRPr="00131A73">
        <w:t>ЦУР.</w:t>
      </w:r>
    </w:p>
    <w:p w14:paraId="45C67B5E" w14:textId="77777777" w:rsidR="00536C60" w:rsidRPr="00131A73" w:rsidRDefault="00536C60" w:rsidP="00536C60">
      <w:pPr>
        <w:pStyle w:val="Headingb"/>
        <w:rPr>
          <w:szCs w:val="20"/>
        </w:rPr>
      </w:pPr>
      <w:r w:rsidRPr="00131A73">
        <w:t>Развитие инновационного потенциала</w:t>
      </w:r>
    </w:p>
    <w:p w14:paraId="6A779159" w14:textId="61AAE495" w:rsidR="00536C60" w:rsidRPr="00131A73" w:rsidRDefault="00536C60" w:rsidP="00536C60">
      <w:r w:rsidRPr="00131A73">
        <w:t xml:space="preserve">За 2018 и 2019 годы благодаря усилиям по созданию потенциала, осуществляемым в рамках ключевых мероприятий, </w:t>
      </w:r>
      <w:r w:rsidR="00FA29E1" w:rsidRPr="00131A73">
        <w:t xml:space="preserve">и в рамках </w:t>
      </w:r>
      <w:hyperlink r:id="rId81" w:history="1">
        <w:r w:rsidR="00FA29E1" w:rsidRPr="00131A73">
          <w:rPr>
            <w:rStyle w:val="Hyperlink"/>
          </w:rPr>
          <w:t>учебной программы Академии МСЭ</w:t>
        </w:r>
      </w:hyperlink>
      <w:r w:rsidR="00FA29E1" w:rsidRPr="00131A73">
        <w:t xml:space="preserve"> </w:t>
      </w:r>
      <w:r w:rsidRPr="00131A73">
        <w:t xml:space="preserve">более 100 представителей директивных органов и активистов экосистемы прошли обучение и получили знания, навыки и инструменты для укрепления собственной среды цифровых инноваций. В 2020 году на основе серии комплектов материалов МСЭ по инновациям был выпущен новый </w:t>
      </w:r>
      <w:hyperlink r:id="rId82" w:history="1">
        <w:r w:rsidRPr="00131A73">
          <w:rPr>
            <w:rStyle w:val="Hyperlink"/>
          </w:rPr>
          <w:t>комплект материалов по разработке проектов устойчивой экосистемы инноваций на базе ИКТ</w:t>
        </w:r>
      </w:hyperlink>
      <w:r w:rsidRPr="00131A73">
        <w:t xml:space="preserve">. В этом комплекте материалов содержатся дополнительные принципы и соображения относительно того, каким образом заинтересованные стороны могут анализировать и разрабатывать флагманские проекты, способствующие эффективному развитию ориентированных на ИКТ инноваций в рамках цифровых экосистем. </w:t>
      </w:r>
      <w:r w:rsidR="00FA29E1" w:rsidRPr="00131A73">
        <w:t>В 2020 году б</w:t>
      </w:r>
      <w:r w:rsidRPr="00131A73">
        <w:t xml:space="preserve">ыла разработана </w:t>
      </w:r>
      <w:r w:rsidR="00485BC5" w:rsidRPr="00131A73">
        <w:t xml:space="preserve">и применена на экспериментальной основе </w:t>
      </w:r>
      <w:hyperlink r:id="rId83" w:history="1">
        <w:r w:rsidRPr="00131A73">
          <w:rPr>
            <w:rStyle w:val="Hyperlink"/>
          </w:rPr>
          <w:t>онлайновая учебная программа</w:t>
        </w:r>
      </w:hyperlink>
      <w:r w:rsidRPr="00131A73">
        <w:t xml:space="preserve"> на платформе Академии МСЭ, изначально состоящая из четырех курсов. Обучение в рамках новых онлайновых курсов под руководством инструктора прошло более 90</w:t>
      </w:r>
      <w:r w:rsidR="00485BC5" w:rsidRPr="00131A73">
        <w:t> </w:t>
      </w:r>
      <w:r w:rsidRPr="00131A73">
        <w:t xml:space="preserve">человек из 60 стран. Предусматривается разработка дополнительного онлайнового контента на основе партнерства с другими организациями и синергии с другими проектами, реализуемыми в рамках МСЭ. </w:t>
      </w:r>
    </w:p>
    <w:p w14:paraId="080FF91F" w14:textId="77777777" w:rsidR="00536C60" w:rsidRPr="00131A73" w:rsidRDefault="00536C60" w:rsidP="00255945">
      <w:pPr>
        <w:pStyle w:val="Headingb"/>
      </w:pPr>
      <w:r w:rsidRPr="00131A73">
        <w:t>Оценка инноваций и разработка проектов</w:t>
      </w:r>
    </w:p>
    <w:p w14:paraId="67D4E26A" w14:textId="620B23FF" w:rsidR="00536C60" w:rsidRPr="00131A73" w:rsidRDefault="00536C60" w:rsidP="00334864">
      <w:pPr>
        <w:spacing w:after="240"/>
      </w:pPr>
      <w:r w:rsidRPr="00131A73">
        <w:t xml:space="preserve">Мали, Черногории, Нигеру, Тринидаду и Тобаго и Филиппинам была оказана техническая помощь в разработке профилей цифровых инноваций, представляющих собой концепции экосистем, направленные на ускорение цифровой трансформации на основе предпринимательства и инноваций. МСЭ сотрудничал с Южно-Африканской Республикой в создании Африканского центра цифровой трансформации, призванного содействовать ускорению цифровой трансформации во всех ключевых секторах экономики. Планируется оказать странам дополнительное техническое содействие с помощью партнерств и проектов по линии других учреждений ООН, в частности </w:t>
      </w:r>
      <w:hyperlink r:id="rId84" w:history="1">
        <w:r w:rsidRPr="00131A73">
          <w:rPr>
            <w:rStyle w:val="Hyperlink"/>
          </w:rPr>
          <w:t>ЮНФПА</w:t>
        </w:r>
      </w:hyperlink>
      <w:r w:rsidRPr="00131A73">
        <w:t xml:space="preserve"> и Управления Организации Объединенных Наций по сотрудничеству Юг </w:t>
      </w:r>
      <w:r w:rsidR="00206D60" w:rsidRPr="00131A73">
        <w:t>−</w:t>
      </w:r>
      <w:r w:rsidRPr="00131A73">
        <w:t xml:space="preserve"> Юг</w:t>
      </w:r>
      <w:r w:rsidR="00206D60" w:rsidRPr="00131A73">
        <w:t xml:space="preserve"> (</w:t>
      </w:r>
      <w:hyperlink r:id="rId85" w:history="1">
        <w:r w:rsidR="00206D60" w:rsidRPr="00131A73">
          <w:rPr>
            <w:rStyle w:val="Hyperlink"/>
          </w:rPr>
          <w:t>UNOSSC</w:t>
        </w:r>
      </w:hyperlink>
      <w:r w:rsidR="00206D60" w:rsidRPr="00131A73">
        <w:t>)</w:t>
      </w:r>
      <w:r w:rsidRPr="00131A73">
        <w:t>.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36C60" w:rsidRPr="00131A73" w14:paraId="2DDCF6B0" w14:textId="77777777" w:rsidTr="00536C60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F9A3" w14:textId="77777777" w:rsidR="00536C60" w:rsidRPr="00131A73" w:rsidRDefault="00536C60" w:rsidP="00206D60">
            <w:pPr>
              <w:rPr>
                <w:b/>
              </w:rPr>
            </w:pPr>
            <w:r w:rsidRPr="00131A73">
              <w:rPr>
                <w:b/>
                <w:szCs w:val="22"/>
              </w:rPr>
              <w:t>РЕГИОНАЛЬНЫЕ ИНИЦИАТИВЫ</w:t>
            </w:r>
          </w:p>
          <w:p w14:paraId="0CBBC918" w14:textId="77777777" w:rsidR="00536C60" w:rsidRPr="00131A73" w:rsidRDefault="00536C60" w:rsidP="00206D60">
            <w:r w:rsidRPr="00131A73">
              <w:rPr>
                <w:rFonts w:eastAsia="Calibri" w:cs="Calibri"/>
                <w:szCs w:val="22"/>
              </w:rPr>
              <w:t>Африканский регион: создание цифровой экономики и содействие инновациям в Африке</w:t>
            </w:r>
          </w:p>
          <w:p w14:paraId="1B1E6055" w14:textId="6710529F" w:rsidR="00536C60" w:rsidRPr="00131A73" w:rsidRDefault="00E24645" w:rsidP="00557CF7">
            <w:pPr>
              <w:pStyle w:val="enumlev1"/>
            </w:pPr>
            <w:r w:rsidRPr="00131A73">
              <w:rPr>
                <w:rFonts w:eastAsia="Calibri"/>
              </w:rPr>
              <w:t>−</w:t>
            </w:r>
            <w:r w:rsidR="00536C60" w:rsidRPr="00131A73">
              <w:rPr>
                <w:rFonts w:eastAsia="Calibri"/>
              </w:rPr>
              <w:tab/>
            </w:r>
            <w:r w:rsidR="00917A7F" w:rsidRPr="00131A73">
              <w:rPr>
                <w:rFonts w:eastAsia="Calibri"/>
              </w:rPr>
              <w:t>Было о</w:t>
            </w:r>
            <w:r w:rsidR="00536C60" w:rsidRPr="00131A73">
              <w:t xml:space="preserve">беспечено финансирование для создания </w:t>
            </w:r>
            <w:hyperlink r:id="rId86" w:history="1">
              <w:r w:rsidR="002919C0" w:rsidRPr="00131A73">
                <w:rPr>
                  <w:rStyle w:val="Hyperlink"/>
                </w:rPr>
                <w:t>ускорителя</w:t>
              </w:r>
              <w:r w:rsidR="00536C60" w:rsidRPr="00131A73">
                <w:rPr>
                  <w:rStyle w:val="Hyperlink"/>
                </w:rPr>
                <w:t xml:space="preserve"> экосистем </w:t>
              </w:r>
              <w:r w:rsidR="002919C0" w:rsidRPr="00131A73">
                <w:rPr>
                  <w:rStyle w:val="Hyperlink"/>
                </w:rPr>
                <w:t>цифровой трансформации</w:t>
              </w:r>
            </w:hyperlink>
            <w:r w:rsidR="002919C0" w:rsidRPr="00131A73">
              <w:t>, также известного как</w:t>
            </w:r>
            <w:r w:rsidR="00536C60" w:rsidRPr="00131A73">
              <w:t xml:space="preserve"> Африканск</w:t>
            </w:r>
            <w:r w:rsidR="002919C0" w:rsidRPr="00131A73">
              <w:t>ий</w:t>
            </w:r>
            <w:r w:rsidR="00536C60" w:rsidRPr="00131A73">
              <w:t xml:space="preserve"> центр цифровой трансформации для Южно-Африканской Республики.</w:t>
            </w:r>
          </w:p>
          <w:p w14:paraId="59BCA611" w14:textId="1697977D" w:rsidR="00557CF7" w:rsidRPr="00131A73" w:rsidRDefault="00E24645" w:rsidP="00557CF7">
            <w:pPr>
              <w:pStyle w:val="enumlev1"/>
            </w:pPr>
            <w:r w:rsidRPr="00131A73">
              <w:rPr>
                <w:rFonts w:eastAsia="Calibri"/>
              </w:rPr>
              <w:t>−</w:t>
            </w:r>
            <w:r w:rsidR="00557CF7" w:rsidRPr="00131A73">
              <w:rPr>
                <w:rFonts w:eastAsia="Calibri"/>
              </w:rPr>
              <w:tab/>
            </w:r>
            <w:r w:rsidR="00917A7F" w:rsidRPr="00131A73">
              <w:rPr>
                <w:rFonts w:eastAsia="Calibri"/>
              </w:rPr>
              <w:t>Было о</w:t>
            </w:r>
            <w:r w:rsidR="00917A7F" w:rsidRPr="00131A73">
              <w:t>беспечено финансирование для проекта развития экосистемы цифровых инноваций, ускоряющей способность к восстановлению и расширение прав и возможностей молодежи в Бенине</w:t>
            </w:r>
            <w:r w:rsidR="00557CF7" w:rsidRPr="00131A73">
              <w:t>.</w:t>
            </w:r>
          </w:p>
          <w:p w14:paraId="776262B6" w14:textId="719F0D6D" w:rsidR="00536C60" w:rsidRPr="00131A73" w:rsidRDefault="00E24645" w:rsidP="00557CF7">
            <w:pPr>
              <w:pStyle w:val="enumlev1"/>
            </w:pPr>
            <w:r w:rsidRPr="00131A73">
              <w:rPr>
                <w:rFonts w:eastAsia="Calibri"/>
              </w:rPr>
              <w:t>−</w:t>
            </w:r>
            <w:r w:rsidR="00536C60" w:rsidRPr="00131A73">
              <w:rPr>
                <w:rFonts w:eastAsia="Calibri"/>
              </w:rPr>
              <w:tab/>
            </w:r>
            <w:r w:rsidR="00536C60" w:rsidRPr="00131A73">
              <w:t>МСЭ оказал техническую помощь в разработке профилей цифровых инноваций Мали и Нигеру в ходе широких консультативных процессов с участием многих заинтересованных сторон – академических учреждений, предпринимателей, сетей поддержки предпринимательства, финансовых организаций, государственных и частных предприятий.</w:t>
            </w:r>
          </w:p>
          <w:p w14:paraId="1471C50C" w14:textId="22A13A9B" w:rsidR="00536C60" w:rsidRPr="00131A73" w:rsidRDefault="00E24645" w:rsidP="00557CF7">
            <w:pPr>
              <w:pStyle w:val="enumlev1"/>
            </w:pPr>
            <w:r w:rsidRPr="00131A73">
              <w:rPr>
                <w:rFonts w:eastAsia="Calibri"/>
              </w:rPr>
              <w:t>−</w:t>
            </w:r>
            <w:r w:rsidR="00536C60" w:rsidRPr="00131A73">
              <w:rPr>
                <w:rFonts w:eastAsia="Calibri"/>
              </w:rPr>
              <w:tab/>
            </w:r>
            <w:r w:rsidR="00536C60" w:rsidRPr="00131A73">
              <w:t>В страновом обзоре ориентированной на ИКТ инновационной экосистемы Кении представлен всесторонний анализ и даны рекомендации по включению направлений политики и программ, связанных с инновациями и цифровым предпринимательством, в будущую политику в области ИКТ.</w:t>
            </w:r>
          </w:p>
          <w:p w14:paraId="3B37CCC5" w14:textId="66B76646" w:rsidR="00334864" w:rsidRPr="00131A73" w:rsidRDefault="00E24645" w:rsidP="00557CF7">
            <w:pPr>
              <w:pStyle w:val="enumlev1"/>
            </w:pPr>
            <w:r w:rsidRPr="00131A73">
              <w:rPr>
                <w:rFonts w:eastAsia="Calibri"/>
              </w:rPr>
              <w:t>−</w:t>
            </w:r>
            <w:r w:rsidR="00536C60" w:rsidRPr="00131A73">
              <w:rPr>
                <w:rFonts w:eastAsia="Calibri"/>
              </w:rPr>
              <w:tab/>
            </w:r>
            <w:r w:rsidR="00536C60" w:rsidRPr="00131A73">
              <w:t xml:space="preserve">Проведены сессии по </w:t>
            </w:r>
            <w:r w:rsidR="00485BC5" w:rsidRPr="00131A73">
              <w:t>развитию</w:t>
            </w:r>
            <w:r w:rsidR="00536C60" w:rsidRPr="00131A73">
              <w:t xml:space="preserve"> потенциала </w:t>
            </w:r>
            <w:r w:rsidR="0057404B" w:rsidRPr="00131A73">
              <w:t>с целью</w:t>
            </w:r>
            <w:r w:rsidR="00536C60" w:rsidRPr="00131A73">
              <w:t xml:space="preserve"> создания инновационных и предпринимательских экосистем для ряда государственных и частных организаций, университетов и научно-исследовательских учреждений в Республике Конго.</w:t>
            </w:r>
          </w:p>
          <w:p w14:paraId="20EC86EE" w14:textId="77777777" w:rsidR="00536C60" w:rsidRPr="00131A73" w:rsidRDefault="00536C60" w:rsidP="00206D60">
            <w:r w:rsidRPr="00131A73">
              <w:rPr>
                <w:szCs w:val="22"/>
              </w:rPr>
              <w:lastRenderedPageBreak/>
              <w:t>Регион арабских государств: инновации и предпринимательство</w:t>
            </w:r>
          </w:p>
          <w:p w14:paraId="2D010D70" w14:textId="4D650B72" w:rsidR="00536C60" w:rsidRPr="00131A73" w:rsidRDefault="00E24645" w:rsidP="00557CF7">
            <w:pPr>
              <w:pStyle w:val="enumlev1"/>
              <w:rPr>
                <w:rFonts w:eastAsia="Calibri"/>
              </w:rPr>
            </w:pPr>
            <w:r w:rsidRPr="00131A73">
              <w:rPr>
                <w:rFonts w:eastAsia="Calibri"/>
              </w:rPr>
              <w:t>−</w:t>
            </w:r>
            <w:r w:rsidR="00536C60" w:rsidRPr="00131A73">
              <w:rPr>
                <w:rFonts w:eastAsia="Calibri"/>
              </w:rPr>
              <w:tab/>
              <w:t xml:space="preserve">Руководителям бизнес-инкубаторов и другим </w:t>
            </w:r>
            <w:r w:rsidR="00917A7F" w:rsidRPr="00131A73">
              <w:rPr>
                <w:rFonts w:eastAsia="Calibri"/>
              </w:rPr>
              <w:t>заинтересованным сторонам</w:t>
            </w:r>
            <w:r w:rsidR="00536C60" w:rsidRPr="00131A73">
              <w:rPr>
                <w:rFonts w:eastAsia="Calibri"/>
              </w:rPr>
              <w:t xml:space="preserve"> экосистем в Джибути и Мавритании </w:t>
            </w:r>
            <w:r w:rsidR="00917A7F" w:rsidRPr="00131A73">
              <w:rPr>
                <w:rFonts w:eastAsia="Calibri"/>
              </w:rPr>
              <w:t xml:space="preserve">были </w:t>
            </w:r>
            <w:r w:rsidR="00536C60" w:rsidRPr="00131A73">
              <w:rPr>
                <w:rFonts w:eastAsia="Calibri"/>
              </w:rPr>
              <w:t>предоставлены методика и инструменты для поддержки экономического роста и предпринимательства. Были представлены и рассмотрены основные принципы бизнес-инкубации и передовой опыт в этой области.</w:t>
            </w:r>
          </w:p>
          <w:p w14:paraId="1C6D4546" w14:textId="7C4EDDF7" w:rsidR="00536C60" w:rsidRPr="00131A73" w:rsidRDefault="00E24645" w:rsidP="00557CF7">
            <w:pPr>
              <w:pStyle w:val="enumlev1"/>
              <w:rPr>
                <w:rFonts w:eastAsia="Calibri"/>
              </w:rPr>
            </w:pPr>
            <w:r w:rsidRPr="00131A73">
              <w:rPr>
                <w:rFonts w:eastAsia="Calibri"/>
              </w:rPr>
              <w:t>−</w:t>
            </w:r>
            <w:r w:rsidR="00536C60" w:rsidRPr="00131A73">
              <w:rPr>
                <w:rFonts w:eastAsia="Calibri"/>
              </w:rPr>
              <w:tab/>
              <w:t xml:space="preserve">Проведены сессии по </w:t>
            </w:r>
            <w:r w:rsidR="00917A7F" w:rsidRPr="00131A73">
              <w:rPr>
                <w:rFonts w:eastAsia="Calibri"/>
              </w:rPr>
              <w:t>развит</w:t>
            </w:r>
            <w:r w:rsidR="00536C60" w:rsidRPr="00131A73">
              <w:rPr>
                <w:rFonts w:eastAsia="Calibri"/>
              </w:rPr>
              <w:t xml:space="preserve">ию потенциала </w:t>
            </w:r>
            <w:r w:rsidR="00917A7F" w:rsidRPr="00131A73">
              <w:rPr>
                <w:rFonts w:eastAsia="Calibri"/>
              </w:rPr>
              <w:t>с целью</w:t>
            </w:r>
            <w:r w:rsidR="00536C60" w:rsidRPr="00131A73">
              <w:rPr>
                <w:rFonts w:eastAsia="Calibri"/>
              </w:rPr>
              <w:t xml:space="preserve"> создания инновационных и предпринимательских экосистем для ряда государственных и частных организаций, университетов и научно-исследовательских институтов Египта.</w:t>
            </w:r>
          </w:p>
          <w:p w14:paraId="27076220" w14:textId="77777777" w:rsidR="00536C60" w:rsidRPr="00131A73" w:rsidRDefault="00536C60" w:rsidP="00206D60">
            <w:pPr>
              <w:rPr>
                <w:rFonts w:cstheme="minorHAnsi"/>
                <w:u w:val="single"/>
              </w:rPr>
            </w:pPr>
            <w:r w:rsidRPr="00131A73">
              <w:rPr>
                <w:rFonts w:cstheme="minorHAnsi"/>
                <w:szCs w:val="22"/>
              </w:rPr>
              <w:t>Регион Северной и Южной Америки: развитие цифровой экономики, "умных" городов и сообществ и интернета вещей, содействие инновациям</w:t>
            </w:r>
          </w:p>
          <w:p w14:paraId="614C3B57" w14:textId="20CAE896" w:rsidR="00536C60" w:rsidRPr="00131A73" w:rsidRDefault="00E24645" w:rsidP="00557CF7">
            <w:pPr>
              <w:pStyle w:val="enumlev1"/>
              <w:rPr>
                <w:rFonts w:eastAsia="Calibri"/>
              </w:rPr>
            </w:pPr>
            <w:r w:rsidRPr="00131A73">
              <w:rPr>
                <w:rFonts w:eastAsia="Calibri"/>
              </w:rPr>
              <w:t>−</w:t>
            </w:r>
            <w:r w:rsidR="00536C60" w:rsidRPr="00131A73">
              <w:rPr>
                <w:rFonts w:eastAsia="Calibri"/>
              </w:rPr>
              <w:tab/>
              <w:t xml:space="preserve">В Уругвае была организована Неделя инноваций в сфере ИКТ в Северной и Южной Америке, посвященная "умным" сельским сообществам. Проведены анализ и обсуждение вопросов принятия и использования новых технологий для создания здорового и ответственного сельскохозяйственного сектора, который </w:t>
            </w:r>
            <w:r w:rsidR="00177236" w:rsidRPr="00131A73">
              <w:rPr>
                <w:rFonts w:eastAsia="Calibri"/>
              </w:rPr>
              <w:t xml:space="preserve">в будущем </w:t>
            </w:r>
            <w:r w:rsidR="00536C60" w:rsidRPr="00131A73">
              <w:rPr>
                <w:rFonts w:eastAsia="Calibri"/>
              </w:rPr>
              <w:t>позволит создать "умные" сельские сообщества.</w:t>
            </w:r>
          </w:p>
          <w:p w14:paraId="448D7104" w14:textId="597B0080" w:rsidR="00536C60" w:rsidRPr="00131A73" w:rsidRDefault="00E24645" w:rsidP="00557CF7">
            <w:pPr>
              <w:pStyle w:val="enumlev1"/>
              <w:rPr>
                <w:rFonts w:eastAsia="Calibri"/>
              </w:rPr>
            </w:pPr>
            <w:r w:rsidRPr="00131A73">
              <w:rPr>
                <w:rFonts w:eastAsia="Calibri"/>
              </w:rPr>
              <w:t>−</w:t>
            </w:r>
            <w:r w:rsidR="00536C60" w:rsidRPr="00131A73">
              <w:rPr>
                <w:rFonts w:eastAsia="Calibri"/>
              </w:rPr>
              <w:tab/>
              <w:t>Был проведен онлайновый учебный курс по вопросам роли ИКТ в создании "умных" устойчивых городов для Багамских Островов, Барбадоса, Гайаны, Сент-Винсента и Гренадин, Суринама и Тринидада и Тобаго. Эта инициатива была реализована в партнерстве с СИТЕЛ/ОАГ.</w:t>
            </w:r>
          </w:p>
          <w:p w14:paraId="01357C53" w14:textId="471847EF" w:rsidR="00536C60" w:rsidRPr="00131A73" w:rsidRDefault="00E24645" w:rsidP="00557CF7">
            <w:pPr>
              <w:pStyle w:val="enumlev1"/>
              <w:rPr>
                <w:rFonts w:eastAsia="Calibri"/>
              </w:rPr>
            </w:pPr>
            <w:r w:rsidRPr="00131A73">
              <w:rPr>
                <w:rFonts w:eastAsia="Calibri"/>
              </w:rPr>
              <w:t>−</w:t>
            </w:r>
            <w:r w:rsidR="00536C60" w:rsidRPr="00131A73">
              <w:rPr>
                <w:rFonts w:eastAsia="Calibri"/>
              </w:rPr>
              <w:tab/>
              <w:t>В 2018 году был организован семинар-практикум, посвященный 5G, IoT, мобильным платежам, появляющимся технологиям, экосистемам и регулированию, для стран Карибского бассейна.</w:t>
            </w:r>
          </w:p>
          <w:p w14:paraId="7BEF35C5" w14:textId="77777777" w:rsidR="00536C60" w:rsidRPr="00131A73" w:rsidRDefault="00536C60" w:rsidP="00206D60">
            <w:pPr>
              <w:shd w:val="clear" w:color="auto" w:fill="FFFFFF"/>
              <w:tabs>
                <w:tab w:val="left" w:pos="720"/>
              </w:tabs>
              <w:rPr>
                <w:rFonts w:ascii="Calibri-Bold" w:eastAsia="Calibri" w:hAnsi="Calibri-Bold" w:cs="Calibri-Bold"/>
                <w:b/>
                <w:bCs/>
                <w:szCs w:val="28"/>
                <w:lang w:eastAsia="zh-CN"/>
              </w:rPr>
            </w:pPr>
            <w:r w:rsidRPr="00131A73">
              <w:rPr>
                <w:rFonts w:asciiTheme="minorHAnsi" w:eastAsia="Calibri" w:hAnsiTheme="minorHAnsi" w:cstheme="minorHAnsi"/>
                <w:szCs w:val="22"/>
                <w:lang w:eastAsia="en-GB"/>
              </w:rPr>
              <w:t>Европейский регион: ориентированные на ИКТ инновационные экосистемы</w:t>
            </w:r>
          </w:p>
          <w:p w14:paraId="22EEBA8F" w14:textId="6BB615FF" w:rsidR="00536C60" w:rsidRPr="00131A73" w:rsidRDefault="00E24645" w:rsidP="00557CF7">
            <w:pPr>
              <w:pStyle w:val="enumlev1"/>
              <w:rPr>
                <w:rFonts w:eastAsia="Calibri"/>
              </w:rPr>
            </w:pPr>
            <w:r w:rsidRPr="00131A73">
              <w:rPr>
                <w:rFonts w:eastAsia="Calibri"/>
              </w:rPr>
              <w:t>−</w:t>
            </w:r>
            <w:r w:rsidR="00536C60" w:rsidRPr="00131A73">
              <w:rPr>
                <w:rFonts w:eastAsia="Calibri"/>
              </w:rPr>
              <w:tab/>
              <w:t xml:space="preserve">В рамках подготовки национального проекта доработан профиль цифровых инноваций Черногории. </w:t>
            </w:r>
          </w:p>
          <w:p w14:paraId="79D500E0" w14:textId="40E728FE" w:rsidR="00557CF7" w:rsidRPr="00131A73" w:rsidRDefault="00E24645" w:rsidP="00557CF7">
            <w:pPr>
              <w:pStyle w:val="enumlev1"/>
              <w:rPr>
                <w:rFonts w:eastAsia="Calibri"/>
              </w:rPr>
            </w:pPr>
            <w:r w:rsidRPr="00131A73">
              <w:rPr>
                <w:rFonts w:eastAsia="Calibri"/>
              </w:rPr>
              <w:t>−</w:t>
            </w:r>
            <w:r w:rsidR="00557CF7" w:rsidRPr="00131A73">
              <w:rPr>
                <w:rFonts w:eastAsia="Calibri"/>
              </w:rPr>
              <w:tab/>
            </w:r>
            <w:r w:rsidR="00177236" w:rsidRPr="00131A73">
              <w:rPr>
                <w:rFonts w:eastAsia="Calibri"/>
              </w:rPr>
              <w:t xml:space="preserve">Дорабатывается профиль цифровых инноваций для Грузии, который создаст прочные основания для национальной стратегии содействия цифровым инновациям </w:t>
            </w:r>
            <w:r w:rsidR="00CA57D4" w:rsidRPr="00131A73">
              <w:rPr>
                <w:rFonts w:eastAsia="Calibri"/>
              </w:rPr>
              <w:t>в конкретных секторах</w:t>
            </w:r>
            <w:r w:rsidR="00557CF7" w:rsidRPr="00131A73">
              <w:rPr>
                <w:rFonts w:eastAsia="Calibri"/>
              </w:rPr>
              <w:t>.</w:t>
            </w:r>
          </w:p>
          <w:p w14:paraId="7D0340BB" w14:textId="7F10CE33" w:rsidR="00557CF7" w:rsidRPr="00131A73" w:rsidRDefault="00E24645" w:rsidP="00557CF7">
            <w:pPr>
              <w:pStyle w:val="enumlev1"/>
              <w:rPr>
                <w:rFonts w:eastAsia="Calibri"/>
              </w:rPr>
            </w:pPr>
            <w:r w:rsidRPr="00131A73">
              <w:rPr>
                <w:rFonts w:eastAsia="Calibri"/>
              </w:rPr>
              <w:t>−</w:t>
            </w:r>
            <w:r w:rsidR="00557CF7" w:rsidRPr="00131A73">
              <w:rPr>
                <w:rFonts w:eastAsia="Calibri"/>
              </w:rPr>
              <w:tab/>
            </w:r>
            <w:r w:rsidR="00FC6E30" w:rsidRPr="00131A73">
              <w:rPr>
                <w:rFonts w:eastAsia="Calibri"/>
              </w:rPr>
              <w:t xml:space="preserve">Продолжается развитие человеческого потенциала и содействие обмену опытом в рамках </w:t>
            </w:r>
            <w:r w:rsidR="00FC6E30" w:rsidRPr="00131A73">
              <w:rPr>
                <w:color w:val="000000"/>
              </w:rPr>
              <w:t>региональных форумов по вопросам инноваций</w:t>
            </w:r>
            <w:r w:rsidR="00FC6E30" w:rsidRPr="00131A73">
              <w:rPr>
                <w:rFonts w:eastAsia="Calibri"/>
              </w:rPr>
              <w:t xml:space="preserve"> </w:t>
            </w:r>
            <w:r w:rsidR="00557CF7" w:rsidRPr="00131A73">
              <w:rPr>
                <w:rFonts w:eastAsia="Calibri"/>
              </w:rPr>
              <w:t>2020</w:t>
            </w:r>
            <w:r w:rsidR="00FC6E30" w:rsidRPr="00131A73">
              <w:rPr>
                <w:rFonts w:eastAsia="Calibri"/>
              </w:rPr>
              <w:t> года</w:t>
            </w:r>
            <w:r w:rsidR="00A85B27" w:rsidRPr="00131A73">
              <w:rPr>
                <w:rFonts w:eastAsia="Calibri"/>
              </w:rPr>
              <w:t xml:space="preserve">, а также в Отчете о региональном передовом опыте в экосистемах цифровых инноваций в Европе, </w:t>
            </w:r>
            <w:r w:rsidR="005B3DC9" w:rsidRPr="00131A73">
              <w:rPr>
                <w:rFonts w:eastAsia="Calibri"/>
              </w:rPr>
              <w:t>при содействии партнерствам в области ориентированных на ИКТ экосистемах инноваций</w:t>
            </w:r>
            <w:r w:rsidR="00557CF7" w:rsidRPr="00131A73">
              <w:rPr>
                <w:rFonts w:eastAsia="Calibri"/>
              </w:rPr>
              <w:t>.</w:t>
            </w:r>
          </w:p>
          <w:p w14:paraId="3B77C5DC" w14:textId="7ACFE356" w:rsidR="00536C60" w:rsidRPr="00131A73" w:rsidRDefault="00536C60" w:rsidP="00557CF7">
            <w:pPr>
              <w:shd w:val="clear" w:color="auto" w:fill="FFFFFF"/>
              <w:tabs>
                <w:tab w:val="left" w:pos="720"/>
              </w:tabs>
              <w:rPr>
                <w:rFonts w:asciiTheme="minorHAnsi" w:eastAsia="Calibri" w:hAnsiTheme="minorHAnsi" w:cstheme="minorHAnsi"/>
                <w:szCs w:val="22"/>
                <w:lang w:eastAsia="en-GB"/>
              </w:rPr>
            </w:pPr>
            <w:r w:rsidRPr="00131A73">
              <w:rPr>
                <w:rFonts w:asciiTheme="minorHAnsi" w:eastAsia="Calibri" w:hAnsiTheme="minorHAnsi" w:cstheme="minorHAnsi"/>
                <w:szCs w:val="22"/>
                <w:lang w:eastAsia="en-GB"/>
              </w:rPr>
              <w:t xml:space="preserve">Азиатско-Тихоокеанский регион: </w:t>
            </w:r>
            <w:r w:rsidR="0057404B" w:rsidRPr="00131A73">
              <w:rPr>
                <w:rFonts w:asciiTheme="minorHAnsi" w:eastAsia="Calibri" w:hAnsiTheme="minorHAnsi" w:cstheme="minorHAnsi"/>
                <w:szCs w:val="22"/>
                <w:lang w:eastAsia="en-GB"/>
              </w:rPr>
              <w:t>р</w:t>
            </w:r>
            <w:r w:rsidRPr="00131A73">
              <w:rPr>
                <w:rFonts w:asciiTheme="minorHAnsi" w:eastAsia="Calibri" w:hAnsiTheme="minorHAnsi" w:cstheme="minorHAnsi"/>
                <w:szCs w:val="22"/>
                <w:lang w:eastAsia="en-GB"/>
              </w:rPr>
              <w:t xml:space="preserve">егиональная инициатива 4 – благоприятная политика и регуляторная среда, содействие инновациям </w:t>
            </w:r>
          </w:p>
          <w:p w14:paraId="7CEE4E74" w14:textId="5DE1055B" w:rsidR="00536C60" w:rsidRPr="00131A73" w:rsidRDefault="00E24645" w:rsidP="00557CF7">
            <w:pPr>
              <w:pStyle w:val="enumlev1"/>
              <w:rPr>
                <w:rFonts w:eastAsia="Calibri"/>
              </w:rPr>
            </w:pPr>
            <w:r w:rsidRPr="00131A73">
              <w:rPr>
                <w:rFonts w:eastAsia="Calibri"/>
              </w:rPr>
              <w:t>−</w:t>
            </w:r>
            <w:r w:rsidR="00536C60" w:rsidRPr="00131A73">
              <w:rPr>
                <w:rFonts w:eastAsia="Calibri"/>
              </w:rPr>
              <w:tab/>
            </w:r>
            <w:r w:rsidR="005B3DC9" w:rsidRPr="00131A73">
              <w:rPr>
                <w:rFonts w:eastAsia="Calibri"/>
              </w:rPr>
              <w:t>Было</w:t>
            </w:r>
            <w:r w:rsidR="00536C60" w:rsidRPr="00131A73">
              <w:rPr>
                <w:rFonts w:eastAsia="Calibri"/>
              </w:rPr>
              <w:t xml:space="preserve"> пров</w:t>
            </w:r>
            <w:r w:rsidR="005B3DC9" w:rsidRPr="00131A73">
              <w:rPr>
                <w:rFonts w:eastAsia="Calibri"/>
              </w:rPr>
              <w:t>едено</w:t>
            </w:r>
            <w:r w:rsidR="00536C60" w:rsidRPr="00131A73">
              <w:rPr>
                <w:rFonts w:eastAsia="Calibri"/>
              </w:rPr>
              <w:t xml:space="preserve"> региональное исследование об уровне развития цифровых инноваций в Азиатско-Тихоокеанском регионе. </w:t>
            </w:r>
          </w:p>
          <w:p w14:paraId="059F0FE0" w14:textId="747D17C0" w:rsidR="00536C60" w:rsidRPr="00131A73" w:rsidRDefault="00E24645" w:rsidP="00557CF7">
            <w:pPr>
              <w:pStyle w:val="enumlev1"/>
              <w:rPr>
                <w:rFonts w:eastAsia="Calibri"/>
              </w:rPr>
            </w:pPr>
            <w:r w:rsidRPr="00131A73">
              <w:rPr>
                <w:rFonts w:eastAsia="Calibri"/>
              </w:rPr>
              <w:t>−</w:t>
            </w:r>
            <w:r w:rsidR="00536C60" w:rsidRPr="00131A73">
              <w:rPr>
                <w:rFonts w:eastAsia="Calibri"/>
              </w:rPr>
              <w:tab/>
              <w:t xml:space="preserve">МСЭ оказал помощь в подготовке профиля цифровых инноваций Филиппинам. </w:t>
            </w:r>
          </w:p>
          <w:p w14:paraId="5D44A78F" w14:textId="21B4D1AB" w:rsidR="00557CF7" w:rsidRPr="00131A73" w:rsidRDefault="00E24645" w:rsidP="00557CF7">
            <w:pPr>
              <w:pStyle w:val="enumlev1"/>
              <w:spacing w:after="120"/>
              <w:rPr>
                <w:rFonts w:eastAsia="Calibri"/>
              </w:rPr>
            </w:pPr>
            <w:r w:rsidRPr="00131A73">
              <w:rPr>
                <w:rFonts w:eastAsia="Calibri"/>
              </w:rPr>
              <w:t>−</w:t>
            </w:r>
            <w:r w:rsidR="00557CF7" w:rsidRPr="00131A73">
              <w:rPr>
                <w:rFonts w:eastAsia="Calibri"/>
              </w:rPr>
              <w:tab/>
            </w:r>
            <w:r w:rsidR="005B3DC9" w:rsidRPr="00131A73">
              <w:rPr>
                <w:rFonts w:eastAsia="Calibri"/>
              </w:rPr>
              <w:t>Совместно с правительством Индии МСЭ проводит серию информационных сессий по цифровым инновациям</w:t>
            </w:r>
            <w:r w:rsidR="00557CF7" w:rsidRPr="00131A73">
              <w:rPr>
                <w:rFonts w:eastAsia="Calibri"/>
              </w:rPr>
              <w:t xml:space="preserve">. </w:t>
            </w:r>
            <w:r w:rsidR="005B3DC9" w:rsidRPr="00131A73">
              <w:rPr>
                <w:rFonts w:eastAsia="Calibri"/>
              </w:rPr>
              <w:t xml:space="preserve">Ожидается, что информационные сессии, представленные на РПС-АТР в марте 2021 года, послужат стимулированию подхода с участием </w:t>
            </w:r>
            <w:r w:rsidR="00A97853" w:rsidRPr="00131A73">
              <w:rPr>
                <w:rFonts w:eastAsia="Calibri"/>
              </w:rPr>
              <w:t>многих заинтересованных сторон и ускорят принятие цифровых инноваций в регионе</w:t>
            </w:r>
            <w:r w:rsidR="00557CF7" w:rsidRPr="00131A73">
              <w:rPr>
                <w:rFonts w:eastAsia="Calibri"/>
              </w:rPr>
              <w:t>.</w:t>
            </w:r>
          </w:p>
        </w:tc>
      </w:tr>
    </w:tbl>
    <w:p w14:paraId="10F07A55" w14:textId="77777777" w:rsidR="00536C60" w:rsidRPr="00131A73" w:rsidRDefault="00536C60" w:rsidP="00A53525">
      <w:pPr>
        <w:spacing w:before="0"/>
        <w:rPr>
          <w:szCs w:val="24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36C60" w:rsidRPr="00131A73" w14:paraId="7E518ACC" w14:textId="77777777" w:rsidTr="00536C60">
        <w:trPr>
          <w:cantSplit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D1C9" w14:textId="77777777" w:rsidR="00536C60" w:rsidRPr="00131A73" w:rsidRDefault="00536C60" w:rsidP="00334864">
            <w:pPr>
              <w:rPr>
                <w:b/>
                <w:szCs w:val="22"/>
              </w:rPr>
            </w:pPr>
            <w:r w:rsidRPr="00131A73">
              <w:rPr>
                <w:b/>
                <w:szCs w:val="22"/>
              </w:rPr>
              <w:t>ИССЛЕДОВАТЕЛЬСКИЕ КОМИССИИ</w:t>
            </w:r>
          </w:p>
          <w:p w14:paraId="192A1418" w14:textId="228EACB5" w:rsidR="00536C60" w:rsidRPr="00131A73" w:rsidRDefault="00A30C48" w:rsidP="00334864">
            <w:pPr>
              <w:spacing w:after="120"/>
              <w:rPr>
                <w:rFonts w:cstheme="minorHAnsi"/>
              </w:rPr>
            </w:pPr>
            <w:r w:rsidRPr="00131A73">
              <w:rPr>
                <w:rFonts w:cstheme="minorHAnsi"/>
              </w:rPr>
              <w:t xml:space="preserve">Отчет о мероприятии, посвященном </w:t>
            </w:r>
            <w:r w:rsidRPr="00131A73">
              <w:rPr>
                <w:rFonts w:cstheme="minorHAnsi"/>
                <w:i/>
              </w:rPr>
              <w:t>Неделе инноваций в сфере ИКТ</w:t>
            </w:r>
            <w:r w:rsidRPr="00131A73">
              <w:rPr>
                <w:rFonts w:cstheme="minorHAnsi"/>
                <w:iCs/>
              </w:rPr>
              <w:t>, стал вкладом в работу</w:t>
            </w:r>
            <w:r w:rsidR="00536C60" w:rsidRPr="00131A73">
              <w:rPr>
                <w:rFonts w:cstheme="minorHAnsi"/>
              </w:rPr>
              <w:t xml:space="preserve"> </w:t>
            </w:r>
            <w:r w:rsidRPr="00131A73">
              <w:rPr>
                <w:rFonts w:cstheme="minorHAnsi"/>
              </w:rPr>
              <w:t xml:space="preserve">собрания Группы Докладчика </w:t>
            </w:r>
            <w:r w:rsidR="00536C60" w:rsidRPr="00131A73">
              <w:rPr>
                <w:rFonts w:cstheme="minorHAnsi"/>
              </w:rPr>
              <w:t>2-й Исследовательской комиссии МСЭ-D (</w:t>
            </w:r>
            <w:hyperlink r:id="rId87" w:history="1">
              <w:r w:rsidR="00536C60" w:rsidRPr="00131A73">
                <w:rPr>
                  <w:rStyle w:val="Hyperlink"/>
                  <w:rFonts w:cstheme="minorHAnsi"/>
                </w:rPr>
                <w:t>Вопрос 1/2</w:t>
              </w:r>
            </w:hyperlink>
            <w:r w:rsidR="00536C60" w:rsidRPr="00131A73">
              <w:rPr>
                <w:rFonts w:cstheme="minorHAnsi"/>
              </w:rPr>
              <w:t xml:space="preserve"> "</w:t>
            </w:r>
            <w:r w:rsidR="00536C60" w:rsidRPr="00131A73">
              <w:rPr>
                <w:rFonts w:cstheme="minorHAnsi"/>
                <w:i/>
              </w:rPr>
              <w:t>Формирование "умных" городов и "умного" общества: использование информационно-коммуникационных технологий в целях устойчивого социально-экономического развития</w:t>
            </w:r>
            <w:r w:rsidR="00536C60" w:rsidRPr="00131A73">
              <w:rPr>
                <w:rFonts w:cstheme="minorHAnsi"/>
              </w:rPr>
              <w:t>").</w:t>
            </w:r>
          </w:p>
        </w:tc>
      </w:tr>
    </w:tbl>
    <w:p w14:paraId="1946A926" w14:textId="77777777" w:rsidR="00536C60" w:rsidRPr="00131A73" w:rsidRDefault="00536C60" w:rsidP="00255945">
      <w:pPr>
        <w:pStyle w:val="Heading1"/>
      </w:pPr>
      <w:r w:rsidRPr="00131A73">
        <w:lastRenderedPageBreak/>
        <w:t>5</w:t>
      </w:r>
      <w:r w:rsidRPr="00131A73">
        <w:tab/>
        <w:t>Цифровые услуги и приложения: создание цифровых стратегий и прикладных услуг для трансформации</w:t>
      </w:r>
    </w:p>
    <w:p w14:paraId="0C54C12E" w14:textId="39172EB4" w:rsidR="00946B2E" w:rsidRPr="00131A73" w:rsidRDefault="00A97853" w:rsidP="00255945">
      <w:pPr>
        <w:pStyle w:val="Headingb"/>
      </w:pPr>
      <w:r w:rsidRPr="00131A73">
        <w:t>Цифровое правительство</w:t>
      </w:r>
    </w:p>
    <w:p w14:paraId="6C7B6E90" w14:textId="22AD3486" w:rsidR="00946B2E" w:rsidRPr="00131A73" w:rsidRDefault="00946B2E" w:rsidP="00946B2E">
      <w:pPr>
        <w:rPr>
          <w:bCs/>
        </w:rPr>
      </w:pPr>
      <w:r w:rsidRPr="00131A73">
        <w:rPr>
          <w:bCs/>
        </w:rPr>
        <w:t>МСЭ</w:t>
      </w:r>
      <w:r w:rsidR="00A97853" w:rsidRPr="00131A73">
        <w:rPr>
          <w:bCs/>
        </w:rPr>
        <w:t xml:space="preserve"> сотрудничает </w:t>
      </w:r>
      <w:r w:rsidRPr="00131A73">
        <w:rPr>
          <w:bCs/>
        </w:rPr>
        <w:t xml:space="preserve">с Министерством иностранных дел Эстонской Республики (MFA Эстонии), Федеральным министерством экономического сотрудничества и развития Федеративной Республики Германия (BMZ) и </w:t>
      </w:r>
      <w:bookmarkStart w:id="8" w:name="_Hlk54631202"/>
      <w:r w:rsidRPr="00131A73">
        <w:rPr>
          <w:bCs/>
        </w:rPr>
        <w:t>Альянсом за расширение использования цифровых технологий</w:t>
      </w:r>
      <w:bookmarkEnd w:id="8"/>
      <w:r w:rsidRPr="00131A73">
        <w:rPr>
          <w:bCs/>
        </w:rPr>
        <w:t xml:space="preserve"> (DIAL) при Фонде </w:t>
      </w:r>
      <w:r w:rsidR="00A97853" w:rsidRPr="00131A73">
        <w:rPr>
          <w:bCs/>
        </w:rPr>
        <w:t>ООН</w:t>
      </w:r>
      <w:r w:rsidRPr="00131A73">
        <w:rPr>
          <w:bCs/>
        </w:rPr>
        <w:t xml:space="preserve"> </w:t>
      </w:r>
      <w:r w:rsidR="00A30C48" w:rsidRPr="00131A73">
        <w:rPr>
          <w:bCs/>
        </w:rPr>
        <w:t>с целью</w:t>
      </w:r>
      <w:r w:rsidRPr="00131A73">
        <w:rPr>
          <w:bCs/>
        </w:rPr>
        <w:t xml:space="preserve"> ускорени</w:t>
      </w:r>
      <w:r w:rsidR="00A97853" w:rsidRPr="00131A73">
        <w:rPr>
          <w:bCs/>
        </w:rPr>
        <w:t>я</w:t>
      </w:r>
      <w:r w:rsidRPr="00131A73">
        <w:rPr>
          <w:bCs/>
        </w:rPr>
        <w:t xml:space="preserve"> цифровой трансформации и цифровизации государственных услуг</w:t>
      </w:r>
      <w:r w:rsidR="00A97853" w:rsidRPr="00131A73">
        <w:rPr>
          <w:bCs/>
        </w:rPr>
        <w:t xml:space="preserve"> для достижения Целей в области устойчивого развития (ЦУР)</w:t>
      </w:r>
      <w:r w:rsidRPr="00131A73">
        <w:rPr>
          <w:bCs/>
        </w:rPr>
        <w:t xml:space="preserve">, в особенности в условиях низкого уровня ресурсов. </w:t>
      </w:r>
      <w:r w:rsidR="00A97853" w:rsidRPr="00131A73">
        <w:rPr>
          <w:bCs/>
        </w:rPr>
        <w:t xml:space="preserve">Это сотрудничество поможет странам узнать </w:t>
      </w:r>
      <w:r w:rsidR="008B21A7" w:rsidRPr="00131A73">
        <w:rPr>
          <w:bCs/>
        </w:rPr>
        <w:t>о масштабируемых цифровых услугах и приложениях и реализовать их</w:t>
      </w:r>
      <w:r w:rsidRPr="00131A73">
        <w:rPr>
          <w:bCs/>
        </w:rPr>
        <w:t xml:space="preserve"> экономически эффективным, ускоренным и комплексным образом. </w:t>
      </w:r>
    </w:p>
    <w:p w14:paraId="46D3E627" w14:textId="796E9909" w:rsidR="00536C60" w:rsidRPr="00131A73" w:rsidRDefault="00536C60" w:rsidP="00255945">
      <w:pPr>
        <w:pStyle w:val="Headingb"/>
      </w:pPr>
      <w:r w:rsidRPr="00131A73">
        <w:t>Расширение цифрового здравоохранения</w:t>
      </w:r>
    </w:p>
    <w:p w14:paraId="4A314DB8" w14:textId="180E3418" w:rsidR="00536C60" w:rsidRPr="00131A73" w:rsidRDefault="00536C60" w:rsidP="00536C60">
      <w:pPr>
        <w:rPr>
          <w:rFonts w:eastAsia="Calibri" w:cs="Calibri"/>
        </w:rPr>
      </w:pPr>
      <w:r w:rsidRPr="00131A73">
        <w:rPr>
          <w:bCs/>
        </w:rPr>
        <w:t>Продолжает усиливаться влияние инициативы МСЭ–ВОЗ</w:t>
      </w:r>
      <w:r w:rsidRPr="00131A73">
        <w:t xml:space="preserve"> </w:t>
      </w:r>
      <w:hyperlink r:id="rId88" w:history="1">
        <w:r w:rsidRPr="00131A73">
          <w:rPr>
            <w:rStyle w:val="Hyperlink"/>
            <w:u w:val="none"/>
          </w:rPr>
          <w:t>"</w:t>
        </w:r>
        <w:r w:rsidRPr="00131A73">
          <w:rPr>
            <w:rStyle w:val="Hyperlink"/>
            <w:bCs/>
          </w:rPr>
          <w:t>Будь здоровым, будь мобильным</w:t>
        </w:r>
        <w:r w:rsidRPr="00131A73">
          <w:rPr>
            <w:rStyle w:val="Hyperlink"/>
            <w:u w:val="none"/>
          </w:rPr>
          <w:t>"</w:t>
        </w:r>
      </w:hyperlink>
      <w:r w:rsidRPr="00131A73">
        <w:rPr>
          <w:bCs/>
        </w:rPr>
        <w:t xml:space="preserve">. Сегодня она охватывает 11 стран, помогая им решать такие разнообразные проблемы здравоохранения, как рак шейки матки, диабет и употребление табака. В общей сложности </w:t>
      </w:r>
      <w:r w:rsidR="00156EA4" w:rsidRPr="00131A73">
        <w:rPr>
          <w:bCs/>
        </w:rPr>
        <w:t xml:space="preserve">от </w:t>
      </w:r>
      <w:r w:rsidRPr="00131A73">
        <w:rPr>
          <w:bCs/>
        </w:rPr>
        <w:t>этой программ</w:t>
      </w:r>
      <w:r w:rsidR="00156EA4" w:rsidRPr="00131A73">
        <w:rPr>
          <w:bCs/>
        </w:rPr>
        <w:t>ы</w:t>
      </w:r>
      <w:r w:rsidRPr="00131A73">
        <w:rPr>
          <w:bCs/>
        </w:rPr>
        <w:t xml:space="preserve"> </w:t>
      </w:r>
      <w:r w:rsidR="00156EA4" w:rsidRPr="00131A73">
        <w:rPr>
          <w:bCs/>
        </w:rPr>
        <w:t xml:space="preserve">получили </w:t>
      </w:r>
      <w:r w:rsidRPr="00131A73">
        <w:rPr>
          <w:bCs/>
        </w:rPr>
        <w:t>польз</w:t>
      </w:r>
      <w:r w:rsidR="00156EA4" w:rsidRPr="00131A73">
        <w:rPr>
          <w:bCs/>
        </w:rPr>
        <w:t>у</w:t>
      </w:r>
      <w:r w:rsidRPr="00131A73">
        <w:rPr>
          <w:bCs/>
        </w:rPr>
        <w:t xml:space="preserve"> более 3,5 миллиона человек. </w:t>
      </w:r>
      <w:r w:rsidRPr="00131A73">
        <w:t xml:space="preserve">В результате реализации инициативы </w:t>
      </w:r>
      <w:r w:rsidRPr="00131A73">
        <w:rPr>
          <w:bCs/>
        </w:rPr>
        <w:t>"Будь здоровым, будь мобильным"</w:t>
      </w:r>
      <w:r w:rsidRPr="00131A73">
        <w:t xml:space="preserve"> были привлечены средства в размере 1,8 млн. долл. США от трех новых партнеров (Roche, Discovery/Vitality, Santen). Была оказана дальнейшая поддержка Египту, Индии, Филиппинам, Сенегалу и Тунису, и началась реализация инициативы в Буркина-Фасо и Судане. </w:t>
      </w:r>
    </w:p>
    <w:p w14:paraId="607F66BB" w14:textId="77777777" w:rsidR="00536C60" w:rsidRPr="00131A73" w:rsidRDefault="00536C60" w:rsidP="00536C60">
      <w:pPr>
        <w:rPr>
          <w:szCs w:val="20"/>
        </w:rPr>
      </w:pPr>
      <w:r w:rsidRPr="00131A73">
        <w:t xml:space="preserve">В 2018 году в рамках встречи на высшем уровне "Преобразуем Африку" МСЭ совместно с ВОЗ/АФРО и альянсом "Умная Африка" была создана платформа в области цифрового здравоохранения. Эта платформа позволила провести ряд диалогов по вопросам политики и обменяться примерами передового опыта в области внедрения цифрового здравоохранения в Африканском регионе. Совместно с Европейским союзом и ВОЗ издано </w:t>
      </w:r>
      <w:hyperlink r:id="rId89" w:history="1">
        <w:r w:rsidRPr="00131A73">
          <w:rPr>
            <w:rStyle w:val="Hyperlink"/>
          </w:rPr>
          <w:t>пособие</w:t>
        </w:r>
      </w:hyperlink>
      <w:r w:rsidRPr="00131A73">
        <w:t xml:space="preserve"> </w:t>
      </w:r>
      <w:r w:rsidRPr="00131A73">
        <w:rPr>
          <w:iCs/>
        </w:rPr>
        <w:t>по реализации программы mTB-Tobacco</w:t>
      </w:r>
      <w:r w:rsidRPr="00131A73">
        <w:t xml:space="preserve"> и разработан соответствующий комплект материалов, а также создан </w:t>
      </w:r>
      <w:hyperlink r:id="rId90" w:history="1">
        <w:r w:rsidRPr="00131A73">
          <w:rPr>
            <w:rStyle w:val="Hyperlink"/>
          </w:rPr>
          <w:t>Центр инноваций в области мобильного здравоохранения</w:t>
        </w:r>
      </w:hyperlink>
      <w:r w:rsidRPr="00131A73">
        <w:t xml:space="preserve"> для Европейского региона, призванный служить платформой для обмена передовым опытом и обеспечивать доступ по принципу "единого окна" к руководящим указаниям по внедрению программ мобильного здравоохранения.</w:t>
      </w:r>
    </w:p>
    <w:p w14:paraId="1294FA70" w14:textId="77777777" w:rsidR="00536C60" w:rsidRPr="00131A73" w:rsidRDefault="00536C60" w:rsidP="00536C60">
      <w:r w:rsidRPr="00131A73">
        <w:t>В 2018 году в сотрудничестве с Панамериканской организацией здравоохранения (ПАОЗ) была оказана помощь Гайане в разработке национальной рамочной основы в области электронного здравоохранения, включая разработку национального концептуального документа по вопросам электронного здравоохранения, национального плана действий в области электронного здравоохранения, предложения в отношении национального механизма мониторинга и системы оценки применения комплекта материалов по электронному здравоохранению в Гайане.</w:t>
      </w:r>
    </w:p>
    <w:p w14:paraId="785860BE" w14:textId="40948097" w:rsidR="00536C60" w:rsidRPr="00131A73" w:rsidRDefault="00536C60" w:rsidP="00536C60">
      <w:r w:rsidRPr="00131A73">
        <w:t xml:space="preserve">В 2020 году, после того как в рамках глобальной программы "Будь здоровым, будь мобильным" МСЭ в партнерстве с ВОЗ </w:t>
      </w:r>
      <w:r w:rsidR="00156EA4" w:rsidRPr="00131A73">
        <w:t>начал</w:t>
      </w:r>
      <w:r w:rsidRPr="00131A73">
        <w:t xml:space="preserve"> в Сенегале </w:t>
      </w:r>
      <w:r w:rsidR="00156EA4" w:rsidRPr="00131A73">
        <w:t xml:space="preserve">осуществление </w:t>
      </w:r>
      <w:r w:rsidRPr="00131A73">
        <w:t>проект</w:t>
      </w:r>
      <w:r w:rsidR="00156EA4" w:rsidRPr="00131A73">
        <w:t>а</w:t>
      </w:r>
      <w:r w:rsidRPr="00131A73">
        <w:t xml:space="preserve"> mDiabetes, МСЭ и ВОЗ приступили к реализации второго проекта в Сенегале, связанного с возможностями автоматического обнаружения диабетической ретинопатии. Правительству Сенегала, </w:t>
      </w:r>
      <w:r w:rsidR="008508CE" w:rsidRPr="00131A73">
        <w:t>через</w:t>
      </w:r>
      <w:r w:rsidRPr="00131A73">
        <w:t xml:space="preserve"> Министерств</w:t>
      </w:r>
      <w:r w:rsidR="008508CE" w:rsidRPr="00131A73">
        <w:t>о</w:t>
      </w:r>
      <w:r w:rsidRPr="00131A73">
        <w:t xml:space="preserve"> здравоохранения, был</w:t>
      </w:r>
      <w:r w:rsidR="008508CE" w:rsidRPr="00131A73">
        <w:t>и</w:t>
      </w:r>
      <w:r w:rsidRPr="00131A73">
        <w:t xml:space="preserve"> передан</w:t>
      </w:r>
      <w:r w:rsidR="008508CE" w:rsidRPr="00131A73">
        <w:t>ы</w:t>
      </w:r>
      <w:r w:rsidRPr="00131A73">
        <w:t xml:space="preserve"> два цифровых ретиноскопа в целях оказания поддержки национальной системе здравоохранения в раннем выявлении диабетической ретинопатии.</w:t>
      </w:r>
    </w:p>
    <w:p w14:paraId="53D9A66E" w14:textId="50E60BDC" w:rsidR="00946B2E" w:rsidRPr="00131A73" w:rsidRDefault="005E1D49" w:rsidP="00946B2E">
      <w:r w:rsidRPr="00131A73">
        <w:t>Совместно с ВОЗ, ЕС и Службой здравоохранения Андалусии (</w:t>
      </w:r>
      <w:r w:rsidR="00946B2E" w:rsidRPr="00131A73">
        <w:t>SSPA</w:t>
      </w:r>
      <w:r w:rsidRPr="00131A73">
        <w:t xml:space="preserve">) МСЭ учредил </w:t>
      </w:r>
      <w:r w:rsidRPr="00131A73">
        <w:rPr>
          <w:color w:val="000000"/>
        </w:rPr>
        <w:t>Европейский центр знаний в области мобильного здравоохранения</w:t>
      </w:r>
      <w:r w:rsidR="00946B2E" w:rsidRPr="00131A73">
        <w:t xml:space="preserve">, </w:t>
      </w:r>
      <w:r w:rsidRPr="00131A73">
        <w:t>целью которого является сбор и совместное использование национального опыта в сфере мобильного здравоохранения</w:t>
      </w:r>
      <w:r w:rsidR="003D7078" w:rsidRPr="00131A73">
        <w:t xml:space="preserve">, а также поддержка стран и регионов в создании крупномасштабных программ мобильного здравоохранения для возможного </w:t>
      </w:r>
      <w:r w:rsidR="00804DFD" w:rsidRPr="00131A73">
        <w:t>воспроизведения в других регионах</w:t>
      </w:r>
      <w:r w:rsidR="00946B2E" w:rsidRPr="00131A73">
        <w:t>.</w:t>
      </w:r>
    </w:p>
    <w:p w14:paraId="5FD2B542" w14:textId="441168E2" w:rsidR="00946B2E" w:rsidRPr="00131A73" w:rsidRDefault="00804DFD" w:rsidP="00946B2E">
      <w:r w:rsidRPr="00131A73">
        <w:t>Задачи Центра мобильного здравоохранения</w:t>
      </w:r>
      <w:r w:rsidR="00946B2E" w:rsidRPr="00131A73">
        <w:t>:</w:t>
      </w:r>
    </w:p>
    <w:p w14:paraId="31808303" w14:textId="4CD8065A" w:rsidR="00946B2E" w:rsidRPr="00131A73" w:rsidRDefault="00946B2E" w:rsidP="00946B2E">
      <w:pPr>
        <w:pStyle w:val="enumlev1"/>
        <w:rPr>
          <w:rFonts w:eastAsiaTheme="minorEastAsia" w:cstheme="minorBidi"/>
        </w:rPr>
      </w:pPr>
      <w:r w:rsidRPr="00131A73">
        <w:t>−</w:t>
      </w:r>
      <w:r w:rsidRPr="00131A73">
        <w:tab/>
      </w:r>
      <w:r w:rsidR="008C7B1A" w:rsidRPr="00131A73">
        <w:t>использование инноваций в области мобильного здравоохранения для интеграции в национальные системы здравоохранения в Европе</w:t>
      </w:r>
      <w:r w:rsidRPr="00131A73">
        <w:t>;</w:t>
      </w:r>
    </w:p>
    <w:p w14:paraId="2A2EE25B" w14:textId="33BB808C" w:rsidR="00946B2E" w:rsidRPr="00131A73" w:rsidRDefault="00946B2E" w:rsidP="00946B2E">
      <w:pPr>
        <w:pStyle w:val="enumlev1"/>
        <w:rPr>
          <w:rFonts w:eastAsiaTheme="minorEastAsia" w:cstheme="minorBidi"/>
        </w:rPr>
      </w:pPr>
      <w:r w:rsidRPr="00131A73">
        <w:lastRenderedPageBreak/>
        <w:t>−</w:t>
      </w:r>
      <w:r w:rsidRPr="00131A73">
        <w:tab/>
      </w:r>
      <w:r w:rsidR="008C7B1A" w:rsidRPr="00131A73">
        <w:t>выполнение функций координатора по специальным знаниям в области мобильного здравоохранения в регионе Европы</w:t>
      </w:r>
      <w:r w:rsidRPr="00131A73">
        <w:t>;</w:t>
      </w:r>
    </w:p>
    <w:p w14:paraId="63AE95D9" w14:textId="4654F9CE" w:rsidR="00946B2E" w:rsidRPr="00131A73" w:rsidRDefault="00946B2E" w:rsidP="00946B2E">
      <w:pPr>
        <w:pStyle w:val="enumlev1"/>
        <w:rPr>
          <w:rFonts w:eastAsiaTheme="minorEastAsia" w:cstheme="minorBidi"/>
        </w:rPr>
      </w:pPr>
      <w:r w:rsidRPr="00131A73">
        <w:t>−</w:t>
      </w:r>
      <w:r w:rsidRPr="00131A73">
        <w:tab/>
      </w:r>
      <w:r w:rsidR="008C7B1A" w:rsidRPr="00131A73">
        <w:t>помощь странам в осуществлении стратегий мобильного здравоохранения</w:t>
      </w:r>
      <w:r w:rsidRPr="00131A73">
        <w:t>;</w:t>
      </w:r>
    </w:p>
    <w:p w14:paraId="3BB7890A" w14:textId="2EDE000F" w:rsidR="00946B2E" w:rsidRPr="00131A73" w:rsidRDefault="00946B2E" w:rsidP="00946B2E">
      <w:pPr>
        <w:pStyle w:val="enumlev1"/>
        <w:rPr>
          <w:rFonts w:eastAsiaTheme="minorEastAsia" w:cstheme="minorBidi"/>
        </w:rPr>
      </w:pPr>
      <w:r w:rsidRPr="00131A73">
        <w:t>−</w:t>
      </w:r>
      <w:r w:rsidRPr="00131A73">
        <w:tab/>
      </w:r>
      <w:r w:rsidR="003421F5" w:rsidRPr="00131A73">
        <w:t>выполнение функций координатора по инновациям в мобильном здравоохранении</w:t>
      </w:r>
      <w:r w:rsidRPr="00131A73">
        <w:t>;</w:t>
      </w:r>
    </w:p>
    <w:p w14:paraId="0B110AFE" w14:textId="6893B092" w:rsidR="00946B2E" w:rsidRPr="00131A73" w:rsidRDefault="00946B2E" w:rsidP="00946B2E">
      <w:pPr>
        <w:pStyle w:val="enumlev1"/>
        <w:rPr>
          <w:rFonts w:eastAsiaTheme="minorEastAsia" w:cstheme="minorBidi"/>
        </w:rPr>
      </w:pPr>
      <w:r w:rsidRPr="00131A73">
        <w:t>−</w:t>
      </w:r>
      <w:r w:rsidRPr="00131A73">
        <w:tab/>
      </w:r>
      <w:r w:rsidR="00EC25C6" w:rsidRPr="00131A73">
        <w:t>выполнение функций катализатора для Единого цифрового рынка ЕС</w:t>
      </w:r>
      <w:r w:rsidRPr="00131A73">
        <w:t>;</w:t>
      </w:r>
    </w:p>
    <w:p w14:paraId="27DF7B41" w14:textId="64F74B88" w:rsidR="00946B2E" w:rsidRPr="00131A73" w:rsidRDefault="00946B2E" w:rsidP="00946B2E">
      <w:pPr>
        <w:pStyle w:val="enumlev1"/>
        <w:rPr>
          <w:rFonts w:eastAsiaTheme="minorEastAsia" w:cstheme="minorBidi"/>
        </w:rPr>
      </w:pPr>
      <w:r w:rsidRPr="00131A73">
        <w:t>−</w:t>
      </w:r>
      <w:r w:rsidRPr="00131A73">
        <w:tab/>
      </w:r>
      <w:r w:rsidR="00EC25C6" w:rsidRPr="00131A73">
        <w:t>производство инструментов знаний по неинфекционным заболеваниям для систем и служб здравоохранения</w:t>
      </w:r>
      <w:r w:rsidRPr="00131A73">
        <w:t>;</w:t>
      </w:r>
    </w:p>
    <w:p w14:paraId="4388434E" w14:textId="542AD098" w:rsidR="00946B2E" w:rsidRPr="00131A73" w:rsidRDefault="00946B2E" w:rsidP="00946B2E">
      <w:pPr>
        <w:pStyle w:val="enumlev1"/>
      </w:pPr>
      <w:r w:rsidRPr="00131A73">
        <w:t>−</w:t>
      </w:r>
      <w:r w:rsidRPr="00131A73">
        <w:tab/>
      </w:r>
      <w:r w:rsidR="00EC25C6" w:rsidRPr="00131A73">
        <w:t>составление кодекса этики для данных по мобильному здравоохранению</w:t>
      </w:r>
      <w:r w:rsidRPr="00131A73">
        <w:t>.</w:t>
      </w:r>
    </w:p>
    <w:p w14:paraId="5D8AE73E" w14:textId="4919D92A" w:rsidR="00946B2E" w:rsidRPr="00131A73" w:rsidRDefault="00EC25C6" w:rsidP="00946B2E">
      <w:pPr>
        <w:rPr>
          <w:rFonts w:cs="Calibri"/>
          <w:b/>
          <w:bCs/>
        </w:rPr>
      </w:pPr>
      <w:r w:rsidRPr="00131A73">
        <w:t xml:space="preserve">МСЭ опубликовал </w:t>
      </w:r>
      <w:r w:rsidRPr="00131A73">
        <w:rPr>
          <w:color w:val="000000"/>
        </w:rPr>
        <w:t>Справочник по платформе цифрового здравоохранения, который помогает странам</w:t>
      </w:r>
      <w:r w:rsidR="001531E7" w:rsidRPr="00131A73">
        <w:rPr>
          <w:color w:val="000000"/>
        </w:rPr>
        <w:t xml:space="preserve"> в развитии их национальных систем цифрового здравоохранения, в частности путем использования платформы цифрового здравоохранения </w:t>
      </w:r>
      <w:r w:rsidR="001531E7" w:rsidRPr="00131A73">
        <w:t>(</w:t>
      </w:r>
      <w:r w:rsidR="00946B2E" w:rsidRPr="00131A73">
        <w:t>DHP</w:t>
      </w:r>
      <w:r w:rsidR="001531E7" w:rsidRPr="00131A73">
        <w:t>)</w:t>
      </w:r>
      <w:r w:rsidR="00946B2E" w:rsidRPr="00131A73">
        <w:t xml:space="preserve">. </w:t>
      </w:r>
      <w:r w:rsidR="001531E7" w:rsidRPr="00131A73">
        <w:t>Эта цифровая платформа служит фундаментом для различных приложений и систем цифрового здравоохранения, которые используются для поддержки служб здравоохранения и ухода</w:t>
      </w:r>
      <w:r w:rsidR="00946B2E" w:rsidRPr="00131A73">
        <w:t xml:space="preserve">. </w:t>
      </w:r>
      <w:r w:rsidR="001531E7" w:rsidRPr="00131A73">
        <w:t>Она создает возможность взаимодействия и совместной комплексной работы отдельных приложений и систем</w:t>
      </w:r>
      <w:r w:rsidR="00946B2E" w:rsidRPr="00131A73">
        <w:rPr>
          <w:rFonts w:cstheme="minorBidi"/>
        </w:rPr>
        <w:t xml:space="preserve">. </w:t>
      </w:r>
      <w:r w:rsidR="001531E7" w:rsidRPr="00131A73">
        <w:rPr>
          <w:rFonts w:cstheme="minorBidi"/>
        </w:rPr>
        <w:t xml:space="preserve">Она создает центральный узел, связывая разрозненные и не имеющие соединения </w:t>
      </w:r>
      <w:r w:rsidR="00977009" w:rsidRPr="00131A73">
        <w:rPr>
          <w:rFonts w:cstheme="minorBidi"/>
        </w:rPr>
        <w:t>системы и приложения, делая возможным более скоростной, эффективный и надежный обмен информацией и содействуя расширению доступа к данным здравоохранения в рамках ряда приложений и устройств</w:t>
      </w:r>
      <w:r w:rsidR="00946B2E" w:rsidRPr="00131A73">
        <w:rPr>
          <w:rFonts w:cstheme="minorBidi"/>
        </w:rPr>
        <w:t xml:space="preserve">. </w:t>
      </w:r>
    </w:p>
    <w:p w14:paraId="718452DB" w14:textId="77777777" w:rsidR="00536C60" w:rsidRPr="00131A73" w:rsidRDefault="00536C60" w:rsidP="00255945">
      <w:pPr>
        <w:pStyle w:val="Headingb"/>
      </w:pPr>
      <w:r w:rsidRPr="00131A73">
        <w:t xml:space="preserve">Создание </w:t>
      </w:r>
      <w:r w:rsidRPr="00131A73">
        <w:rPr>
          <w:b w:val="0"/>
          <w:bCs/>
        </w:rPr>
        <w:t>"</w:t>
      </w:r>
      <w:r w:rsidRPr="00131A73">
        <w:t>умных</w:t>
      </w:r>
      <w:r w:rsidRPr="00131A73">
        <w:rPr>
          <w:b w:val="0"/>
          <w:bCs/>
        </w:rPr>
        <w:t>"</w:t>
      </w:r>
      <w:r w:rsidRPr="00131A73">
        <w:t xml:space="preserve"> деревень</w:t>
      </w:r>
    </w:p>
    <w:p w14:paraId="7635615F" w14:textId="61CCEA4F" w:rsidR="00255945" w:rsidRPr="00131A73" w:rsidRDefault="00536C60" w:rsidP="00536C60">
      <w:pPr>
        <w:rPr>
          <w:bCs/>
        </w:rPr>
      </w:pPr>
      <w:r w:rsidRPr="00131A73">
        <w:rPr>
          <w:bCs/>
        </w:rPr>
        <w:t xml:space="preserve">В сотрудничестве с </w:t>
      </w:r>
      <w:hyperlink r:id="rId91" w:history="1">
        <w:r w:rsidRPr="00131A73">
          <w:rPr>
            <w:rStyle w:val="Hyperlink"/>
            <w:bCs/>
          </w:rPr>
          <w:t>Национальным агентством по вопросам информационного общества (ANSI)</w:t>
        </w:r>
      </w:hyperlink>
      <w:r w:rsidRPr="00131A73">
        <w:rPr>
          <w:bCs/>
        </w:rPr>
        <w:t xml:space="preserve"> и рядом других организаций МСЭ </w:t>
      </w:r>
      <w:r w:rsidR="00977009" w:rsidRPr="00131A73">
        <w:rPr>
          <w:bCs/>
        </w:rPr>
        <w:t>разработал</w:t>
      </w:r>
      <w:r w:rsidRPr="00131A73">
        <w:rPr>
          <w:bCs/>
        </w:rPr>
        <w:t xml:space="preserve"> </w:t>
      </w:r>
      <w:hyperlink r:id="rId92" w:history="1">
        <w:r w:rsidRPr="00131A73">
          <w:rPr>
            <w:rStyle w:val="Hyperlink"/>
            <w:bCs/>
          </w:rPr>
          <w:t>проект "«Умные» деревни"</w:t>
        </w:r>
      </w:hyperlink>
      <w:r w:rsidRPr="00131A73">
        <w:rPr>
          <w:bCs/>
        </w:rPr>
        <w:t xml:space="preserve">, </w:t>
      </w:r>
      <w:r w:rsidR="00977009" w:rsidRPr="00131A73">
        <w:rPr>
          <w:bCs/>
        </w:rPr>
        <w:t>имеющий целью</w:t>
      </w:r>
      <w:r w:rsidRPr="00131A73">
        <w:rPr>
          <w:bCs/>
        </w:rPr>
        <w:t xml:space="preserve"> подключение </w:t>
      </w:r>
      <w:r w:rsidRPr="00131A73">
        <w:rPr>
          <w:szCs w:val="24"/>
        </w:rPr>
        <w:t>отдаленных районов Нигера</w:t>
      </w:r>
      <w:r w:rsidRPr="00131A73">
        <w:rPr>
          <w:bCs/>
        </w:rPr>
        <w:t xml:space="preserve"> к</w:t>
      </w:r>
      <w:r w:rsidRPr="00131A73">
        <w:rPr>
          <w:szCs w:val="24"/>
        </w:rPr>
        <w:t xml:space="preserve"> интернету.</w:t>
      </w:r>
      <w:r w:rsidRPr="00131A73">
        <w:rPr>
          <w:bCs/>
        </w:rPr>
        <w:t xml:space="preserve"> </w:t>
      </w:r>
      <w:r w:rsidR="00977009" w:rsidRPr="00131A73">
        <w:rPr>
          <w:bCs/>
        </w:rPr>
        <w:t>Проект "«Умные» деревни" представляет собой целостный, многофункциональный и открытый для всех подход к совершенствованию доступа к важнейшим цифровым услугам для ЦУР в условиях сельских районов</w:t>
      </w:r>
      <w:r w:rsidR="00255945" w:rsidRPr="00131A73">
        <w:rPr>
          <w:bCs/>
        </w:rPr>
        <w:t xml:space="preserve">. </w:t>
      </w:r>
      <w:r w:rsidR="00977009" w:rsidRPr="00131A73">
        <w:rPr>
          <w:bCs/>
        </w:rPr>
        <w:t>Это "путь к развитию сельских районов" благодаря слиянию и координации программ развития, для создания необходимой синергии с целью поддержки инвестиций</w:t>
      </w:r>
      <w:r w:rsidR="00255945" w:rsidRPr="00131A73">
        <w:rPr>
          <w:bCs/>
        </w:rPr>
        <w:t xml:space="preserve">. </w:t>
      </w:r>
      <w:r w:rsidR="008365CA" w:rsidRPr="00131A73">
        <w:rPr>
          <w:bCs/>
        </w:rPr>
        <w:t>Это также подход для правительства в целом и общества в целом к цифровым инвестициям для ЦУР и цифровой трансформации сельских районов</w:t>
      </w:r>
      <w:r w:rsidR="00255945" w:rsidRPr="00131A73">
        <w:rPr>
          <w:bCs/>
        </w:rPr>
        <w:t xml:space="preserve">. </w:t>
      </w:r>
      <w:r w:rsidR="008365CA" w:rsidRPr="00131A73">
        <w:rPr>
          <w:bCs/>
        </w:rPr>
        <w:t>В Пакистане, Индонезии и на островах Тихого океана осуществляется несколько проектов "«Умные» деревни"</w:t>
      </w:r>
      <w:r w:rsidR="00255945" w:rsidRPr="00131A73">
        <w:rPr>
          <w:bCs/>
        </w:rPr>
        <w:t>.</w:t>
      </w:r>
    </w:p>
    <w:p w14:paraId="0301E4DB" w14:textId="77777777" w:rsidR="00536C60" w:rsidRPr="00131A73" w:rsidRDefault="00536C60" w:rsidP="00255945">
      <w:pPr>
        <w:pStyle w:val="Headingb"/>
      </w:pPr>
      <w:r w:rsidRPr="00131A73">
        <w:t>Создание потенциала в сфере цифровых услуг</w:t>
      </w:r>
    </w:p>
    <w:p w14:paraId="7AB559A1" w14:textId="5ACBAC66" w:rsidR="00536C60" w:rsidRPr="00131A73" w:rsidRDefault="00536C60" w:rsidP="00536C60">
      <w:pPr>
        <w:overflowPunct/>
        <w:autoSpaceDE/>
        <w:adjustRightInd/>
        <w:rPr>
          <w:szCs w:val="24"/>
        </w:rPr>
      </w:pPr>
      <w:r w:rsidRPr="00131A73">
        <w:rPr>
          <w:szCs w:val="24"/>
        </w:rPr>
        <w:t>Для распространения цифрового здравоохранения в странах Африканского региона был</w:t>
      </w:r>
      <w:r w:rsidR="008365CA" w:rsidRPr="00131A73">
        <w:rPr>
          <w:szCs w:val="24"/>
        </w:rPr>
        <w:t>а</w:t>
      </w:r>
      <w:r w:rsidRPr="00131A73">
        <w:rPr>
          <w:szCs w:val="24"/>
        </w:rPr>
        <w:t xml:space="preserve"> проведен</w:t>
      </w:r>
      <w:r w:rsidR="008365CA" w:rsidRPr="00131A73">
        <w:rPr>
          <w:szCs w:val="24"/>
        </w:rPr>
        <w:t>а</w:t>
      </w:r>
      <w:r w:rsidRPr="00131A73">
        <w:rPr>
          <w:szCs w:val="24"/>
        </w:rPr>
        <w:t xml:space="preserve"> </w:t>
      </w:r>
      <w:r w:rsidR="008365CA" w:rsidRPr="00131A73">
        <w:rPr>
          <w:szCs w:val="24"/>
        </w:rPr>
        <w:t>профессиональная подготовка</w:t>
      </w:r>
      <w:r w:rsidRPr="00131A73">
        <w:rPr>
          <w:szCs w:val="24"/>
        </w:rPr>
        <w:t xml:space="preserve"> по цифровому здравоохранению с использованием цифрового учебного курса, разработанного МСЭ в сотрудничестве с </w:t>
      </w:r>
      <w:r w:rsidR="008508CE" w:rsidRPr="00131A73">
        <w:rPr>
          <w:szCs w:val="24"/>
        </w:rPr>
        <w:t>Р</w:t>
      </w:r>
      <w:r w:rsidRPr="00131A73">
        <w:rPr>
          <w:szCs w:val="24"/>
        </w:rPr>
        <w:t xml:space="preserve">егиональным бюро ВОЗ для стран Африки. Это также позволило представителям министерств здравоохранения и ИКТ обменяться опытом и знаниями, полученными в процессе внедрения цифровых услуг в </w:t>
      </w:r>
      <w:r w:rsidR="008365CA" w:rsidRPr="00131A73">
        <w:rPr>
          <w:szCs w:val="24"/>
        </w:rPr>
        <w:t>их</w:t>
      </w:r>
      <w:r w:rsidRPr="00131A73">
        <w:rPr>
          <w:szCs w:val="24"/>
        </w:rPr>
        <w:t xml:space="preserve"> стран</w:t>
      </w:r>
      <w:r w:rsidR="008365CA" w:rsidRPr="00131A73">
        <w:rPr>
          <w:szCs w:val="24"/>
        </w:rPr>
        <w:t>ах</w:t>
      </w:r>
      <w:r w:rsidRPr="00131A73">
        <w:rPr>
          <w:szCs w:val="24"/>
        </w:rPr>
        <w:t>.</w:t>
      </w:r>
    </w:p>
    <w:p w14:paraId="7244666A" w14:textId="4BE0FA94" w:rsidR="00756126" w:rsidRPr="00131A73" w:rsidRDefault="008365CA" w:rsidP="00756126">
      <w:pPr>
        <w:overflowPunct/>
        <w:autoSpaceDE/>
        <w:adjustRightInd/>
      </w:pPr>
      <w:r w:rsidRPr="00131A73">
        <w:rPr>
          <w:szCs w:val="24"/>
        </w:rPr>
        <w:t xml:space="preserve">МСЭ совместно с ВОЗ разработал онлайновый курс профессиональной подготовки по </w:t>
      </w:r>
      <w:r w:rsidRPr="00131A73">
        <w:rPr>
          <w:color w:val="000000"/>
        </w:rPr>
        <w:t>лидерству в области цифрового здравоохранения, который осуществляется в Академии МСЭ</w:t>
      </w:r>
      <w:r w:rsidR="00756126" w:rsidRPr="00131A73">
        <w:rPr>
          <w:szCs w:val="24"/>
        </w:rPr>
        <w:t xml:space="preserve">. </w:t>
      </w:r>
      <w:r w:rsidR="00743C0D" w:rsidRPr="00131A73">
        <w:rPr>
          <w:szCs w:val="24"/>
        </w:rPr>
        <w:t>Этот курс для самостоятельного изучения предназначается для развития потенциала нового поколения лидеров в области цифрового здравоохранения, способных поддерживать и расширять масштабы деятельности в области цифрового здравоохранения в странах</w:t>
      </w:r>
      <w:r w:rsidR="00756126" w:rsidRPr="00131A73">
        <w:rPr>
          <w:szCs w:val="24"/>
        </w:rPr>
        <w:t xml:space="preserve">. </w:t>
      </w:r>
      <w:r w:rsidR="00743C0D" w:rsidRPr="00131A73">
        <w:rPr>
          <w:szCs w:val="24"/>
        </w:rPr>
        <w:t>Курс состоит из 12 модулей, охватывающих широкий круг тем, о которых должны иметь представление координаторы и лидеры в области цифрового здравоохранения, такие как введение в цифровое здравоохранение, управление, стратегии, направления политики и регуляторные нормы, составление требований, проектирование систем и архитектуры, функциональная совместимость, использование данных, чрезвычайные ситуации в сфере здравоохранения, инновации и т. д</w:t>
      </w:r>
      <w:r w:rsidR="00756126" w:rsidRPr="00131A73">
        <w:rPr>
          <w:szCs w:val="24"/>
        </w:rPr>
        <w:t>.</w:t>
      </w:r>
    </w:p>
    <w:p w14:paraId="1A3C7EE9" w14:textId="77777777" w:rsidR="00536C60" w:rsidRPr="00131A73" w:rsidRDefault="00536C60" w:rsidP="00B24982">
      <w:pPr>
        <w:pStyle w:val="Headingb"/>
      </w:pPr>
      <w:r w:rsidRPr="00131A73">
        <w:lastRenderedPageBreak/>
        <w:t>Устойчивые города и населенные пункты</w:t>
      </w:r>
    </w:p>
    <w:p w14:paraId="1DDD8025" w14:textId="7F124D08" w:rsidR="00536C60" w:rsidRPr="00131A73" w:rsidRDefault="00536C60" w:rsidP="00536C60">
      <w:pPr>
        <w:overflowPunct/>
        <w:autoSpaceDE/>
        <w:adjustRightInd/>
        <w:rPr>
          <w:szCs w:val="24"/>
        </w:rPr>
      </w:pPr>
      <w:r w:rsidRPr="00131A73">
        <w:rPr>
          <w:szCs w:val="24"/>
        </w:rPr>
        <w:t>Региональное отделение МСЭ для Африки организовало в Дар-эс-Саламе (Танзания) семинар-практикум на тему "«Умное» общество стран юга Африки" в целях расширения понимания концепций, требований и возможностей в сфере использования новых технологий, таких как IoT, ИИ</w:t>
      </w:r>
      <w:r w:rsidR="00B24982" w:rsidRPr="00131A73">
        <w:rPr>
          <w:szCs w:val="24"/>
        </w:rPr>
        <w:t> </w:t>
      </w:r>
      <w:r w:rsidRPr="00131A73">
        <w:rPr>
          <w:szCs w:val="24"/>
        </w:rPr>
        <w:t>и большие данные, в странах Сообщества по вопросам развития стран юга Африки (САДК).</w:t>
      </w:r>
    </w:p>
    <w:p w14:paraId="5589DA91" w14:textId="25B1E7CE" w:rsidR="00536C60" w:rsidRPr="00131A73" w:rsidRDefault="00536C60" w:rsidP="00255945">
      <w:pPr>
        <w:pStyle w:val="Headingb"/>
      </w:pPr>
      <w:r w:rsidRPr="00131A73">
        <w:t>Сотрудничество с ФАО</w:t>
      </w:r>
      <w:r w:rsidR="00F56F23" w:rsidRPr="00131A73">
        <w:t xml:space="preserve"> в сфере цифрового сельского хозяйства</w:t>
      </w:r>
    </w:p>
    <w:p w14:paraId="2492BF53" w14:textId="4B22DD16" w:rsidR="00536C60" w:rsidRPr="00131A73" w:rsidRDefault="00536C60" w:rsidP="00536C60">
      <w:pPr>
        <w:overflowPunct/>
        <w:autoSpaceDE/>
        <w:adjustRightInd/>
        <w:rPr>
          <w:szCs w:val="24"/>
        </w:rPr>
      </w:pPr>
      <w:r w:rsidRPr="00131A73">
        <w:rPr>
          <w:szCs w:val="24"/>
        </w:rPr>
        <w:t>Подписав в 2019 году соглашение о сотрудничестве с ФАО, МСЭ расширяет масштабы совместной работы с этой организацией. МСЭ и ФАО совместно оказывают помощь нескольким странам в разработке и реализации стратегий и дорожных карт цифрового сельского хозяйства для создания потенциала и определения приоритетов для цифровых инвестиций в целях решения задач сельскохозяйственного сектора. Также МСЭ в сотрудничестве с ФАО оказывает поддержку сельскому предпринимательству, инвестициям и торговле в Папуа-Новой Гвинее и инициативе "«Умные» деревни" в Нигере. Совместно с ФАО было опубликовано несколько отчетов об использовании цифровых и передовых технологий, таких как блокчейн и большие данные, в сельском хозяйстве. Кроме того, МСЭ было предложено стать членом консультативного комитета Цифрового совета по продовольствию и сельскому хозяйству, который будет помогать правительствам выявлять и максимально использовать потенциал цифровизации, а также обеспечивать, расширять и защищать доступ к цифровым технологиям для фермеров. В данном контексте в 2018 году в Гайане прошел региональный семинар-практикум по вопросам разработки стратегии электронного сельского хозяйства для стран Карибского бассейна, совместно организованный МСЭ и ФАО в сотрудничестве с</w:t>
      </w:r>
      <w:r w:rsidR="0046689B" w:rsidRPr="00131A73">
        <w:rPr>
          <w:szCs w:val="24"/>
        </w:rPr>
        <w:t> </w:t>
      </w:r>
      <w:r w:rsidRPr="00131A73">
        <w:rPr>
          <w:szCs w:val="24"/>
        </w:rPr>
        <w:t>КСЭ.</w:t>
      </w:r>
    </w:p>
    <w:p w14:paraId="2CC2940B" w14:textId="483386C6" w:rsidR="00536C60" w:rsidRPr="00131A73" w:rsidRDefault="00536C60" w:rsidP="00536C60">
      <w:pPr>
        <w:overflowPunct/>
        <w:autoSpaceDE/>
        <w:adjustRightInd/>
        <w:rPr>
          <w:szCs w:val="24"/>
        </w:rPr>
      </w:pPr>
      <w:r w:rsidRPr="00131A73">
        <w:rPr>
          <w:szCs w:val="24"/>
        </w:rPr>
        <w:t xml:space="preserve">В феврале 2018 года в сотрудничестве с Продовольственной и сельскохозяйственной организацией (ФАО) был организован Хакатон МСЭ-ФАО #HackAgainstHunger (Хакатон против голода) для стран Карибского бассейна, направленный на выявление и поощрение использования инновационных решений в области ИКТ в целях преодоления проблем в области продовольствия и сельского хозяйства. В рамках мероприятия было проведено два хакатона местного уровня – </w:t>
      </w:r>
      <w:r w:rsidR="00F56F23" w:rsidRPr="00131A73">
        <w:rPr>
          <w:szCs w:val="24"/>
        </w:rPr>
        <w:t>на</w:t>
      </w:r>
      <w:r w:rsidRPr="00131A73">
        <w:rPr>
          <w:szCs w:val="24"/>
        </w:rPr>
        <w:t xml:space="preserve"> Ямайке и в Тринидаде и Табаго. Победителем регионального конкурса стала Ямайка, которая впоследствии приняла участие в Глобальном хакатоне в рамках специального сегмента Форума ВВУИО 2018 года в</w:t>
      </w:r>
      <w:r w:rsidR="00B24982" w:rsidRPr="00131A73">
        <w:rPr>
          <w:szCs w:val="24"/>
        </w:rPr>
        <w:t> </w:t>
      </w:r>
      <w:r w:rsidRPr="00131A73">
        <w:rPr>
          <w:szCs w:val="24"/>
        </w:rPr>
        <w:t xml:space="preserve">Женеве, одержав в нем победу. </w:t>
      </w:r>
    </w:p>
    <w:p w14:paraId="3FB62903" w14:textId="33223BD9" w:rsidR="00536C60" w:rsidRPr="00131A73" w:rsidRDefault="00536C60" w:rsidP="00536C60">
      <w:pPr>
        <w:overflowPunct/>
        <w:autoSpaceDE/>
        <w:adjustRightInd/>
        <w:rPr>
          <w:szCs w:val="24"/>
        </w:rPr>
      </w:pPr>
      <w:r w:rsidRPr="00131A73">
        <w:rPr>
          <w:szCs w:val="24"/>
        </w:rPr>
        <w:t>МСЭ и ФАО провели исследование для разработки стратегии электронного сельского хозяйства в Чили. В 2020 году МСЭ и ФАО подготовили совместный отчет на тему "Уровень развития цифрового сельского хозяйства в 18 странах Европы и Центральной Азии".</w:t>
      </w:r>
    </w:p>
    <w:p w14:paraId="4A5028B6" w14:textId="4990C41A" w:rsidR="00536C60" w:rsidRPr="00131A73" w:rsidRDefault="00536C60" w:rsidP="00255945">
      <w:pPr>
        <w:pStyle w:val="Headingb"/>
      </w:pPr>
      <w:r w:rsidRPr="00131A73">
        <w:t>Цифровые общественные блага</w:t>
      </w:r>
    </w:p>
    <w:p w14:paraId="0036B90B" w14:textId="7EB20214" w:rsidR="00536C60" w:rsidRPr="00131A73" w:rsidRDefault="00536C60" w:rsidP="00634634">
      <w:pPr>
        <w:spacing w:after="160"/>
      </w:pPr>
      <w:r w:rsidRPr="00131A73">
        <w:t>МСЭ предоставляет рекомендации относительно применения общегосударственных подходов к инвестированию в совместно используемую цифровую инфраструктуру, которые могут способствовать ускоренному распространению цифровых услуг с меньшими затратами и большей окупаемостью инвестиций, и относительно механизмов координации инвестиций, позволяющих обеспечить доступность цифровых общественных благ для содействия цифровой трансформации в интересах достижения ЦУР. Модель общегосударственного подхода описана в "</w:t>
      </w:r>
      <w:hyperlink r:id="rId93" w:history="1">
        <w:r w:rsidRPr="00131A73">
          <w:rPr>
            <w:rStyle w:val="Hyperlink"/>
            <w:iCs/>
          </w:rPr>
          <w:t>Концепции инвестирования в цифровые технологии в интересах достижения ЦУР</w:t>
        </w:r>
      </w:hyperlink>
      <w:r w:rsidRPr="00131A73">
        <w:t>",</w:t>
      </w:r>
      <w:r w:rsidRPr="00131A73">
        <w:rPr>
          <w:color w:val="333333"/>
        </w:rPr>
        <w:t xml:space="preserve"> </w:t>
      </w:r>
      <w:r w:rsidRPr="00131A73">
        <w:t>опубликованной МСЭ и Альянсом за расширение использования цифровых технологий (DIAL).</w:t>
      </w:r>
    </w:p>
    <w:tbl>
      <w:tblPr>
        <w:tblStyle w:val="TableGrid31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FA36AD" w:rsidRPr="00131A73" w14:paraId="5E7C069B" w14:textId="77777777" w:rsidTr="00D276B5">
        <w:tc>
          <w:tcPr>
            <w:tcW w:w="9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6016F" w14:textId="77777777" w:rsidR="00FA36AD" w:rsidRPr="00131A73" w:rsidRDefault="00FA36AD" w:rsidP="00D276B5">
            <w:pPr>
              <w:keepNext/>
              <w:spacing w:line="238" w:lineRule="exact"/>
              <w:rPr>
                <w:b/>
              </w:rPr>
            </w:pPr>
            <w:r w:rsidRPr="00131A73">
              <w:rPr>
                <w:b/>
              </w:rPr>
              <w:lastRenderedPageBreak/>
              <w:t>РЕГИОНАЛЬНЫЕ ИНИЦИАТИВЫ</w:t>
            </w:r>
          </w:p>
          <w:p w14:paraId="0141FC3C" w14:textId="77777777" w:rsidR="00FA36AD" w:rsidRPr="00131A73" w:rsidRDefault="00FA36AD" w:rsidP="00D276B5">
            <w:pPr>
              <w:keepNext/>
              <w:overflowPunct/>
              <w:spacing w:line="238" w:lineRule="exact"/>
              <w:rPr>
                <w:szCs w:val="24"/>
              </w:rPr>
            </w:pPr>
            <w:r w:rsidRPr="00131A73">
              <w:rPr>
                <w:rFonts w:eastAsia="Calibri" w:cs="Calibri"/>
              </w:rPr>
              <w:t>Африканский регион: создание цифровой экономики и содействие инновациям в Африке</w:t>
            </w:r>
          </w:p>
          <w:p w14:paraId="5B763567" w14:textId="7379849B" w:rsidR="00FA36AD" w:rsidRPr="00131A73" w:rsidRDefault="008C5426" w:rsidP="00D276B5">
            <w:pPr>
              <w:pStyle w:val="enumlev1"/>
              <w:keepNext/>
              <w:spacing w:line="238" w:lineRule="exact"/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eastAsia="Calibri"/>
              </w:rPr>
              <w:tab/>
            </w:r>
            <w:r w:rsidR="00FA36AD" w:rsidRPr="00131A73">
              <w:t>Запущен совместный проект МСЭ–ВОЗ "</w:t>
            </w:r>
            <w:r w:rsidR="00FA36AD" w:rsidRPr="00131A73">
              <w:rPr>
                <w:i/>
              </w:rPr>
              <w:t>Использование цифровых услуг здравоохранения для ускорения достижения ЦУР в Африканском регионе</w:t>
            </w:r>
            <w:r w:rsidR="00FA36AD" w:rsidRPr="00131A73">
              <w:t>", направленный на оказание странам поддержки в обеспечении полноценного и устойчивого использования ИКТ при предоставлении медицинских услуг в целях улучшения здоровья населения в целом и каждого человека в отдельности и обеспечения здоровой и благополучной жизни для всех жителей Африканского региона.</w:t>
            </w:r>
          </w:p>
          <w:p w14:paraId="60EBA5AE" w14:textId="1276C59C" w:rsidR="00FA36AD" w:rsidRPr="00131A73" w:rsidRDefault="008C5426" w:rsidP="00D276B5">
            <w:pPr>
              <w:pStyle w:val="enumlev1"/>
              <w:keepNext/>
              <w:spacing w:line="238" w:lineRule="exact"/>
              <w:rPr>
                <w:rFonts w:cstheme="minorHAnsi"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cstheme="minorHAnsi"/>
              </w:rPr>
              <w:tab/>
              <w:t>В ноябре 2019 года был проведен семинар-практикум по вопросам разработки электронных приложений, нацеленный на выявление проблем, возникающих при разработке электронных приложений, и поиск способов устранения препятствий, мешающих перейти от этапа выработки концепции электронного приложения к его продвижению на рынке в Африканском регионе.</w:t>
            </w:r>
          </w:p>
          <w:p w14:paraId="4B3FF3C7" w14:textId="7DBD3E9E" w:rsidR="00FA36AD" w:rsidRPr="00131A73" w:rsidRDefault="008C5426" w:rsidP="00D276B5">
            <w:pPr>
              <w:pStyle w:val="enumlev1"/>
              <w:keepNext/>
              <w:spacing w:line="238" w:lineRule="exact"/>
              <w:rPr>
                <w:rFonts w:cstheme="minorHAnsi"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cstheme="minorHAnsi"/>
              </w:rPr>
              <w:tab/>
              <w:t xml:space="preserve">Были проведены базовые исследования в целях содействия охвату цифровыми финансовыми услугами и переходу к цифровому правительству в Эфиопии. </w:t>
            </w:r>
          </w:p>
          <w:p w14:paraId="6F7804E3" w14:textId="1A8EF78F" w:rsidR="00FA36AD" w:rsidRPr="00131A73" w:rsidRDefault="008C5426" w:rsidP="00D276B5">
            <w:pPr>
              <w:pStyle w:val="enumlev1"/>
              <w:keepNext/>
              <w:spacing w:line="238" w:lineRule="exact"/>
              <w:rPr>
                <w:rFonts w:cstheme="minorHAnsi"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cstheme="minorHAnsi"/>
              </w:rPr>
              <w:tab/>
              <w:t xml:space="preserve">В рамках </w:t>
            </w:r>
            <w:r w:rsidR="00FA36AD" w:rsidRPr="00131A73">
              <w:t xml:space="preserve">Африканской континентальной зоны свободной торговли </w:t>
            </w:r>
            <w:r w:rsidR="00FA36AD" w:rsidRPr="00131A73">
              <w:rPr>
                <w:rFonts w:cstheme="minorHAnsi"/>
              </w:rPr>
              <w:t xml:space="preserve">(АКЗСТ) была проведена оценка исходных условий для развития систем трансграничных цифровых платежей. </w:t>
            </w:r>
          </w:p>
          <w:p w14:paraId="6A60725F" w14:textId="3820A678" w:rsidR="00FA36AD" w:rsidRPr="00131A73" w:rsidRDefault="008C5426" w:rsidP="00D276B5">
            <w:pPr>
              <w:pStyle w:val="enumlev1"/>
              <w:keepNext/>
              <w:spacing w:line="238" w:lineRule="exact"/>
              <w:rPr>
                <w:rFonts w:cstheme="minorHAnsi"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cstheme="minorHAnsi"/>
              </w:rPr>
              <w:tab/>
              <w:t xml:space="preserve">В сотрудничестве с ФАО проводится оценка готовности к внедрению цифровых технологий в сельском хозяйстве в Африке, предполагающая анализ имеющихся условий для развития цифрового сельского хозяйства в этом регионе. </w:t>
            </w:r>
          </w:p>
          <w:p w14:paraId="111094BC" w14:textId="0B6A95AD" w:rsidR="00FA36AD" w:rsidRPr="00131A73" w:rsidRDefault="008C5426" w:rsidP="00D276B5">
            <w:pPr>
              <w:pStyle w:val="enumlev1"/>
              <w:keepNext/>
              <w:spacing w:line="238" w:lineRule="exact"/>
              <w:rPr>
                <w:rFonts w:cstheme="minorHAnsi"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cstheme="minorHAnsi"/>
              </w:rPr>
              <w:tab/>
              <w:t>ЕС (DG INTPA) и Центр "Цифровые технологии в целях развития" (D4D) объединились с инициативой "Африканский Рог" для разработки стратегии цифрового правительства и общей платформы цифровых государственных услуг с заинтересованными странами, опираясь на сотрудничество МСЭ, Эстонии, GIZ (Германия) и "Альянса за расширение использования цифровых технологий" в целях ускорения национальной цифровой трансформации и цифровизации государственных услуг для достижения ЦУР к 2030 году в Африке.</w:t>
            </w:r>
          </w:p>
          <w:p w14:paraId="4426AB31" w14:textId="77777777" w:rsidR="00FA36AD" w:rsidRPr="00131A73" w:rsidRDefault="00FA36AD" w:rsidP="00D276B5">
            <w:pPr>
              <w:keepNext/>
              <w:spacing w:line="238" w:lineRule="exact"/>
              <w:rPr>
                <w:rFonts w:cstheme="minorHAnsi"/>
                <w:u w:val="single"/>
              </w:rPr>
            </w:pPr>
            <w:r w:rsidRPr="00131A73">
              <w:rPr>
                <w:rFonts w:eastAsia="Calibri" w:cs="Calibri"/>
              </w:rPr>
              <w:t>Регион Северной и Южной Америки</w:t>
            </w:r>
            <w:r w:rsidRPr="00131A73">
              <w:t xml:space="preserve">: </w:t>
            </w:r>
            <w:r w:rsidRPr="00131A73">
              <w:rPr>
                <w:rFonts w:cstheme="minorHAnsi"/>
              </w:rPr>
              <w:t>развитие цифровой экономики, "умных" городов и сообществ и интернета вещей, содействие инновациям</w:t>
            </w:r>
          </w:p>
          <w:p w14:paraId="1A8247CD" w14:textId="081541DC" w:rsidR="00FA36AD" w:rsidRPr="00131A73" w:rsidRDefault="008C5426" w:rsidP="00D276B5">
            <w:pPr>
              <w:pStyle w:val="enumlev1"/>
              <w:keepNext/>
              <w:spacing w:line="238" w:lineRule="exact"/>
            </w:pPr>
            <w:r w:rsidRPr="00131A73">
              <w:rPr>
                <w:rFonts w:eastAsia="Calibri"/>
              </w:rPr>
              <w:t>−</w:t>
            </w:r>
            <w:r w:rsidR="00FA36AD" w:rsidRPr="00131A73">
              <w:tab/>
              <w:t>В 2018 году МСЭ в сотрудничестве с ВОЗ подготовил "Национальную стратегию в области электронного здравоохранения Гайаны" с использованием соответствующего комплекта материалов ВОЗ−МСЭ.</w:t>
            </w:r>
          </w:p>
          <w:p w14:paraId="13094483" w14:textId="4A5507A4" w:rsidR="00FA36AD" w:rsidRPr="00131A73" w:rsidRDefault="008C5426" w:rsidP="00D276B5">
            <w:pPr>
              <w:pStyle w:val="enumlev1"/>
              <w:keepNext/>
              <w:spacing w:line="238" w:lineRule="exact"/>
            </w:pPr>
            <w:r w:rsidRPr="00131A73">
              <w:rPr>
                <w:rFonts w:eastAsia="Calibri"/>
              </w:rPr>
              <w:t>−</w:t>
            </w:r>
            <w:r w:rsidR="00FA36AD" w:rsidRPr="00131A73">
              <w:tab/>
              <w:t xml:space="preserve">В Уругвае была организована </w:t>
            </w:r>
            <w:r w:rsidR="00FA36AD" w:rsidRPr="00131A73">
              <w:rPr>
                <w:iCs/>
              </w:rPr>
              <w:t>Неделя инноваций в сфере ИКТ в Северной и Южной Америке</w:t>
            </w:r>
            <w:r w:rsidR="00FA36AD" w:rsidRPr="00131A73">
              <w:t xml:space="preserve">, посвященная </w:t>
            </w:r>
            <w:r w:rsidR="00FA36AD" w:rsidRPr="00131A73">
              <w:rPr>
                <w:i/>
              </w:rPr>
              <w:t>"умным" сельским сообществам</w:t>
            </w:r>
            <w:r w:rsidR="00FA36AD" w:rsidRPr="00131A73">
              <w:t>. Проведены анализ и обсуждение вопросов внедрения и использования новых технологий для создания здорового и ответственного сельскохозяйственного сектора, который позволит создать "умные" сельские сообщества.</w:t>
            </w:r>
          </w:p>
          <w:p w14:paraId="6596228A" w14:textId="62386DE3" w:rsidR="00FA36AD" w:rsidRPr="00131A73" w:rsidRDefault="008C5426" w:rsidP="00D276B5">
            <w:pPr>
              <w:pStyle w:val="enumlev1"/>
              <w:keepNext/>
              <w:spacing w:line="238" w:lineRule="exact"/>
            </w:pPr>
            <w:r w:rsidRPr="00131A73">
              <w:rPr>
                <w:rFonts w:eastAsia="Calibri"/>
              </w:rPr>
              <w:t>−</w:t>
            </w:r>
            <w:r w:rsidR="00FA36AD" w:rsidRPr="00131A73">
              <w:tab/>
              <w:t>В 2019 году было разработано предложение по Национальному плану электронного сельского хозяйства Чили.</w:t>
            </w:r>
          </w:p>
          <w:p w14:paraId="4BB7F6E0" w14:textId="77777777" w:rsidR="00FA36AD" w:rsidRPr="00131A73" w:rsidRDefault="00FA36AD" w:rsidP="00D276B5">
            <w:pPr>
              <w:keepNext/>
              <w:overflowPunct/>
              <w:spacing w:line="238" w:lineRule="exact"/>
              <w:rPr>
                <w:rFonts w:eastAsia="Calibri" w:cs="Calibri"/>
                <w:szCs w:val="24"/>
              </w:rPr>
            </w:pPr>
            <w:r w:rsidRPr="00131A73">
              <w:rPr>
                <w:rFonts w:eastAsia="Calibri" w:cs="Calibri"/>
              </w:rPr>
              <w:t>Азиатско-Тихоокеанский регион: использование ИКТ для поддержки цифровой экономики и открытого для всех цифрового общества</w:t>
            </w:r>
          </w:p>
          <w:p w14:paraId="6B86DB0B" w14:textId="0A8BF4FE" w:rsidR="00FA36AD" w:rsidRPr="00131A73" w:rsidRDefault="008C5426" w:rsidP="00D276B5">
            <w:pPr>
              <w:pStyle w:val="enumlev1"/>
              <w:keepNext/>
              <w:spacing w:line="238" w:lineRule="exact"/>
              <w:rPr>
                <w:rFonts w:eastAsiaTheme="minorEastAsia" w:cstheme="minorHAnsi"/>
                <w:i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eastAsia="Calibri"/>
              </w:rPr>
              <w:tab/>
              <w:t>Электронное сельское хозяйство. МСЭ в партнерстве с ФАО поддержал разработку стратегии электронного сельского хозяйства в Монголии; внедрение мобильных приложений в Папуа</w:t>
            </w:r>
            <w:r w:rsidR="00FA36AD" w:rsidRPr="00131A73">
              <w:rPr>
                <w:rFonts w:eastAsia="Calibri"/>
              </w:rPr>
              <w:noBreakHyphen/>
              <w:t xml:space="preserve">Новой Гвинее; </w:t>
            </w:r>
            <w:r w:rsidR="00FA36AD" w:rsidRPr="00131A73">
              <w:t>проведение</w:t>
            </w:r>
            <w:r w:rsidR="00FA36AD" w:rsidRPr="00131A73">
              <w:rPr>
                <w:rFonts w:eastAsia="Calibri"/>
              </w:rPr>
              <w:t xml:space="preserve"> двух исследований конкретных ситуаций по блокчейну и большим данным; а также мероприятия по созданию кадрового потенциала в Папуа-Новой Гвинее и Монголии. Также завершен возглавляемый ФАО совместный с ООН проект по поддержке сельского хозяйства в районах Папуа-Новой Гвинеи.</w:t>
            </w:r>
          </w:p>
          <w:p w14:paraId="2F8E35E0" w14:textId="2E75ECB2" w:rsidR="00FA36AD" w:rsidRPr="00131A73" w:rsidRDefault="008C5426" w:rsidP="00D276B5">
            <w:pPr>
              <w:pStyle w:val="enumlev1"/>
              <w:keepNext/>
              <w:spacing w:line="238" w:lineRule="exact"/>
              <w:rPr>
                <w:rFonts w:eastAsia="Calibri"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eastAsia="Calibri"/>
              </w:rPr>
              <w:tab/>
              <w:t xml:space="preserve">Электронное правительство. Папуа-Новой Гвинее и Вануату оказана помощь в укреплении их систем </w:t>
            </w:r>
            <w:r w:rsidR="00FA36AD" w:rsidRPr="00131A73">
              <w:t>цифрового</w:t>
            </w:r>
            <w:r w:rsidR="00FA36AD" w:rsidRPr="00131A73">
              <w:rPr>
                <w:rFonts w:eastAsia="Calibri"/>
              </w:rPr>
              <w:t xml:space="preserve"> правительства.</w:t>
            </w:r>
          </w:p>
          <w:p w14:paraId="7DB59608" w14:textId="73DBE469" w:rsidR="00FA36AD" w:rsidRPr="00131A73" w:rsidRDefault="008C5426" w:rsidP="00D276B5">
            <w:pPr>
              <w:pStyle w:val="enumlev1"/>
              <w:keepNext/>
              <w:spacing w:line="238" w:lineRule="exact"/>
              <w:rPr>
                <w:rFonts w:eastAsia="Calibri"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eastAsia="Calibri"/>
              </w:rPr>
              <w:tab/>
              <w:t xml:space="preserve">Благодаря проведенным учебным занятиям и семинарам-практикумам была повышена </w:t>
            </w:r>
            <w:r w:rsidR="00FA36AD" w:rsidRPr="00131A73">
              <w:t>осведомленность</w:t>
            </w:r>
            <w:r w:rsidR="00FA36AD" w:rsidRPr="00131A73">
              <w:rPr>
                <w:rFonts w:eastAsia="Calibri"/>
              </w:rPr>
              <w:t xml:space="preserve"> о применении ИКТ в таких областях, как "умные" города, цифровое правительство и IoT.</w:t>
            </w:r>
          </w:p>
          <w:p w14:paraId="3A49B1EF" w14:textId="24A2EA1D" w:rsidR="00FA36AD" w:rsidRPr="00131A73" w:rsidRDefault="008C5426" w:rsidP="00D276B5">
            <w:pPr>
              <w:pStyle w:val="enumlev1"/>
              <w:keepNext/>
              <w:spacing w:line="238" w:lineRule="exact"/>
              <w:rPr>
                <w:rFonts w:eastAsia="Calibri"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eastAsia="Calibri"/>
              </w:rPr>
              <w:tab/>
              <w:t>МСЭ в партнерстве с ФАО продолжил повышать осведомленность об использовании цифровых технологий в сельском хозяйстве с помощью серии исследований конкретных ситуаций под названием "Электронное сельское хозяйство в действии" (</w:t>
            </w:r>
            <w:hyperlink r:id="rId94" w:history="1">
              <w:r w:rsidR="00FA36AD" w:rsidRPr="00131A73">
                <w:rPr>
                  <w:rStyle w:val="Hyperlink"/>
                  <w:rFonts w:cs="Calibri"/>
                </w:rPr>
                <w:t xml:space="preserve">Большие данные для сельского </w:t>
              </w:r>
              <w:r w:rsidR="00FA36AD" w:rsidRPr="00131A73">
                <w:rPr>
                  <w:rStyle w:val="Hyperlink"/>
                  <w:rFonts w:cs="Calibri"/>
                </w:rPr>
                <w:lastRenderedPageBreak/>
                <w:t>хозяйства</w:t>
              </w:r>
            </w:hyperlink>
            <w:r w:rsidR="00FA36AD" w:rsidRPr="00131A73">
              <w:t>). В первом квартале 2021 года планируется публикация очередного издания "</w:t>
            </w:r>
            <w:r w:rsidR="00FA36AD" w:rsidRPr="00131A73">
              <w:rPr>
                <w:i/>
              </w:rPr>
              <w:t>Искусственный интеллект для сельского хозяйства</w:t>
            </w:r>
            <w:r w:rsidR="00FA36AD" w:rsidRPr="00131A73">
              <w:t xml:space="preserve">". </w:t>
            </w:r>
          </w:p>
          <w:p w14:paraId="383BEF92" w14:textId="1BF6D521" w:rsidR="00FA36AD" w:rsidRPr="00131A73" w:rsidRDefault="008C5426" w:rsidP="00D276B5">
            <w:pPr>
              <w:pStyle w:val="enumlev1"/>
              <w:keepNext/>
              <w:spacing w:line="238" w:lineRule="exact"/>
              <w:rPr>
                <w:rFonts w:eastAsia="Calibri"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eastAsia="Calibri"/>
              </w:rPr>
              <w:tab/>
              <w:t xml:space="preserve">В </w:t>
            </w:r>
            <w:r w:rsidR="00FA36AD" w:rsidRPr="00131A73">
              <w:t>2020 году на Форуме по</w:t>
            </w:r>
            <w:r w:rsidR="00FA36AD" w:rsidRPr="00131A73">
              <w:rPr>
                <w:rFonts w:eastAsia="Calibri"/>
              </w:rPr>
              <w:t xml:space="preserve"> решениям в области цифрового сельского хозяйства, который проводится раз в два года, состоялся обмен опытом в области применения инновационных технологий для решения сельскохозяйственных задач.</w:t>
            </w:r>
          </w:p>
          <w:p w14:paraId="6E629465" w14:textId="77777777" w:rsidR="00FA36AD" w:rsidRPr="00131A73" w:rsidRDefault="00FA36AD" w:rsidP="00D276B5">
            <w:pPr>
              <w:keepNext/>
              <w:overflowPunct/>
              <w:spacing w:line="238" w:lineRule="exact"/>
              <w:rPr>
                <w:rFonts w:eastAsia="Calibri" w:cs="Calibri"/>
                <w:szCs w:val="24"/>
              </w:rPr>
            </w:pPr>
            <w:r w:rsidRPr="00131A73">
              <w:rPr>
                <w:rFonts w:eastAsia="Calibri" w:cs="Calibri"/>
              </w:rPr>
              <w:t>Европейский регион: ориентированный на граждан подход к созданию услуг для национальных администраций</w:t>
            </w:r>
          </w:p>
          <w:p w14:paraId="56E3D728" w14:textId="29A42EEE" w:rsidR="00FA36AD" w:rsidRPr="00131A73" w:rsidRDefault="008C5426" w:rsidP="00D276B5">
            <w:pPr>
              <w:pStyle w:val="enumlev1"/>
              <w:keepNext/>
              <w:spacing w:line="238" w:lineRule="exact"/>
              <w:rPr>
                <w:rFonts w:eastAsia="Calibri"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eastAsia="Calibri"/>
              </w:rPr>
              <w:tab/>
              <w:t xml:space="preserve">В Женеве был проведен семинар-практикум по улучшению качества жизни людей за счет </w:t>
            </w:r>
            <w:r w:rsidR="00FA36AD" w:rsidRPr="00131A73">
              <w:t>использования</w:t>
            </w:r>
            <w:r w:rsidR="00FA36AD" w:rsidRPr="00131A73">
              <w:rPr>
                <w:rFonts w:eastAsia="Calibri"/>
              </w:rPr>
              <w:t xml:space="preserve"> электронных услуг, на котором обсуждались </w:t>
            </w:r>
            <w:r w:rsidR="00D6169C">
              <w:rPr>
                <w:rFonts w:eastAsia="Calibri"/>
              </w:rPr>
              <w:t>появляющиеся</w:t>
            </w:r>
            <w:r w:rsidR="00FA36AD" w:rsidRPr="00131A73">
              <w:rPr>
                <w:rFonts w:eastAsia="Calibri"/>
              </w:rPr>
              <w:t xml:space="preserve"> технологии и услуги, в том числе вопросы доступности ИИ и ИКТ.</w:t>
            </w:r>
          </w:p>
          <w:p w14:paraId="7DC20C18" w14:textId="2E472F8F" w:rsidR="00FA36AD" w:rsidRPr="00131A73" w:rsidRDefault="008C5426" w:rsidP="00D276B5">
            <w:pPr>
              <w:pStyle w:val="enumlev1"/>
              <w:keepNext/>
              <w:spacing w:line="238" w:lineRule="exact"/>
              <w:rPr>
                <w:rFonts w:eastAsia="Calibri"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eastAsia="Calibri"/>
              </w:rPr>
              <w:tab/>
              <w:t>Организованная на Всемирном мероприятии ITU Telecom 2019 в Будапеште (Венгрия) специальная сессия, посвященная стратегиям цифрового сельского хозяйства, укрепила сотрудничество между МСЭ и ФАО.</w:t>
            </w:r>
          </w:p>
          <w:p w14:paraId="1856EA82" w14:textId="7E41E846" w:rsidR="00FA36AD" w:rsidRPr="00131A73" w:rsidRDefault="008C5426" w:rsidP="00D276B5">
            <w:pPr>
              <w:pStyle w:val="enumlev1"/>
              <w:keepNext/>
              <w:spacing w:line="238" w:lineRule="exact"/>
              <w:rPr>
                <w:rFonts w:eastAsia="Calibri"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eastAsia="Calibri"/>
              </w:rPr>
              <w:tab/>
              <w:t>Были подготовлены</w:t>
            </w:r>
            <w:r w:rsidR="00FA36AD" w:rsidRPr="00131A73">
              <w:t xml:space="preserve"> региональные</w:t>
            </w:r>
            <w:r w:rsidR="00FA36AD" w:rsidRPr="00131A73">
              <w:rPr>
                <w:rFonts w:eastAsia="Calibri"/>
              </w:rPr>
              <w:t xml:space="preserve"> исследования по национальным стратегиям цифрового сельского хозяйства для рассмотрения соответствующими Государствами-Членами.</w:t>
            </w:r>
          </w:p>
          <w:p w14:paraId="596F4562" w14:textId="52341EBC" w:rsidR="00FA36AD" w:rsidRPr="00131A73" w:rsidRDefault="008C5426" w:rsidP="00D276B5">
            <w:pPr>
              <w:pStyle w:val="enumlev1"/>
              <w:keepNext/>
              <w:spacing w:line="238" w:lineRule="exact"/>
              <w:rPr>
                <w:rFonts w:eastAsia="Calibri"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eastAsia="Calibri"/>
              </w:rPr>
              <w:tab/>
              <w:t>В Праге (Чешская Республика) было проведено мероприятие по обмену знаниями о развитии экосистем стартапов в сфере электронных услуг.</w:t>
            </w:r>
          </w:p>
          <w:p w14:paraId="1CC5975F" w14:textId="77C662AF" w:rsidR="00FA36AD" w:rsidRPr="00131A73" w:rsidRDefault="008C5426" w:rsidP="00D276B5">
            <w:pPr>
              <w:pStyle w:val="enumlev1"/>
              <w:keepNext/>
              <w:spacing w:line="238" w:lineRule="exact"/>
              <w:rPr>
                <w:rFonts w:eastAsia="Calibri"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eastAsia="Calibri"/>
              </w:rPr>
              <w:tab/>
              <w:t>В региональном отчете о состоянии цифрового сельского хозяйства в 18 странах Европы и Центральной Азии анализируется достигнутый прогресс и определены страны, нуждающиеся в технической поддержке.</w:t>
            </w:r>
          </w:p>
          <w:p w14:paraId="634CD806" w14:textId="6998AF7D" w:rsidR="00FA36AD" w:rsidRPr="00131A73" w:rsidRDefault="008C5426" w:rsidP="00D276B5">
            <w:pPr>
              <w:pStyle w:val="enumlev1"/>
              <w:keepNext/>
              <w:spacing w:line="238" w:lineRule="exact"/>
              <w:rPr>
                <w:rFonts w:eastAsia="Calibri"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eastAsia="Calibri"/>
              </w:rPr>
              <w:tab/>
              <w:t>МСЭ осуществлял поддержку ФАО по оказанию помощи Албании, Турции и Боснии и Герцеговине в разработке национальной стратегии цифрового сельского хозяйства.</w:t>
            </w:r>
          </w:p>
          <w:p w14:paraId="16084715" w14:textId="5D0EDF63" w:rsidR="00FA36AD" w:rsidRPr="00131A73" w:rsidRDefault="008C5426" w:rsidP="00D276B5">
            <w:pPr>
              <w:pStyle w:val="enumlev1"/>
              <w:keepNext/>
              <w:spacing w:line="238" w:lineRule="exact"/>
              <w:rPr>
                <w:rFonts w:eastAsia="Calibri"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eastAsia="Calibri"/>
              </w:rPr>
              <w:tab/>
              <w:t>В 2021 году МСЭ и ФАО разработали руководство по цифровому сельскому хозяйству для стран, готовящихся к вступлению в ЕС.</w:t>
            </w:r>
          </w:p>
          <w:p w14:paraId="569BAF7E" w14:textId="01610284" w:rsidR="00FA36AD" w:rsidRPr="00131A73" w:rsidRDefault="008C5426" w:rsidP="00D276B5">
            <w:pPr>
              <w:pStyle w:val="enumlev1"/>
              <w:keepNext/>
              <w:spacing w:line="238" w:lineRule="exact"/>
              <w:rPr>
                <w:rFonts w:eastAsia="Calibri"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eastAsia="Calibri"/>
              </w:rPr>
              <w:tab/>
              <w:t>МСЭ и ФАО организовали конкурс "Выдающиеся достижения в области цифрового сельского хозяйства" для укрепления культуры цифровых инноваций в сельском хозяйстве; было выявлено более 500 заинтересованных организаций, а в конкурсе приняли участие 200 организаций.</w:t>
            </w:r>
          </w:p>
          <w:p w14:paraId="2DA85DD3" w14:textId="76CB516B" w:rsidR="00FA36AD" w:rsidRPr="00131A73" w:rsidRDefault="008C5426" w:rsidP="00D276B5">
            <w:pPr>
              <w:pStyle w:val="enumlev1"/>
              <w:keepNext/>
              <w:spacing w:line="238" w:lineRule="exact"/>
              <w:rPr>
                <w:rFonts w:eastAsia="Calibri"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eastAsia="Calibri"/>
              </w:rPr>
              <w:tab/>
              <w:t>Проект МСЭ/ВОЗ/ЕС "Инновации и знания в области мобильного здравоохранения" послужил ключевой платформой для сбора и распространения национального опыта в области мобильного здравоохранения, а также для поддержки стран и регионов в создании крупномасштабных программ мобильного здравоохранения.</w:t>
            </w:r>
          </w:p>
          <w:p w14:paraId="2F243475" w14:textId="14711577" w:rsidR="00FA36AD" w:rsidRPr="00131A73" w:rsidRDefault="008C5426" w:rsidP="00D276B5">
            <w:pPr>
              <w:pStyle w:val="enumlev1"/>
              <w:keepNext/>
              <w:spacing w:line="238" w:lineRule="exact"/>
              <w:rPr>
                <w:rFonts w:eastAsia="Calibri"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eastAsia="Calibri"/>
              </w:rPr>
              <w:tab/>
              <w:t>С 2020 года GOVSTACK – инициатива МСЭ, Эстонии, Германии и DIAL – является основным средством помощи странам в ускорении национальной цифровой трансформации и цифровизации государственных услуг для достижения целей в области устойчивого развития к 2030 году.</w:t>
            </w:r>
          </w:p>
          <w:p w14:paraId="1AFD26F3" w14:textId="77777777" w:rsidR="00FA36AD" w:rsidRPr="00131A73" w:rsidRDefault="00FA36AD" w:rsidP="00D276B5">
            <w:pPr>
              <w:keepNext/>
              <w:spacing w:line="238" w:lineRule="exact"/>
              <w:rPr>
                <w:rFonts w:eastAsiaTheme="minorEastAsia"/>
              </w:rPr>
            </w:pPr>
            <w:r w:rsidRPr="00131A73">
              <w:t>Регион СНГ: развитие электронного здравоохранения для обеспечения здорового образа жизни и содействия благополучию для всех в любом возрасте</w:t>
            </w:r>
          </w:p>
          <w:p w14:paraId="7CCC05D3" w14:textId="33B97F68" w:rsidR="00FA36AD" w:rsidRPr="00131A73" w:rsidRDefault="008C5426" w:rsidP="00D276B5">
            <w:pPr>
              <w:pStyle w:val="enumlev1"/>
              <w:keepNext/>
              <w:spacing w:line="238" w:lineRule="exact"/>
              <w:rPr>
                <w:rFonts w:eastAsia="Calibri"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eastAsia="Calibri"/>
              </w:rPr>
              <w:tab/>
              <w:t xml:space="preserve">МСЭ разработал специализированный мультимедийный учебный курс по электронному здравоохранению на русском языке, предназначенный для врачей и специалистов в области ИКТ, работающих с медицинским оборудованием; кроме того, МСЭ провел серию учебных занятий в Беларуси, Казахстане, Кыргызстане, Украине и Узбекистане. </w:t>
            </w:r>
          </w:p>
          <w:p w14:paraId="3A086FC8" w14:textId="7C973839" w:rsidR="00FA36AD" w:rsidRPr="00131A73" w:rsidRDefault="008C5426" w:rsidP="00D276B5">
            <w:pPr>
              <w:pStyle w:val="enumlev1"/>
              <w:keepNext/>
              <w:spacing w:line="238" w:lineRule="exact"/>
              <w:rPr>
                <w:rFonts w:eastAsia="Calibri"/>
                <w:b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eastAsia="Calibri"/>
              </w:rPr>
              <w:tab/>
              <w:t>МСЭ разработал технические рекомендации по применению современных технических решений при проектировании систем электронного здравоохранения, включая телемедицинские сети.</w:t>
            </w:r>
          </w:p>
          <w:p w14:paraId="70B51682" w14:textId="6546C2BB" w:rsidR="00FA36AD" w:rsidRPr="00131A73" w:rsidRDefault="008C5426" w:rsidP="00D276B5">
            <w:pPr>
              <w:pStyle w:val="enumlev1"/>
              <w:keepNext/>
              <w:spacing w:line="238" w:lineRule="exact"/>
              <w:rPr>
                <w:rFonts w:eastAsia="Calibri"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eastAsia="Calibri"/>
              </w:rPr>
              <w:tab/>
              <w:t>В ноябре 2020 года в семинаре МСЭ для стартапов в Центральной Евразии (</w:t>
            </w:r>
            <w:r w:rsidR="00FA36AD" w:rsidRPr="00131A73">
              <w:t>Startup Central Eurasia Platform) приняли участие более 350 представителей стартапов, технопарков, венчурных фондов и государственных учреждений из 16 стран, включая как страны региона СНГ, так и соседние государства. Эта инициатива имеет целью способствовать развитию стартапов и МСП, деятельность которых связана с цифровым здравоохранением, цифровым сельским хозяйством и "умными" городами.</w:t>
            </w:r>
          </w:p>
          <w:p w14:paraId="6E2D64AC" w14:textId="0EBCBADE" w:rsidR="00FA36AD" w:rsidRPr="00131A73" w:rsidRDefault="008C5426" w:rsidP="00D276B5">
            <w:pPr>
              <w:pStyle w:val="enumlev1"/>
              <w:keepNext/>
              <w:spacing w:after="120" w:line="238" w:lineRule="exact"/>
              <w:rPr>
                <w:rFonts w:eastAsia="Calibri"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eastAsia="Calibri"/>
              </w:rPr>
              <w:tab/>
              <w:t>Одним из приоритетных направлений деятельности для Государств – Членов МСЭ в регионе СНГ стали "умные" устойчивые города, о чем свидетельствуют, в частности, проведение ежегодного флагманского мероприятия в Беларуси (организуемого совместно МСЭ-D и МСЭ</w:t>
            </w:r>
            <w:r w:rsidR="00FA36AD" w:rsidRPr="00131A73">
              <w:rPr>
                <w:rFonts w:eastAsia="Calibri"/>
              </w:rPr>
              <w:noBreakHyphen/>
              <w:t>T), а также проведение ряда исследований правительством Москвы и МСЭ.</w:t>
            </w:r>
          </w:p>
        </w:tc>
      </w:tr>
    </w:tbl>
    <w:p w14:paraId="57164658" w14:textId="77777777" w:rsidR="00FA36AD" w:rsidRPr="00131A73" w:rsidRDefault="00FA36AD" w:rsidP="00A53525">
      <w:pPr>
        <w:spacing w:before="0"/>
        <w:rPr>
          <w:szCs w:val="24"/>
        </w:rPr>
      </w:pPr>
    </w:p>
    <w:tbl>
      <w:tblPr>
        <w:tblStyle w:val="TableGrid31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FA36AD" w:rsidRPr="00131A73" w14:paraId="090CB664" w14:textId="77777777" w:rsidTr="008D3B8A"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763D" w14:textId="77777777" w:rsidR="00FA36AD" w:rsidRPr="00131A73" w:rsidRDefault="00FA36AD" w:rsidP="00FA36AD">
            <w:pPr>
              <w:shd w:val="clear" w:color="auto" w:fill="FFFFFF" w:themeFill="background1"/>
              <w:overflowPunct/>
              <w:autoSpaceDE/>
              <w:adjustRightInd/>
              <w:rPr>
                <w:rFonts w:cstheme="minorBidi"/>
                <w:b/>
                <w:szCs w:val="24"/>
              </w:rPr>
            </w:pPr>
            <w:r w:rsidRPr="00131A73">
              <w:rPr>
                <w:rFonts w:cstheme="minorBidi"/>
                <w:b/>
                <w:szCs w:val="24"/>
              </w:rPr>
              <w:t>ИССЛЕДОВАТЕЛЬСКИЕ КОМИССИИ</w:t>
            </w:r>
          </w:p>
          <w:p w14:paraId="5CE5B496" w14:textId="77777777" w:rsidR="00FA36AD" w:rsidRPr="00131A73" w:rsidRDefault="00FA36AD" w:rsidP="00FA36AD">
            <w:pPr>
              <w:rPr>
                <w:rFonts w:eastAsia="Calibri" w:cs="Calibri"/>
                <w:iCs/>
                <w:szCs w:val="24"/>
              </w:rPr>
            </w:pPr>
            <w:r w:rsidRPr="00131A73">
              <w:rPr>
                <w:rFonts w:cs="Calibri"/>
              </w:rPr>
              <w:t xml:space="preserve">В 2019 году был издан </w:t>
            </w:r>
            <w:hyperlink r:id="rId95" w:history="1">
              <w:r w:rsidRPr="00131A73">
                <w:rPr>
                  <w:rStyle w:val="Hyperlink"/>
                  <w:rFonts w:cs="Calibri"/>
                </w:rPr>
                <w:t xml:space="preserve">ежегодный итоговый документ о применении комплексного подхода к формированию "умных" сообществ </w:t>
              </w:r>
            </w:hyperlink>
            <w:r w:rsidRPr="00131A73">
              <w:rPr>
                <w:rFonts w:cs="Calibri"/>
              </w:rPr>
              <w:t>(</w:t>
            </w:r>
            <w:hyperlink r:id="rId96" w:history="1">
              <w:r w:rsidRPr="00131A73">
                <w:rPr>
                  <w:rStyle w:val="Hyperlink"/>
                  <w:rFonts w:cs="Calibri"/>
                </w:rPr>
                <w:t>Вопрос 1/2</w:t>
              </w:r>
            </w:hyperlink>
            <w:r w:rsidRPr="00131A73">
              <w:rPr>
                <w:rFonts w:cs="Calibri"/>
              </w:rPr>
              <w:t xml:space="preserve"> "</w:t>
            </w:r>
            <w:r w:rsidRPr="00131A73">
              <w:rPr>
                <w:rFonts w:cs="Calibri"/>
                <w:i/>
                <w:iCs/>
              </w:rPr>
              <w:t>Формирование "умных" городов и "умного" общества: использование информационно-коммуникационных технологий в целях устойчивого социально-экономического развития"</w:t>
            </w:r>
            <w:r w:rsidRPr="00131A73">
              <w:rPr>
                <w:rFonts w:cs="Calibri"/>
              </w:rPr>
              <w:t xml:space="preserve">). Кроме того, на основе соответствующих базовых </w:t>
            </w:r>
            <w:r w:rsidRPr="00131A73">
              <w:rPr>
                <w:rFonts w:eastAsia="Calibri" w:cs="Calibri"/>
                <w:iCs/>
                <w:szCs w:val="24"/>
              </w:rPr>
              <w:t>концепций проектирования был представлен пример архитектуры "умного" города, а также приведена сводная информация об исследованиях конкретных ситуаций, связанных с "умными" городами в отдельных странах. К выпуску был одобрен еще один ежегодный итоговый документ под названием "Вертикальные приложения в "умных" городах". В нем описаны вертикальные приложения и услуги, которые базируются на общем горизонтальном уровне, что позволяет обеспечить целостность и эффективное взаимодействие между различными секторами "умных" городов.</w:t>
            </w:r>
          </w:p>
          <w:p w14:paraId="734DC1B2" w14:textId="77777777" w:rsidR="00FA36AD" w:rsidRPr="00131A73" w:rsidRDefault="00FA36AD" w:rsidP="00FA36AD">
            <w:pPr>
              <w:spacing w:after="120"/>
              <w:rPr>
                <w:rFonts w:eastAsiaTheme="minorEastAsia"/>
              </w:rPr>
            </w:pPr>
            <w:r w:rsidRPr="00131A73">
              <w:t xml:space="preserve">Организован ряд мероприятий совместно со 2-й Исследовательской комиссией МСЭ-D (Вопрос 2/2 </w:t>
            </w:r>
            <w:r w:rsidRPr="00131A73">
              <w:rPr>
                <w:i/>
              </w:rPr>
              <w:t>"Электросвязь/ИКТ для электронного здравоохранения"</w:t>
            </w:r>
            <w:r w:rsidRPr="00131A73">
              <w:t xml:space="preserve">). В октябре 2019 года был проведен </w:t>
            </w:r>
            <w:hyperlink r:id="rId97" w:history="1">
              <w:r w:rsidRPr="00131A73">
                <w:rPr>
                  <w:rStyle w:val="Hyperlink"/>
                  <w:rFonts w:cstheme="minorBidi"/>
                </w:rPr>
                <w:t>семинар-практикум по новым технологиям связи для электронного здравоохранения и социально-экономическим вопросам</w:t>
              </w:r>
            </w:hyperlink>
            <w:r w:rsidRPr="00131A73">
              <w:t>, на котором рассматривались примеры новых технологий электронного здравоохранения и обсуждались трудности на пути их широкого внедрения, а также способы преодоления этих трудностей. В июле 2020 года был проведен</w:t>
            </w:r>
            <w:hyperlink r:id="rId98" w:history="1">
              <w:r w:rsidRPr="00131A73">
                <w:rPr>
                  <w:rStyle w:val="Hyperlink"/>
                  <w:rFonts w:cstheme="minorBidi"/>
                  <w:u w:val="none"/>
                </w:rPr>
                <w:t xml:space="preserve"> </w:t>
              </w:r>
              <w:r w:rsidRPr="00131A73">
                <w:rPr>
                  <w:rStyle w:val="Hyperlink"/>
                  <w:rFonts w:cstheme="minorBidi"/>
                </w:rPr>
                <w:t>вебинар, посвященный новым решениям в сфере электронного здравоохранения для противодействия пандемиям при помощи ИКТ</w:t>
              </w:r>
            </w:hyperlink>
            <w:r w:rsidRPr="00131A73">
              <w:t>, в ходе которого были рассмотрены примеры использования новых решений в области цифрового здравоохранения, а также факторы и рекомендации, которые необходимо учитывать для их эффективного и более широкого внедрения, особенно во время пандемий. Представленная в рамках этих мероприятий информация и сделанные выводы будут использованы при составлении заключительного отчета по Вопросу 2/2.</w:t>
            </w:r>
          </w:p>
        </w:tc>
      </w:tr>
    </w:tbl>
    <w:p w14:paraId="47BDBD05" w14:textId="77777777" w:rsidR="00FA36AD" w:rsidRPr="00131A73" w:rsidRDefault="00FA36AD" w:rsidP="00FA36AD">
      <w:pPr>
        <w:pStyle w:val="Heading1"/>
      </w:pPr>
      <w:r w:rsidRPr="00131A73">
        <w:t>6</w:t>
      </w:r>
      <w:r w:rsidRPr="00131A73">
        <w:tab/>
        <w:t>Электросвязь в чрезвычайных ситуациях: устойчивая в условиях бедствий инфраструктура ИКТ для уменьшения количества человеческих жертв и масштабов ущерба</w:t>
      </w:r>
    </w:p>
    <w:p w14:paraId="5509467A" w14:textId="77777777" w:rsidR="00FA36AD" w:rsidRPr="00131A73" w:rsidRDefault="00FA36AD" w:rsidP="00FA36AD">
      <w:pPr>
        <w:pStyle w:val="Headingb"/>
        <w:rPr>
          <w:szCs w:val="20"/>
        </w:rPr>
      </w:pPr>
      <w:r w:rsidRPr="00131A73">
        <w:t>Руководящие указания, публикации и отчеты МСЭ</w:t>
      </w:r>
    </w:p>
    <w:p w14:paraId="5FE1921B" w14:textId="77777777" w:rsidR="00FA36AD" w:rsidRPr="00131A73" w:rsidRDefault="00FA36AD" w:rsidP="00FA36AD">
      <w:r w:rsidRPr="00131A73">
        <w:t xml:space="preserve">На онлайновом форуме в марте 2020 года были представлены </w:t>
      </w:r>
      <w:hyperlink r:id="rId99" w:history="1">
        <w:r w:rsidRPr="00131A73">
          <w:rPr>
            <w:rStyle w:val="Hyperlink"/>
            <w:rFonts w:cs="Calibri"/>
            <w:b/>
            <w:i/>
            <w:iCs/>
          </w:rPr>
          <w:t>Глобальные руководящие указания по составлению национальных планов электросвязи в чрезвычайных ситуациях</w:t>
        </w:r>
      </w:hyperlink>
      <w:r w:rsidRPr="00131A73">
        <w:rPr>
          <w:b/>
          <w:i/>
        </w:rPr>
        <w:t>.</w:t>
      </w:r>
      <w:r w:rsidRPr="00131A73">
        <w:rPr>
          <w:i/>
        </w:rPr>
        <w:t xml:space="preserve"> </w:t>
      </w:r>
      <w:r w:rsidRPr="00131A73">
        <w:t>Эти руководящие указания призваны служить подспорьем для директивных органов и национальных регуляторных органов в разработке четких, гибких и удобных для использования национальных планов по электросвязи в чрезвычайных ситуациях на основе подхода, предполагающего участие различных заинтересованных сторон. Сюда относятся соответствующая национальная политика и процедуры, а также структура управления, которые позволяют поддерживать и обеспечивать непрерывное использование надежных и устойчивых сетей, услуг и платформ ИКТ для управления операциями при бедствиях.</w:t>
      </w:r>
    </w:p>
    <w:p w14:paraId="6BAF0334" w14:textId="77777777" w:rsidR="00FA36AD" w:rsidRPr="00131A73" w:rsidRDefault="00FA36AD" w:rsidP="00FA36AD">
      <w:r w:rsidRPr="00131A73">
        <w:t xml:space="preserve">В марте 2020 года было представлено </w:t>
      </w:r>
      <w:hyperlink r:id="rId100" w:history="1">
        <w:r w:rsidRPr="00131A73">
          <w:rPr>
            <w:rStyle w:val="Hyperlink"/>
            <w:rFonts w:cs="Calibri"/>
            <w:b/>
            <w:bCs/>
            <w:i/>
          </w:rPr>
          <w:t>Руководство по настольному моделированию электросвязи в чрезвычайных ситуациях</w:t>
        </w:r>
      </w:hyperlink>
      <w:r w:rsidRPr="00131A73">
        <w:t>, разработанное совместно с Тематическим блоком по вопросам электросвязи в чрезвычайных ситуациях Всемирной продовольственной программы в целях оказания поддержки Государствам-Членам и национальным заинтересованным сторонам, деятельность которых связана с управлением операциями при бедствиях, в планировании, проектировании и проведении настольного моделирования, при помощи которого можно отрабатывать и совершенствовать планы, политику и процедуры в области электросвязи в чрезвычайных ситуациях, а также проверять готовность сетей, резервных мощностей связи, персонала и других систем электросвязи к реагированию на чрезвычайные ситуации.</w:t>
      </w:r>
    </w:p>
    <w:p w14:paraId="341AC339" w14:textId="77777777" w:rsidR="00FA36AD" w:rsidRPr="00131A73" w:rsidRDefault="00FA36AD" w:rsidP="00124BB2">
      <w:pPr>
        <w:rPr>
          <w:b/>
        </w:rPr>
      </w:pPr>
      <w:r w:rsidRPr="00131A73">
        <w:t xml:space="preserve">В связи с вызванным COVID-19 глобальным кризисом было опубликовано </w:t>
      </w:r>
      <w:hyperlink r:id="rId101" w:history="1">
        <w:r w:rsidRPr="00131A73">
          <w:rPr>
            <w:rStyle w:val="Hyperlink"/>
            <w:rFonts w:cs="Calibri"/>
            <w:b/>
            <w:bCs/>
            <w:i/>
          </w:rPr>
          <w:t>Руководство по разработке плана экстренных мероприятий в области электросвязи/ИКТ для реагирования на пандемию</w:t>
        </w:r>
      </w:hyperlink>
      <w:r w:rsidRPr="00131A73">
        <w:rPr>
          <w:i/>
        </w:rPr>
        <w:t>.</w:t>
      </w:r>
      <w:r w:rsidRPr="00131A73">
        <w:t xml:space="preserve"> Это руководство посвящено вопросам предоставления услуг электросвязи/ИКТ и обеспечения непрерывности хозяйственной деятельности в особых условиях пандемий, таких как </w:t>
      </w:r>
      <w:r w:rsidRPr="00131A73">
        <w:lastRenderedPageBreak/>
        <w:t>COVID-19. Оно предлагает странам комплекс мер для подготовки к подобным чрезвычайным ситуациям, их прогнозирования и обеспечения возможности оперативного реагирования в случае их возникновения за счет поддержания непрерывности функционирования сети и предоставления услуг. Соответствующая инфраструктура электросвязи/ИКТ включает в себя технологии фиксированной, подвижной, спутниковой и наземной связи, Wi-Fi и любые другие технологии, обеспечивающие услуги широкополосной связи и радиовещания.</w:t>
      </w:r>
    </w:p>
    <w:p w14:paraId="01C039C0" w14:textId="77777777" w:rsidR="00FA36AD" w:rsidRPr="00131A73" w:rsidRDefault="00FA36AD" w:rsidP="00FA36AD">
      <w:r w:rsidRPr="00131A73">
        <w:t>В новой публикации на тему "</w:t>
      </w:r>
      <w:hyperlink r:id="rId102" w:history="1">
        <w:r w:rsidRPr="00131A73">
          <w:rPr>
            <w:rStyle w:val="Hyperlink"/>
            <w:rFonts w:cs="Calibri"/>
            <w:b/>
            <w:bCs/>
            <w:i/>
          </w:rPr>
          <w:t>Женщины, ИКТ и электросвязь в чрезвычайных ситуациях: возможности и ограничения</w:t>
        </w:r>
      </w:hyperlink>
      <w:r w:rsidRPr="00131A73">
        <w:t>", подготовленной совместно с Тематическим блоком по вопросам электросвязи в чрезвычайных ситуациях Всемирной продовольственной программы, описан ряд факторов, лежащих в основе цифрового гендерного разрыва и обусловливающих особую уязвимость женщин и девушек в преддверии бедствий, во время бедствий и после них. В ней представлена передовая практика и примеры использования ИКТ для содействия гендерному равенству в контексте управления рисками бедствий, в том числе за счет использования новых и появляющихся технологий, и определены приоритетные направления для дальнейшей деятельности. Этот отчет был представлен в августе 2020 года на Форуме ВВУИО в рамках диалога высокого уровня на тему "</w:t>
      </w:r>
      <w:hyperlink r:id="rId103" w:history="1">
        <w:r w:rsidRPr="00131A73">
          <w:rPr>
            <w:rStyle w:val="Hyperlink"/>
            <w:i/>
          </w:rPr>
          <w:t>Женщины и электросвязь в чрезвычайных ситуациях: обеспечение гендерного равенства в контексте повышения устойчивости к бедствиям</w:t>
        </w:r>
      </w:hyperlink>
      <w:r w:rsidRPr="00131A73">
        <w:rPr>
          <w:iCs/>
        </w:rPr>
        <w:t>"</w:t>
      </w:r>
      <w:r w:rsidRPr="00131A73">
        <w:rPr>
          <w:i/>
        </w:rPr>
        <w:t>.</w:t>
      </w:r>
      <w:r w:rsidRPr="00131A73">
        <w:t xml:space="preserve"> Чтобы отслеживать успехи в повышении гендерного равенства при управлении операциями в случае бедствий, </w:t>
      </w:r>
      <w:r w:rsidRPr="00131A73">
        <w:rPr>
          <w:rStyle w:val="Hyperlink"/>
          <w:color w:val="auto"/>
          <w:u w:val="none"/>
        </w:rPr>
        <w:t xml:space="preserve">8 марта 2021 года </w:t>
      </w:r>
      <w:r w:rsidRPr="00131A73">
        <w:t xml:space="preserve">МСЭ организовал онлайн-вебинар </w:t>
      </w:r>
      <w:hyperlink r:id="rId104">
        <w:r w:rsidRPr="00131A73">
          <w:rPr>
            <w:rStyle w:val="Hyperlink"/>
            <w:color w:val="auto"/>
            <w:u w:val="none"/>
          </w:rPr>
          <w:t>"</w:t>
        </w:r>
        <w:r w:rsidRPr="00131A73">
          <w:rPr>
            <w:rStyle w:val="Hyperlink"/>
            <w:i/>
            <w:iCs/>
          </w:rPr>
          <w:t>Повышение гендерного равенства при использовании ИКТ в управлении операциями в случае бедствий</w:t>
        </w:r>
        <w:r w:rsidRPr="00131A73">
          <w:rPr>
            <w:rStyle w:val="Hyperlink"/>
            <w:color w:val="auto"/>
            <w:u w:val="none"/>
          </w:rPr>
          <w:t>"</w:t>
        </w:r>
      </w:hyperlink>
      <w:r w:rsidRPr="00131A73">
        <w:rPr>
          <w:rStyle w:val="Hyperlink"/>
          <w:color w:val="auto"/>
          <w:u w:val="none"/>
        </w:rPr>
        <w:t>.</w:t>
      </w:r>
      <w:r w:rsidRPr="00131A73">
        <w:t xml:space="preserve"> На этом мероприятии был представлен практический опыт использования женщинами информационных технологий для борьбы с пандемией COVID-19 и приведены примеры их вклада в повышение устойчивости своих сообществ к стихийным бедствиям. На нем также обсуждался вопрос, как обеспечить большему количеству женщин свободный доступ к ИКТ и как использовать ИКТ для спасения жизней, и было отмечено, что органы власти, международные и национальные гуманитарные организации и ИКТ-организации частного сектора усилили внимание к решению гендерных вопросов и участию женщин в политической жизни и к выделению ресурсов в контексте ИКТ для управления операциями при бедствиях.</w:t>
      </w:r>
    </w:p>
    <w:p w14:paraId="46743EA3" w14:textId="77777777" w:rsidR="00FA36AD" w:rsidRPr="00131A73" w:rsidRDefault="00FA36AD" w:rsidP="00FA36AD">
      <w:pPr>
        <w:rPr>
          <w:rFonts w:cs="Calibri"/>
        </w:rPr>
      </w:pPr>
      <w:r w:rsidRPr="00131A73">
        <w:rPr>
          <w:rFonts w:cs="Calibri"/>
        </w:rPr>
        <w:t>Во время Глобального форума МСЭ по электросвязи в чрезвычайных ситуациях (GET-19), проведенного в марте 2019 года в Балаклаве, Маврикий, был опубликован отчет на тему "</w:t>
      </w:r>
      <w:hyperlink r:id="rId105" w:history="1">
        <w:r w:rsidRPr="00131A73">
          <w:rPr>
            <w:rStyle w:val="Hyperlink"/>
            <w:rFonts w:cs="Calibri"/>
            <w:b/>
            <w:bCs/>
            <w:i/>
          </w:rPr>
          <w:t>Прорывные технологии и их использование для снижения риска бедствий и управления операциями при бедствиях</w:t>
        </w:r>
      </w:hyperlink>
      <w:r w:rsidRPr="00131A73">
        <w:rPr>
          <w:rFonts w:cs="Calibri"/>
        </w:rPr>
        <w:t>". Развитие таких прорывных технологий, как искусственный интеллект (ИИ), интернет вещей (IoT) и большие данные, и инновации в таких областях, как робототехника и технологии беспилотных летательных аппаратов, преобразуют многие сферы и способствуют повышению устойчивости к бедствиям, более эффективному управлению операциями при бедствиях и снижению риска их возникновения. Этот отчет был подготовлен в ответ на запросы от Государств – Членов МСЭ об определении соответствующих технологий и обеспечении обмена передовым опытом.</w:t>
      </w:r>
    </w:p>
    <w:p w14:paraId="7493BC6B" w14:textId="77777777" w:rsidR="00FA36AD" w:rsidRPr="00131A73" w:rsidRDefault="00FA36AD" w:rsidP="00FA36AD">
      <w:pPr>
        <w:pStyle w:val="Headingb"/>
      </w:pPr>
      <w:r w:rsidRPr="00131A73">
        <w:t>Системы и платформы раннего предупреждения, учитывающие различные виды бедствий</w:t>
      </w:r>
    </w:p>
    <w:p w14:paraId="62B05778" w14:textId="77777777" w:rsidR="00FA36AD" w:rsidRPr="00131A73" w:rsidRDefault="00FA36AD" w:rsidP="00FA36AD">
      <w:pPr>
        <w:spacing w:after="120"/>
      </w:pPr>
      <w:r w:rsidRPr="00131A73">
        <w:rPr>
          <w:shd w:val="clear" w:color="auto" w:fill="FFFFFF"/>
        </w:rPr>
        <w:t>Система раннего предупреждения, учитывающая различные виды бедствий (MHEWS), способна реагировать на несколько видов бедствий и/или воздействий аналогичного или разного типа в ситуациях, когда опасные события могут происходить по отдельности, одновременно, каскадом или накапливаться с течением времени, а также учитывать потенциальные взаимосвязанные эффекты. МСЭ способствует использованию и развитию системы MHEWS при помощи программ повышения осведомленности, проектов для разных стран и учебных курсов.</w:t>
      </w:r>
    </w:p>
    <w:p w14:paraId="22188783" w14:textId="77777777" w:rsidR="00FA36AD" w:rsidRPr="00131A73" w:rsidRDefault="00FA36AD" w:rsidP="00FA36AD">
      <w:r w:rsidRPr="00131A73">
        <w:t xml:space="preserve">В 2018 году усилиями МСЭ было развернуто несколько систем раннего предупреждения в </w:t>
      </w:r>
      <w:hyperlink r:id="rId106" w:history="1">
        <w:r w:rsidRPr="00131A73">
          <w:rPr>
            <w:rStyle w:val="Hyperlink"/>
          </w:rPr>
          <w:t>Замбии</w:t>
        </w:r>
      </w:hyperlink>
      <w:r w:rsidRPr="00131A73">
        <w:t>, что позволило повысить готовность к бедствиям в стране.</w:t>
      </w:r>
    </w:p>
    <w:p w14:paraId="22137C2A" w14:textId="77777777" w:rsidR="00FA36AD" w:rsidRPr="00131A73" w:rsidRDefault="00FA36AD" w:rsidP="00FA36AD">
      <w:pPr>
        <w:rPr>
          <w:shd w:val="clear" w:color="auto" w:fill="FFFFFF"/>
        </w:rPr>
      </w:pPr>
      <w:r w:rsidRPr="00131A73">
        <w:t xml:space="preserve">В рамках своей работы над системой MHEWS МСЭ продолжает стимулировать использование протокола общего оповещения (CAP), принятого в качестве </w:t>
      </w:r>
      <w:hyperlink r:id="rId107" w:tgtFrame="_blank" w:history="1">
        <w:r w:rsidRPr="00131A73">
          <w:rPr>
            <w:rStyle w:val="Hyperlink"/>
          </w:rPr>
          <w:t>Рекомендации МСЭ-T X.1303</w:t>
        </w:r>
      </w:hyperlink>
      <w:r w:rsidRPr="00131A73">
        <w:rPr>
          <w:rStyle w:val="Hyperlink"/>
          <w:color w:val="auto"/>
          <w:u w:val="none"/>
        </w:rPr>
        <w:t>.</w:t>
      </w:r>
      <w:r w:rsidRPr="00131A73">
        <w:rPr>
          <w:shd w:val="clear" w:color="auto" w:fill="FFFFFF"/>
        </w:rPr>
        <w:t xml:space="preserve"> Это простой, но универсальный формат обмена оповещениями обо всех чрезвычайных ситуациях и </w:t>
      </w:r>
      <w:r w:rsidRPr="00131A73">
        <w:rPr>
          <w:shd w:val="clear" w:color="auto" w:fill="FFFFFF"/>
        </w:rPr>
        <w:lastRenderedPageBreak/>
        <w:t>предупреждения населения обо всех видах угроз по сетям ИКТ всех видов, позволяющий распространять согласованное предупредительное сообщение одновременно через множество различных систем оповещения, тем самым повышая эффективность предупреждения и упрощая задачу оповещения. Таким образом CAP позволяет властям, используя различные технологии, распространять ранние предупреждения и оповещать об опасности всех жителей и все сообщества, подвергающиеся риску, на любом уровне вплоть до глобального.</w:t>
      </w:r>
    </w:p>
    <w:p w14:paraId="608F2D59" w14:textId="77777777" w:rsidR="00FA36AD" w:rsidRPr="00131A73" w:rsidRDefault="00FA36AD" w:rsidP="00FA36AD">
      <w:r w:rsidRPr="00131A73">
        <w:rPr>
          <w:shd w:val="clear" w:color="auto" w:fill="FFFFFF"/>
        </w:rPr>
        <w:t xml:space="preserve">В период с 2018 по 2021 год МСЭ в ходе региональных семинаров, проходивших в </w:t>
      </w:r>
      <w:hyperlink r:id="rId108" w:history="1">
        <w:r w:rsidRPr="00131A73">
          <w:rPr>
            <w:rStyle w:val="Hyperlink"/>
            <w:shd w:val="clear" w:color="auto" w:fill="FFFFFF"/>
          </w:rPr>
          <w:t>2019</w:t>
        </w:r>
      </w:hyperlink>
      <w:r w:rsidRPr="00131A73">
        <w:rPr>
          <w:rStyle w:val="Hyperlink"/>
          <w:color w:val="auto"/>
          <w:u w:val="none"/>
          <w:shd w:val="clear" w:color="auto" w:fill="FFFFFF"/>
        </w:rPr>
        <w:t xml:space="preserve"> и </w:t>
      </w:r>
      <w:hyperlink r:id="rId109" w:history="1">
        <w:r w:rsidRPr="00131A73">
          <w:rPr>
            <w:rStyle w:val="Hyperlink"/>
            <w:shd w:val="clear" w:color="auto" w:fill="FFFFFF"/>
          </w:rPr>
          <w:t>2020 годах</w:t>
        </w:r>
      </w:hyperlink>
      <w:r w:rsidRPr="00131A73">
        <w:rPr>
          <w:shd w:val="clear" w:color="auto" w:fill="FFFFFF"/>
        </w:rPr>
        <w:t>, провел обучение по вопросам CAP для нескольких стран и регионов, включая арабские государства</w:t>
      </w:r>
      <w:r w:rsidRPr="00131A73">
        <w:rPr>
          <w:rStyle w:val="Hyperlink"/>
          <w:color w:val="auto"/>
          <w:u w:val="none"/>
          <w:shd w:val="clear" w:color="auto" w:fill="FFFFFF"/>
        </w:rPr>
        <w:t>.</w:t>
      </w:r>
      <w:r w:rsidRPr="00131A73">
        <w:rPr>
          <w:shd w:val="clear" w:color="auto" w:fill="FFFFFF"/>
        </w:rPr>
        <w:t xml:space="preserve"> </w:t>
      </w:r>
      <w:r w:rsidRPr="00131A73">
        <w:rPr>
          <w:rStyle w:val="Hyperlink"/>
          <w:color w:val="auto"/>
          <w:u w:val="none"/>
          <w:shd w:val="clear" w:color="auto" w:fill="FFFFFF"/>
        </w:rPr>
        <w:t xml:space="preserve">С 29 по 30 сентября 2020 года </w:t>
      </w:r>
      <w:r w:rsidRPr="00131A73">
        <w:rPr>
          <w:shd w:val="clear" w:color="auto" w:fill="FFFFFF"/>
        </w:rPr>
        <w:t xml:space="preserve">МСЭ провел онлайновый </w:t>
      </w:r>
      <w:hyperlink r:id="rId110" w:tgtFrame="_blank" w:history="1">
        <w:r w:rsidRPr="00131A73">
          <w:rPr>
            <w:rStyle w:val="Hyperlink"/>
            <w:shd w:val="clear" w:color="auto" w:fill="FFFFFF"/>
          </w:rPr>
          <w:t>Семинар-практикум по реализации протокола общего оповещения (CAP) 2020 года</w:t>
        </w:r>
      </w:hyperlink>
      <w:r w:rsidRPr="00131A73">
        <w:rPr>
          <w:rStyle w:val="Hyperlink"/>
          <w:color w:val="auto"/>
          <w:u w:val="none"/>
          <w:shd w:val="clear" w:color="auto" w:fill="FFFFFF"/>
        </w:rPr>
        <w:t>.</w:t>
      </w:r>
    </w:p>
    <w:p w14:paraId="6FCBA438" w14:textId="77777777" w:rsidR="00FA36AD" w:rsidRPr="00131A73" w:rsidRDefault="00FA36AD" w:rsidP="00FA36AD">
      <w:r w:rsidRPr="00131A73">
        <w:t>29 апреля 2021 года в рамках Недели гуманитарного партнерства 2021 года МСЭ в партнерстве с Международной федерацией обществ Красного Креста и Красного Полумесяца и Всемирной метеорологической организацией выступил с призывом к действиям по предупреждению о чрезвычайных ситуациях. Это призыв ко всем партнерам оказать странам помощь в осуществлении и получении выгод от реализации протокола общего оповещения (CAP).</w:t>
      </w:r>
    </w:p>
    <w:p w14:paraId="7267DFF8" w14:textId="77777777" w:rsidR="00FA36AD" w:rsidRPr="00131A73" w:rsidRDefault="00FA36AD" w:rsidP="00FA36AD">
      <w:pPr>
        <w:pStyle w:val="Headingb"/>
      </w:pPr>
      <w:r w:rsidRPr="00131A73">
        <w:t>Национальные планы электросвязи в чрезвычайных ситуациях (NETP)</w:t>
      </w:r>
    </w:p>
    <w:p w14:paraId="16080F07" w14:textId="77777777" w:rsidR="00FA36AD" w:rsidRPr="00131A73" w:rsidRDefault="00FA36AD" w:rsidP="00FA36AD">
      <w:r w:rsidRPr="00131A73">
        <w:t>За период с 2018 года были составлены NETP для Доминиканской Республики,</w:t>
      </w:r>
      <w:r w:rsidRPr="00131A73">
        <w:rPr>
          <w:rFonts w:eastAsia="Calibri" w:cs="Calibri"/>
        </w:rPr>
        <w:t xml:space="preserve"> </w:t>
      </w:r>
      <w:r w:rsidRPr="00131A73">
        <w:t xml:space="preserve">Гватемалы, Боливии, </w:t>
      </w:r>
      <w:r w:rsidRPr="00131A73">
        <w:rPr>
          <w:rFonts w:eastAsia="Calibri" w:cs="Calibri"/>
        </w:rPr>
        <w:t xml:space="preserve">Вануату, Самоа, Папуа-Новой Гвинеи, Сент-Люсии, Эквадора и Перу. МСЭ продолжает оказывать помощь в разработке собственных </w:t>
      </w:r>
      <w:r w:rsidRPr="00131A73">
        <w:t xml:space="preserve">NETP </w:t>
      </w:r>
      <w:r w:rsidRPr="00131A73">
        <w:rPr>
          <w:rFonts w:eastAsia="Calibri" w:cs="Calibri"/>
        </w:rPr>
        <w:t>следующим странам:</w:t>
      </w:r>
      <w:r w:rsidRPr="00131A73">
        <w:t xml:space="preserve"> Афганистану, </w:t>
      </w:r>
      <w:r w:rsidRPr="00131A73">
        <w:rPr>
          <w:rFonts w:eastAsia="Calibri" w:cs="Calibri"/>
        </w:rPr>
        <w:t>Сомали, Судану и Соломоновым Островам. Было проведено несколько онлайновых собраний со странами для принятия мер к тому, чтобы планы разрабатывались в соответствии с руководящими указаниями МСЭ и на основе подхода с привлечением многих заинтересованных сторон, в частности различных организаций, деятельность которых связана с управлением операциями при бедствиях, таких как национальные органы по управлению операциями при бедствиях, метеорологические и гидрологические службы, гуманитарные организации, государственные и частные предприятия в области ИКТ, академические учреждения, СМИ, организации гражданского общества и таможенные органы.</w:t>
      </w:r>
    </w:p>
    <w:p w14:paraId="4E35429A" w14:textId="77777777" w:rsidR="00FA36AD" w:rsidRPr="00131A73" w:rsidRDefault="00FA36AD" w:rsidP="00FA36AD">
      <w:pPr>
        <w:pStyle w:val="Headingb"/>
      </w:pPr>
      <w:r w:rsidRPr="00131A73">
        <w:t>Поддержка со стороны МСЭ в области реагирования на бедствия</w:t>
      </w:r>
    </w:p>
    <w:p w14:paraId="6C48FD96" w14:textId="77777777" w:rsidR="00FA36AD" w:rsidRPr="00131A73" w:rsidRDefault="00FA36AD" w:rsidP="00FA36AD">
      <w:r w:rsidRPr="00131A73">
        <w:t>За период с 2018 года МСЭ оказал поддержку ряду стран, пострадавших от стихийных бедствий, в частности Багамским Островам, Мозамбику,</w:t>
      </w:r>
      <w:r w:rsidRPr="00131A73">
        <w:rPr>
          <w:rFonts w:eastAsia="Calibri" w:cs="Calibri"/>
        </w:rPr>
        <w:t xml:space="preserve"> Папуа-Новой Гвинее, Соломоновым Островам, Тонга, Вануату, Зимбабве и Фиджи. Поддержка со стороны МСЭ включает в себя развертывание</w:t>
      </w:r>
      <w:r w:rsidRPr="00131A73">
        <w:t xml:space="preserve"> </w:t>
      </w:r>
      <w:r w:rsidRPr="00131A73">
        <w:rPr>
          <w:rFonts w:eastAsia="Calibri" w:cs="Calibri"/>
        </w:rPr>
        <w:t>оборудования спутниковой электросвязи и персонала для обеспечения возможности установления соединений, чтобы помочь странам в восстановлении жизненно важных линий электросвязи, и для укрепления уверенности в важной роли оборудования электросвязи в чрезвычайных ситуациях.</w:t>
      </w:r>
    </w:p>
    <w:p w14:paraId="4735560F" w14:textId="77777777" w:rsidR="00FA36AD" w:rsidRPr="00131A73" w:rsidRDefault="00FA36AD" w:rsidP="00FA36AD">
      <w:pPr>
        <w:rPr>
          <w:bCs/>
        </w:rPr>
      </w:pPr>
      <w:r w:rsidRPr="00131A73">
        <w:rPr>
          <w:bCs/>
        </w:rPr>
        <w:t xml:space="preserve">Для расширения деятельности Союза в области электросвязи в чрезвычайных ситуациях, а также для поддержки и улучшения координации с сообществом спутниковой связи и гуманитарными организациями МСЭ присоединился к </w:t>
      </w:r>
      <w:hyperlink r:id="rId111" w:history="1">
        <w:r w:rsidRPr="00131A73">
          <w:rPr>
            <w:rStyle w:val="Hyperlink"/>
            <w:bCs/>
          </w:rPr>
          <w:t>Хартии по установлению соединений в критических ситуациях (CCC)</w:t>
        </w:r>
      </w:hyperlink>
      <w:r w:rsidRPr="00131A73">
        <w:rPr>
          <w:bCs/>
        </w:rPr>
        <w:t xml:space="preserve">, став одним из ее главных членов. </w:t>
      </w:r>
      <w:r w:rsidRPr="00131A73">
        <w:rPr>
          <w:rFonts w:cstheme="minorHAnsi"/>
        </w:rPr>
        <w:t>CCC – это механизм, созданный отраслью спутниковой связи и широким сообществом гуманитарных организаций с целью сделать спутниковую связь более доступной для деятельности гуманитарных организаций и для сообществ, пострадавших во время бедствий.</w:t>
      </w:r>
      <w:r w:rsidRPr="00131A73">
        <w:rPr>
          <w:rFonts w:cstheme="minorHAnsi"/>
          <w:shd w:val="clear" w:color="auto" w:fill="FFFFFF"/>
        </w:rPr>
        <w:t xml:space="preserve"> </w:t>
      </w:r>
      <w:r w:rsidRPr="00131A73">
        <w:rPr>
          <w:rFonts w:cstheme="minorHAnsi"/>
        </w:rPr>
        <w:t>Хартия была разработана Ассоциацией спутниковых операторов (ESOA) региона Европы, Ближнего Востока и Африки (EMEA), Глобальным форумом VSAT (GVF) и их членами совместно с Управлением ООН по координации гуманитарных вопросов (УКГВ) и Тематическим блоком по вопросам электросвязи в чрезвычайных ситуациях (ETC) Всемирной продовольственной программы (ВПП).</w:t>
      </w:r>
    </w:p>
    <w:p w14:paraId="64334CF2" w14:textId="77777777" w:rsidR="00FA36AD" w:rsidRPr="00131A73" w:rsidRDefault="00FA36AD" w:rsidP="00FA36AD">
      <w:pPr>
        <w:rPr>
          <w:bCs/>
        </w:rPr>
      </w:pPr>
      <w:r w:rsidRPr="00131A73">
        <w:rPr>
          <w:bCs/>
        </w:rPr>
        <w:t xml:space="preserve">Для удовлетворения растущего спроса на поддержку в предоставлении оборудования и услуг экстренной электросвязи при возникновении бедствий в МСЭ был создан внутренний реестр ресурсов электросвязи в чрезвычайных ситуациях. Был отобран соответствующий </w:t>
      </w:r>
      <w:r w:rsidRPr="00131A73">
        <w:rPr>
          <w:bCs/>
        </w:rPr>
        <w:lastRenderedPageBreak/>
        <w:t>квалифицированный персонал МСЭ, который будет обучен развертыванию и использованию существующего (и будущего) оборудования электросвязи МСЭ и сможет оказывать помощь в работе на местах, ведущейся Тематическим блоком по вопросам электросвязи в чрезвычайных ситуациях, поддерживая связь с национальными органами власти и заинтересованными сторонами по вопросам импорта и требований к лицензированию оборудования электросвязи.</w:t>
      </w:r>
    </w:p>
    <w:p w14:paraId="1F1BD567" w14:textId="77777777" w:rsidR="00FA36AD" w:rsidRPr="00131A73" w:rsidRDefault="00FA36AD" w:rsidP="00FA36AD">
      <w:pPr>
        <w:pStyle w:val="Headingb"/>
      </w:pPr>
      <w:r w:rsidRPr="00131A73">
        <w:t>Создание потенциала</w:t>
      </w:r>
    </w:p>
    <w:p w14:paraId="09D6A311" w14:textId="77777777" w:rsidR="00FA36AD" w:rsidRPr="00131A73" w:rsidRDefault="00FA36AD" w:rsidP="00FA36AD">
      <w:pPr>
        <w:spacing w:after="120"/>
        <w:rPr>
          <w:rFonts w:eastAsiaTheme="minorHAnsi" w:cs="Calibri"/>
        </w:rPr>
      </w:pPr>
      <w:r w:rsidRPr="00131A73">
        <w:t xml:space="preserve">МСЭ продолжил работу по созданию потенциала и повышению осведомленности о важности управления операциями при бедствиях и использования имеющихся инструментов ИКТ для снижения риска бедствий. В период с 2018 по 2020 год был проведен ряд </w:t>
      </w:r>
      <w:hyperlink r:id="rId112" w:history="1">
        <w:r w:rsidRPr="00131A73">
          <w:rPr>
            <w:rStyle w:val="Hyperlink"/>
            <w:rFonts w:cs="Calibri"/>
          </w:rPr>
          <w:t>мероприятий</w:t>
        </w:r>
      </w:hyperlink>
      <w:r w:rsidRPr="00131A73">
        <w:rPr>
          <w:rFonts w:cs="Calibri"/>
        </w:rPr>
        <w:t xml:space="preserve">, посвященных использованию ИКТ для управления операциями при бедствиях. На глобальном уровне МСЭ организовал </w:t>
      </w:r>
      <w:r w:rsidRPr="00131A73">
        <w:t>3</w:t>
      </w:r>
      <w:r w:rsidRPr="00131A73">
        <w:noBreakHyphen/>
        <w:t>й Глобальный форум по электросвязи в чрезвычайных ситуациях (</w:t>
      </w:r>
      <w:hyperlink r:id="rId113" w:history="1">
        <w:r w:rsidRPr="00131A73">
          <w:rPr>
            <w:rStyle w:val="Hyperlink"/>
          </w:rPr>
          <w:t>GET-19</w:t>
        </w:r>
      </w:hyperlink>
      <w:r w:rsidRPr="00131A73">
        <w:t xml:space="preserve">), проведенный Управлением информационно-коммуникационных технологий (ICTA) Маврикия в период с 6 по 8 марта 2019 года. Темой форума GET-19 было </w:t>
      </w:r>
      <w:r w:rsidRPr="00131A73">
        <w:rPr>
          <w:i/>
        </w:rPr>
        <w:t>"</w:t>
      </w:r>
      <w:r w:rsidRPr="00131A73">
        <w:rPr>
          <w:i/>
          <w:iCs/>
        </w:rPr>
        <w:t>Вместе осуществляя инновации для спасания жизней: использование технологий для управления операциями в случае бедствий"</w:t>
      </w:r>
      <w:r w:rsidRPr="00131A73">
        <w:t>. Форум собрал почти 180 участников из 36 Государств-Членов, представляющих государственные и частные организации, среди которых министерства, регуляторные органы, университеты и научно-исследовательские институты, гуманитарные организации, банки развития, региональные организации по управлению операциями при бедствиях, операторы электросвязи, компании ИКТ и региональные и международные организации.</w:t>
      </w:r>
    </w:p>
    <w:p w14:paraId="0A3A8411" w14:textId="77777777" w:rsidR="00FA36AD" w:rsidRPr="00131A73" w:rsidRDefault="00FA36AD" w:rsidP="00FA36AD">
      <w:pPr>
        <w:spacing w:after="120"/>
      </w:pPr>
      <w:r w:rsidRPr="00131A73">
        <w:rPr>
          <w:szCs w:val="24"/>
        </w:rPr>
        <w:t xml:space="preserve">Обсуждались следующие ключевые моменты: важность рассмотрения возможных последствий бедствий при планировании новой инфраструктуры ИКТ, </w:t>
      </w:r>
      <w:r w:rsidRPr="00131A73">
        <w:t>необходимость повышения уровня доступа и использования ИКТ, возможности информационных технологий и ИКТ по управлению операциями при бедствиях, а также необходимость создания устойчивых сетей и функционально совместимых систем для координации усилий по реагированию.</w:t>
      </w:r>
    </w:p>
    <w:p w14:paraId="01E93F32" w14:textId="77777777" w:rsidR="00FA36AD" w:rsidRPr="00131A73" w:rsidRDefault="00FA36AD" w:rsidP="00FA36AD">
      <w:pPr>
        <w:spacing w:after="120"/>
      </w:pPr>
      <w:r w:rsidRPr="00131A73">
        <w:t>Форум GET-19 подтвердил потребность в укреплении координации и сотрудничества на всех уровнях, а также значение данных и доверия и необходимость коллективного понимания всех этапов управления операциями при бедствиях. Он способствовал укреплению принципа, согласно которому все действия и программы должны быть ориентированы на человека: в момент возникновения бедствия все внимание должно быть направлено на людей. Также было подчеркнуто, что этап обеспечения готовности является критически важным для спасения жизней.</w:t>
      </w:r>
    </w:p>
    <w:p w14:paraId="6C2A0B6C" w14:textId="77777777" w:rsidR="00FA36AD" w:rsidRPr="00131A73" w:rsidRDefault="00FA36AD" w:rsidP="00FA36AD">
      <w:pPr>
        <w:rPr>
          <w:rFonts w:cs="Calibri"/>
        </w:rPr>
      </w:pPr>
      <w:r w:rsidRPr="00131A73">
        <w:t xml:space="preserve">Форуму GET-19 предшествовал </w:t>
      </w:r>
      <w:hyperlink r:id="rId114" w:history="1">
        <w:r w:rsidRPr="00131A73">
          <w:rPr>
            <w:rStyle w:val="Hyperlink"/>
          </w:rPr>
          <w:t>Семинар-практикум по протоколу общего оповещения</w:t>
        </w:r>
      </w:hyperlink>
      <w:r w:rsidRPr="00131A73">
        <w:rPr>
          <w:rStyle w:val="Hyperlink"/>
          <w:color w:val="auto"/>
          <w:u w:val="none"/>
        </w:rPr>
        <w:t>, состоявшийся 5 марта 2019 года.</w:t>
      </w:r>
    </w:p>
    <w:p w14:paraId="24051929" w14:textId="77777777" w:rsidR="00FA36AD" w:rsidRPr="00131A73" w:rsidRDefault="00FA36AD" w:rsidP="008C5426">
      <w:pPr>
        <w:spacing w:before="100"/>
        <w:rPr>
          <w:rFonts w:cs="Calibri"/>
        </w:rPr>
      </w:pPr>
      <w:r w:rsidRPr="00131A73">
        <w:rPr>
          <w:rFonts w:cs="Calibri"/>
        </w:rPr>
        <w:t xml:space="preserve">Региональные форумы и семинары-практикумы по использованию ИКТ были проведены в 2019 году в регионе Северной и Южной Америки (Карибский бассейн), а также в Европейском регионе и регионе СНГ, и в 2019 и 2020 годах – в регионе арабских государств. Последние включали в себя проведение практических занятий по настольному моделированию. Что касается национального уровня, в 2019 году был проведен страновой семинар-практикум по использованию ИКТ для управления операциями при бедствиях для Танзании. </w:t>
      </w:r>
      <w:r w:rsidRPr="00131A73">
        <w:t xml:space="preserve">В сотрудничестве с Учебным институтом электросвязи Соединенных Штатов (USTTI) 15 и 16 декабря 2020 года был организован совместный публичный вебинар на тему </w:t>
      </w:r>
      <w:hyperlink r:id="rId115">
        <w:r w:rsidRPr="00131A73">
          <w:rPr>
            <w:rStyle w:val="Hyperlink"/>
            <w:rFonts w:cs="Calibri"/>
            <w:color w:val="auto"/>
            <w:u w:val="none"/>
          </w:rPr>
          <w:t>"</w:t>
        </w:r>
        <w:r w:rsidRPr="00131A73">
          <w:rPr>
            <w:rStyle w:val="Hyperlink"/>
            <w:rFonts w:cs="Calibri"/>
            <w:i/>
            <w:iCs/>
          </w:rPr>
          <w:t>Повышение устойчивости к бедствиям с помощью электросвязи в чрезвычайных ситуациях</w:t>
        </w:r>
        <w:r w:rsidRPr="00131A73">
          <w:rPr>
            <w:rStyle w:val="Hyperlink"/>
            <w:rFonts w:cs="Calibri"/>
            <w:color w:val="auto"/>
            <w:u w:val="none"/>
          </w:rPr>
          <w:t>"</w:t>
        </w:r>
      </w:hyperlink>
      <w:r w:rsidRPr="00131A73">
        <w:rPr>
          <w:rStyle w:val="Hyperlink"/>
          <w:color w:val="auto"/>
          <w:u w:val="none"/>
        </w:rPr>
        <w:t>.</w:t>
      </w:r>
      <w:r w:rsidRPr="00131A73">
        <w:rPr>
          <w:rFonts w:cs="Calibri"/>
        </w:rPr>
        <w:t xml:space="preserve"> МСЭ продолжил тесную работу с партнерскими учреждениями ООН, в частности со Всемирной метеорологической организацией (ВМО) и Управлением ООН по снижению риска бедствий (УСРБ ООН), и принял участие в ряде мероприятий по вопросам использования ИКТ для обеспечения готовности к бедствиям и снижения соответствующих рисков.</w:t>
      </w:r>
    </w:p>
    <w:p w14:paraId="72A30C17" w14:textId="28F94E5E" w:rsidR="00FA36AD" w:rsidRPr="00131A73" w:rsidRDefault="006C6518" w:rsidP="008C5426">
      <w:pPr>
        <w:spacing w:before="100"/>
        <w:rPr>
          <w:rFonts w:cs="Calibri"/>
          <w:color w:val="000000" w:themeColor="text1"/>
        </w:rPr>
      </w:pPr>
      <w:r>
        <w:rPr>
          <w:rFonts w:cs="Calibri"/>
        </w:rPr>
        <w:t xml:space="preserve">Для того чтобы и далее создавать </w:t>
      </w:r>
      <w:r w:rsidR="00FA36AD" w:rsidRPr="00131A73">
        <w:rPr>
          <w:rFonts w:cs="Calibri"/>
        </w:rPr>
        <w:t xml:space="preserve">потенциал по использованию электросвязи в чрезвычайных ситуациях в январе 2021 года были запущены </w:t>
      </w:r>
      <w:hyperlink r:id="rId116" w:history="1">
        <w:r w:rsidR="00FA36AD" w:rsidRPr="00131A73">
          <w:rPr>
            <w:rStyle w:val="Hyperlink"/>
            <w:rFonts w:cs="Calibri"/>
            <w:i/>
            <w:iCs/>
          </w:rPr>
          <w:t>три новых учебных онлайн-модуля</w:t>
        </w:r>
      </w:hyperlink>
      <w:r w:rsidR="00FA36AD" w:rsidRPr="00131A73">
        <w:rPr>
          <w:rStyle w:val="Hyperlink"/>
          <w:rFonts w:cs="Calibri"/>
          <w:color w:val="auto"/>
          <w:u w:val="none"/>
        </w:rPr>
        <w:t>. Эти модули охватывают разработку NETP (на основе Руководства МСЭ по NETP), руководящие указания по организации настольных имитационных учений (на основе руководства, разработанного совместно с ETC) и информацию о Конвенции Тампере и ее преимуществах.</w:t>
      </w:r>
    </w:p>
    <w:p w14:paraId="7413B228" w14:textId="77777777" w:rsidR="00FA36AD" w:rsidRPr="00131A73" w:rsidRDefault="00FA36AD" w:rsidP="00FA36AD">
      <w:pPr>
        <w:pStyle w:val="Headingb"/>
      </w:pPr>
      <w:r w:rsidRPr="00131A73">
        <w:lastRenderedPageBreak/>
        <w:t>Карта возможности установления соединений при бедствиях (DCM)</w:t>
      </w:r>
    </w:p>
    <w:p w14:paraId="32A6A6A3" w14:textId="77777777" w:rsidR="00FA36AD" w:rsidRPr="00131A73" w:rsidRDefault="00FA36AD" w:rsidP="00FA36AD">
      <w:r w:rsidRPr="00131A73">
        <w:rPr>
          <w:rFonts w:cs="Calibri"/>
        </w:rPr>
        <w:t xml:space="preserve">В соответствии с </w:t>
      </w:r>
      <w:hyperlink r:id="rId117" w:history="1">
        <w:r w:rsidRPr="00131A73">
          <w:rPr>
            <w:rStyle w:val="Hyperlink"/>
            <w:rFonts w:cs="Calibri"/>
          </w:rPr>
          <w:t>предложением</w:t>
        </w:r>
      </w:hyperlink>
      <w:r w:rsidRPr="00131A73">
        <w:rPr>
          <w:rFonts w:cs="Calibri"/>
        </w:rPr>
        <w:t>,</w:t>
      </w:r>
      <w:r w:rsidRPr="00131A73">
        <w:t xml:space="preserve"> представленным в ходе </w:t>
      </w:r>
      <w:r w:rsidRPr="00131A73">
        <w:rPr>
          <w:rFonts w:cs="Calibri"/>
        </w:rPr>
        <w:t xml:space="preserve">GET 2019 года, </w:t>
      </w:r>
      <w:r w:rsidRPr="00131A73">
        <w:t xml:space="preserve">МСЭ совместно с Тематическим блоком по вопросам электросвязи в чрезвычайных ситуациях (ETC) ВПП приступил к разработке инициативы "Карта возможности установления соединений при бедствиях" (DCM). Это картографическая платформа, которая помогает службам быстрого реагирования определять состояние инфраструктуры сети электросвязи, ее покрытие и пропускную способность до и после бедствия. </w:t>
      </w:r>
      <w:r w:rsidRPr="00131A73">
        <w:rPr>
          <w:shd w:val="clear" w:color="auto" w:fill="FFFFFF"/>
        </w:rPr>
        <w:t>Информация, содержащаяся в DCM, может использоваться для поддержки принятия службами быстрого реагирования правительственных учреждений и гуманитарных организаций решений о том, где требуется восстановление услуг сети электросвязи.</w:t>
      </w:r>
      <w:r w:rsidRPr="00131A73">
        <w:t xml:space="preserve"> </w:t>
      </w:r>
      <w:r w:rsidRPr="00131A73">
        <w:rPr>
          <w:shd w:val="clear" w:color="auto" w:fill="FFFFFF"/>
        </w:rPr>
        <w:t>Платформа находится в ведении МСЭ и поддерживается GSMA.</w:t>
      </w:r>
    </w:p>
    <w:p w14:paraId="3E5389AA" w14:textId="77777777" w:rsidR="00FA36AD" w:rsidRPr="00131A73" w:rsidRDefault="00FA36AD" w:rsidP="008C5426">
      <w:pPr>
        <w:spacing w:after="240"/>
      </w:pPr>
      <w:r w:rsidRPr="00131A73">
        <w:t xml:space="preserve">Первый прототип карты был представлен в ходе </w:t>
      </w:r>
      <w:hyperlink r:id="rId118" w:history="1">
        <w:r w:rsidRPr="00131A73">
          <w:rPr>
            <w:rStyle w:val="Hyperlink"/>
          </w:rPr>
          <w:t>совместного вебинара МСЭ/ETC</w:t>
        </w:r>
      </w:hyperlink>
      <w:r w:rsidRPr="00131A73">
        <w:t>.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FA36AD" w:rsidRPr="00131A73" w14:paraId="0E0DEF98" w14:textId="77777777" w:rsidTr="008D3B8A">
        <w:trPr>
          <w:trHeight w:val="2819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1F6B" w14:textId="77777777" w:rsidR="00FA36AD" w:rsidRPr="00131A73" w:rsidRDefault="00FA36AD" w:rsidP="00FA36AD">
            <w:pPr>
              <w:rPr>
                <w:b/>
              </w:rPr>
            </w:pPr>
            <w:r w:rsidRPr="00131A73">
              <w:rPr>
                <w:b/>
              </w:rPr>
              <w:t>РЕГИОНАЛЬНЫЕ ИНИЦИАТИВЫ</w:t>
            </w:r>
          </w:p>
          <w:p w14:paraId="7C230B7B" w14:textId="77777777" w:rsidR="00FA36AD" w:rsidRPr="00131A73" w:rsidRDefault="00FA36AD" w:rsidP="00FA36AD">
            <w:pPr>
              <w:spacing w:before="160"/>
              <w:rPr>
                <w:szCs w:val="22"/>
              </w:rPr>
            </w:pPr>
            <w:r w:rsidRPr="00131A73">
              <w:t>Регион Северной и Южной Америки: связь для снижения риска бедствий и управления операциями при бедствиях</w:t>
            </w:r>
          </w:p>
          <w:p w14:paraId="677C760D" w14:textId="794BB3DB" w:rsidR="00FA36AD" w:rsidRPr="00131A73" w:rsidRDefault="008C5426" w:rsidP="00FA36AD">
            <w:pPr>
              <w:pStyle w:val="enumlev1"/>
              <w:rPr>
                <w:szCs w:val="22"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eastAsia="Calibri"/>
              </w:rPr>
              <w:tab/>
            </w:r>
            <w:r w:rsidR="00FA36AD" w:rsidRPr="00131A73">
              <w:t xml:space="preserve">Начата реализация </w:t>
            </w:r>
            <w:hyperlink r:id="rId119" w:history="1">
              <w:r w:rsidR="00FA36AD" w:rsidRPr="00131A73">
                <w:rPr>
                  <w:rStyle w:val="Hyperlink"/>
                  <w:rFonts w:cstheme="minorHAnsi"/>
                </w:rPr>
                <w:t>проекта WINLINK-2000</w:t>
              </w:r>
            </w:hyperlink>
            <w:r w:rsidR="00FA36AD" w:rsidRPr="00131A73">
              <w:t xml:space="preserve"> по использованию ИКТ в чрезвычайных ситуациях и при бедствиях в Карибском бассейне для оказания помощи Антигуа и Барбуде, Барбадосу, Доминике, Гренаде, Гайане, Ямайке и Сент-Китсу и Невису в расширении возможностей электросвязи в чрезвычайных ситуациях и повышении эффективности реагирования на чрезвычайные ситуации и бедствия в целях спасения жизни людей. Сформированный в рамках проекта альянс служб экстренного реагирования, органов в области электросвязи и ассоциаций радиолюбителей занимается установкой серверов Winlink в странах-бенефициарах. Проект был запущен в 2018 году, и в 2019 году завершился его первый этап, в ходе которого помощь была оказана Доминиканской Республике, Коста-Рике, Гватемале, Сальвадору, Гондурасу, Никарагуа и Панаме. С тех пор как была развернута сеть Winlink, она используется при каждой чрезвычайной ситуации.</w:t>
            </w:r>
          </w:p>
          <w:p w14:paraId="2CC9C10B" w14:textId="74D2FDEE" w:rsidR="00FA36AD" w:rsidRPr="00131A73" w:rsidRDefault="008C5426" w:rsidP="00FA36AD">
            <w:pPr>
              <w:pStyle w:val="enumlev1"/>
              <w:rPr>
                <w:rFonts w:cstheme="minorHAnsi"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eastAsia="Calibri"/>
              </w:rPr>
              <w:tab/>
            </w:r>
            <w:r w:rsidR="00FA36AD" w:rsidRPr="00131A73">
              <w:rPr>
                <w:rFonts w:cstheme="minorHAnsi"/>
              </w:rPr>
              <w:t xml:space="preserve">В ходе развертывания оборудования электросвязи для чрезвычайных ситуаций на Багамских Островах </w:t>
            </w:r>
            <w:r w:rsidR="00FA36AD" w:rsidRPr="00131A73">
              <w:t>после</w:t>
            </w:r>
            <w:r w:rsidR="00FA36AD" w:rsidRPr="00131A73">
              <w:rPr>
                <w:rFonts w:cstheme="minorHAnsi"/>
              </w:rPr>
              <w:t xml:space="preserve"> урагана "Дориан" МСЭ сотрудничал с Управлением по вопросам регулирования и конкуренции в сфере коммунальных услуг (URCA) и другими заинтересованными сторонами в целях предоставления доступа к интернету и других услуг по подключению некоторым жителям затронутых районов.</w:t>
            </w:r>
          </w:p>
          <w:p w14:paraId="52FF8130" w14:textId="727F80BF" w:rsidR="00FA36AD" w:rsidRPr="00131A73" w:rsidRDefault="008C5426" w:rsidP="00FA36AD">
            <w:pPr>
              <w:pStyle w:val="enumlev1"/>
              <w:rPr>
                <w:rFonts w:cstheme="minorHAnsi"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eastAsia="Calibri"/>
              </w:rPr>
              <w:tab/>
            </w:r>
            <w:r w:rsidR="00FA36AD" w:rsidRPr="00131A73">
              <w:rPr>
                <w:rFonts w:cstheme="minorHAnsi"/>
              </w:rPr>
              <w:t>Разработано приложение Virtual Vision App – работающая в режиме реального времени платформа электросвязи для управления операциями при бедствиях. Оно </w:t>
            </w:r>
            <w:r w:rsidR="00FA36AD" w:rsidRPr="00131A73">
              <w:t>обеспечивает</w:t>
            </w:r>
            <w:r w:rsidR="00FA36AD" w:rsidRPr="00131A73">
              <w:rPr>
                <w:rFonts w:cstheme="minorHAnsi"/>
              </w:rPr>
              <w:t xml:space="preserve"> прямую связь в режиме реального времени до, во время и после чрезвычайной ситуации или бедствия. В начале декабря 2019 года приложение было протестировано на Багамских Островах.</w:t>
            </w:r>
          </w:p>
          <w:p w14:paraId="2F0BDF23" w14:textId="2CBFE977" w:rsidR="00FA36AD" w:rsidRPr="00131A73" w:rsidRDefault="008C5426" w:rsidP="00FA36AD">
            <w:pPr>
              <w:pStyle w:val="enumlev1"/>
              <w:rPr>
                <w:szCs w:val="24"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szCs w:val="24"/>
              </w:rPr>
              <w:tab/>
              <w:t>В декабре 2018 года в Доминике был организован Многосторонний форум, посвященный роли электросвязи/ИКТ в управлении операциями при бедствиях и снижении риска бедствий, для островных государств Карибского бассейна. Цель форума заключалась в том, чтобы создать предпосылки для более широкого применения ИКТ для управления операциями при бедствиях в регионе, а также рассмотреть основные вопросы, касающиеся наиболее эффективного использования ИКТ для уменьшения риска бедствий и управления операциями в случае их возникновения.</w:t>
            </w:r>
          </w:p>
          <w:p w14:paraId="757C0D3D" w14:textId="2AA8B64F" w:rsidR="00FA36AD" w:rsidRPr="00131A73" w:rsidRDefault="008C5426" w:rsidP="00FA36AD">
            <w:pPr>
              <w:pStyle w:val="enumlev1"/>
              <w:rPr>
                <w:szCs w:val="24"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szCs w:val="24"/>
              </w:rPr>
              <w:tab/>
              <w:t>Были проведены онлайновые многосторонние консультации по вопросам разработки национального плана электросвязи в чрезвычайных ситуациях (NETP) для Сент-Люсии, организованные в сотрудничестве с Министерством жилищного строительства, городского обустройства и электросвязи Сент-Люсии. Был разработан NETP для Сент-Люсии.</w:t>
            </w:r>
          </w:p>
          <w:p w14:paraId="3314E0F6" w14:textId="77777777" w:rsidR="00FA36AD" w:rsidRPr="00131A73" w:rsidRDefault="00FA36AD" w:rsidP="00FA36AD">
            <w:pPr>
              <w:spacing w:before="160"/>
            </w:pPr>
            <w:r w:rsidRPr="00131A73">
              <w:t>Регион арабских государств: окружающая среда, изменение климата и электросвязь в чрезвычайных ситуациях</w:t>
            </w:r>
          </w:p>
          <w:p w14:paraId="43070453" w14:textId="436B53BE" w:rsidR="00FA36AD" w:rsidRPr="00131A73" w:rsidRDefault="008C5426" w:rsidP="00FA36AD">
            <w:pPr>
              <w:pStyle w:val="enumlev1"/>
              <w:rPr>
                <w:rFonts w:cstheme="minorHAnsi"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eastAsia="Calibri"/>
              </w:rPr>
              <w:tab/>
            </w:r>
            <w:r w:rsidR="00FA36AD" w:rsidRPr="00131A73">
              <w:t>Был организован ряд учебных курсов и семинаров-практикумов по снижению риска бедствий и управлению операциями при бедствиях, а также по использованию современных технологий для мониторинга и раннего предупреждения в регионе арабских государств.</w:t>
            </w:r>
          </w:p>
          <w:p w14:paraId="7F3DBE83" w14:textId="77777777" w:rsidR="00FA36AD" w:rsidRPr="00131A73" w:rsidRDefault="00FA36AD" w:rsidP="00FA36AD">
            <w:r w:rsidRPr="00131A73">
              <w:rPr>
                <w:rFonts w:cstheme="minorHAnsi"/>
              </w:rPr>
              <w:lastRenderedPageBreak/>
              <w:t>Азиатско-Тихоокеанский регион: содействие созданию защищенной и способной к</w:t>
            </w:r>
            <w:r w:rsidRPr="00131A73">
              <w:t> </w:t>
            </w:r>
            <w:r w:rsidRPr="00131A73">
              <w:rPr>
                <w:rFonts w:cstheme="minorHAnsi"/>
              </w:rPr>
              <w:t>восстановлению среды</w:t>
            </w:r>
          </w:p>
          <w:p w14:paraId="7EC2AA09" w14:textId="328654DD" w:rsidR="00FA36AD" w:rsidRPr="00131A73" w:rsidRDefault="008C5426" w:rsidP="00FA36AD">
            <w:pPr>
              <w:pStyle w:val="enumlev1"/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eastAsia="Calibri"/>
              </w:rPr>
              <w:tab/>
            </w:r>
            <w:r w:rsidR="00FA36AD" w:rsidRPr="00131A73">
              <w:t>Совместный с DoCA проект помог Папуа-Новой Гвинее, Самоа, Соломоновым Островам и Вануату усовершенствовать планирование национальной электросвязи в чрезвычайных ситуациях и создать соответствующий потенциал. В консультации с Тематическим блоком по вопросам электросвязи в чрезвычайных ситуациях (ETC) для этих островных государств Тихого океана были разработаны национальные планы электросвязи в чрезвычайных ситуациях.</w:t>
            </w:r>
          </w:p>
          <w:p w14:paraId="0D02249E" w14:textId="5238BBFA" w:rsidR="00FA36AD" w:rsidRPr="00131A73" w:rsidRDefault="008C5426" w:rsidP="00FA36AD">
            <w:pPr>
              <w:pStyle w:val="enumlev1"/>
            </w:pPr>
            <w:r w:rsidRPr="00131A73">
              <w:rPr>
                <w:rFonts w:eastAsia="Calibri"/>
              </w:rPr>
              <w:t>−</w:t>
            </w:r>
            <w:r w:rsidR="00FA36AD" w:rsidRPr="00131A73">
              <w:rPr>
                <w:rFonts w:eastAsia="Calibri"/>
              </w:rPr>
              <w:tab/>
            </w:r>
            <w:r w:rsidR="00FA36AD" w:rsidRPr="00131A73">
              <w:t>После разлива нефти на острове Реннелл на Соломоновы Острова были доставлены терминалы широкополосной глобальной сети (BGAN).</w:t>
            </w:r>
          </w:p>
          <w:p w14:paraId="264372EE" w14:textId="6976ED1C" w:rsidR="00FA36AD" w:rsidRPr="00131A73" w:rsidRDefault="008C5426" w:rsidP="00FA36AD">
            <w:pPr>
              <w:pStyle w:val="enumlev1"/>
            </w:pPr>
            <w:r w:rsidRPr="00131A73">
              <w:rPr>
                <w:rFonts w:eastAsia="Calibri"/>
              </w:rPr>
              <w:t>−</w:t>
            </w:r>
            <w:r w:rsidR="00FA36AD" w:rsidRPr="00131A73">
              <w:tab/>
              <w:t>Соломоновы Острова и Вануату повысили свой потенциал реагирования на чрезвычайные ситуации в части электросвязи и эффективно задействовали соответствующие возможности при реагировании на разлив нефти (</w:t>
            </w:r>
            <w:hyperlink r:id="rId120" w:history="1">
              <w:r w:rsidR="00FA36AD" w:rsidRPr="00131A73">
                <w:rPr>
                  <w:rStyle w:val="Hyperlink"/>
                </w:rPr>
                <w:t>остров Реннелл</w:t>
              </w:r>
            </w:hyperlink>
            <w:r w:rsidR="00FA36AD" w:rsidRPr="00131A73">
              <w:t xml:space="preserve">) и циклон пятой категории </w:t>
            </w:r>
            <w:hyperlink r:id="rId121" w:history="1">
              <w:r w:rsidR="00FA36AD" w:rsidRPr="00131A73">
                <w:rPr>
                  <w:rStyle w:val="Hyperlink"/>
                  <w:u w:val="none"/>
                </w:rPr>
                <w:t>"</w:t>
              </w:r>
              <w:r w:rsidR="00FA36AD" w:rsidRPr="00131A73">
                <w:rPr>
                  <w:rStyle w:val="Hyperlink"/>
                  <w:rFonts w:cs="Calibri"/>
                </w:rPr>
                <w:t>Гарольд</w:t>
              </w:r>
              <w:r w:rsidR="00FA36AD" w:rsidRPr="00131A73">
                <w:rPr>
                  <w:rStyle w:val="Hyperlink"/>
                  <w:rFonts w:cs="Calibri"/>
                  <w:u w:val="none"/>
                </w:rPr>
                <w:t>"</w:t>
              </w:r>
            </w:hyperlink>
            <w:r w:rsidR="00FA36AD" w:rsidRPr="00131A73">
              <w:t xml:space="preserve"> соответственно.</w:t>
            </w:r>
          </w:p>
          <w:p w14:paraId="049CCA6A" w14:textId="54714CE5" w:rsidR="00FA36AD" w:rsidRPr="00131A73" w:rsidRDefault="008C5426" w:rsidP="00452886">
            <w:pPr>
              <w:pStyle w:val="enumlev1"/>
              <w:spacing w:after="120"/>
            </w:pPr>
            <w:r w:rsidRPr="00131A73">
              <w:rPr>
                <w:rFonts w:eastAsia="Calibri"/>
              </w:rPr>
              <w:t>−</w:t>
            </w:r>
            <w:r w:rsidR="00FA36AD" w:rsidRPr="00131A73">
              <w:tab/>
              <w:t>В рамках Тихоокеанского проекта по обеспечению возможности установления спутниковых соединений и развитию электросвязи на случай чрезвычайных ситуаций (2014–2020 г</w:t>
            </w:r>
            <w:r w:rsidR="00452886" w:rsidRPr="00131A73">
              <w:t>г.</w:t>
            </w:r>
            <w:r w:rsidR="00FA36AD" w:rsidRPr="00131A73">
              <w:t>) была оказана помощь в обеспечении спутниковой связи девяти странам Азиатско-Тихоокеанского региона (Федеративные Штаты Микронезии, Фиджи, Кирибати, Науру, Папуа-Новая Гвинея, Самоа, Тонга, Тувалу и Вануату). Этот проект, подписанный в 2014 году, реализовывался в партнерстве с ITSO, Intelsat, Inmarsat и Kacific. Эти возможности по установлению соединений обеспечивают работу электронных приложений, используемых школами, сообществами и системой здравоохранения, а когда на Вануату обрушился циклон "Гарольд", они послужили основным каналом связи. Проведенное исследование по оценке воздействия проекта продемонстрировало наличие спроса на такие услуги и важность спутниковых соединений для отдаленных районов, а также значимость цифровой инфраструктуры с точки зрения способности к восстановлению и обеспечения работы электронных приложений в Тихоокеанском регионе.</w:t>
            </w:r>
          </w:p>
        </w:tc>
      </w:tr>
    </w:tbl>
    <w:p w14:paraId="47AD5EB4" w14:textId="77777777" w:rsidR="00FA36AD" w:rsidRPr="00131A73" w:rsidRDefault="00FA36AD" w:rsidP="00A53525">
      <w:pPr>
        <w:spacing w:before="0"/>
        <w:rPr>
          <w:szCs w:val="24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FA36AD" w:rsidRPr="00131A73" w14:paraId="6FA3EE1A" w14:textId="77777777" w:rsidTr="008D3B8A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F9FA" w14:textId="77777777" w:rsidR="00FA36AD" w:rsidRPr="00131A73" w:rsidRDefault="00FA36AD" w:rsidP="00FA36AD">
            <w:pPr>
              <w:shd w:val="clear" w:color="auto" w:fill="FFFFFF"/>
              <w:tabs>
                <w:tab w:val="left" w:pos="720"/>
              </w:tabs>
              <w:overflowPunct/>
              <w:autoSpaceDE/>
              <w:adjustRightInd/>
              <w:rPr>
                <w:rFonts w:asciiTheme="minorHAnsi" w:eastAsia="Calibri" w:hAnsiTheme="minorHAnsi" w:cstheme="minorHAnsi"/>
                <w:b/>
                <w:bCs/>
                <w:szCs w:val="24"/>
                <w:lang w:eastAsia="en-GB"/>
              </w:rPr>
            </w:pPr>
            <w:r w:rsidRPr="00131A73">
              <w:rPr>
                <w:rFonts w:asciiTheme="minorHAnsi" w:eastAsia="Calibri" w:hAnsiTheme="minorHAnsi" w:cstheme="minorHAnsi"/>
                <w:b/>
                <w:szCs w:val="24"/>
                <w:lang w:eastAsia="en-GB"/>
              </w:rPr>
              <w:t>ИССЛЕДОВАТЕЛЬСКИЕ КОМИССИИ</w:t>
            </w:r>
          </w:p>
          <w:p w14:paraId="4980DCD0" w14:textId="77777777" w:rsidR="00FA36AD" w:rsidRPr="00131A73" w:rsidRDefault="00FA36AD" w:rsidP="00FA36AD">
            <w:pPr>
              <w:shd w:val="clear" w:color="auto" w:fill="FFFFFF"/>
              <w:tabs>
                <w:tab w:val="left" w:pos="720"/>
              </w:tabs>
              <w:overflowPunct/>
              <w:autoSpaceDE/>
              <w:adjustRightInd/>
              <w:spacing w:after="120"/>
              <w:rPr>
                <w:rFonts w:asciiTheme="minorHAnsi" w:eastAsia="Calibri" w:hAnsiTheme="minorHAnsi" w:cstheme="minorHAnsi"/>
                <w:szCs w:val="22"/>
                <w:lang w:eastAsia="en-GB"/>
              </w:rPr>
            </w:pPr>
            <w:r w:rsidRPr="00131A73">
              <w:rPr>
                <w:rFonts w:asciiTheme="minorHAnsi" w:eastAsia="Calibri" w:hAnsiTheme="minorHAnsi" w:cstheme="minorHAnsi"/>
                <w:lang w:eastAsia="en-GB"/>
              </w:rPr>
              <w:t>В период с 2018 по 2020 год было организовано в общей сложности три мероприятия совместно со 2</w:t>
            </w:r>
            <w:r w:rsidRPr="00131A73">
              <w:rPr>
                <w:rFonts w:asciiTheme="minorHAnsi" w:eastAsia="Calibri" w:hAnsiTheme="minorHAnsi" w:cstheme="minorHAnsi"/>
                <w:lang w:eastAsia="en-GB"/>
              </w:rPr>
              <w:noBreakHyphen/>
              <w:t xml:space="preserve">й Исследовательской комиссией в рамках Вопроса 5/2 "Использование электросвязи/информационно-коммуникационных технологий для снижения риска бедствий и управления операциями в случае бедствий". Первое мероприятие, проведенное в 2018 году, было посвящено </w:t>
            </w:r>
            <w:hyperlink r:id="rId122" w:history="1">
              <w:r w:rsidRPr="00131A73">
                <w:rPr>
                  <w:rStyle w:val="Hyperlink"/>
                  <w:rFonts w:asciiTheme="minorHAnsi" w:eastAsia="Calibri" w:hAnsiTheme="minorHAnsi" w:cstheme="minorHAnsi"/>
                  <w:i/>
                  <w:iCs/>
                  <w:lang w:eastAsia="en-GB"/>
                </w:rPr>
                <w:t>эволюции технологий и практическим и тренировочным занятиям по управлению операциями при бедствиях с использованием ИКТ</w:t>
              </w:r>
            </w:hyperlink>
            <w:r w:rsidRPr="00131A73">
              <w:rPr>
                <w:rFonts w:asciiTheme="minorHAnsi" w:eastAsia="Calibri" w:hAnsiTheme="minorHAnsi" w:cstheme="minorHAnsi"/>
                <w:iCs/>
                <w:lang w:eastAsia="en-GB"/>
              </w:rPr>
              <w:t xml:space="preserve">, и на нем состоялся обмен опытом и знаниями по проведению эффективных тренировочных занятий для подготовки к бедствиям, использованию систем электросвязи в чрезвычайных ситуациях и иным способам повышения готовности и способности к восстановлению, включая обеспечение доступности появляющихся технологий и их использование. Второе мероприятие состоялось в 2019 году и было посвящено теме </w:t>
            </w:r>
            <w:hyperlink r:id="rId123" w:history="1">
              <w:r w:rsidRPr="00131A73">
                <w:rPr>
                  <w:rStyle w:val="Hyperlink"/>
                  <w:rFonts w:asciiTheme="minorHAnsi" w:eastAsia="Calibri" w:hAnsiTheme="minorHAnsi" w:cstheme="minorHAnsi"/>
                  <w:iCs/>
                  <w:u w:val="none"/>
                  <w:lang w:eastAsia="en-GB"/>
                </w:rPr>
                <w:t>"</w:t>
              </w:r>
              <w:r w:rsidRPr="00131A73">
                <w:rPr>
                  <w:rStyle w:val="Hyperlink"/>
                  <w:rFonts w:asciiTheme="minorHAnsi" w:eastAsia="Calibri" w:hAnsiTheme="minorHAnsi" w:cstheme="minorHAnsi"/>
                  <w:i/>
                  <w:iCs/>
                  <w:lang w:eastAsia="en-GB"/>
                </w:rPr>
                <w:t>Проведение на национальном уровне тренировочных и практических занятий по организации связи в чрезвычайных ситуациях: руководящие указания для малых островных развивающихся государств (СИДС) и наименее развитых стран (НРС)</w:t>
              </w:r>
            </w:hyperlink>
            <w:r w:rsidRPr="00131A73">
              <w:rPr>
                <w:rFonts w:asciiTheme="minorHAnsi" w:eastAsia="Calibri" w:hAnsiTheme="minorHAnsi" w:cstheme="minorHAnsi"/>
                <w:iCs/>
                <w:color w:val="0000FF"/>
                <w:lang w:eastAsia="en-GB"/>
              </w:rPr>
              <w:t>"</w:t>
            </w:r>
            <w:r w:rsidRPr="00131A73">
              <w:rPr>
                <w:rFonts w:asciiTheme="minorHAnsi" w:eastAsia="Calibri" w:hAnsiTheme="minorHAnsi" w:cstheme="minorHAnsi"/>
                <w:iCs/>
                <w:lang w:eastAsia="en-GB"/>
              </w:rPr>
              <w:t xml:space="preserve">; в ходе мероприятия была подчеркнута важность организации на национальном уровне тренировочных занятий по обеспечению электросвязи в чрезвычайных ситуациях для проверки и повышения готовности к своевременному реагированию при бедствиях. На третьем семинаре-практикуме, проведенном в виртуальном режиме и посвященном теме </w:t>
            </w:r>
            <w:hyperlink r:id="rId124" w:history="1">
              <w:r w:rsidRPr="00131A73">
                <w:rPr>
                  <w:rStyle w:val="Hyperlink"/>
                  <w:rFonts w:eastAsia="Calibri" w:cs="Calibri"/>
                  <w:iCs/>
                  <w:u w:val="none"/>
                  <w:lang w:eastAsia="en-GB"/>
                </w:rPr>
                <w:t>"</w:t>
              </w:r>
              <w:r w:rsidRPr="00131A73">
                <w:rPr>
                  <w:rStyle w:val="Hyperlink"/>
                  <w:rFonts w:eastAsia="Calibri" w:cs="Calibri"/>
                  <w:i/>
                  <w:iCs/>
                  <w:lang w:eastAsia="en-GB"/>
                </w:rPr>
                <w:t>Благоприятная политическая среда для эффективного управления операциями при бедствиях, включая меры реагирования на COVID-19</w:t>
              </w:r>
              <w:r w:rsidRPr="00131A73">
                <w:rPr>
                  <w:rStyle w:val="Hyperlink"/>
                  <w:rFonts w:eastAsia="Calibri" w:cs="Calibri"/>
                  <w:iCs/>
                  <w:u w:val="none"/>
                  <w:lang w:eastAsia="en-GB"/>
                </w:rPr>
                <w:t>"</w:t>
              </w:r>
            </w:hyperlink>
            <w:r w:rsidRPr="00131A73">
              <w:rPr>
                <w:rFonts w:eastAsia="Calibri" w:cs="Calibri"/>
                <w:iCs/>
                <w:lang w:eastAsia="en-GB"/>
              </w:rPr>
              <w:t xml:space="preserve">, шла речь о важности составления и реализации национальных планов электросвязи в чрезвычайных ситуациях </w:t>
            </w:r>
            <w:r w:rsidRPr="00131A73">
              <w:rPr>
                <w:rFonts w:asciiTheme="minorHAnsi" w:eastAsia="Calibri" w:hAnsiTheme="minorHAnsi" w:cstheme="minorHAnsi"/>
                <w:lang w:eastAsia="en-GB"/>
              </w:rPr>
              <w:t xml:space="preserve">(NETP), а также планов экстренных мероприятий на случай конкретных опасных явлений, таких как пандемии. Кроме того, в ходе семинара были рассмотрены примеры политических мер по обеспечению гибкости при развертывании оборудования электросвязи для чрезвычайных ситуаций в целях эффективного реагирования на бедствия. </w:t>
            </w:r>
            <w:r w:rsidRPr="00131A73">
              <w:rPr>
                <w:rFonts w:asciiTheme="minorHAnsi" w:eastAsia="Calibri" w:hAnsiTheme="minorHAnsi" w:cstheme="minorHAnsi"/>
                <w:bCs/>
                <w:lang w:eastAsia="en-GB"/>
              </w:rPr>
              <w:t xml:space="preserve">Был одобрен к выпуску ежегодный итоговый документ "Проект руководящих указаний по проведению на национальном уровне тренировочных и практических занятий по организации связи в чрезвычайных ситуациях". </w:t>
            </w:r>
            <w:r w:rsidRPr="00131A73">
              <w:rPr>
                <w:rFonts w:asciiTheme="minorHAnsi" w:eastAsia="Calibri" w:hAnsiTheme="minorHAnsi" w:cstheme="minorHAnsi"/>
                <w:lang w:eastAsia="en-GB"/>
              </w:rPr>
              <w:t>Этот итоговый документ призван служить руководством для стран и организаций в проведении тренировочных и практических занятий в области электросвязи/ИКТ. Он будет опубликован на веб-странице исследовательских комиссий МСЭ-D.</w:t>
            </w:r>
          </w:p>
        </w:tc>
      </w:tr>
    </w:tbl>
    <w:p w14:paraId="7EF253C7" w14:textId="77777777" w:rsidR="00FA36AD" w:rsidRPr="00131A73" w:rsidRDefault="00FA36AD" w:rsidP="00FA36AD">
      <w:pPr>
        <w:pStyle w:val="Heading1"/>
      </w:pPr>
      <w:r w:rsidRPr="00131A73">
        <w:lastRenderedPageBreak/>
        <w:t>7</w:t>
      </w:r>
      <w:r w:rsidRPr="00131A73">
        <w:tab/>
        <w:t>Окружающая среда: создание циркуляционной экономики для электроники</w:t>
      </w:r>
    </w:p>
    <w:p w14:paraId="3184EEB5" w14:textId="77777777" w:rsidR="00FA36AD" w:rsidRPr="00131A73" w:rsidRDefault="00FA36AD" w:rsidP="00FA36AD">
      <w:pPr>
        <w:pStyle w:val="Headingb"/>
        <w:ind w:left="0" w:firstLine="0"/>
        <w:rPr>
          <w:szCs w:val="20"/>
        </w:rPr>
      </w:pPr>
      <w:r w:rsidRPr="00131A73">
        <w:t>Более качественные данные для более эффективной политики: данные по отходам электрического и электронного оборудования (ОЭЭО, или электронные отходы)</w:t>
      </w:r>
    </w:p>
    <w:p w14:paraId="53C66181" w14:textId="77777777" w:rsidR="00FA36AD" w:rsidRPr="00131A73" w:rsidRDefault="00FA36AD" w:rsidP="00FA36AD">
      <w:r w:rsidRPr="00131A73">
        <w:t>Глобальное партнерство по статистическим данным об электронных отходах (GESP), основанное в 2017 году МСЭ, Университетом Организации Объединенных Наций (УООН) и Международной ассоциацией по твердым отходам (ISWA), в июле 2020 года выпустило публикацию "</w:t>
      </w:r>
      <w:hyperlink r:id="rId125" w:history="1">
        <w:r w:rsidRPr="00131A73">
          <w:rPr>
            <w:rStyle w:val="Hyperlink"/>
          </w:rPr>
          <w:t>Глобальный мониторинг электронных отходов, 2020 год</w:t>
        </w:r>
      </w:hyperlink>
      <w:r w:rsidRPr="00131A73">
        <w:t xml:space="preserve">". Все аналогичные документы по мониторингу размещены на веб-сайте GESP – бесплатной и доступной для всех онлайновой платформе по адресу </w:t>
      </w:r>
      <w:hyperlink r:id="rId126" w:history="1">
        <w:r w:rsidRPr="00131A73">
          <w:rPr>
            <w:rStyle w:val="Hyperlink"/>
          </w:rPr>
          <w:t>globalewaste.org</w:t>
        </w:r>
      </w:hyperlink>
      <w:r w:rsidRPr="00131A73">
        <w:t>, где можно найти данные и статистику по ОЭЭО практически по всем странам и регионам. На этом портале также в открытом доступе размещены более 150 публикаций по вопросам ОЭЭО, выпущенных партнерами Организации Объединенных Наций. Кроме того, были проведены региональные учебные мероприятия по вопросам статистики в области ОЭЭО для региона СНГ, а также Грузии, Туркменистана и Украины в Российской Федерации; для региона арабских государств – в Тунисе; и для Африканского региона – в Уганде в сотрудничестве с Восточноафриканской организацией связи (EACO). Также были проведены учебные мероприятия национального уровня в Танзании, Иордании и Бразилии.</w:t>
      </w:r>
    </w:p>
    <w:p w14:paraId="7C978433" w14:textId="77777777" w:rsidR="00FA36AD" w:rsidRPr="00131A73" w:rsidRDefault="00FA36AD" w:rsidP="00FA36AD">
      <w:pPr>
        <w:pStyle w:val="Headingb"/>
        <w:ind w:left="0" w:firstLine="0"/>
      </w:pPr>
      <w:r w:rsidRPr="00131A73">
        <w:t>Поддержка политики в области ОЭЭО</w:t>
      </w:r>
    </w:p>
    <w:p w14:paraId="5BB79FC6" w14:textId="77777777" w:rsidR="00FA36AD" w:rsidRPr="00131A73" w:rsidRDefault="00FA36AD" w:rsidP="00FA36AD">
      <w:r w:rsidRPr="00131A73">
        <w:t xml:space="preserve">С 2019 года МСЭ оказывает </w:t>
      </w:r>
      <w:hyperlink r:id="rId127" w:history="1">
        <w:r w:rsidRPr="00131A73">
          <w:rPr>
            <w:rStyle w:val="Hyperlink"/>
          </w:rPr>
          <w:t>техническую помощь</w:t>
        </w:r>
      </w:hyperlink>
      <w:r w:rsidRPr="00131A73">
        <w:t xml:space="preserve"> в определении заинтересованных сторон, проведении с ними консультаций и разработке национальной политики в области управления ОЭЭО Намибии. В сотрудничестве с Министерством ИКТ были организованы очные и онлайновые консультации с рядом заинтересованных сторон, и в 2020 году формат онлайновых консультаций продолжил успешно развиваться, несмотря на пандемию коронавируса. В процессе разработки политики в рамках основанного на участии общественности подхода были проведены консультации с более чем 15 министерствами и более чем 10 региональными советами, переработчиками, импортерами и региональными производителями. С начала 2020 года МСЭ оказывает помощь Малави в разработке национальной политики в области управления ОЭЭО по линии Регуляторного органа Малави в области электросвязи и Департамента по вопросам окружающей среды. В октябре 2020 года были проведены онлайновые консультации с 17 министерствами и департаментами и четырьмя органами местной власти. В настоящее время МСЭ готовится оказать помощь в разработке политики Бахрейну. </w:t>
      </w:r>
    </w:p>
    <w:p w14:paraId="2E794386" w14:textId="77777777" w:rsidR="00FA36AD" w:rsidRPr="00131A73" w:rsidRDefault="00FA36AD" w:rsidP="00FA36AD">
      <w:r w:rsidRPr="00131A73">
        <w:t>В 2020 году МСЭ подписал соглашение с Всемирным экономическим форумом (ВЭФ) о реализации проекта по разработке комплекта материалов для развивающихся стран и формирующихся рынков, предназначенного главным образом для Африканского региона, с описанием структурных элементов, необходимых для формирования справедливой, основанной на принципе равноправия, широко освещаемой и стабильно финансируемой системы расширенной ответственности производителя (РОП) для управления ОЭЭО.</w:t>
      </w:r>
    </w:p>
    <w:p w14:paraId="7D20484A" w14:textId="77777777" w:rsidR="00FA36AD" w:rsidRPr="00131A73" w:rsidRDefault="00FA36AD" w:rsidP="00FA36AD">
      <w:r w:rsidRPr="00131A73">
        <w:t xml:space="preserve">Разработан специализированный модуль электронного обучения, который послужит МСЭ подспорьем в оказании технической помощи по разработке политики в области ОЭЭО. Темы, освещаемые в рамках этого модуля электронного обучения, выпущенного в марте 2021 года, включают в себя ключевые концепции управления ОЭЭО, разработку политики по РОП, информацию о роли и ответственности заинтересованных сторон и предлагаемые определения. </w:t>
      </w:r>
    </w:p>
    <w:p w14:paraId="5A822C34" w14:textId="77777777" w:rsidR="00FA36AD" w:rsidRPr="00131A73" w:rsidRDefault="00FA36AD" w:rsidP="00FA36AD">
      <w:pPr>
        <w:spacing w:after="120"/>
        <w:rPr>
          <w:rFonts w:cs="Calibri"/>
        </w:rPr>
      </w:pPr>
      <w:r w:rsidRPr="00131A73">
        <w:rPr>
          <w:rFonts w:cs="Calibri"/>
        </w:rPr>
        <w:t xml:space="preserve">В сотрудничестве со Всемирным экономическим форумом (ВЭФ) МСЭ подготовил комплект материалов по </w:t>
      </w:r>
      <w:hyperlink r:id="rId128" w:history="1">
        <w:r w:rsidRPr="00131A73">
          <w:rPr>
            <w:rStyle w:val="Hyperlink"/>
            <w:rFonts w:cs="Calibri"/>
            <w:i/>
            <w:iCs/>
          </w:rPr>
          <w:t>Практической политике в области управления электронными отходами</w:t>
        </w:r>
      </w:hyperlink>
      <w:r w:rsidRPr="00131A73">
        <w:rPr>
          <w:rStyle w:val="Hyperlink"/>
          <w:rFonts w:cs="Calibri"/>
          <w:color w:val="auto"/>
          <w:u w:val="none"/>
        </w:rPr>
        <w:t>.</w:t>
      </w:r>
      <w:r w:rsidRPr="00131A73">
        <w:rPr>
          <w:rFonts w:cs="Calibri"/>
        </w:rPr>
        <w:t xml:space="preserve"> Этот комплект материалов, изданный в апреле 2021 года, предназначен для директивных органов и представляет собой руководство для национальных и местных органов власти, в котором изложены системные требования по управлению электронными отходами с многочисленными примерами из опыта африканских стран. МСЭ использует этот комплект материалов на своих семинарах по политике в области электронных отходов.</w:t>
      </w:r>
    </w:p>
    <w:p w14:paraId="4EE6A154" w14:textId="77777777" w:rsidR="00FA36AD" w:rsidRPr="00131A73" w:rsidRDefault="00FA36AD" w:rsidP="00FA36AD">
      <w:pPr>
        <w:pStyle w:val="Headingb"/>
        <w:ind w:left="0" w:firstLine="0"/>
      </w:pPr>
      <w:r w:rsidRPr="00131A73">
        <w:lastRenderedPageBreak/>
        <w:t>Техническая поддержка в области ОЭЭО</w:t>
      </w:r>
    </w:p>
    <w:p w14:paraId="00C7F693" w14:textId="77777777" w:rsidR="00FA36AD" w:rsidRPr="00131A73" w:rsidRDefault="00FA36AD" w:rsidP="00FA36AD">
      <w:r w:rsidRPr="00131A73">
        <w:t xml:space="preserve">В 2019 и 2020 годах МСЭ сотрудничал с Форумом по ОЭЭО в подготовке мероприятий в рамках </w:t>
      </w:r>
      <w:hyperlink r:id="rId129" w:history="1">
        <w:r w:rsidRPr="00131A73">
          <w:rPr>
            <w:rStyle w:val="Hyperlink"/>
          </w:rPr>
          <w:t>Международного дня по проблеме электронных отходов</w:t>
        </w:r>
      </w:hyperlink>
      <w:r w:rsidRPr="00131A73">
        <w:t xml:space="preserve"> (IEWD), который отмечается ежегодно 14 октября. Его основной </w:t>
      </w:r>
      <w:hyperlink r:id="rId130" w:history="1">
        <w:r w:rsidRPr="00131A73">
          <w:rPr>
            <w:rStyle w:val="Hyperlink"/>
          </w:rPr>
          <w:t>темой в 2020 году</w:t>
        </w:r>
      </w:hyperlink>
      <w:r w:rsidRPr="00131A73">
        <w:t xml:space="preserve"> стала роль молодежи в управлении ОЭЭО. По случаю празднования IEWD 2020 года МСЭ совместно с Форумом по ОЭЭО опубликовали информационный документ, посвященный </w:t>
      </w:r>
      <w:hyperlink r:id="rId131" w:history="1">
        <w:r w:rsidRPr="00131A73">
          <w:rPr>
            <w:rStyle w:val="Hyperlink"/>
          </w:rPr>
          <w:t>интернет-отходам</w:t>
        </w:r>
      </w:hyperlink>
      <w:r w:rsidRPr="00131A73">
        <w:t xml:space="preserve">. После публикации был проведен </w:t>
      </w:r>
      <w:hyperlink r:id="rId132" w:history="1">
        <w:r w:rsidRPr="00131A73">
          <w:rPr>
            <w:rStyle w:val="Hyperlink"/>
          </w:rPr>
          <w:t>вебинар</w:t>
        </w:r>
      </w:hyperlink>
      <w:r w:rsidRPr="00131A73">
        <w:t xml:space="preserve"> с участием ряда ИТ-компаний и компаний электронного оборудования, поставщиков услуг и переработчиков. В информационном документе по интернет-отходам описываются ОЭЭО от беспроводной инфраструктуры мобильных интернет-соединений, подключенных устройств и систем хранения данных и в частности приводятся примеры отходов сетей подвижной связи, IoT и центров обработки данных. Этот документ имеет целью повысить информированность об отходах инфраструктуры, обеспечивающей соединения, и о необходимости внедрения практики устойчивого управления ОЭЭО в отраслях обработки данных и электросвязи с учетом прогнозируемого роста.</w:t>
      </w:r>
    </w:p>
    <w:p w14:paraId="124B1DD4" w14:textId="77777777" w:rsidR="00FA36AD" w:rsidRPr="00131A73" w:rsidRDefault="00FA36AD" w:rsidP="00FA36AD">
      <w:pPr>
        <w:pStyle w:val="Headingb"/>
        <w:ind w:left="0" w:firstLine="0"/>
      </w:pPr>
      <w:r w:rsidRPr="00131A73">
        <w:t>Коалиция ООН по электронным отходам</w:t>
      </w:r>
    </w:p>
    <w:p w14:paraId="66C3F8E0" w14:textId="77777777" w:rsidR="00FA36AD" w:rsidRPr="00131A73" w:rsidRDefault="00600F1F" w:rsidP="00FA36AD">
      <w:hyperlink r:id="rId133" w:history="1">
        <w:r w:rsidR="00FA36AD" w:rsidRPr="00131A73">
          <w:rPr>
            <w:rStyle w:val="Hyperlink"/>
          </w:rPr>
          <w:t>Коалиция ООН по электронным отходам</w:t>
        </w:r>
      </w:hyperlink>
      <w:r w:rsidR="00FA36AD" w:rsidRPr="00131A73">
        <w:t xml:space="preserve"> – это общесистемная группа учреждений, программ и органов ООН, имеющих общее видение решения глобальной проблемы электронных отходов. Эта Коалиция была сформирована во многом благодаря усилиям МСЭ по налаживанию взаимодействия между этими структурами, и с конца 2020 года секретариат Коалиции располагается в МСЭ. Коалиция ООН по электронным отходам организовала ряд мероприятий, включая два диалога высокого уровня в рамках Форума ВВУИО, а также </w:t>
      </w:r>
      <w:hyperlink r:id="rId134" w:history="1">
        <w:r w:rsidR="00FA36AD" w:rsidRPr="00131A73">
          <w:rPr>
            <w:rStyle w:val="Hyperlink"/>
          </w:rPr>
          <w:t>одно мероприятие в 2018 году</w:t>
        </w:r>
      </w:hyperlink>
      <w:r w:rsidR="00FA36AD" w:rsidRPr="00131A73">
        <w:t xml:space="preserve">, на котором учреждения ООН подписали письмо о намерениях, и </w:t>
      </w:r>
      <w:hyperlink r:id="rId135" w:history="1">
        <w:r w:rsidR="00FA36AD" w:rsidRPr="00131A73">
          <w:rPr>
            <w:rStyle w:val="Hyperlink"/>
          </w:rPr>
          <w:t>одно мероприятие в 2019 году, по итогам которого к Коалиции присоединились еще три учреждения ООН</w:t>
        </w:r>
      </w:hyperlink>
      <w:r w:rsidR="00FA36AD" w:rsidRPr="00131A73">
        <w:t xml:space="preserve">. Эти два мероприятия были посвящены вопросам развития Коалиции ООН по электронным отходам. Коалицией также было организовано сопутствующее мероприятие в ходе четырнадцатого совещания Конференции Сторон Базельской, Роттердамской и Стокгольмской конвенций. Это сопутствующее мероприятие было посвящено вопросам </w:t>
      </w:r>
      <w:hyperlink r:id="rId136" w:history="1">
        <w:r w:rsidR="00FA36AD" w:rsidRPr="00131A73">
          <w:rPr>
            <w:rStyle w:val="Hyperlink"/>
          </w:rPr>
          <w:t>перехода к устойчивым и ответственным цепям поставок с обратными потоками в целях формирования циркуляционной экономики для электроники.</w:t>
        </w:r>
      </w:hyperlink>
    </w:p>
    <w:p w14:paraId="072F8AD3" w14:textId="77777777" w:rsidR="00FA36AD" w:rsidRPr="00131A73" w:rsidRDefault="00FA36AD" w:rsidP="00FA36AD">
      <w:pPr>
        <w:keepNext/>
        <w:spacing w:before="160"/>
        <w:rPr>
          <w:rFonts w:cs="Times New Roman Bold"/>
          <w:b/>
          <w:szCs w:val="20"/>
        </w:rPr>
      </w:pPr>
      <w:r w:rsidRPr="00131A73">
        <w:rPr>
          <w:rFonts w:cs="Times New Roman Bold"/>
          <w:b/>
        </w:rPr>
        <w:t>Партнерство по вопросам циркуляционной электроники</w:t>
      </w:r>
    </w:p>
    <w:p w14:paraId="45ED6990" w14:textId="77777777" w:rsidR="00FA36AD" w:rsidRPr="00131A73" w:rsidRDefault="00FA36AD" w:rsidP="00FA36AD">
      <w:pPr>
        <w:spacing w:after="160"/>
      </w:pPr>
      <w:r w:rsidRPr="00131A73">
        <w:t xml:space="preserve">МСЭ внес вклад в разработку </w:t>
      </w:r>
      <w:hyperlink r:id="rId137" w:history="1">
        <w:r w:rsidRPr="00131A73">
          <w:rPr>
            <w:rStyle w:val="Hyperlink"/>
          </w:rPr>
          <w:t>дорожной карты и концепции Партнерства по вопросам циркуляционной электроники</w:t>
        </w:r>
      </w:hyperlink>
      <w:r w:rsidRPr="00131A73">
        <w:t xml:space="preserve"> (CEP), в состав которого входит Всемирный совет деловых кругов по вопросам устойчивого развития, Всемирный экономический форум, Союз ответственного бизнеса, Совет по "зеленой" электронике, Партнерство по ускорению создания циркуляционной экономики и Глобальная инициатива по устойчивому развитию электронной сферы. Сотрудничество в рамках CEP нацелено на изменение условий деятельности в сфере электронной промышленности за счет внедрения принципов циркуляционной экономики в целях содействия достижению ЦУР.</w:t>
      </w:r>
    </w:p>
    <w:p w14:paraId="3FF799E5" w14:textId="77777777" w:rsidR="00FA36AD" w:rsidRPr="00131A73" w:rsidRDefault="00FA36AD" w:rsidP="00FA36AD">
      <w:pPr>
        <w:spacing w:after="160"/>
      </w:pPr>
      <w:r w:rsidRPr="00131A73">
        <w:t>В основу его деятельности легла публикация "</w:t>
      </w:r>
      <w:hyperlink r:id="rId138" w:history="1">
        <w:r w:rsidRPr="00131A73">
          <w:rPr>
            <w:rStyle w:val="Hyperlink"/>
          </w:rPr>
          <w:t>Новая циркуляционная концепция для электроники</w:t>
        </w:r>
      </w:hyperlink>
      <w:r w:rsidRPr="00131A73">
        <w:rPr>
          <w:color w:val="0000FF"/>
        </w:rPr>
        <w:t>"</w:t>
      </w:r>
      <w:r w:rsidRPr="00131A73">
        <w:t>, также подготовленная при участии МСЭ и представленная в ходе ежегодной встречи Всемирного экономического форума в 2019 году в Давосе, Швейцария.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FA36AD" w:rsidRPr="00131A73" w14:paraId="0B2590C5" w14:textId="77777777" w:rsidTr="008D3B8A">
        <w:trPr>
          <w:cantSplit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C534" w14:textId="77777777" w:rsidR="00FA36AD" w:rsidRPr="00131A73" w:rsidRDefault="00FA36AD" w:rsidP="00FA36AD">
            <w:pPr>
              <w:rPr>
                <w:b/>
              </w:rPr>
            </w:pPr>
            <w:r w:rsidRPr="00131A73">
              <w:rPr>
                <w:b/>
              </w:rPr>
              <w:lastRenderedPageBreak/>
              <w:t>РЕГИОНАЛЬНЫЕ ИНИЦИАТИВЫ</w:t>
            </w:r>
          </w:p>
          <w:p w14:paraId="28B51BA8" w14:textId="77777777" w:rsidR="00FA36AD" w:rsidRPr="00131A73" w:rsidRDefault="00FA36AD" w:rsidP="00FA36AD">
            <w:r w:rsidRPr="00131A73">
              <w:t>Регион Северной и Южной Америки: связь для снижения риска бедствий и управления операциями при бедствиях</w:t>
            </w:r>
          </w:p>
          <w:p w14:paraId="46F2C59C" w14:textId="5C91E283" w:rsidR="00FA36AD" w:rsidRPr="00131A73" w:rsidRDefault="00452886" w:rsidP="00FA36AD">
            <w:pPr>
              <w:pStyle w:val="enumlev1"/>
            </w:pPr>
            <w:r w:rsidRPr="00131A73">
              <w:rPr>
                <w:rFonts w:eastAsia="Calibri"/>
              </w:rPr>
              <w:t>−</w:t>
            </w:r>
            <w:r w:rsidR="00FA36AD" w:rsidRPr="00131A73">
              <w:tab/>
              <w:t>В рамках празднования Дня "Девушки в ИКТ" в 2019 году в странах Карибского бассейна при поддержке местных регуляторных органов, министерств образования и НПО была проведена кампания по повышению осведомленности о негативных последствиях изменения климата, которая заключалась в посадке деревьев на территории школ.</w:t>
            </w:r>
          </w:p>
          <w:p w14:paraId="6A93D9BF" w14:textId="48D56B87" w:rsidR="00FA36AD" w:rsidRPr="00131A73" w:rsidRDefault="00452886" w:rsidP="00FA36AD">
            <w:pPr>
              <w:pStyle w:val="enumlev1"/>
            </w:pPr>
            <w:r w:rsidRPr="00131A73">
              <w:rPr>
                <w:rFonts w:eastAsia="Calibri"/>
              </w:rPr>
              <w:t>−</w:t>
            </w:r>
            <w:r w:rsidR="00FA36AD" w:rsidRPr="00131A73">
              <w:tab/>
              <w:t xml:space="preserve">БРЭ реализовало </w:t>
            </w:r>
            <w:hyperlink r:id="rId139" w:history="1">
              <w:r w:rsidR="00FA36AD" w:rsidRPr="00131A73">
                <w:rPr>
                  <w:rStyle w:val="Hyperlink"/>
                </w:rPr>
                <w:t>проект</w:t>
              </w:r>
            </w:hyperlink>
            <w:r w:rsidR="00FA36AD" w:rsidRPr="00131A73">
              <w:t xml:space="preserve"> опытного предприятия по переработке электронных отходов, разработанный совместно с Университетом Ла-Плата в Аргентине. Он был успешно завершен в 2018 году.</w:t>
            </w:r>
          </w:p>
          <w:p w14:paraId="451559B1" w14:textId="77777777" w:rsidR="00FA36AD" w:rsidRPr="00131A73" w:rsidRDefault="00FA36AD" w:rsidP="00FA36AD">
            <w:pPr>
              <w:rPr>
                <w:szCs w:val="22"/>
              </w:rPr>
            </w:pPr>
            <w:r w:rsidRPr="00131A73">
              <w:t>Регион арабских государств: окружающая среда, изменение климата и электросвязь в чрезвычайных ситуациях</w:t>
            </w:r>
          </w:p>
          <w:p w14:paraId="5F1EA4F4" w14:textId="76169B9D" w:rsidR="00FA36AD" w:rsidRPr="00131A73" w:rsidRDefault="00452886" w:rsidP="00FA36AD">
            <w:r w:rsidRPr="00131A73">
              <w:rPr>
                <w:rFonts w:eastAsia="Calibri"/>
              </w:rPr>
              <w:t>−</w:t>
            </w:r>
            <w:r w:rsidR="00FA36AD" w:rsidRPr="00131A73">
              <w:tab/>
              <w:t>Бахрейн получает поддержку по разработке национальной политики управления ОЭЭО.</w:t>
            </w:r>
          </w:p>
          <w:p w14:paraId="35AB13AF" w14:textId="6D4C59AB" w:rsidR="00FA36AD" w:rsidRPr="00131A73" w:rsidRDefault="00452886" w:rsidP="00FA36AD">
            <w:pPr>
              <w:pStyle w:val="enumlev1"/>
            </w:pPr>
            <w:r w:rsidRPr="00131A73">
              <w:rPr>
                <w:rFonts w:eastAsia="Calibri"/>
              </w:rPr>
              <w:t>−</w:t>
            </w:r>
            <w:r w:rsidR="00FA36AD" w:rsidRPr="00131A73">
              <w:tab/>
              <w:t xml:space="preserve">В регионе арабских государств реализуется проект по мониторингу электронных отходов, направленный на сбор и улучшение статистических данных по ОЭЭО в регионе. Этот проект будет способствовать повышению доступности и качества данных и доступности законодательных и нормативных актов, а также содействовать осведомленности за счет проведения семинаров-практикумов по созданию потенциала. Кроме того, собранные данные об ОЭЭО будут переданы директивным органам, средствам массовой информации и другим заинтересованным сторонам. </w:t>
            </w:r>
          </w:p>
          <w:p w14:paraId="7F1F01C1" w14:textId="46DF01A0" w:rsidR="00FA36AD" w:rsidRPr="00131A73" w:rsidRDefault="00452886" w:rsidP="00FA36AD">
            <w:pPr>
              <w:pStyle w:val="enumlev1"/>
            </w:pPr>
            <w:r w:rsidRPr="00131A73">
              <w:rPr>
                <w:rFonts w:eastAsia="Calibri"/>
              </w:rPr>
              <w:t>−</w:t>
            </w:r>
            <w:r w:rsidR="00FA36AD" w:rsidRPr="00131A73">
              <w:tab/>
              <w:t xml:space="preserve">В декабре 2020 года состоялось </w:t>
            </w:r>
            <w:hyperlink r:id="rId140" w:history="1">
              <w:r w:rsidR="00FA36AD" w:rsidRPr="00131A73">
                <w:rPr>
                  <w:rStyle w:val="Hyperlink"/>
                </w:rPr>
                <w:t>региональное онлайновое мероприятие, организованное МСЭ совместно с УООН и ЮНЕП.</w:t>
              </w:r>
            </w:hyperlink>
            <w:r w:rsidR="00FA36AD" w:rsidRPr="00131A73">
              <w:t xml:space="preserve"> Семинар-практикум был посвящен теме ОЭЭО и мерам, необходимым для обеспечения региональной согласованности национальной политики, регулирования и стандартов в области электронных отходов в регионе арабских государств.</w:t>
            </w:r>
          </w:p>
          <w:p w14:paraId="63933981" w14:textId="77777777" w:rsidR="00FA36AD" w:rsidRPr="00131A73" w:rsidRDefault="00FA36AD" w:rsidP="00FA36AD">
            <w:r w:rsidRPr="00131A73">
              <w:t>Азиатско-Тихоокеанский регион: содействие созданию защищенной и способной к восстановлению среды</w:t>
            </w:r>
          </w:p>
          <w:p w14:paraId="2211F563" w14:textId="75A271F2" w:rsidR="00FA36AD" w:rsidRPr="00131A73" w:rsidRDefault="00452886" w:rsidP="00FA36AD">
            <w:pPr>
              <w:pStyle w:val="enumlev1"/>
            </w:pPr>
            <w:r w:rsidRPr="00131A73">
              <w:rPr>
                <w:rFonts w:eastAsia="Calibri"/>
              </w:rPr>
              <w:t>−</w:t>
            </w:r>
            <w:r w:rsidR="00FA36AD" w:rsidRPr="00131A73">
              <w:tab/>
              <w:t xml:space="preserve">В 2019 году совместными усилиями ключевых учреждений правительства Индии и УООН, МОТ, ВОЗ и ЮНЕП в Хайдарабаде, Индия, проведен семинар-практикум </w:t>
            </w:r>
            <w:hyperlink r:id="rId141" w:history="1">
              <w:r w:rsidR="00FA36AD" w:rsidRPr="00131A73">
                <w:rPr>
                  <w:rStyle w:val="Hyperlink"/>
                </w:rPr>
                <w:t>по повышению осведомленности о политике в области электронных отходов</w:t>
              </w:r>
            </w:hyperlink>
            <w:r w:rsidR="00FA36AD" w:rsidRPr="00131A73">
              <w:t xml:space="preserve">. Семинар-практикум способствовал повышению осведомленности и созданию потенциала, и по его итогам были представлены рекомендации для будущей работы в области ОЭЭО в Индии, включая подготовку проекта "Паниндийский мониторинг электронных отходов". </w:t>
            </w:r>
          </w:p>
          <w:p w14:paraId="25FFA38B" w14:textId="61A2A4B3" w:rsidR="00FA36AD" w:rsidRPr="00131A73" w:rsidRDefault="00452886" w:rsidP="00FA36AD">
            <w:pPr>
              <w:pStyle w:val="enumlev1"/>
              <w:rPr>
                <w:szCs w:val="22"/>
              </w:rPr>
            </w:pPr>
            <w:r w:rsidRPr="00131A73">
              <w:rPr>
                <w:rFonts w:eastAsia="Calibri"/>
              </w:rPr>
              <w:t>−</w:t>
            </w:r>
            <w:r w:rsidR="00FA36AD" w:rsidRPr="00131A73">
              <w:tab/>
              <w:t>В январе 2021 года в качестве последующей меры МСЭ совместно с ЮНЕП и УООН организовал информационную сессию по электронным отходам.</w:t>
            </w:r>
          </w:p>
          <w:p w14:paraId="5B31D766" w14:textId="77777777" w:rsidR="00FA36AD" w:rsidRPr="00131A73" w:rsidRDefault="00FA36AD" w:rsidP="00FA36AD">
            <w:r w:rsidRPr="00131A73">
              <w:rPr>
                <w:rFonts w:eastAsia="Calibri" w:cs="Calibri"/>
              </w:rPr>
              <w:t>Африканский регион: создание цифровой экономики и содействие инновациям в Африке</w:t>
            </w:r>
          </w:p>
          <w:p w14:paraId="22213DF9" w14:textId="776CEDB5" w:rsidR="00FA36AD" w:rsidRPr="00131A73" w:rsidRDefault="00452886" w:rsidP="00FA36AD">
            <w:pPr>
              <w:pStyle w:val="enumlev1"/>
            </w:pPr>
            <w:r w:rsidRPr="00131A73">
              <w:rPr>
                <w:rFonts w:eastAsia="Calibri"/>
              </w:rPr>
              <w:t>−</w:t>
            </w:r>
            <w:r w:rsidR="00FA36AD" w:rsidRPr="00131A73">
              <w:tab/>
              <w:t>В настоящее время поддержка в разработке национальной политики в области управления ОЭЭО оказывается Намибии и Малави, и параллельно с этим Намибии, Малави и Ботсване оказывается ориентированная на национальные потребности помощь в сборе и повышении качества данных и статистики по ОЭЭО. EACO в сотрудничестве с МСЭ ведет работу над новым проектом, связанным с данными и статистикой в области ОЭЭО.</w:t>
            </w:r>
          </w:p>
          <w:p w14:paraId="70532BBB" w14:textId="77777777" w:rsidR="00FA36AD" w:rsidRPr="00131A73" w:rsidRDefault="00FA36AD" w:rsidP="00FA36AD">
            <w:pPr>
              <w:overflowPunct/>
              <w:autoSpaceDE/>
              <w:adjustRightInd/>
            </w:pPr>
            <w:r w:rsidRPr="00131A73">
              <w:t>Регион СНГ: мониторинг экологического состояния, наличия и рационального использования природных ресурсов</w:t>
            </w:r>
          </w:p>
          <w:p w14:paraId="41C1A091" w14:textId="71594FAD" w:rsidR="00FA36AD" w:rsidRPr="00131A73" w:rsidRDefault="00452886" w:rsidP="00FA36AD">
            <w:pPr>
              <w:pStyle w:val="enumlev1"/>
              <w:spacing w:before="40"/>
            </w:pPr>
            <w:r w:rsidRPr="00131A73">
              <w:rPr>
                <w:rFonts w:eastAsia="Calibri"/>
              </w:rPr>
              <w:t>−</w:t>
            </w:r>
            <w:r w:rsidR="00FA36AD" w:rsidRPr="00131A73">
              <w:tab/>
              <w:t>МСЭ оказывает поддержку осуществлению проекта "Региональный мониторинг электронных отходов в СНГ, Грузии, Туркменистане и Украине", реализуемого по линии программы "Устойчивые циклы" (SCYCLE) при содействии Университета Организации Объединенных Наций (УООН) и Учебного и научно-исследовательского института ООН (ЮНИТАР) и в партнерстве с Программой Организации Объединенных Наций по окружающей среде (ЮНЕП); для отслеживания хода выполнения проекта в январе 2020 года было организовано региональное совещание в России, а в ноябре 2020 года – онлайн-вебинар по законодательству, управлению и статистике в области электронных отходов.</w:t>
            </w:r>
          </w:p>
          <w:p w14:paraId="3C39A96D" w14:textId="1EC48531" w:rsidR="00FA36AD" w:rsidRPr="00131A73" w:rsidRDefault="00452886" w:rsidP="00FA36AD">
            <w:pPr>
              <w:pStyle w:val="enumlev1"/>
              <w:keepLines/>
            </w:pPr>
            <w:r w:rsidRPr="00131A73">
              <w:rPr>
                <w:rFonts w:eastAsia="Calibri"/>
              </w:rPr>
              <w:t>−</w:t>
            </w:r>
            <w:r w:rsidR="00FA36AD" w:rsidRPr="00131A73">
              <w:tab/>
              <w:t>В 2020 году МСЭ совместно с Кыргызстаном завершил работу над системой инфраструктуры пространственных данных, предназначенной для анализа и мониторинга экологического состояния в Центральной Азии.</w:t>
            </w:r>
          </w:p>
        </w:tc>
      </w:tr>
    </w:tbl>
    <w:p w14:paraId="3B2F84B2" w14:textId="77777777" w:rsidR="00FA36AD" w:rsidRPr="00131A73" w:rsidRDefault="00FA36AD" w:rsidP="00576A46">
      <w:pPr>
        <w:shd w:val="clear" w:color="auto" w:fill="FFFFFF"/>
        <w:tabs>
          <w:tab w:val="left" w:pos="720"/>
        </w:tabs>
        <w:overflowPunct/>
        <w:autoSpaceDE/>
        <w:adjustRightInd/>
        <w:spacing w:before="0"/>
        <w:rPr>
          <w:rFonts w:asciiTheme="minorHAnsi" w:eastAsia="Calibri" w:hAnsiTheme="minorHAnsi" w:cstheme="minorHAnsi"/>
          <w:szCs w:val="24"/>
          <w:lang w:eastAsia="en-GB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FA36AD" w:rsidRPr="00131A73" w14:paraId="59F2550E" w14:textId="77777777" w:rsidTr="008D3B8A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842C" w14:textId="77777777" w:rsidR="00FA36AD" w:rsidRPr="00131A73" w:rsidRDefault="00FA36AD" w:rsidP="00FA36AD">
            <w:pPr>
              <w:keepNext/>
              <w:shd w:val="clear" w:color="auto" w:fill="FFFFFF"/>
              <w:tabs>
                <w:tab w:val="left" w:pos="720"/>
              </w:tabs>
              <w:overflowPunct/>
              <w:autoSpaceDE/>
              <w:adjustRightInd/>
              <w:rPr>
                <w:rFonts w:asciiTheme="minorHAnsi" w:eastAsia="Calibri" w:hAnsiTheme="minorHAnsi" w:cstheme="minorHAnsi"/>
                <w:b/>
                <w:bCs/>
                <w:szCs w:val="24"/>
                <w:lang w:eastAsia="en-GB"/>
              </w:rPr>
            </w:pPr>
            <w:r w:rsidRPr="00131A73">
              <w:rPr>
                <w:rFonts w:asciiTheme="minorHAnsi" w:eastAsia="Calibri" w:hAnsiTheme="minorHAnsi" w:cstheme="minorHAnsi"/>
                <w:b/>
                <w:szCs w:val="24"/>
                <w:lang w:eastAsia="en-GB"/>
              </w:rPr>
              <w:t>ИССЛЕДОВАТЕЛЬСКИЕ КОМИССИИ</w:t>
            </w:r>
          </w:p>
          <w:p w14:paraId="609547DA" w14:textId="77777777" w:rsidR="00FA36AD" w:rsidRPr="00131A73" w:rsidRDefault="00FA36AD" w:rsidP="00FA36AD">
            <w:pPr>
              <w:keepNext/>
              <w:shd w:val="clear" w:color="auto" w:fill="FFFFFF"/>
              <w:tabs>
                <w:tab w:val="left" w:pos="720"/>
              </w:tabs>
              <w:overflowPunct/>
              <w:autoSpaceDE/>
              <w:adjustRightInd/>
              <w:spacing w:after="120"/>
              <w:rPr>
                <w:rFonts w:asciiTheme="minorHAnsi" w:eastAsia="Calibri" w:hAnsiTheme="minorHAnsi" w:cstheme="minorHAnsi"/>
                <w:szCs w:val="22"/>
                <w:lang w:eastAsia="en-GB"/>
              </w:rPr>
            </w:pPr>
            <w:r w:rsidRPr="00131A73">
              <w:rPr>
                <w:rFonts w:asciiTheme="minorHAnsi" w:eastAsia="Calibri" w:hAnsiTheme="minorHAnsi" w:cstheme="minorHAnsi"/>
                <w:lang w:eastAsia="en-GB"/>
              </w:rPr>
              <w:t>Были организованы три мероприятия в сотрудничестве со 2-й Исследовательской комиссией МСЭ</w:t>
            </w:r>
            <w:r w:rsidRPr="00131A73">
              <w:rPr>
                <w:rFonts w:asciiTheme="minorHAnsi" w:eastAsia="Calibri" w:hAnsiTheme="minorHAnsi" w:cstheme="minorHAnsi"/>
                <w:lang w:eastAsia="en-GB"/>
              </w:rPr>
              <w:noBreakHyphen/>
              <w:t>D в рамках Вопроса 6/2 (</w:t>
            </w:r>
            <w:r w:rsidRPr="00131A73">
              <w:rPr>
                <w:rFonts w:asciiTheme="minorHAnsi" w:eastAsia="Calibri" w:hAnsiTheme="minorHAnsi" w:cstheme="minorHAnsi"/>
                <w:i/>
                <w:lang w:eastAsia="en-GB"/>
              </w:rPr>
              <w:t>ИКТ и окружающая среда</w:t>
            </w:r>
            <w:r w:rsidRPr="00131A73">
              <w:rPr>
                <w:rFonts w:asciiTheme="minorHAnsi" w:eastAsia="Calibri" w:hAnsiTheme="minorHAnsi" w:cstheme="minorHAnsi"/>
                <w:lang w:eastAsia="en-GB"/>
              </w:rPr>
              <w:t xml:space="preserve">). В октябре 2018 года была проведена сессия, посвященная </w:t>
            </w:r>
            <w:hyperlink r:id="rId142" w:history="1">
              <w:r w:rsidRPr="00131A73">
                <w:rPr>
                  <w:rStyle w:val="Hyperlink"/>
                  <w:rFonts w:asciiTheme="minorHAnsi" w:eastAsia="Calibri" w:hAnsiTheme="minorHAnsi" w:cstheme="minorHAnsi"/>
                  <w:szCs w:val="24"/>
                  <w:lang w:eastAsia="en-GB"/>
                </w:rPr>
                <w:t>политике, стратегиям и нормативным системам в области электронных отходов</w:t>
              </w:r>
            </w:hyperlink>
            <w:r w:rsidRPr="00131A73">
              <w:rPr>
                <w:rFonts w:asciiTheme="minorHAnsi" w:eastAsia="Calibri" w:hAnsiTheme="minorHAnsi" w:cstheme="minorHAnsi"/>
                <w:szCs w:val="24"/>
                <w:lang w:eastAsia="en-GB"/>
              </w:rPr>
              <w:t xml:space="preserve">. В октябре 2019 года состоялся семинар-практикум по вопросам использования передовых ИКТ для </w:t>
            </w:r>
            <w:hyperlink r:id="rId143" w:history="1">
              <w:r w:rsidRPr="00131A73">
                <w:rPr>
                  <w:rStyle w:val="Hyperlink"/>
                  <w:rFonts w:eastAsia="Calibri" w:cs="Calibri"/>
                  <w:lang w:eastAsia="en-GB"/>
                </w:rPr>
                <w:t>борьбы</w:t>
              </w:r>
            </w:hyperlink>
            <w:r w:rsidRPr="00131A73">
              <w:rPr>
                <w:rFonts w:asciiTheme="minorHAnsi" w:eastAsia="Calibri" w:hAnsiTheme="minorHAnsi" w:cstheme="minorHAnsi"/>
                <w:szCs w:val="24"/>
                <w:lang w:eastAsia="en-GB"/>
              </w:rPr>
              <w:t xml:space="preserve"> с изменением климата, в котором приняли участие представители секторов, участвующих в разработке передовых ИКТ, таких как большие данные и технологии наблюдения Земли, для целей борьбы с изменением климата. На </w:t>
            </w:r>
            <w:hyperlink r:id="rId144" w:history="1">
              <w:r w:rsidRPr="00131A73">
                <w:rPr>
                  <w:rStyle w:val="Hyperlink"/>
                  <w:rFonts w:eastAsia="Calibri" w:cs="Calibri"/>
                  <w:lang w:eastAsia="en-GB"/>
                </w:rPr>
                <w:t>вебинаре по использованию ИКТ для борьбы с изменением климата и восстановления более экологичной экономики после COVID-19</w:t>
              </w:r>
            </w:hyperlink>
            <w:r w:rsidRPr="00131A73">
              <w:rPr>
                <w:rFonts w:eastAsia="Calibri" w:cs="Calibri"/>
                <w:lang w:eastAsia="en-GB"/>
              </w:rPr>
              <w:t xml:space="preserve">, проведенном в июле 2020 года, обсуждались уроки, извлеченные из пандемии </w:t>
            </w:r>
            <w:r w:rsidRPr="00131A73">
              <w:rPr>
                <w:rFonts w:asciiTheme="minorHAnsi" w:eastAsia="Calibri" w:hAnsiTheme="minorHAnsi" w:cstheme="minorHAnsi"/>
                <w:lang w:eastAsia="en-GB"/>
              </w:rPr>
              <w:t>COVID-19, и то, каким образом ИКТ могут способствовать более экологически ответственному восстановлению экономики после COVID-19. Представленная в ходе семинара-практикума информация и сделанные выводы будут использованы при составлении заключительного отчета по Вопросу </w:t>
            </w:r>
            <w:r w:rsidRPr="00131A73">
              <w:rPr>
                <w:rFonts w:eastAsia="Calibri" w:cs="Calibri"/>
                <w:szCs w:val="24"/>
                <w:lang w:eastAsia="en-GB"/>
              </w:rPr>
              <w:t>6/2.</w:t>
            </w:r>
          </w:p>
        </w:tc>
      </w:tr>
    </w:tbl>
    <w:p w14:paraId="40B5D247" w14:textId="77777777" w:rsidR="00FA36AD" w:rsidRPr="00131A73" w:rsidRDefault="00FA36AD" w:rsidP="00FA36AD">
      <w:pPr>
        <w:pStyle w:val="Heading1"/>
        <w:rPr>
          <w:szCs w:val="20"/>
        </w:rPr>
      </w:pPr>
      <w:r w:rsidRPr="00131A73">
        <w:t>8</w:t>
      </w:r>
      <w:r w:rsidRPr="00131A73">
        <w:tab/>
        <w:t>Сети и цифровая инфраструктура: сделать надежное соединение доступным для всех</w:t>
      </w:r>
    </w:p>
    <w:p w14:paraId="1A50BF9E" w14:textId="77777777" w:rsidR="00FA36AD" w:rsidRPr="00131A73" w:rsidRDefault="00FA36AD" w:rsidP="00FA36AD">
      <w:pPr>
        <w:pStyle w:val="Headingb"/>
      </w:pPr>
      <w:r w:rsidRPr="00131A73">
        <w:t>Карты широкополосной связи МСЭ</w:t>
      </w:r>
    </w:p>
    <w:p w14:paraId="26D3D15D" w14:textId="77777777" w:rsidR="00FA36AD" w:rsidRPr="00131A73" w:rsidRDefault="00FA36AD" w:rsidP="00FA36AD">
      <w:pPr>
        <w:rPr>
          <w:bCs/>
        </w:rPr>
      </w:pPr>
      <w:r w:rsidRPr="00131A73">
        <w:rPr>
          <w:bCs/>
        </w:rPr>
        <w:t xml:space="preserve">Выявление инфраструктуры ИКТ и мест, где отсутствует возможность установления соединений: МСЭ повысил интенсивность исследований и проверки данных </w:t>
      </w:r>
      <w:hyperlink r:id="rId145" w:history="1">
        <w:r w:rsidRPr="00131A73">
          <w:rPr>
            <w:rStyle w:val="Hyperlink"/>
            <w:bCs/>
          </w:rPr>
          <w:t>карт широкополосной связи</w:t>
        </w:r>
      </w:hyperlink>
      <w:r w:rsidRPr="00131A73">
        <w:rPr>
          <w:bCs/>
        </w:rPr>
        <w:t xml:space="preserve"> для оценки возможностей установления соединений по всему миру в целях содействия лучшему пониманию сетевой инфраструктуры и связанных с ней инвестиционных возможностей. Данные МСЭ, находящиеся в глобальных сетях передачи данных, содержат уникальную информацию, получаемую от более чем 540 операторов и из 16 миллионов высокоскоростных информационных магистралей по всему миру. Благодаря наложению множества данных об инфраструктуре ИКТ и специальных отраслевых данных (от школ, финансовых учреждений, медицинских центров и т. п.), карта широкополосной связи инфраструктуры ИКТ обеспечивает непрерывную поддержку ключевой деятельности и проектов МСЭ, связанных с установлением надежных соединений, в рамках всех способов обеспечения воздействия БРЭ. К числу примеров относится картографирование в рамках проекта </w:t>
      </w:r>
      <w:hyperlink r:id="rId146" w:history="1">
        <w:r w:rsidRPr="00131A73">
          <w:rPr>
            <w:rStyle w:val="Hyperlink"/>
          </w:rPr>
          <w:t>Giga</w:t>
        </w:r>
      </w:hyperlink>
      <w:r w:rsidRPr="00131A73">
        <w:t>, нап</w:t>
      </w:r>
      <w:r w:rsidRPr="00131A73">
        <w:rPr>
          <w:bCs/>
        </w:rPr>
        <w:t xml:space="preserve">равленного на подключение всех школ к интернету, а также </w:t>
      </w:r>
      <w:hyperlink r:id="rId147" w:history="1">
        <w:r w:rsidRPr="00131A73">
          <w:rPr>
            <w:rStyle w:val="Hyperlink"/>
          </w:rPr>
          <w:t>составление карт в целях обеспечения охвата финансовыми услугами</w:t>
        </w:r>
      </w:hyperlink>
      <w:r w:rsidRPr="00131A73">
        <w:rPr>
          <w:bCs/>
        </w:rPr>
        <w:t xml:space="preserve"> по линии инициативы </w:t>
      </w:r>
      <w:r w:rsidRPr="00131A73">
        <w:t>FIGI.</w:t>
      </w:r>
    </w:p>
    <w:p w14:paraId="2713A2C5" w14:textId="77777777" w:rsidR="00FA36AD" w:rsidRPr="00131A73" w:rsidRDefault="00FA36AD" w:rsidP="00FA36AD">
      <w:pPr>
        <w:rPr>
          <w:bCs/>
        </w:rPr>
      </w:pPr>
      <w:r w:rsidRPr="00131A73">
        <w:t xml:space="preserve">После </w:t>
      </w:r>
      <w:r w:rsidRPr="00131A73">
        <w:rPr>
          <w:bCs/>
        </w:rPr>
        <w:t xml:space="preserve">выявления инфраструктуры ИКТ и мест, где отсутствует возможность установления соединений, </w:t>
      </w:r>
      <w:r w:rsidRPr="00131A73">
        <w:t xml:space="preserve">для достижения универсального доступа директивные органы должны спланировать процесс развертывания новых сетей с учетом финансовой устойчивости. Разработанный с этой целью </w:t>
      </w:r>
      <w:r w:rsidRPr="00131A73">
        <w:rPr>
          <w:bCs/>
        </w:rPr>
        <w:t xml:space="preserve">комплект материалов по </w:t>
      </w:r>
      <w:hyperlink r:id="rId148" w:history="1">
        <w:r w:rsidRPr="00131A73">
          <w:rPr>
            <w:rStyle w:val="Hyperlink"/>
            <w:bCs/>
          </w:rPr>
          <w:t>бизнес-планированию инфраструктуры ИКТ</w:t>
        </w:r>
      </w:hyperlink>
      <w:r w:rsidRPr="00131A73">
        <w:rPr>
          <w:bCs/>
        </w:rPr>
        <w:t xml:space="preserve"> предлагает регуляторным и директивным органам четкую и практичную методику точной экономической оценки предлагаемых планов создания и развертывания инфраструктуры широкополосной связи. Он служит практическим руководством для регуляторных и директивных органов, работающих над расширением масштабов внедрения широкополосных сетей и доступа к ним; в нем рассматриваются ключевые условия успешной реализации бизнес-планирования по развитию инфраструктуры ИКТ и представлены и объясняются примеры передового опыта в отношении планов создания и развертывания инфраструктуры и дается оценка их экономической целесообразности в целях упрощения процесса принятия решений. В нем приводятся количественные примеры наиболее востребованных проектов, таких как строительство оптоволоконных магистралей, беспроводных широкополосных сетей (включая 4G) и сетей доступа волокно до жилого помещения (FTTH).</w:t>
      </w:r>
    </w:p>
    <w:p w14:paraId="37582C12" w14:textId="77777777" w:rsidR="00FA36AD" w:rsidRPr="00131A73" w:rsidRDefault="00FA36AD" w:rsidP="00FA36AD">
      <w:r w:rsidRPr="00131A73">
        <w:t xml:space="preserve">В ноябре 2020 года в виртуальном режиме с помощью портала Академии МСЭ был организован первый "Учебный курс МСЭ по бизнес-планированию для развития инфраструктуры ИКТ". Участники разрабатывают практические бизнес-планы. В 2021 году были организованы два учебных мероприятия для Африки и Европы, см. дополнительную информацию </w:t>
      </w:r>
      <w:hyperlink r:id="rId149" w:history="1">
        <w:r w:rsidRPr="00131A73">
          <w:rPr>
            <w:rStyle w:val="Hyperlink"/>
          </w:rPr>
          <w:t>здесь</w:t>
        </w:r>
      </w:hyperlink>
      <w:r w:rsidRPr="00131A73">
        <w:t>.</w:t>
      </w:r>
    </w:p>
    <w:p w14:paraId="4C9F7379" w14:textId="77777777" w:rsidR="00FA36AD" w:rsidRPr="00131A73" w:rsidRDefault="00FA36AD" w:rsidP="00FA36AD">
      <w:pPr>
        <w:pStyle w:val="Headingb"/>
      </w:pPr>
      <w:r w:rsidRPr="00131A73">
        <w:lastRenderedPageBreak/>
        <w:t>Проект по установлению соединений последней мили</w:t>
      </w:r>
    </w:p>
    <w:p w14:paraId="1C1DC6FF" w14:textId="77777777" w:rsidR="00FA36AD" w:rsidRPr="00131A73" w:rsidRDefault="00FA36AD" w:rsidP="00FA36AD">
      <w:pPr>
        <w:rPr>
          <w:bCs/>
        </w:rPr>
      </w:pPr>
      <w:r w:rsidRPr="00131A73">
        <w:rPr>
          <w:bCs/>
        </w:rPr>
        <w:t xml:space="preserve">Начата реализация </w:t>
      </w:r>
      <w:hyperlink r:id="rId150" w:history="1">
        <w:r w:rsidRPr="00131A73">
          <w:rPr>
            <w:rStyle w:val="Hyperlink"/>
            <w:bCs/>
          </w:rPr>
          <w:t>проект</w:t>
        </w:r>
      </w:hyperlink>
      <w:r w:rsidRPr="00131A73">
        <w:rPr>
          <w:bCs/>
          <w:color w:val="0000FF"/>
          <w:u w:val="single"/>
        </w:rPr>
        <w:t>а</w:t>
      </w:r>
      <w:r w:rsidRPr="00131A73">
        <w:rPr>
          <w:bCs/>
        </w:rPr>
        <w:t xml:space="preserve"> по установлению соединений последней мили в целях разработки новых стратегий сотрудничества, направленных на то, чтобы все люди получили реальную и универсальную возможность установления соединений. Проект предоставляет Государствам-Членам руководящие указания и дополнительные ресурсы, призванные помочь им в решении проблем, связанных с установлением соединений последней мили, включая базу данных исследований конкретных ситуаций на эту тему, а также интерактивные инструменты для диагностики и принятия решений в отношении возможности установления соединений последней мили. Кроме того, в рамках проекта Государствам-Членам будут предложены услуги по созданию потенциала и поддержка в осуществлении, в частности помощь в планировании, проектировании и реализации решений по установлению соединений последней мили, включая определение районов, не имеющих соединений, и предоставление экспертных рекомендаций по выбору устойчивых технических, финансовых и регуляторных решений.</w:t>
      </w:r>
      <w:r w:rsidRPr="00131A73">
        <w:rPr>
          <w:rFonts w:cs="Calibri"/>
        </w:rPr>
        <w:t xml:space="preserve"> Предполагается, что </w:t>
      </w:r>
      <w:r w:rsidRPr="00131A73">
        <w:rPr>
          <w:bCs/>
        </w:rPr>
        <w:t xml:space="preserve">этот проект позволит партнерам совместно использовать ресурсы и применять более целостный подход, в рамках которого широкополосная связь рассматривается как базовая коммунальная услуга и инструмент социально-экономического развития. </w:t>
      </w:r>
    </w:p>
    <w:p w14:paraId="3D67D68A" w14:textId="77777777" w:rsidR="00FA36AD" w:rsidRPr="00131A73" w:rsidRDefault="00FA36AD" w:rsidP="00FA36AD">
      <w:pPr>
        <w:rPr>
          <w:rFonts w:cs="Calibri"/>
        </w:rPr>
      </w:pPr>
      <w:r w:rsidRPr="00131A73">
        <w:rPr>
          <w:rFonts w:cs="Calibri"/>
        </w:rPr>
        <w:t xml:space="preserve">В 2020 году было выпущено Руководство по решениям для установления соединений последней мили, опубликованное </w:t>
      </w:r>
      <w:hyperlink r:id="rId151" w:history="1">
        <w:r w:rsidRPr="00131A73">
          <w:rPr>
            <w:rStyle w:val="Hyperlink"/>
            <w:rFonts w:cs="Calibri"/>
          </w:rPr>
          <w:t>здесь</w:t>
        </w:r>
      </w:hyperlink>
      <w:r w:rsidRPr="00131A73">
        <w:rPr>
          <w:rStyle w:val="Hyperlink"/>
          <w:rFonts w:cs="Calibri"/>
          <w:color w:val="auto"/>
          <w:u w:val="none"/>
        </w:rPr>
        <w:t>.</w:t>
      </w:r>
    </w:p>
    <w:p w14:paraId="539E44EC" w14:textId="5C07F5D9" w:rsidR="00FA36AD" w:rsidRPr="00131A73" w:rsidRDefault="00FA36AD" w:rsidP="00FA36AD">
      <w:pPr>
        <w:pStyle w:val="Headingb"/>
      </w:pPr>
      <w:r w:rsidRPr="00131A73">
        <w:t>Журнал "</w:t>
      </w:r>
      <w:r w:rsidR="00D41EAB" w:rsidRPr="00D41EAB">
        <w:t>Тенденции в области появляющихся технологий</w:t>
      </w:r>
      <w:r w:rsidRPr="00131A73">
        <w:t>"</w:t>
      </w:r>
    </w:p>
    <w:p w14:paraId="79C6F4F0" w14:textId="46652CCC" w:rsidR="00FA36AD" w:rsidRPr="00131A73" w:rsidRDefault="00FA36AD" w:rsidP="00FA36AD">
      <w:pPr>
        <w:rPr>
          <w:bCs/>
        </w:rPr>
      </w:pPr>
      <w:r w:rsidRPr="00131A73">
        <w:rPr>
          <w:bCs/>
        </w:rPr>
        <w:t>Журнал БРЭ "</w:t>
      </w:r>
      <w:r w:rsidR="00D41EAB" w:rsidRPr="00D41EAB">
        <w:t>Тенденции в области появляющихся технологий</w:t>
      </w:r>
      <w:r w:rsidRPr="00131A73">
        <w:t xml:space="preserve">" </w:t>
      </w:r>
      <w:r w:rsidRPr="00131A73">
        <w:rPr>
          <w:bCs/>
        </w:rPr>
        <w:t xml:space="preserve">содержит ежегодные тематические публикации, посвященные </w:t>
      </w:r>
      <w:r w:rsidR="00D41EAB">
        <w:rPr>
          <w:bCs/>
        </w:rPr>
        <w:t>появляющимся</w:t>
      </w:r>
      <w:r w:rsidRPr="00131A73">
        <w:rPr>
          <w:bCs/>
        </w:rPr>
        <w:t xml:space="preserve"> технологиям, форум по </w:t>
      </w:r>
      <w:r w:rsidR="00D41EAB">
        <w:rPr>
          <w:bCs/>
        </w:rPr>
        <w:t>появляющимся</w:t>
      </w:r>
      <w:r w:rsidRPr="00131A73">
        <w:rPr>
          <w:bCs/>
        </w:rPr>
        <w:t xml:space="preserve"> технологиям, конкурс инновационных идей в области </w:t>
      </w:r>
      <w:r w:rsidR="00D41EAB">
        <w:rPr>
          <w:bCs/>
        </w:rPr>
        <w:t>появляющихся</w:t>
      </w:r>
      <w:r w:rsidRPr="00131A73">
        <w:rPr>
          <w:bCs/>
        </w:rPr>
        <w:t xml:space="preserve"> технологий и материалы для </w:t>
      </w:r>
      <w:r w:rsidR="006C6518">
        <w:rPr>
          <w:bCs/>
        </w:rPr>
        <w:t>создания</w:t>
      </w:r>
      <w:r w:rsidRPr="00131A73">
        <w:rPr>
          <w:bCs/>
        </w:rPr>
        <w:t xml:space="preserve"> потенциала. Его планируется издавать ежегодно, каждый год на новую тему, фокусируя внимание на определенных </w:t>
      </w:r>
      <w:r w:rsidR="00D6169C">
        <w:rPr>
          <w:bCs/>
        </w:rPr>
        <w:t>появляющихся</w:t>
      </w:r>
      <w:r w:rsidRPr="00131A73">
        <w:rPr>
          <w:bCs/>
        </w:rPr>
        <w:t xml:space="preserve"> технологиях и с прицелом на несколько ЦУР. </w:t>
      </w:r>
    </w:p>
    <w:p w14:paraId="60AF87E8" w14:textId="770107B4" w:rsidR="00FA36AD" w:rsidRPr="00131A73" w:rsidRDefault="00FA36AD" w:rsidP="00FA36AD">
      <w:pPr>
        <w:rPr>
          <w:bCs/>
        </w:rPr>
      </w:pPr>
      <w:r w:rsidRPr="00131A73">
        <w:rPr>
          <w:bCs/>
        </w:rPr>
        <w:t>Целью журнала "</w:t>
      </w:r>
      <w:r w:rsidR="00D41EAB" w:rsidRPr="00D41EAB">
        <w:t>Тенденции в области появляющихся технологий</w:t>
      </w:r>
      <w:r w:rsidRPr="00131A73">
        <w:t xml:space="preserve">" </w:t>
      </w:r>
      <w:r w:rsidRPr="00131A73">
        <w:rPr>
          <w:bCs/>
        </w:rPr>
        <w:t xml:space="preserve">является содействие широкомасштабному внедрению </w:t>
      </w:r>
      <w:r w:rsidR="00D6169C">
        <w:rPr>
          <w:bCs/>
        </w:rPr>
        <w:t>появляющихся</w:t>
      </w:r>
      <w:r w:rsidRPr="00131A73">
        <w:rPr>
          <w:bCs/>
        </w:rPr>
        <w:t xml:space="preserve"> технологий, включая искусственный интеллект, IoT, большие данные, низкоорбитальные спутники и сети 5G, для содействия достижению целей в области устойчивого развития. Более того, обмен опытом и решениями и привлечение широкого круга заинтересованных сторон на международном, региональном и национальном уровнях будут способствовать созданию партнерских отношений, усилению вовлеченности заинтересованных сторон и расширению влияния текущих региональных инициатив, ускоряя распространение </w:t>
      </w:r>
      <w:r w:rsidR="00D6169C">
        <w:rPr>
          <w:bCs/>
        </w:rPr>
        <w:t>появляющихся</w:t>
      </w:r>
      <w:r w:rsidRPr="00131A73">
        <w:rPr>
          <w:bCs/>
        </w:rPr>
        <w:t xml:space="preserve"> технологий в целях развития.</w:t>
      </w:r>
    </w:p>
    <w:p w14:paraId="48FDBEB3" w14:textId="4EE353AD" w:rsidR="00FA36AD" w:rsidRPr="00131A73" w:rsidRDefault="00FA36AD" w:rsidP="00FA36AD">
      <w:pPr>
        <w:rPr>
          <w:bCs/>
        </w:rPr>
      </w:pPr>
      <w:r w:rsidRPr="00131A73">
        <w:rPr>
          <w:bCs/>
        </w:rPr>
        <w:t>В 2020 году вышло первое издание журнала "</w:t>
      </w:r>
      <w:r w:rsidR="00D41EAB" w:rsidRPr="00D41EAB">
        <w:t>Тенденции в области появляющихся технологи</w:t>
      </w:r>
      <w:r w:rsidR="00D41EAB">
        <w:t>й</w:t>
      </w:r>
      <w:r w:rsidRPr="00131A73">
        <w:t>"</w:t>
      </w:r>
      <w:r w:rsidRPr="00131A73">
        <w:rPr>
          <w:bCs/>
        </w:rPr>
        <w:t>, посвященное использованию искусственного интеллекта и больших данных в целях развития.</w:t>
      </w:r>
    </w:p>
    <w:p w14:paraId="4989B6B0" w14:textId="77777777" w:rsidR="00FA36AD" w:rsidRPr="00131A73" w:rsidRDefault="00FA36AD" w:rsidP="00FA36AD">
      <w:pPr>
        <w:pStyle w:val="Headingb"/>
      </w:pPr>
      <w:r w:rsidRPr="00131A73">
        <w:t>Совместный проект МСЭ и MUST по созданию экспертного центра по IPv6 и IoT</w:t>
      </w:r>
    </w:p>
    <w:p w14:paraId="433259BA" w14:textId="77777777" w:rsidR="00FA36AD" w:rsidRPr="00131A73" w:rsidRDefault="00FA36AD" w:rsidP="00FA36AD">
      <w:pPr>
        <w:rPr>
          <w:bCs/>
        </w:rPr>
      </w:pPr>
      <w:r w:rsidRPr="00131A73">
        <w:rPr>
          <w:bCs/>
        </w:rPr>
        <w:t>Основная цель совместного проекта МСЭ и MUST (Научно-технический университет Малайзии) – помочь Государствам-Членам в осуществлении плавного перехода от IPv4 (протокол Интернет версии 4) к IPv6 (протокол Интернет версии 6) для инфраструктуры интернета вещей (IoT), IPv6 в сетях 5G, IPv6 для индустрии 4.0 и развертывания услуг и приложений за счет предоставления технической помощи и проведения учебных занятий и/или семинаров-практикумов по повышению информированности. В этих целях в 2019 году было организовано несколько учебных курсов и семинаров-практикумов на английском и арабском языках, и в 2020 году они продолжили проводиться в онлайновом формате. Более 150 молодых специалистов получили сертификаты о прохождении обучения в упомянутых ИТ-сферах.</w:t>
      </w:r>
    </w:p>
    <w:p w14:paraId="7DA8FB99" w14:textId="77777777" w:rsidR="00FA36AD" w:rsidRPr="00131A73" w:rsidRDefault="00FA36AD" w:rsidP="00FA36AD">
      <w:pPr>
        <w:pStyle w:val="Headingb"/>
      </w:pPr>
      <w:r w:rsidRPr="00131A73">
        <w:t>Возможность установления широкополосных соединений в сельских районах</w:t>
      </w:r>
    </w:p>
    <w:p w14:paraId="56C92447" w14:textId="77777777" w:rsidR="00FA36AD" w:rsidRPr="00131A73" w:rsidRDefault="00FA36AD" w:rsidP="00FA36AD">
      <w:r w:rsidRPr="00131A73">
        <w:t xml:space="preserve">В целях решения проблем энергоснабжения для обеспечения связи в сельских районах МСЭ ведет работу над руководством, описывающим устойчивые и инновационные решения в области </w:t>
      </w:r>
      <w:r w:rsidRPr="00131A73">
        <w:lastRenderedPageBreak/>
        <w:t>энергоснабжения для широкополосных соединений, которое, помимо прочего, будет использоваться в рамках проекта по подключению школ Giga. Кроме того, на основе этого руководства будут создаваться "умные" экологичные сообщества, являющиеся одним из ключевых решений по подключению сельских районов к сетям широкополосной связи.</w:t>
      </w:r>
    </w:p>
    <w:p w14:paraId="7D818FD5" w14:textId="77777777" w:rsidR="00FA36AD" w:rsidRPr="00131A73" w:rsidRDefault="00FA36AD" w:rsidP="00FA36AD">
      <w:pPr>
        <w:keepNext/>
      </w:pPr>
      <w:r w:rsidRPr="00131A73">
        <w:t>Реализован совместный проект МСЭ и Фонда Маккоу для стран Африканского региона, который в настоящее время находится на стадии завершения. Его основные результаты заключаются в следующем.</w:t>
      </w:r>
    </w:p>
    <w:p w14:paraId="6E77C8A0" w14:textId="42B57AFC" w:rsidR="00FA36AD" w:rsidRPr="00131A73" w:rsidRDefault="002B5563" w:rsidP="00C1527E">
      <w:pPr>
        <w:pStyle w:val="enumlev1"/>
        <w:spacing w:before="60"/>
      </w:pPr>
      <w:r w:rsidRPr="00131A73">
        <w:t>−</w:t>
      </w:r>
      <w:r w:rsidR="00FA36AD" w:rsidRPr="00131A73">
        <w:tab/>
        <w:t xml:space="preserve">В Бурунди к широкополосному интернету были подключены 437 учреждений, включая университеты, школы, больницы, правительственные учреждения и кооперативы. </w:t>
      </w:r>
    </w:p>
    <w:p w14:paraId="045891D9" w14:textId="63A31762" w:rsidR="00FA36AD" w:rsidRPr="00131A73" w:rsidRDefault="002B5563" w:rsidP="00C1527E">
      <w:pPr>
        <w:pStyle w:val="enumlev1"/>
        <w:spacing w:before="60"/>
      </w:pPr>
      <w:r w:rsidRPr="00131A73">
        <w:t>−</w:t>
      </w:r>
      <w:r w:rsidR="00FA36AD" w:rsidRPr="00131A73">
        <w:tab/>
        <w:t>В Буркина-Фасо к сети широкополосной связи были подключены школы и службы государственного управления в 10 городах. 14 школ были оснащены компьютерными сетями, оборудованием и интернет-соединениями, что обеспечило возможность внедрения в систему образования электронного обучения.</w:t>
      </w:r>
    </w:p>
    <w:p w14:paraId="54DFDEB7" w14:textId="5BEBD621" w:rsidR="00FA36AD" w:rsidRPr="00131A73" w:rsidRDefault="002B5563" w:rsidP="00C1527E">
      <w:pPr>
        <w:pStyle w:val="enumlev1"/>
        <w:spacing w:before="60"/>
      </w:pPr>
      <w:r w:rsidRPr="00131A73">
        <w:t>−</w:t>
      </w:r>
      <w:r w:rsidR="00FA36AD" w:rsidRPr="00131A73">
        <w:tab/>
        <w:t>В Джибути через инфраструктуру сетей широкополосной связи на базе 4G к широкополосному интернету были подключены 116 учреждений, в числе которых 48 школ, 45 больниц/клиник и 23 правительственных ведомства/министерства.</w:t>
      </w:r>
    </w:p>
    <w:p w14:paraId="2B6FE4C1" w14:textId="07E8B2F4" w:rsidR="00FA36AD" w:rsidRPr="00131A73" w:rsidRDefault="002B5563" w:rsidP="00C1527E">
      <w:pPr>
        <w:pStyle w:val="enumlev1"/>
        <w:spacing w:before="60"/>
      </w:pPr>
      <w:r w:rsidRPr="00131A73">
        <w:t>−</w:t>
      </w:r>
      <w:r w:rsidR="00FA36AD" w:rsidRPr="00131A73">
        <w:tab/>
        <w:t xml:space="preserve">В Руанде к широкополосному интернету были подключены более 50 государственных школ и 40 центров здравоохранения. </w:t>
      </w:r>
    </w:p>
    <w:p w14:paraId="7EA78485" w14:textId="1AFBF446" w:rsidR="00FA36AD" w:rsidRPr="00131A73" w:rsidRDefault="002B5563" w:rsidP="00C1527E">
      <w:pPr>
        <w:pStyle w:val="enumlev1"/>
        <w:spacing w:before="60"/>
      </w:pPr>
      <w:r w:rsidRPr="00131A73">
        <w:t>−</w:t>
      </w:r>
      <w:r w:rsidR="00FA36AD" w:rsidRPr="00131A73">
        <w:tab/>
        <w:t>В Эсватини, где реализация проекта находится на завершающей стадии, создается сеть беспроводной широкополосной связи 4G LTE, обеспечивающая покрытие 20 сельских районов.</w:t>
      </w:r>
    </w:p>
    <w:p w14:paraId="7B93DC4C" w14:textId="77777777" w:rsidR="00FA36AD" w:rsidRPr="00131A73" w:rsidRDefault="00FA36AD" w:rsidP="00FA36AD">
      <w:pPr>
        <w:pStyle w:val="Headingb"/>
      </w:pPr>
      <w:r w:rsidRPr="00131A73">
        <w:t>Инициатива в области политики и регулирования для цифровой Африки (PRIDA)</w:t>
      </w:r>
    </w:p>
    <w:p w14:paraId="727744B8" w14:textId="77777777" w:rsidR="00FA36AD" w:rsidRPr="00131A73" w:rsidRDefault="00FA36AD" w:rsidP="00FA36AD">
      <w:pPr>
        <w:keepNext/>
      </w:pPr>
      <w:r w:rsidRPr="00131A73">
        <w:t>Инициатива в области политики и регулирования для Африканского региона была запущена в целях обеспечения универсально доступной и приемлемой в ценовом отношении беспроводной широкополосной связи во всем регионе для раскрытия будущих преимуществ интернет-услуг. Эта масштабная инициатива, рассчитанная на 3,5 года, –</w:t>
      </w:r>
      <w:r w:rsidRPr="00131A73">
        <w:rPr>
          <w:rFonts w:eastAsia="Calibri" w:cs="Calibri"/>
        </w:rPr>
        <w:t xml:space="preserve"> </w:t>
      </w:r>
      <w:hyperlink r:id="rId152" w:history="1">
        <w:r w:rsidRPr="00131A73">
          <w:rPr>
            <w:rStyle w:val="Hyperlink"/>
            <w:rFonts w:eastAsia="Calibri" w:cs="Calibri"/>
          </w:rPr>
          <w:t>совместный проект</w:t>
        </w:r>
      </w:hyperlink>
      <w:r w:rsidRPr="00131A73">
        <w:rPr>
          <w:rFonts w:eastAsia="Calibri" w:cs="Calibri"/>
        </w:rPr>
        <w:t xml:space="preserve"> Европейского союза, Африканского союза и МСЭ. Ее ключевыми результатами на данный момент являются</w:t>
      </w:r>
      <w:r w:rsidRPr="00131A73">
        <w:t>:</w:t>
      </w:r>
    </w:p>
    <w:p w14:paraId="64944373" w14:textId="23D37CF5" w:rsidR="00FA36AD" w:rsidRPr="00131A73" w:rsidRDefault="002B5563" w:rsidP="00C1527E">
      <w:pPr>
        <w:pStyle w:val="enumlev1"/>
        <w:spacing w:before="60"/>
      </w:pPr>
      <w:r w:rsidRPr="00131A73">
        <w:t>−</w:t>
      </w:r>
      <w:r w:rsidR="00FA36AD" w:rsidRPr="00131A73">
        <w:tab/>
        <w:t>проведение восьми семинаров-практикумов по созданию потенциала, в которых прошли обучение 573 инженера из 48 регуляторных органов;</w:t>
      </w:r>
    </w:p>
    <w:p w14:paraId="26EC6F51" w14:textId="1D639072" w:rsidR="00FA36AD" w:rsidRPr="00131A73" w:rsidRDefault="002B5563" w:rsidP="00C1527E">
      <w:pPr>
        <w:pStyle w:val="enumlev1"/>
        <w:spacing w:before="60"/>
      </w:pPr>
      <w:r w:rsidRPr="00131A73">
        <w:t>−</w:t>
      </w:r>
      <w:r w:rsidR="00FA36AD" w:rsidRPr="00131A73">
        <w:tab/>
        <w:t>публикация технического отчета "Анализ существующей нормативно-правовой базы и использования спектра по состоянию на сегодняшний день и в обозримом будущем";</w:t>
      </w:r>
    </w:p>
    <w:p w14:paraId="5777366A" w14:textId="6A14DBFB" w:rsidR="00FA36AD" w:rsidRPr="00131A73" w:rsidRDefault="002B5563" w:rsidP="00C1527E">
      <w:pPr>
        <w:pStyle w:val="enumlev1"/>
        <w:spacing w:before="60"/>
      </w:pPr>
      <w:r w:rsidRPr="00131A73">
        <w:t>−</w:t>
      </w:r>
      <w:r w:rsidR="00FA36AD" w:rsidRPr="00131A73">
        <w:tab/>
        <w:t>публикация технических отчетов: Руководящие указания по регулированию использования радиочастот на основе Регламента радиосвязи МСЭ, Рекомендаций, отчетов и справочников МСЭ-R, механизмов согласования на региональном уровне, исследований конкретных ситуаций, опыта стран и региональных консультаций, Руководящие указания по управлению использованием спектра для внедрения IMT в Африке, Отчет об оценке действующих соглашений о трансграничной координации в Африке, Отчет о действующей версии согласованного метода расчета для Африки (HCMA) и "Анализ учета гендерных факторов в рамках проекта PRIDA".</w:t>
      </w:r>
    </w:p>
    <w:p w14:paraId="136F5EFF" w14:textId="77777777" w:rsidR="00FA36AD" w:rsidRPr="00131A73" w:rsidRDefault="00FA36AD" w:rsidP="00FA36AD">
      <w:pPr>
        <w:pStyle w:val="Headingb"/>
      </w:pPr>
      <w:r w:rsidRPr="00131A73">
        <w:t>Соответствие и функциональная совместимость продуктов ИКТ и сетей</w:t>
      </w:r>
    </w:p>
    <w:p w14:paraId="329C11FD" w14:textId="77777777" w:rsidR="00FA36AD" w:rsidRPr="00131A73" w:rsidRDefault="00FA36AD" w:rsidP="00FA36AD">
      <w:r w:rsidRPr="00131A73">
        <w:t>Продукты ИКТ – это посредники цифровой экономики. В рамках Программы по вопросам соответствия и функциональной совместимости (C&amp;I) БРЭ возглавляет решение задачи 3 (создание потенциала) и задачи 4 (помощь членам), обеспечивая руководство по принципам вывода устройств ИКТ на рынок.</w:t>
      </w:r>
    </w:p>
    <w:p w14:paraId="286AD6FA" w14:textId="77777777" w:rsidR="00FA36AD" w:rsidRPr="00131A73" w:rsidRDefault="00FA36AD" w:rsidP="00FA36AD">
      <w:pPr>
        <w:rPr>
          <w:rFonts w:eastAsia="Calibri" w:cs="Calibri"/>
        </w:rPr>
      </w:pPr>
      <w:r w:rsidRPr="00131A73">
        <w:rPr>
          <w:rFonts w:eastAsia="Calibri" w:cs="Calibri"/>
        </w:rPr>
        <w:t xml:space="preserve">Были проведены учебные курсы для англоязычных и франкоязычных участников из Африканского региона по вопросам </w:t>
      </w:r>
      <w:r w:rsidRPr="00131A73">
        <w:t>соответствия</w:t>
      </w:r>
      <w:r w:rsidRPr="00131A73">
        <w:rPr>
          <w:rFonts w:eastAsia="Calibri" w:cs="Calibri"/>
        </w:rPr>
        <w:t xml:space="preserve"> и функциональной совместимости, которые позволили повысить </w:t>
      </w:r>
      <w:r w:rsidRPr="00131A73">
        <w:rPr>
          <w:rFonts w:eastAsia="Calibri" w:cs="Calibri"/>
        </w:rPr>
        <w:lastRenderedPageBreak/>
        <w:t>уровень знаний в том, что касается удельного коэффициента поглощения, радиочастот, электромагнитного спектра и цифрового наземного телевидения.</w:t>
      </w:r>
    </w:p>
    <w:p w14:paraId="25C5F3E9" w14:textId="77777777" w:rsidR="00FA36AD" w:rsidRPr="00131A73" w:rsidRDefault="00FA36AD" w:rsidP="00FA36AD">
      <w:r w:rsidRPr="00131A73">
        <w:rPr>
          <w:rFonts w:eastAsia="Calibri" w:cs="Calibri"/>
        </w:rPr>
        <w:t xml:space="preserve">В настоящее время ведется разработка глобальной учебной программы по вопросам соответствия и функциональной совместимости </w:t>
      </w:r>
      <w:r w:rsidRPr="00131A73">
        <w:t>(CITP). Программа CITP, разрабатываемая по образцу успешно реализуемой программы профессиональной подготовки в области управления использованием спектра (SMTP), будет служить основой для передачи знаний в области C&amp;I.</w:t>
      </w:r>
    </w:p>
    <w:p w14:paraId="362B093D" w14:textId="77777777" w:rsidR="00FA36AD" w:rsidRPr="00131A73" w:rsidRDefault="00FA36AD" w:rsidP="00FA36AD">
      <w:r w:rsidRPr="00131A73">
        <w:t>В число модулей CITP входят: основы C&amp;I; заключение соглашений о взаимном признании для выхода на рынок; и рекомендации для молодых разработчиков устройств интернета вещей, желающих вывести свои изделия на национальные и международные рынки.</w:t>
      </w:r>
    </w:p>
    <w:p w14:paraId="2C0E299A" w14:textId="77777777" w:rsidR="00FA36AD" w:rsidRPr="00131A73" w:rsidRDefault="00FA36AD" w:rsidP="00FA36AD">
      <w:pPr>
        <w:rPr>
          <w:rFonts w:eastAsia="Calibri" w:cs="Calibri"/>
        </w:rPr>
      </w:pPr>
      <w:r w:rsidRPr="00131A73">
        <w:t>В 2020 году в координации с соответствующими исследовательскими комиссиями МСЭ-R, МСЭ-T и МСЭ-D началась подготовка "белой книги", посвященной недавней деятельности МСЭ в области C&amp;I, а также будущему облику C&amp;I, и работу над ней планируется завершить в 2021 году.</w:t>
      </w:r>
    </w:p>
    <w:p w14:paraId="365EB484" w14:textId="4345A1A3" w:rsidR="00FA36AD" w:rsidRPr="00131A73" w:rsidRDefault="00FA36AD" w:rsidP="00FA36AD">
      <w:pPr>
        <w:pStyle w:val="Headingb"/>
      </w:pPr>
      <w:r w:rsidRPr="00131A73">
        <w:t>Резолюция 9 (Пересм. Буэнос-Айрес, 2017 г</w:t>
      </w:r>
      <w:r w:rsidR="00370549">
        <w:t>.</w:t>
      </w:r>
      <w:r w:rsidRPr="00131A73">
        <w:t>) ВКРЭ</w:t>
      </w:r>
    </w:p>
    <w:p w14:paraId="6A3FEEF0" w14:textId="7FE172E8" w:rsidR="00FA36AD" w:rsidRPr="00131A73" w:rsidRDefault="00FA36AD" w:rsidP="00FA36AD">
      <w:pPr>
        <w:spacing w:after="240"/>
        <w:rPr>
          <w:szCs w:val="24"/>
        </w:rPr>
      </w:pPr>
      <w:r w:rsidRPr="00131A73">
        <w:rPr>
          <w:szCs w:val="24"/>
        </w:rPr>
        <w:t xml:space="preserve">В нижеследующей таблице приведена сводная </w:t>
      </w:r>
      <w:r w:rsidRPr="00131A73">
        <w:rPr>
          <w:rFonts w:eastAsia="Calibri" w:cs="Calibri"/>
        </w:rPr>
        <w:t>информация</w:t>
      </w:r>
      <w:r w:rsidRPr="00131A73">
        <w:rPr>
          <w:szCs w:val="24"/>
        </w:rPr>
        <w:t xml:space="preserve"> о деятельности МСЭ по выполнению Резолюции 9, касающейся управления использованием спектра; дополнительную информацию см. в </w:t>
      </w:r>
      <w:hyperlink r:id="rId153" w:history="1">
        <w:r w:rsidRPr="00131A73">
          <w:rPr>
            <w:rStyle w:val="Hyperlink"/>
          </w:rPr>
          <w:t>Документе INF/3</w:t>
        </w:r>
      </w:hyperlink>
      <w:r w:rsidRPr="00131A73">
        <w:rPr>
          <w:szCs w:val="24"/>
        </w:rPr>
        <w:t>.</w:t>
      </w:r>
      <w:r w:rsidRPr="00131A73">
        <w:rPr>
          <w:bCs/>
        </w:rPr>
        <w:t xml:space="preserve"> В таблице представлен тематический обзор предоставленной помощи и указано количество проведенных мероприятий.</w:t>
      </w:r>
      <w:r w:rsidRPr="00131A73">
        <w:rPr>
          <w:szCs w:val="24"/>
        </w:rPr>
        <w:t xml:space="preserve"> В </w:t>
      </w:r>
      <w:hyperlink r:id="rId154" w:history="1">
        <w:r w:rsidRPr="00131A73">
          <w:rPr>
            <w:rStyle w:val="Hyperlink"/>
          </w:rPr>
          <w:t>Документе INF/3</w:t>
        </w:r>
      </w:hyperlink>
      <w:bookmarkStart w:id="9" w:name="_GoBack"/>
      <w:bookmarkEnd w:id="9"/>
      <w:r w:rsidRPr="00131A73">
        <w:t xml:space="preserve"> содержится </w:t>
      </w:r>
      <w:r w:rsidRPr="00131A73">
        <w:rPr>
          <w:szCs w:val="24"/>
        </w:rPr>
        <w:t>краткая информация о помощи, оказанной Государствам-Членам по вопросам управления использованием спектра, с указанием конкретных регионов.</w:t>
      </w:r>
    </w:p>
    <w:tbl>
      <w:tblPr>
        <w:tblStyle w:val="TableGrid61"/>
        <w:tblW w:w="9626" w:type="dxa"/>
        <w:tblInd w:w="0" w:type="dxa"/>
        <w:tblLook w:val="04A0" w:firstRow="1" w:lastRow="0" w:firstColumn="1" w:lastColumn="0" w:noHBand="0" w:noVBand="1"/>
      </w:tblPr>
      <w:tblGrid>
        <w:gridCol w:w="562"/>
        <w:gridCol w:w="7513"/>
        <w:gridCol w:w="1551"/>
      </w:tblGrid>
      <w:tr w:rsidR="00FA36AD" w:rsidRPr="00131A73" w14:paraId="622D1EF5" w14:textId="77777777" w:rsidTr="003654D1">
        <w:trPr>
          <w:cantSplit/>
          <w:tblHeader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1BE55DD" w14:textId="77777777" w:rsidR="00FA36AD" w:rsidRPr="00131A73" w:rsidRDefault="00FA36AD" w:rsidP="00C1527E">
            <w:pPr>
              <w:pStyle w:val="Tablehead"/>
              <w:spacing w:before="40" w:after="40"/>
              <w:ind w:right="57"/>
              <w:jc w:val="right"/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F0CF9B" w14:textId="77777777" w:rsidR="00FA36AD" w:rsidRPr="00131A73" w:rsidRDefault="00FA36AD" w:rsidP="00C1527E">
            <w:pPr>
              <w:pStyle w:val="Tablehead"/>
              <w:spacing w:before="40" w:after="40"/>
              <w:jc w:val="left"/>
            </w:pPr>
            <w:r w:rsidRPr="00131A73">
              <w:t>Тема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5962B9" w14:textId="77777777" w:rsidR="00FA36AD" w:rsidRPr="00131A73" w:rsidRDefault="00FA36AD" w:rsidP="00C1527E">
            <w:pPr>
              <w:pStyle w:val="Tablehead"/>
              <w:spacing w:before="40" w:after="40"/>
            </w:pPr>
            <w:r w:rsidRPr="00131A73">
              <w:t>Количество</w:t>
            </w:r>
            <w:r w:rsidRPr="00131A73">
              <w:br/>
              <w:t>мероприятий</w:t>
            </w:r>
          </w:p>
        </w:tc>
      </w:tr>
      <w:tr w:rsidR="00FA36AD" w:rsidRPr="00131A73" w14:paraId="5DBA9FFE" w14:textId="77777777" w:rsidTr="003654D1">
        <w:trPr>
          <w:cantSplit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8098F57" w14:textId="0FFEB89D" w:rsidR="00FA36AD" w:rsidRPr="00131A73" w:rsidRDefault="00FA36AD" w:rsidP="00C1527E">
            <w:pPr>
              <w:pStyle w:val="Tabletext"/>
              <w:spacing w:before="20" w:after="20"/>
              <w:ind w:right="57"/>
              <w:jc w:val="right"/>
            </w:pPr>
            <w:r w:rsidRPr="00131A73">
              <w:t>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D03DA" w14:textId="77777777" w:rsidR="00FA36AD" w:rsidRPr="00131A73" w:rsidRDefault="00FA36AD" w:rsidP="00C1527E">
            <w:pPr>
              <w:pStyle w:val="Tabletext"/>
              <w:spacing w:before="20" w:after="20"/>
            </w:pPr>
            <w:r w:rsidRPr="00131A73">
              <w:t>Помощь в повышении осведомленности национальных директивных органов относительно важности эффективного управления использованием спектра для социально-экономического развития страны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996CA" w14:textId="77777777" w:rsidR="00FA36AD" w:rsidRPr="00131A73" w:rsidRDefault="00FA36AD" w:rsidP="00C1527E">
            <w:pPr>
              <w:pStyle w:val="Tabletext"/>
              <w:spacing w:before="20" w:after="20"/>
              <w:jc w:val="center"/>
            </w:pPr>
            <w:r w:rsidRPr="00131A73">
              <w:t>26</w:t>
            </w:r>
          </w:p>
        </w:tc>
      </w:tr>
      <w:tr w:rsidR="00FA36AD" w:rsidRPr="00131A73" w14:paraId="4BCFB9E3" w14:textId="77777777" w:rsidTr="00C66389">
        <w:trPr>
          <w:cantSplit/>
          <w:trHeight w:val="30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B98C098" w14:textId="39FD1057" w:rsidR="00FA36AD" w:rsidRPr="00131A73" w:rsidRDefault="00FA36AD" w:rsidP="00C1527E">
            <w:pPr>
              <w:pStyle w:val="Tabletext"/>
              <w:spacing w:before="20" w:after="20"/>
              <w:ind w:right="57"/>
              <w:jc w:val="right"/>
            </w:pPr>
            <w:r w:rsidRPr="00131A73">
              <w:t>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16196" w14:textId="77777777" w:rsidR="00FA36AD" w:rsidRPr="00131A73" w:rsidRDefault="00FA36AD" w:rsidP="00C1527E">
            <w:pPr>
              <w:pStyle w:val="Tabletext"/>
              <w:spacing w:before="20" w:after="20"/>
            </w:pPr>
            <w:r w:rsidRPr="00131A73">
              <w:rPr>
                <w:bCs/>
              </w:rPr>
              <w:t>Профессиональная подготовка и распространение имеющейся документации МСЭ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96D38" w14:textId="77777777" w:rsidR="00FA36AD" w:rsidRPr="00131A73" w:rsidRDefault="00FA36AD" w:rsidP="00C1527E">
            <w:pPr>
              <w:pStyle w:val="Tabletext"/>
              <w:spacing w:before="20" w:after="20"/>
              <w:jc w:val="center"/>
            </w:pPr>
            <w:r w:rsidRPr="00131A73">
              <w:t>19</w:t>
            </w:r>
          </w:p>
        </w:tc>
      </w:tr>
      <w:tr w:rsidR="00FA36AD" w:rsidRPr="00131A73" w14:paraId="6A53B388" w14:textId="77777777" w:rsidTr="003654D1">
        <w:trPr>
          <w:cantSplit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B1B0A4F" w14:textId="3C68A103" w:rsidR="00FA36AD" w:rsidRPr="00131A73" w:rsidRDefault="00FA36AD" w:rsidP="00C1527E">
            <w:pPr>
              <w:pStyle w:val="Tabletext"/>
              <w:spacing w:before="20" w:after="20"/>
              <w:ind w:right="57"/>
              <w:jc w:val="right"/>
              <w:rPr>
                <w:bCs/>
                <w:szCs w:val="22"/>
              </w:rPr>
            </w:pPr>
            <w:r w:rsidRPr="00131A73">
              <w:rPr>
                <w:bCs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77887" w14:textId="77777777" w:rsidR="00FA36AD" w:rsidRPr="00131A73" w:rsidRDefault="00FA36AD" w:rsidP="00C1527E">
            <w:pPr>
              <w:pStyle w:val="Tabletext"/>
              <w:spacing w:before="20" w:after="20"/>
            </w:pPr>
            <w:r w:rsidRPr="00131A73">
              <w:rPr>
                <w:bCs/>
              </w:rPr>
              <w:t>Оказание помощи в разработке методик для составления национальных таблиц распределения частот и перераспределения спектра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7A863" w14:textId="77777777" w:rsidR="00FA36AD" w:rsidRPr="00131A73" w:rsidRDefault="00FA36AD" w:rsidP="00C1527E">
            <w:pPr>
              <w:pStyle w:val="Tabletext"/>
              <w:spacing w:before="20" w:after="20"/>
              <w:jc w:val="center"/>
            </w:pPr>
            <w:r w:rsidRPr="00131A73">
              <w:t>13</w:t>
            </w:r>
          </w:p>
        </w:tc>
      </w:tr>
      <w:tr w:rsidR="00FA36AD" w:rsidRPr="00131A73" w14:paraId="54914BD8" w14:textId="77777777" w:rsidTr="003654D1">
        <w:trPr>
          <w:cantSplit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81B52E2" w14:textId="14F5CDE7" w:rsidR="00FA36AD" w:rsidRPr="00131A73" w:rsidRDefault="00FA36AD" w:rsidP="00C1527E">
            <w:pPr>
              <w:pStyle w:val="Tabletext"/>
              <w:spacing w:before="20" w:after="20"/>
              <w:ind w:right="57"/>
              <w:jc w:val="right"/>
              <w:rPr>
                <w:bCs/>
                <w:szCs w:val="22"/>
              </w:rPr>
            </w:pPr>
            <w:r w:rsidRPr="00131A73">
              <w:rPr>
                <w:bCs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75FD9" w14:textId="77777777" w:rsidR="00FA36AD" w:rsidRPr="00131A73" w:rsidRDefault="00FA36AD" w:rsidP="00C1527E">
            <w:pPr>
              <w:pStyle w:val="Tabletext"/>
              <w:spacing w:before="20" w:after="20"/>
            </w:pPr>
            <w:r w:rsidRPr="00131A73">
              <w:rPr>
                <w:bCs/>
              </w:rPr>
              <w:t>Оказание помощи в организации автоматизированных систем управления использованием частот и контроля за этим процессом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4E711" w14:textId="77777777" w:rsidR="00FA36AD" w:rsidRPr="00131A73" w:rsidRDefault="00FA36AD" w:rsidP="00C1527E">
            <w:pPr>
              <w:pStyle w:val="Tabletext"/>
              <w:spacing w:before="20" w:after="20"/>
              <w:jc w:val="center"/>
            </w:pPr>
            <w:r w:rsidRPr="00131A73">
              <w:t>7</w:t>
            </w:r>
          </w:p>
        </w:tc>
      </w:tr>
      <w:tr w:rsidR="00FA36AD" w:rsidRPr="00131A73" w14:paraId="5BB60280" w14:textId="77777777" w:rsidTr="003654D1">
        <w:trPr>
          <w:cantSplit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517810C" w14:textId="34E8DA48" w:rsidR="00FA36AD" w:rsidRPr="00131A73" w:rsidRDefault="00FA36AD" w:rsidP="00C1527E">
            <w:pPr>
              <w:pStyle w:val="Tabletext"/>
              <w:spacing w:before="20" w:after="20"/>
              <w:ind w:right="57"/>
              <w:jc w:val="right"/>
              <w:rPr>
                <w:bCs/>
                <w:szCs w:val="22"/>
              </w:rPr>
            </w:pPr>
            <w:r w:rsidRPr="00131A73">
              <w:rPr>
                <w:bCs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E928F" w14:textId="77777777" w:rsidR="00FA36AD" w:rsidRPr="00131A73" w:rsidRDefault="00FA36AD" w:rsidP="00C1527E">
            <w:pPr>
              <w:pStyle w:val="Tabletext"/>
              <w:spacing w:before="20" w:after="20"/>
            </w:pPr>
            <w:r w:rsidRPr="00131A73">
              <w:rPr>
                <w:bCs/>
              </w:rPr>
              <w:t>Экономические и финансовые аспекты управления использованием спектра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952B1" w14:textId="77777777" w:rsidR="00FA36AD" w:rsidRPr="00131A73" w:rsidRDefault="00FA36AD" w:rsidP="00C1527E">
            <w:pPr>
              <w:pStyle w:val="Tabletext"/>
              <w:spacing w:before="20" w:after="20"/>
              <w:jc w:val="center"/>
            </w:pPr>
            <w:r w:rsidRPr="00131A73">
              <w:t>10</w:t>
            </w:r>
          </w:p>
        </w:tc>
      </w:tr>
      <w:tr w:rsidR="00FA36AD" w:rsidRPr="00131A73" w14:paraId="4F2427E4" w14:textId="77777777" w:rsidTr="003654D1">
        <w:trPr>
          <w:cantSplit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08ADD29" w14:textId="640ABAF2" w:rsidR="00FA36AD" w:rsidRPr="00131A73" w:rsidRDefault="00FA36AD" w:rsidP="00C1527E">
            <w:pPr>
              <w:pStyle w:val="Tabletext"/>
              <w:spacing w:before="20" w:after="20"/>
              <w:ind w:right="57"/>
              <w:jc w:val="right"/>
            </w:pPr>
            <w:r w:rsidRPr="00131A73">
              <w:t>6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366FB" w14:textId="77777777" w:rsidR="00FA36AD" w:rsidRPr="00131A73" w:rsidRDefault="00FA36AD" w:rsidP="00C1527E">
            <w:pPr>
              <w:pStyle w:val="Tabletext"/>
              <w:spacing w:before="20" w:after="20"/>
            </w:pPr>
            <w:r w:rsidRPr="00131A73">
              <w:rPr>
                <w:bCs/>
              </w:rPr>
              <w:t>Оказание помощи в подготовке к всемирным конференциям радиосвязи (ВКР), принятии последующих мер и выполнении решений ВКР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2730B" w14:textId="77777777" w:rsidR="00FA36AD" w:rsidRPr="00131A73" w:rsidRDefault="00FA36AD" w:rsidP="00C1527E">
            <w:pPr>
              <w:pStyle w:val="Tabletext"/>
              <w:spacing w:before="20" w:after="20"/>
              <w:jc w:val="center"/>
            </w:pPr>
            <w:r w:rsidRPr="00131A73">
              <w:t>16</w:t>
            </w:r>
          </w:p>
        </w:tc>
      </w:tr>
      <w:tr w:rsidR="00FA36AD" w:rsidRPr="00131A73" w14:paraId="79B6CA03" w14:textId="77777777" w:rsidTr="003654D1">
        <w:trPr>
          <w:cantSplit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391B26D4" w14:textId="0AB2B800" w:rsidR="00FA36AD" w:rsidRPr="00131A73" w:rsidRDefault="00FA36AD" w:rsidP="00C1527E">
            <w:pPr>
              <w:pStyle w:val="Tabletext"/>
              <w:spacing w:before="20" w:after="20"/>
              <w:ind w:right="57"/>
              <w:jc w:val="right"/>
              <w:rPr>
                <w:bCs/>
              </w:rPr>
            </w:pPr>
            <w:r w:rsidRPr="00131A73">
              <w:rPr>
                <w:bCs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D540D" w14:textId="77777777" w:rsidR="00FA36AD" w:rsidRPr="00131A73" w:rsidRDefault="00FA36AD" w:rsidP="00C1527E">
            <w:pPr>
              <w:pStyle w:val="Tabletext"/>
              <w:spacing w:before="20" w:after="20"/>
            </w:pPr>
            <w:r w:rsidRPr="00131A73">
              <w:rPr>
                <w:bCs/>
              </w:rPr>
              <w:t>Оказание помощи в обеспечении участия в работе соответствующих исследовательских комиссий МСЭ-R и их рабочих групп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E6A09" w14:textId="77777777" w:rsidR="00FA36AD" w:rsidRPr="00131A73" w:rsidRDefault="00FA36AD" w:rsidP="00C1527E">
            <w:pPr>
              <w:pStyle w:val="Tabletext"/>
              <w:spacing w:before="20" w:after="20"/>
              <w:jc w:val="center"/>
            </w:pPr>
            <w:r w:rsidRPr="00131A73">
              <w:t>8</w:t>
            </w:r>
          </w:p>
        </w:tc>
      </w:tr>
      <w:tr w:rsidR="00FA36AD" w:rsidRPr="00131A73" w14:paraId="7A707044" w14:textId="77777777" w:rsidTr="003654D1">
        <w:trPr>
          <w:cantSplit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470C0C2" w14:textId="05498290" w:rsidR="00FA36AD" w:rsidRPr="00131A73" w:rsidRDefault="00FA36AD" w:rsidP="00C1527E">
            <w:pPr>
              <w:pStyle w:val="Tabletext"/>
              <w:spacing w:before="20" w:after="20"/>
              <w:ind w:right="57"/>
              <w:jc w:val="right"/>
            </w:pPr>
            <w:r w:rsidRPr="00131A73">
              <w:t>8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FD36E" w14:textId="77777777" w:rsidR="00FA36AD" w:rsidRPr="00131A73" w:rsidRDefault="00FA36AD" w:rsidP="00C1527E">
            <w:pPr>
              <w:pStyle w:val="Tabletext"/>
              <w:spacing w:before="20" w:after="20"/>
            </w:pPr>
            <w:r w:rsidRPr="00131A73">
              <w:rPr>
                <w:bCs/>
              </w:rPr>
              <w:t>Переход к цифровому наземному телевизионному радиовещанию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EEDAB" w14:textId="77777777" w:rsidR="00FA36AD" w:rsidRPr="00131A73" w:rsidRDefault="00FA36AD" w:rsidP="00C1527E">
            <w:pPr>
              <w:pStyle w:val="Tabletext"/>
              <w:spacing w:before="20" w:after="20"/>
              <w:jc w:val="center"/>
            </w:pPr>
            <w:r w:rsidRPr="00131A73">
              <w:t>1</w:t>
            </w:r>
          </w:p>
        </w:tc>
      </w:tr>
      <w:tr w:rsidR="00FA36AD" w:rsidRPr="00131A73" w14:paraId="3C7E2994" w14:textId="77777777" w:rsidTr="003654D1">
        <w:trPr>
          <w:cantSplit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68FD4EB" w14:textId="70228861" w:rsidR="00FA36AD" w:rsidRPr="00131A73" w:rsidRDefault="00FA36AD" w:rsidP="00C1527E">
            <w:pPr>
              <w:pStyle w:val="Tabletext"/>
              <w:spacing w:before="20" w:after="20"/>
              <w:ind w:right="57"/>
              <w:jc w:val="right"/>
            </w:pPr>
            <w:r w:rsidRPr="00131A73">
              <w:t>9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80AB9" w14:textId="77777777" w:rsidR="00FA36AD" w:rsidRPr="00131A73" w:rsidRDefault="00FA36AD" w:rsidP="00C1527E">
            <w:pPr>
              <w:pStyle w:val="Tabletext"/>
              <w:spacing w:before="20" w:after="20"/>
            </w:pPr>
            <w:r w:rsidRPr="00131A73">
              <w:rPr>
                <w:bCs/>
              </w:rPr>
              <w:t>Помощь в определении наиболее эффективных способов использования цифрового дивиденда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01C65" w14:textId="77777777" w:rsidR="00FA36AD" w:rsidRPr="00131A73" w:rsidRDefault="00FA36AD" w:rsidP="00C1527E">
            <w:pPr>
              <w:pStyle w:val="Tabletext"/>
              <w:spacing w:before="20" w:after="20"/>
              <w:jc w:val="center"/>
            </w:pPr>
            <w:r w:rsidRPr="00131A73">
              <w:t>9</w:t>
            </w:r>
          </w:p>
        </w:tc>
      </w:tr>
      <w:tr w:rsidR="00FA36AD" w:rsidRPr="00131A73" w14:paraId="376DE4E5" w14:textId="77777777" w:rsidTr="003654D1">
        <w:trPr>
          <w:cantSplit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F0DF944" w14:textId="77D6E8AC" w:rsidR="00FA36AD" w:rsidRPr="00131A73" w:rsidRDefault="00FA36AD" w:rsidP="00C1527E">
            <w:pPr>
              <w:pStyle w:val="Tabletext"/>
              <w:spacing w:before="20" w:after="20"/>
              <w:ind w:right="57"/>
              <w:jc w:val="right"/>
              <w:rPr>
                <w:bCs/>
                <w:szCs w:val="22"/>
              </w:rPr>
            </w:pPr>
            <w:r w:rsidRPr="00131A73">
              <w:rPr>
                <w:bCs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0921F" w14:textId="77777777" w:rsidR="00FA36AD" w:rsidRPr="00131A73" w:rsidRDefault="00FA36AD" w:rsidP="00C1527E">
            <w:pPr>
              <w:pStyle w:val="Tabletext"/>
              <w:spacing w:before="20" w:after="20"/>
            </w:pPr>
            <w:r w:rsidRPr="00131A73">
              <w:rPr>
                <w:bCs/>
              </w:rPr>
              <w:t>Появляющиеся технологии и подходы в использовании спектра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2A919" w14:textId="77777777" w:rsidR="00FA36AD" w:rsidRPr="00131A73" w:rsidRDefault="00FA36AD" w:rsidP="00C1527E">
            <w:pPr>
              <w:pStyle w:val="Tabletext"/>
              <w:spacing w:before="20" w:after="20"/>
              <w:jc w:val="center"/>
            </w:pPr>
            <w:r w:rsidRPr="00131A73">
              <w:t>22</w:t>
            </w:r>
          </w:p>
        </w:tc>
      </w:tr>
      <w:tr w:rsidR="00FA36AD" w:rsidRPr="00131A73" w14:paraId="4FF19320" w14:textId="77777777" w:rsidTr="003654D1">
        <w:trPr>
          <w:cantSplit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DF3039B" w14:textId="0AA8FD02" w:rsidR="00FA36AD" w:rsidRPr="00131A73" w:rsidRDefault="00FA36AD" w:rsidP="00C1527E">
            <w:pPr>
              <w:pStyle w:val="Tabletext"/>
              <w:spacing w:before="20" w:after="20"/>
              <w:ind w:right="57"/>
              <w:jc w:val="right"/>
              <w:rPr>
                <w:bCs/>
                <w:szCs w:val="22"/>
              </w:rPr>
            </w:pPr>
            <w:r w:rsidRPr="00131A73">
              <w:rPr>
                <w:bCs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DFFB1" w14:textId="77777777" w:rsidR="00FA36AD" w:rsidRPr="00131A73" w:rsidRDefault="00FA36AD" w:rsidP="00C1527E">
            <w:pPr>
              <w:pStyle w:val="Tabletext"/>
              <w:spacing w:before="20" w:after="20"/>
            </w:pPr>
            <w:r w:rsidRPr="00131A73">
              <w:rPr>
                <w:bCs/>
              </w:rPr>
              <w:t>Инновационные способы лицензирования использования спектра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6ED7C" w14:textId="77777777" w:rsidR="00FA36AD" w:rsidRPr="00131A73" w:rsidRDefault="00FA36AD" w:rsidP="00C1527E">
            <w:pPr>
              <w:pStyle w:val="Tabletext"/>
              <w:spacing w:before="20" w:after="20"/>
              <w:jc w:val="center"/>
            </w:pPr>
            <w:r w:rsidRPr="00131A73">
              <w:t>12</w:t>
            </w:r>
          </w:p>
        </w:tc>
      </w:tr>
      <w:tr w:rsidR="00FA36AD" w:rsidRPr="00131A73" w14:paraId="2A4ED0D6" w14:textId="77777777" w:rsidTr="003654D1">
        <w:trPr>
          <w:cantSplit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1A60DBE" w14:textId="0FFEE635" w:rsidR="00FA36AD" w:rsidRPr="00131A73" w:rsidRDefault="00FA36AD" w:rsidP="00C1527E">
            <w:pPr>
              <w:pStyle w:val="Tabletext"/>
              <w:spacing w:before="20" w:after="20"/>
              <w:ind w:right="57"/>
              <w:jc w:val="right"/>
              <w:rPr>
                <w:bCs/>
                <w:szCs w:val="22"/>
              </w:rPr>
            </w:pPr>
            <w:r w:rsidRPr="00131A73">
              <w:rPr>
                <w:bCs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9E0B4" w14:textId="77777777" w:rsidR="00FA36AD" w:rsidRPr="00131A73" w:rsidRDefault="00FA36AD" w:rsidP="00C1527E">
            <w:pPr>
              <w:pStyle w:val="Tabletext"/>
              <w:spacing w:before="20" w:after="20"/>
            </w:pPr>
            <w:r w:rsidRPr="00131A73">
              <w:rPr>
                <w:bCs/>
              </w:rPr>
              <w:t>Помощь в решении проблемы помех, создаваемых устройствами в нарушение установленного на национальном уровне распределения спектра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E3974" w14:textId="77777777" w:rsidR="00FA36AD" w:rsidRPr="00131A73" w:rsidRDefault="00FA36AD" w:rsidP="00C1527E">
            <w:pPr>
              <w:pStyle w:val="Tabletext"/>
              <w:spacing w:before="20" w:after="20"/>
              <w:jc w:val="center"/>
            </w:pPr>
            <w:r w:rsidRPr="00131A73">
              <w:t>5</w:t>
            </w:r>
          </w:p>
        </w:tc>
      </w:tr>
      <w:tr w:rsidR="00FA36AD" w:rsidRPr="00131A73" w14:paraId="77131F50" w14:textId="77777777" w:rsidTr="003654D1">
        <w:trPr>
          <w:cantSplit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CAE7656" w14:textId="3B810247" w:rsidR="00FA36AD" w:rsidRPr="00131A73" w:rsidRDefault="00FA36AD" w:rsidP="00C1527E">
            <w:pPr>
              <w:pStyle w:val="Tabletext"/>
              <w:spacing w:before="20" w:after="20"/>
              <w:ind w:right="57"/>
              <w:jc w:val="right"/>
              <w:rPr>
                <w:bCs/>
                <w:szCs w:val="22"/>
              </w:rPr>
            </w:pPr>
            <w:r w:rsidRPr="00131A73">
              <w:rPr>
                <w:bCs/>
              </w:rPr>
              <w:t>1</w:t>
            </w:r>
            <w:r w:rsidR="00C66389">
              <w:rPr>
                <w:bCs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E9DDB" w14:textId="77777777" w:rsidR="00FA36AD" w:rsidRPr="00131A73" w:rsidRDefault="00FA36AD" w:rsidP="00C1527E">
            <w:pPr>
              <w:pStyle w:val="Tabletext"/>
              <w:spacing w:before="20" w:after="20"/>
            </w:pPr>
            <w:r w:rsidRPr="00131A73">
              <w:rPr>
                <w:bCs/>
              </w:rPr>
              <w:t>Помощь в решении проблемы сезонных помех, вызванных аномальным распространением радиоволн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AA184" w14:textId="77777777" w:rsidR="00FA36AD" w:rsidRPr="00131A73" w:rsidRDefault="00FA36AD" w:rsidP="00C1527E">
            <w:pPr>
              <w:pStyle w:val="Tabletext"/>
              <w:spacing w:before="20" w:after="20"/>
              <w:jc w:val="center"/>
            </w:pPr>
            <w:r w:rsidRPr="00131A73">
              <w:t>1</w:t>
            </w:r>
          </w:p>
        </w:tc>
      </w:tr>
      <w:tr w:rsidR="00FA36AD" w:rsidRPr="00131A73" w14:paraId="6BE06CE6" w14:textId="77777777" w:rsidTr="003654D1">
        <w:trPr>
          <w:cantSplit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33A54284" w14:textId="5DF07F13" w:rsidR="00FA36AD" w:rsidRPr="00131A73" w:rsidRDefault="00FA36AD" w:rsidP="00C1527E">
            <w:pPr>
              <w:pStyle w:val="Tabletext"/>
              <w:spacing w:before="20" w:after="20"/>
              <w:ind w:right="57"/>
              <w:jc w:val="right"/>
            </w:pPr>
            <w:r w:rsidRPr="00131A73">
              <w:t>14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57E91" w14:textId="77777777" w:rsidR="00FA36AD" w:rsidRPr="00131A73" w:rsidRDefault="00FA36AD" w:rsidP="00C1527E">
            <w:pPr>
              <w:pStyle w:val="Tabletext"/>
              <w:spacing w:before="20" w:after="20"/>
            </w:pPr>
            <w:r w:rsidRPr="00131A73">
              <w:t>Развитие системы SMS4DC и подготовка в этой области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57EDC" w14:textId="77777777" w:rsidR="00FA36AD" w:rsidRPr="00131A73" w:rsidRDefault="00FA36AD" w:rsidP="00C1527E">
            <w:pPr>
              <w:pStyle w:val="Tabletext"/>
              <w:spacing w:before="20" w:after="20"/>
              <w:jc w:val="center"/>
            </w:pPr>
            <w:r w:rsidRPr="00131A73">
              <w:t>11</w:t>
            </w:r>
          </w:p>
        </w:tc>
      </w:tr>
      <w:tr w:rsidR="00FA36AD" w:rsidRPr="00131A73" w14:paraId="3ECB46C3" w14:textId="77777777" w:rsidTr="003654D1">
        <w:trPr>
          <w:cantSplit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BBEAF7D" w14:textId="77777777" w:rsidR="00FA36AD" w:rsidRPr="00131A73" w:rsidRDefault="00FA36AD" w:rsidP="003654D1">
            <w:pPr>
              <w:pStyle w:val="Tabletext"/>
              <w:spacing w:before="40" w:after="40"/>
              <w:ind w:right="57"/>
              <w:jc w:val="right"/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F12AB" w14:textId="77777777" w:rsidR="00FA36AD" w:rsidRPr="00131A73" w:rsidRDefault="00FA36AD" w:rsidP="003654D1">
            <w:pPr>
              <w:pStyle w:val="Tabletext"/>
              <w:spacing w:before="40" w:after="40"/>
            </w:pPr>
            <w:r w:rsidRPr="00131A73">
              <w:t>Итого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C162B" w14:textId="77777777" w:rsidR="00FA36AD" w:rsidRPr="00131A73" w:rsidRDefault="00FA36AD" w:rsidP="003654D1">
            <w:pPr>
              <w:pStyle w:val="Tabletext"/>
              <w:spacing w:before="40" w:after="40"/>
              <w:jc w:val="center"/>
            </w:pPr>
            <w:r w:rsidRPr="00131A73">
              <w:t>160</w:t>
            </w:r>
          </w:p>
        </w:tc>
      </w:tr>
    </w:tbl>
    <w:p w14:paraId="5E49546A" w14:textId="77777777" w:rsidR="00370549" w:rsidRDefault="00370549" w:rsidP="00370549">
      <w:pPr>
        <w:spacing w:before="0"/>
      </w:pPr>
    </w:p>
    <w:tbl>
      <w:tblPr>
        <w:tblStyle w:val="TableGrid41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FA36AD" w:rsidRPr="00131A73" w14:paraId="1B26DD6C" w14:textId="77777777" w:rsidTr="003654D1">
        <w:tc>
          <w:tcPr>
            <w:tcW w:w="9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07475" w14:textId="77777777" w:rsidR="00FA36AD" w:rsidRPr="00131A73" w:rsidRDefault="00FA36AD" w:rsidP="00C66389">
            <w:pPr>
              <w:keepNext/>
              <w:rPr>
                <w:b/>
              </w:rPr>
            </w:pPr>
            <w:r w:rsidRPr="00131A73">
              <w:rPr>
                <w:b/>
              </w:rPr>
              <w:lastRenderedPageBreak/>
              <w:t>РЕГИОНАЛЬНЫЕ ИНИЦИАТИВЫ</w:t>
            </w:r>
          </w:p>
          <w:p w14:paraId="7F10939A" w14:textId="77777777" w:rsidR="00FA36AD" w:rsidRPr="00131A73" w:rsidRDefault="00FA36AD" w:rsidP="00FA36AD">
            <w:r w:rsidRPr="00131A73">
              <w:rPr>
                <w:rFonts w:eastAsia="Calibri" w:cs="Calibri"/>
              </w:rPr>
              <w:t>Африканский регион: создание цифровой экономики и содействие инновациям в Африке</w:t>
            </w:r>
          </w:p>
          <w:p w14:paraId="39FB78C0" w14:textId="6CB6D025" w:rsidR="00FA36AD" w:rsidRPr="00131A73" w:rsidRDefault="003654D1" w:rsidP="00FA36AD">
            <w:pPr>
              <w:pStyle w:val="enumlev1"/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rPr>
                <w:szCs w:val="22"/>
              </w:rPr>
              <w:tab/>
            </w:r>
            <w:r w:rsidR="00FA36AD" w:rsidRPr="00131A73">
              <w:t xml:space="preserve">В декабре 2019 года в Женеве состоялся первый в истории </w:t>
            </w:r>
            <w:hyperlink r:id="rId155" w:history="1">
              <w:r w:rsidR="00FA36AD" w:rsidRPr="00131A73">
                <w:rPr>
                  <w:rStyle w:val="Hyperlink"/>
                  <w:rFonts w:eastAsia="Calibri" w:cs="Calibri"/>
                </w:rPr>
                <w:t>Глобальный форум по вопросам беженцев</w:t>
              </w:r>
            </w:hyperlink>
            <w:r w:rsidR="00FA36AD" w:rsidRPr="00131A73">
              <w:t>. МСЭ, УВКБ ООН и Ассоциация GSM совместно провели сессию, на которой рассматривались проблемы обеспечения возможности установления соединений для беженцев, перемещенных лиц и принимающих их сообществ. Это мероприятие стало кульминацией тесной совместной работы по созданию будущих программ и национальных проектов по предоставлению реальной возможности установления соединений для беженцев и принимающих их сообществ в Африке.</w:t>
            </w:r>
          </w:p>
          <w:p w14:paraId="7F5436B0" w14:textId="77777777" w:rsidR="00FA36AD" w:rsidRPr="00131A73" w:rsidRDefault="00FA36AD" w:rsidP="00FA36AD">
            <w:pPr>
              <w:rPr>
                <w:rFonts w:eastAsia="Calibri" w:cs="Calibri"/>
                <w:szCs w:val="22"/>
              </w:rPr>
            </w:pPr>
            <w:r w:rsidRPr="00131A73">
              <w:rPr>
                <w:rFonts w:eastAsia="Calibri" w:cs="Calibri"/>
              </w:rPr>
              <w:t>Азиатско-Тихоокеанский регион: содействие развитию инфраструктуры для расширения возможностей установления цифровых соединений</w:t>
            </w:r>
          </w:p>
          <w:p w14:paraId="5CC2EF14" w14:textId="781589C3" w:rsidR="00FA36AD" w:rsidRPr="00131A73" w:rsidRDefault="003654D1" w:rsidP="00FA36AD">
            <w:pPr>
              <w:pStyle w:val="enumlev1"/>
              <w:rPr>
                <w:rFonts w:eastAsiaTheme="minorEastAsia" w:cstheme="minorBidi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rPr>
                <w:szCs w:val="22"/>
              </w:rPr>
              <w:tab/>
            </w:r>
            <w:r w:rsidR="00FA36AD" w:rsidRPr="00131A73">
              <w:t xml:space="preserve">МСЭ продолжает обновлять </w:t>
            </w:r>
            <w:hyperlink r:id="rId156" w:history="1">
              <w:r w:rsidR="00FA36AD" w:rsidRPr="00131A73">
                <w:rPr>
                  <w:rStyle w:val="Hyperlink"/>
                  <w:rFonts w:cs="Calibri"/>
                  <w:b/>
                  <w:bCs/>
                </w:rPr>
                <w:t>Интерактивные карты наземной передачи МСЭ</w:t>
              </w:r>
            </w:hyperlink>
            <w:r w:rsidR="00FA36AD" w:rsidRPr="00131A73">
              <w:rPr>
                <w:rStyle w:val="Hyperlink"/>
                <w:color w:val="auto"/>
                <w:u w:val="none"/>
              </w:rPr>
              <w:t xml:space="preserve"> для Азиатско-Тихоокеанского региона, и уже имеются данные более чем по 1 миллиону километров сетей.</w:t>
            </w:r>
            <w:r w:rsidR="00FA36AD" w:rsidRPr="00131A73">
              <w:t xml:space="preserve"> Исследование по </w:t>
            </w:r>
            <w:hyperlink r:id="rId157" w:history="1">
              <w:r w:rsidR="00FA36AD" w:rsidRPr="00131A73">
                <w:rPr>
                  <w:rStyle w:val="Hyperlink"/>
                  <w:rFonts w:cs="Calibri"/>
                </w:rPr>
                <w:t>Обеспечению максимальной доступности международных соединений в Тихоокеанском регионе</w:t>
              </w:r>
            </w:hyperlink>
            <w:r w:rsidR="00FA36AD" w:rsidRPr="00131A73">
              <w:rPr>
                <w:rStyle w:val="Hyperlink"/>
                <w:color w:val="auto"/>
                <w:u w:val="none"/>
              </w:rPr>
              <w:t xml:space="preserve"> (2018 г</w:t>
            </w:r>
            <w:r w:rsidR="00370549">
              <w:rPr>
                <w:rStyle w:val="Hyperlink"/>
                <w:color w:val="auto"/>
                <w:u w:val="none"/>
              </w:rPr>
              <w:t>.</w:t>
            </w:r>
            <w:r w:rsidR="00FA36AD" w:rsidRPr="00131A73">
              <w:rPr>
                <w:rStyle w:val="Hyperlink"/>
                <w:color w:val="auto"/>
                <w:u w:val="none"/>
              </w:rPr>
              <w:t>), проведенное в партнерстве с Ассоциацией электросвязи тихоокеанских островных государств (PITA) и при поддержке DITRDC, а также оценка и составление карт сетевых соединений ИКТ (в Пакистане и Афганистане) обеспечили высококачественные данные для обновления карт.</w:t>
            </w:r>
          </w:p>
          <w:p w14:paraId="3D5AB6E5" w14:textId="45B7B307" w:rsidR="00FA36AD" w:rsidRPr="00131A73" w:rsidRDefault="003654D1" w:rsidP="00FA36AD">
            <w:pPr>
              <w:pStyle w:val="enumlev1"/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tab/>
              <w:t xml:space="preserve">По мере развертывания сетей IMT-2020 (5G) в Азиатско-Тихоокеанском регионе одной из основных сфер деятельности </w:t>
            </w:r>
            <w:r w:rsidR="002B0454" w:rsidRPr="00131A73">
              <w:t xml:space="preserve">Регионального отделения </w:t>
            </w:r>
            <w:r w:rsidR="002B0454">
              <w:t xml:space="preserve">для этого региона </w:t>
            </w:r>
            <w:r w:rsidR="00FA36AD" w:rsidRPr="00131A73">
              <w:t>становится развитие потенциала. В CoE МСЭ в Азиатско-Тихоокеанском регионе прошли обучение в области 5G более 530 участников программы.</w:t>
            </w:r>
          </w:p>
          <w:p w14:paraId="5C2746DB" w14:textId="7C77340A" w:rsidR="00FA36AD" w:rsidRPr="00131A73" w:rsidRDefault="003654D1" w:rsidP="00FA36AD">
            <w:pPr>
              <w:pStyle w:val="enumlev1"/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tab/>
              <w:t xml:space="preserve">Одной из областей повышенного спроса со стороны Членов МСЭ остается управление использованием спектра. </w:t>
            </w:r>
            <w:r w:rsidR="002B0454">
              <w:t xml:space="preserve">Региональное отделение для </w:t>
            </w:r>
            <w:r w:rsidR="00FA36AD" w:rsidRPr="00131A73">
              <w:t>Азиатско-Тихоокеанско</w:t>
            </w:r>
            <w:r w:rsidR="002B0454">
              <w:t>го</w:t>
            </w:r>
            <w:r w:rsidR="00FA36AD" w:rsidRPr="00131A73">
              <w:t xml:space="preserve"> региона (</w:t>
            </w:r>
            <w:r w:rsidR="002B0454">
              <w:t>РО</w:t>
            </w:r>
            <w:r w:rsidR="00FA36AD" w:rsidRPr="00131A73">
              <w:t>-</w:t>
            </w:r>
            <w:r w:rsidR="002B0454">
              <w:t>АТР</w:t>
            </w:r>
            <w:r w:rsidR="00FA36AD" w:rsidRPr="00131A73">
              <w:t>) продолжало работу по удовлетворению потребностей стран-членов в этой важной области, включая специальные мероприятия в рамках SMS4DC (Лаосская Народно-Демократическая Республика, Афганистан, Монголия, Самоа и все тихоокеанские страны-члены) по автоматизации соответствующих процессов национального управления использованием спектра.</w:t>
            </w:r>
          </w:p>
          <w:p w14:paraId="69D62D54" w14:textId="25A3232B" w:rsidR="00FA36AD" w:rsidRPr="00131A73" w:rsidRDefault="003654D1" w:rsidP="00FA36AD">
            <w:pPr>
              <w:pStyle w:val="enumlev1"/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tab/>
              <w:t xml:space="preserve">Признавая значительные проблемы, с которыми администрации и регуляторные органы сталкиваются в связи с возникающими проблемами ИКТ, </w:t>
            </w:r>
            <w:r w:rsidR="002B0454" w:rsidRPr="002B0454">
              <w:t xml:space="preserve">РО-АТР </w:t>
            </w:r>
            <w:r w:rsidR="00FA36AD" w:rsidRPr="00131A73">
              <w:t>провело исследования по присвоению определенных радиочастотных полос IMT в Азиатско-Тихоокеанском регионе, совместному развертыванию ИКТ и электроэнергетической инфраструктуры, оценке воздействия проекта спутниковой связи в Тихоокеанском регионе, а также вступило в партнерство с Азиатским банком развития в области обеспечения цифровой связи и группировок спутников LEO, открывающих новые возможности для стран Азиатско-Тихоокеанского региона.</w:t>
            </w:r>
          </w:p>
          <w:p w14:paraId="5895CD53" w14:textId="77777777" w:rsidR="00FA36AD" w:rsidRPr="00131A73" w:rsidRDefault="00FA36AD" w:rsidP="00FA36AD">
            <w:pPr>
              <w:keepNext/>
              <w:rPr>
                <w:rFonts w:eastAsia="Calibri" w:cs="Calibri"/>
              </w:rPr>
            </w:pPr>
            <w:r w:rsidRPr="00131A73">
              <w:rPr>
                <w:rFonts w:eastAsia="Calibri" w:cs="Calibri"/>
              </w:rPr>
              <w:t>Регион Северной и Южной Америки: управление использованием спектра и переход к цифровому радиовещанию</w:t>
            </w:r>
          </w:p>
          <w:p w14:paraId="05F2D2E1" w14:textId="07377FDC" w:rsidR="00FA36AD" w:rsidRPr="00131A73" w:rsidRDefault="003654D1" w:rsidP="00FA36AD">
            <w:pPr>
              <w:pStyle w:val="enumlev1"/>
              <w:rPr>
                <w:rFonts w:eastAsia="Calibri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rPr>
                <w:rFonts w:eastAsia="Calibri"/>
              </w:rPr>
              <w:tab/>
              <w:t>Для стран Карибского бассейна организован региональный учебный семинар по управлению использованием спектра в целях повышения уровня и скорости подключения на базе ИКТ в этом регионе.</w:t>
            </w:r>
          </w:p>
          <w:p w14:paraId="4F90C087" w14:textId="28705973" w:rsidR="00FA36AD" w:rsidRPr="00131A73" w:rsidRDefault="003654D1" w:rsidP="00FA36AD">
            <w:pPr>
              <w:pStyle w:val="enumlev1"/>
              <w:rPr>
                <w:rFonts w:eastAsia="Calibri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rPr>
                <w:rFonts w:eastAsia="Calibri"/>
              </w:rPr>
              <w:tab/>
              <w:t>В 2019 году была оказана техническая и специальная помощь Министерству энергетики, науки и технологий и Организации по управлению использованием спектра Ямайки в целях разработки национальной системы лицензирования спектра для расширения возможностей по установлению соединений на базе ИКТ в стране.</w:t>
            </w:r>
          </w:p>
          <w:p w14:paraId="7F36DD1F" w14:textId="032117D6" w:rsidR="00FA36AD" w:rsidRPr="00131A73" w:rsidRDefault="003654D1" w:rsidP="00FA36AD">
            <w:pPr>
              <w:pStyle w:val="enumlev1"/>
              <w:rPr>
                <w:rFonts w:eastAsia="Calibri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rPr>
                <w:rFonts w:eastAsia="Calibri"/>
              </w:rPr>
              <w:tab/>
              <w:t>В 2020 году МСЭ приступил к реализации проекта по оценке полос частот 700 МГц и 2,5 ГГц в Эквадоре.</w:t>
            </w:r>
          </w:p>
          <w:p w14:paraId="76CDE58B" w14:textId="2AF75CBF" w:rsidR="00FA36AD" w:rsidRPr="00131A73" w:rsidRDefault="003654D1" w:rsidP="00FA36AD">
            <w:pPr>
              <w:pStyle w:val="enumlev1"/>
              <w:rPr>
                <w:rFonts w:eastAsia="Calibri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rPr>
                <w:rFonts w:eastAsia="Calibri"/>
              </w:rPr>
              <w:tab/>
              <w:t>В 2018–2020 годах на ежегодной основе проводился Коллоквиум МСЭ по вопросам политики и экономики (IPEC). В 2020 году он был организован в онлайновом формате и посвящен теме оказания поддержки странам в финансовых и регуляторных вопросах.</w:t>
            </w:r>
          </w:p>
          <w:p w14:paraId="53EC0C4B" w14:textId="1B7FCA73" w:rsidR="00FA36AD" w:rsidRPr="00131A73" w:rsidRDefault="003654D1" w:rsidP="00FA36AD">
            <w:pPr>
              <w:pStyle w:val="enumlev1"/>
              <w:rPr>
                <w:rFonts w:eastAsia="Calibri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rPr>
                <w:rFonts w:eastAsia="Calibri"/>
              </w:rPr>
              <w:tab/>
              <w:t>Гайане оказана поддержка в вопросах управления использованием спектра по линии Национального органа управления использованием частот (NFMU).</w:t>
            </w:r>
          </w:p>
          <w:p w14:paraId="21A06A65" w14:textId="0E605FD6" w:rsidR="00FA36AD" w:rsidRPr="00131A73" w:rsidRDefault="003654D1" w:rsidP="00FA36AD">
            <w:pPr>
              <w:pStyle w:val="enumlev1"/>
              <w:rPr>
                <w:rFonts w:eastAsia="Calibri"/>
              </w:rPr>
            </w:pPr>
            <w:r w:rsidRPr="00131A73">
              <w:rPr>
                <w:rFonts w:eastAsiaTheme="minorEastAsia"/>
                <w:szCs w:val="22"/>
              </w:rPr>
              <w:lastRenderedPageBreak/>
              <w:t>−</w:t>
            </w:r>
            <w:r w:rsidR="00FA36AD" w:rsidRPr="00131A73">
              <w:rPr>
                <w:rFonts w:eastAsia="Calibri"/>
              </w:rPr>
              <w:tab/>
              <w:t xml:space="preserve">В декабре 2019 года был проведен семинар-практикум по управлению использованием спектра для островных государств Карибского бассейна. </w:t>
            </w:r>
          </w:p>
          <w:p w14:paraId="221E73AB" w14:textId="726F867A" w:rsidR="00FA36AD" w:rsidRPr="00131A73" w:rsidRDefault="003654D1" w:rsidP="00FA36AD">
            <w:pPr>
              <w:pStyle w:val="enumlev1"/>
              <w:rPr>
                <w:rFonts w:eastAsia="Calibri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rPr>
                <w:rFonts w:eastAsia="Calibri"/>
              </w:rPr>
              <w:tab/>
              <w:t>МСЭ совместно с Министерством информационно-коммуникационных технологий (MinTIC) Колумбии реализовал проект по разработке ряда исследований, анализу и выработке предложений, связанных с i) диагностикой и обновлением национальных технических планов радиовещания (PTNRS); ii) определением технической стратегии нового AM- и ЧМ-вещания; iii) новыми технологиями радиовещания; iv) предложением практического руководства по сборке радиостанций; v) технической спецификацией веб-инструмента для управления и контроля PTNRS и концессионеров радиовещания; и vi) обучением и обменом результатами деятельности с сектором.</w:t>
            </w:r>
          </w:p>
          <w:p w14:paraId="05482BD6" w14:textId="407069AC" w:rsidR="00FA36AD" w:rsidRPr="00131A73" w:rsidRDefault="003654D1" w:rsidP="00FA36AD">
            <w:pPr>
              <w:pStyle w:val="enumlev1"/>
              <w:rPr>
                <w:rFonts w:eastAsia="Calibri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rPr>
                <w:rFonts w:eastAsia="Calibri"/>
              </w:rPr>
              <w:tab/>
              <w:t>МСЭ совместно с MinTIC Колумбии реализовал проект по разработке методов диагностики и контроля распределения спектра путем процедуры объективного выбора.</w:t>
            </w:r>
          </w:p>
          <w:p w14:paraId="3CC65382" w14:textId="2146EBB7" w:rsidR="00FA36AD" w:rsidRPr="00131A73" w:rsidRDefault="003654D1" w:rsidP="00FA36AD">
            <w:pPr>
              <w:pStyle w:val="enumlev1"/>
              <w:rPr>
                <w:rFonts w:eastAsia="Calibri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rPr>
                <w:rFonts w:eastAsia="Calibri"/>
              </w:rPr>
              <w:tab/>
              <w:t>МСЭ совместно с MinTIC Колумбии реализовал проект по разработке стратегии внедрения передового международного опыта в области распределении спектра, относящегося к услугам международной подвижной электросвязи (IMT).</w:t>
            </w:r>
          </w:p>
          <w:p w14:paraId="1F7E86DC" w14:textId="3F022960" w:rsidR="00FA36AD" w:rsidRPr="00131A73" w:rsidRDefault="003654D1" w:rsidP="00FA36AD">
            <w:pPr>
              <w:pStyle w:val="enumlev1"/>
              <w:rPr>
                <w:rFonts w:eastAsia="Calibri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rPr>
                <w:rFonts w:eastAsia="Calibri"/>
              </w:rPr>
              <w:tab/>
              <w:t>МСЭ реализовал проект по консультированию и поддержке MinTIC в подготовке общих мероприятий по оптимальному использованию ИКТ для цифровой трансформации.</w:t>
            </w:r>
          </w:p>
          <w:p w14:paraId="54085739" w14:textId="2487F6B3" w:rsidR="00FA36AD" w:rsidRPr="00131A73" w:rsidRDefault="003654D1" w:rsidP="00FA36AD">
            <w:pPr>
              <w:pStyle w:val="enumlev1"/>
              <w:rPr>
                <w:rFonts w:eastAsia="Calibri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rPr>
                <w:rFonts w:eastAsia="Calibri"/>
              </w:rPr>
              <w:tab/>
              <w:t>Осуществляется проект по оказанию технической помощи в осуществлении проверки, планирования и выдачи разрешений на использование спектра IMT, а также на использование передового опыта для повышения уровня проникновения интернета в Колумбии.</w:t>
            </w:r>
          </w:p>
          <w:p w14:paraId="5F07137A" w14:textId="74BD20FB" w:rsidR="00FA36AD" w:rsidRPr="00131A73" w:rsidRDefault="003654D1" w:rsidP="00FA36AD">
            <w:pPr>
              <w:pStyle w:val="enumlev1"/>
              <w:rPr>
                <w:rFonts w:eastAsia="Calibri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rPr>
                <w:rFonts w:eastAsia="Calibri"/>
              </w:rPr>
              <w:tab/>
              <w:t>Совместно с Глобальным форумом были организованы пятая ежегодная Конференция по управлению использованием спектра в Латинской Америке и семинар-практикум по использованию спектра и коллективным сетям, проходившие с 5 по 7 сентября 2018 года. В этих мероприятиях приняли участие 167 зарегистрированных участников из 16 стран (12 из стран Латинской Америки).</w:t>
            </w:r>
          </w:p>
          <w:p w14:paraId="2D830D22" w14:textId="29FBE481" w:rsidR="00FA36AD" w:rsidRPr="00131A73" w:rsidRDefault="003654D1" w:rsidP="00FA36AD">
            <w:pPr>
              <w:pStyle w:val="enumlev1"/>
              <w:rPr>
                <w:rFonts w:eastAsia="Calibri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rPr>
                <w:rFonts w:eastAsia="Calibri"/>
              </w:rPr>
              <w:tab/>
              <w:t>С 10 по 14 сентября 2018 года в Кито, Эквадор, были проведены учебные курсы МСЭ-ITSO по спутниковой связи. В мероприятии приняли участие 44 делегата из Бразилии, Эквадора и Парагвая. Все 44 участника успешно сдали экзамен и получили соответствующий сертификат.</w:t>
            </w:r>
          </w:p>
          <w:p w14:paraId="179B94B7" w14:textId="41DE5D94" w:rsidR="00FA36AD" w:rsidRPr="00131A73" w:rsidRDefault="003654D1" w:rsidP="00FA36AD">
            <w:pPr>
              <w:pStyle w:val="enumlev1"/>
              <w:rPr>
                <w:rFonts w:eastAsia="Calibri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rPr>
                <w:rFonts w:eastAsia="Calibri"/>
              </w:rPr>
              <w:tab/>
              <w:t>С 22 по 26 апреля 2019 года в Асунсьоне, Парагвай, была проведена вторая серия учебных курсов МСЭ-ITSO по спутниковой связи. В мероприятии приняли участие 48 делегатов из Аргентины, Парагвая и Уругвая. Все 48 участников успешно сдали экзамен и получили соответствующий сертификат.</w:t>
            </w:r>
          </w:p>
          <w:p w14:paraId="46A4EF45" w14:textId="6EC30081" w:rsidR="00FA36AD" w:rsidRPr="00131A73" w:rsidRDefault="003654D1" w:rsidP="00FA36AD">
            <w:pPr>
              <w:pStyle w:val="enumlev1"/>
              <w:rPr>
                <w:rFonts w:eastAsia="Calibri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rPr>
                <w:rFonts w:eastAsia="Calibri"/>
              </w:rPr>
              <w:tab/>
              <w:t>Со 2 по 29 ноября 2020 года в режиме онлайн (из-за ограничений на поездки в условиях глобальной пандемии) была проведена третья серия учебных курсов МСЭ-ITSO по спутниковой связи. В мероприятии приняли участие 48 делегатов из Аргентины, Боливии, Бразилии, Канады, Чили, Колумбии, Коста-Рики, Кубы, Гватемалы, Гондураса, Мексики, Никарагуа, Соединенных Штатов, Уругвая и Венесуэлы. 42 из 48 участников успешно сдали экзамен и получили соответствующий сертификат.</w:t>
            </w:r>
          </w:p>
          <w:p w14:paraId="407C0C26" w14:textId="2F146FAF" w:rsidR="00FA36AD" w:rsidRPr="00131A73" w:rsidRDefault="003654D1" w:rsidP="00FA36AD">
            <w:pPr>
              <w:pStyle w:val="enumlev1"/>
              <w:rPr>
                <w:rFonts w:eastAsia="Calibri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rPr>
                <w:rFonts w:eastAsia="Calibri"/>
              </w:rPr>
              <w:tab/>
              <w:t>В 2019 и 2020 годах МСЭ предоставлял возможность бесплатного обучения по базовым модулям программы обучения управлению использованием спектра (SMTP) на испанском языке и сертифицировал более 300 специалистов в регионе, в основном из государственных учреждений. Спрос на SMTP на испанском языке остается высоким, и в 2021 году МСЭ увеличит количество этих базовых модулей.</w:t>
            </w:r>
          </w:p>
          <w:p w14:paraId="71EADEB9" w14:textId="1E92968F" w:rsidR="00FA36AD" w:rsidRPr="00131A73" w:rsidRDefault="003654D1" w:rsidP="00FA36AD">
            <w:pPr>
              <w:pStyle w:val="enumlev1"/>
              <w:rPr>
                <w:rFonts w:eastAsia="Calibri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rPr>
                <w:rFonts w:eastAsia="Calibri"/>
              </w:rPr>
              <w:tab/>
              <w:t>С 22 по 26 апреля 2019 года МСЭ провел региональные учебные курсы по спутниковой связи в Асунсьоне, Парагвай. Обучение прошли в общей сложности 49 человек, 48 из них успешно сдали экзамен.</w:t>
            </w:r>
          </w:p>
          <w:p w14:paraId="5A6F6600" w14:textId="77777777" w:rsidR="00FA36AD" w:rsidRPr="00131A73" w:rsidRDefault="00FA36AD" w:rsidP="00FA36AD">
            <w:pPr>
              <w:rPr>
                <w:rFonts w:eastAsiaTheme="minorEastAsia"/>
              </w:rPr>
            </w:pPr>
            <w:r w:rsidRPr="00131A73">
              <w:t>Регион СНГ: содействие инновациям и партнерству в сфере внедрения технологий интернета вещей и их взаимодействие в сетях электросвязи, включая сети 4G, IMT-2020 и сети последующих поколений, в интересах устойчивого развития</w:t>
            </w:r>
          </w:p>
          <w:p w14:paraId="7EA90582" w14:textId="2E16298D" w:rsidR="00FA36AD" w:rsidRPr="00131A73" w:rsidRDefault="003654D1" w:rsidP="00FA36AD">
            <w:pPr>
              <w:pStyle w:val="enumlev1"/>
              <w:rPr>
                <w:rFonts w:eastAsia="Calibri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rPr>
                <w:rFonts w:eastAsia="Calibri"/>
              </w:rPr>
              <w:tab/>
              <w:t xml:space="preserve">МСЭ создал Международный научно-исследовательский испытательный центр для оборудования, новых технологий и услуг в Санкт-Петербурге, Российская Федерация (этап 1 совместного проекта с ПАО "Ростелеком"), и ведет работу по содействию установлению соединений в других странах </w:t>
            </w:r>
            <w:r w:rsidR="00FA36AD" w:rsidRPr="00131A73">
              <w:rPr>
                <w:rFonts w:eastAsia="Calibri"/>
              </w:rPr>
              <w:lastRenderedPageBreak/>
              <w:t>региона, а также по созданию распределенной виртуальной лаборатории тестирования на C&amp;I (этап 2 проекта).</w:t>
            </w:r>
          </w:p>
          <w:p w14:paraId="35454191" w14:textId="2340A3E7" w:rsidR="00FA36AD" w:rsidRPr="00131A73" w:rsidRDefault="003654D1" w:rsidP="00FA36AD">
            <w:pPr>
              <w:pStyle w:val="enumlev1"/>
              <w:rPr>
                <w:rFonts w:eastAsia="Calibri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rPr>
                <w:rFonts w:eastAsia="Calibri"/>
              </w:rPr>
              <w:tab/>
              <w:t xml:space="preserve">В связи с большим количеством поступивших от членов запросов была организована серия специальных региональных учебных курсов и мероприятий (по управлению использованием спектра, </w:t>
            </w:r>
            <w:r w:rsidR="00FA36AD" w:rsidRPr="00131A73">
              <w:t>VoLTE, 5G, будущим сетям). Все мероприятия проводились в сотрудничестве с МСЭ</w:t>
            </w:r>
            <w:r w:rsidR="00FA36AD" w:rsidRPr="00131A73">
              <w:noBreakHyphen/>
              <w:t xml:space="preserve">T и МСЭ-R. </w:t>
            </w:r>
          </w:p>
          <w:p w14:paraId="3CF11C89" w14:textId="06240873" w:rsidR="00FA36AD" w:rsidRPr="00131A73" w:rsidRDefault="003654D1" w:rsidP="00FA36AD">
            <w:pPr>
              <w:pStyle w:val="enumlev1"/>
              <w:rPr>
                <w:rFonts w:eastAsia="Calibri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rPr>
                <w:rFonts w:eastAsia="Calibri"/>
              </w:rPr>
              <w:tab/>
              <w:t xml:space="preserve">В 2019 году в Минске, Беларусь, были проведены третья ежегодная конференция по управлению использованием </w:t>
            </w:r>
            <w:r w:rsidR="00FA36AD" w:rsidRPr="00131A73">
              <w:t>спектра</w:t>
            </w:r>
            <w:r w:rsidR="00FA36AD" w:rsidRPr="00131A73">
              <w:rPr>
                <w:rFonts w:eastAsia="Calibri"/>
              </w:rPr>
              <w:t xml:space="preserve"> в регионе СНГ и Центральной и Восточной Европы и семинар-практикум МСЭ по методам обеспечения беспомеховой связи на современном этапе технического развития.</w:t>
            </w:r>
            <w:r w:rsidR="00FA36AD" w:rsidRPr="00131A73">
              <w:t xml:space="preserve"> </w:t>
            </w:r>
            <w:r w:rsidR="00FA36AD" w:rsidRPr="00131A73">
              <w:rPr>
                <w:rFonts w:eastAsia="Calibri"/>
              </w:rPr>
              <w:t>В декабре 2020 года была проведена виртуальная конференция по управлению использованием спектра.</w:t>
            </w:r>
          </w:p>
          <w:p w14:paraId="08E08AD7" w14:textId="77777777" w:rsidR="00FA36AD" w:rsidRPr="00131A73" w:rsidRDefault="00FA36AD" w:rsidP="00FA36AD">
            <w:pPr>
              <w:rPr>
                <w:rFonts w:eastAsia="Calibri" w:cs="Calibri"/>
              </w:rPr>
            </w:pPr>
            <w:r w:rsidRPr="00131A73">
              <w:rPr>
                <w:rFonts w:eastAsia="Calibri" w:cs="Calibri"/>
              </w:rPr>
              <w:t>Европейский регион: инфраструктура широкополосной связи, радиовещание и управление использованием спектра</w:t>
            </w:r>
          </w:p>
          <w:p w14:paraId="293B1021" w14:textId="4D3223CB" w:rsidR="00FA36AD" w:rsidRPr="00131A73" w:rsidRDefault="003654D1" w:rsidP="00FA36AD">
            <w:pPr>
              <w:pStyle w:val="enumlev1"/>
              <w:rPr>
                <w:rFonts w:eastAsia="Calibri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rPr>
                <w:rFonts w:eastAsia="Calibri"/>
              </w:rPr>
              <w:tab/>
              <w:t>Организован ряд семинаров и семинаров-практикумов для обсуждения будущего телевидения, а также вопросов составления карты наземной инфраструктуры и услуг широкополосной связи, цифровой экономики и радиосвязи. Ежегодные региональные форумы по регулированию и региональные круглые столы по вопросам регулирования ГСР предоставили европейским регуляторным органам дополнительные платформы для обсуждения новых тенденций.</w:t>
            </w:r>
          </w:p>
          <w:p w14:paraId="59E69A67" w14:textId="22833152" w:rsidR="00FA36AD" w:rsidRPr="00131A73" w:rsidRDefault="003654D1" w:rsidP="00FA36AD">
            <w:pPr>
              <w:pStyle w:val="enumlev1"/>
              <w:rPr>
                <w:rFonts w:eastAsia="Calibri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rPr>
                <w:rFonts w:eastAsia="Calibri"/>
              </w:rPr>
              <w:tab/>
              <w:t>Был подготовлен ряд справочных документов и исследований по сетям 5G, возможностям установления соединений, ЭМП, картированию инфраструктуры широкополосной связи и инвестициям.</w:t>
            </w:r>
          </w:p>
          <w:p w14:paraId="7EBE4824" w14:textId="2FA7792E" w:rsidR="00FA36AD" w:rsidRPr="00131A73" w:rsidRDefault="003654D1" w:rsidP="00FA36AD">
            <w:pPr>
              <w:pStyle w:val="enumlev1"/>
              <w:rPr>
                <w:rFonts w:eastAsia="Calibri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rPr>
                <w:rFonts w:eastAsia="Calibri"/>
              </w:rPr>
              <w:tab/>
              <w:t>Были проведены региональные оценки внедрения сетей 5G в странах, не входящих в ЕС, а также оценки ЭМП.</w:t>
            </w:r>
          </w:p>
          <w:p w14:paraId="64E28E67" w14:textId="35F5F2A7" w:rsidR="00FA36AD" w:rsidRPr="00131A73" w:rsidRDefault="003654D1" w:rsidP="00FA36AD">
            <w:pPr>
              <w:pStyle w:val="enumlev1"/>
              <w:rPr>
                <w:rFonts w:eastAsia="Calibri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rPr>
                <w:rFonts w:eastAsia="Calibri"/>
              </w:rPr>
              <w:tab/>
              <w:t>В Риге, Латвия, при поддержке МСЭ проводились ежегодные конференции 5G Techritory для стран Балтии, которые продолжают служить субрегиональной платформой сотрудничества.</w:t>
            </w:r>
          </w:p>
          <w:p w14:paraId="627DF309" w14:textId="16BF70B6" w:rsidR="00FA36AD" w:rsidRPr="00131A73" w:rsidRDefault="003654D1" w:rsidP="00FA36AD">
            <w:pPr>
              <w:pStyle w:val="enumlev1"/>
              <w:rPr>
                <w:rFonts w:eastAsia="Calibri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rPr>
                <w:rFonts w:eastAsia="Calibri"/>
              </w:rPr>
              <w:tab/>
              <w:t>Албании и Молдове была предоставлена техническая помощь в области использования спектра. Кроме того, для Албании разработана политика в области широкополосной связи. Черногории оказывается помощь в области IPv6, проверки готовности к внедрению IPv6 и создания лаборатории по IPv6.</w:t>
            </w:r>
          </w:p>
          <w:p w14:paraId="14E19682" w14:textId="2C725D4D" w:rsidR="00FA36AD" w:rsidRPr="00131A73" w:rsidRDefault="003654D1" w:rsidP="00FA36AD">
            <w:pPr>
              <w:pStyle w:val="enumlev1"/>
              <w:rPr>
                <w:rFonts w:eastAsia="Calibri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rPr>
                <w:rFonts w:eastAsia="Calibri"/>
              </w:rPr>
              <w:tab/>
              <w:t xml:space="preserve">Предложена </w:t>
            </w:r>
            <w:r w:rsidR="00FA36AD" w:rsidRPr="00131A73">
              <w:t>специальная</w:t>
            </w:r>
            <w:r w:rsidR="00FA36AD" w:rsidRPr="00131A73">
              <w:rPr>
                <w:rFonts w:eastAsia="Calibri"/>
              </w:rPr>
              <w:t xml:space="preserve"> инициатива по региональному взаимодействию для расширения набора данных интерактивных карт передачи МСЭ.</w:t>
            </w:r>
          </w:p>
          <w:p w14:paraId="2D57C4D5" w14:textId="39F2E940" w:rsidR="00FA36AD" w:rsidRPr="00131A73" w:rsidRDefault="003654D1" w:rsidP="00FA36AD">
            <w:pPr>
              <w:pStyle w:val="enumlev1"/>
              <w:spacing w:after="120"/>
              <w:rPr>
                <w:rFonts w:eastAsiaTheme="minorEastAsia" w:cstheme="minorBidi"/>
                <w:color w:val="444444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rPr>
                <w:rFonts w:eastAsia="Calibri"/>
              </w:rPr>
              <w:tab/>
              <w:t>Разработан проект региональной инициативы по поддержке систем картирования возможностей по инвестициям в инфраструктуру широкополосной связи Юго-Восточной Европы.</w:t>
            </w:r>
            <w:r w:rsidR="00FA36AD" w:rsidRPr="00131A73">
              <w:t xml:space="preserve"> </w:t>
            </w:r>
            <w:r w:rsidR="00FA36AD" w:rsidRPr="00131A73">
              <w:rPr>
                <w:rFonts w:eastAsia="Calibri"/>
              </w:rPr>
              <w:t xml:space="preserve">Был проведен ряд собраний в целях </w:t>
            </w:r>
            <w:r w:rsidR="006C6518">
              <w:rPr>
                <w:rFonts w:eastAsia="Calibri"/>
              </w:rPr>
              <w:t>созд</w:t>
            </w:r>
            <w:r w:rsidR="008247EB">
              <w:rPr>
                <w:rFonts w:eastAsia="Calibri"/>
              </w:rPr>
              <w:t>а</w:t>
            </w:r>
            <w:r w:rsidR="006C6518">
              <w:rPr>
                <w:rFonts w:eastAsia="Calibri"/>
              </w:rPr>
              <w:t>н</w:t>
            </w:r>
            <w:r w:rsidR="008247EB">
              <w:rPr>
                <w:rFonts w:eastAsia="Calibri"/>
              </w:rPr>
              <w:t>и</w:t>
            </w:r>
            <w:r w:rsidR="006C6518">
              <w:rPr>
                <w:rFonts w:eastAsia="Calibri"/>
              </w:rPr>
              <w:t>я</w:t>
            </w:r>
            <w:r w:rsidR="00FA36AD" w:rsidRPr="00131A73">
              <w:rPr>
                <w:rFonts w:eastAsia="Calibri"/>
              </w:rPr>
              <w:t xml:space="preserve"> потенциала стран. Были разработаны справочные документы по системам картирования, которые в дальнейшем будут преобразованы в руководящие принципы.</w:t>
            </w:r>
          </w:p>
        </w:tc>
      </w:tr>
    </w:tbl>
    <w:p w14:paraId="26291C69" w14:textId="6C31ECC7" w:rsidR="00FA36AD" w:rsidRPr="00131A73" w:rsidRDefault="00FA36AD" w:rsidP="003705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szCs w:val="24"/>
        </w:rPr>
      </w:pPr>
    </w:p>
    <w:tbl>
      <w:tblPr>
        <w:tblStyle w:val="TableGrid41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FA36AD" w:rsidRPr="00131A73" w14:paraId="5CA7BC4E" w14:textId="77777777" w:rsidTr="008D3B8A"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39E78" w14:textId="77777777" w:rsidR="00FA36AD" w:rsidRPr="00131A73" w:rsidRDefault="00FA36AD" w:rsidP="00FA36AD">
            <w:pPr>
              <w:shd w:val="clear" w:color="auto" w:fill="FFFFFF" w:themeFill="background1"/>
              <w:overflowPunct/>
              <w:autoSpaceDE/>
              <w:adjustRightInd/>
              <w:rPr>
                <w:rFonts w:cstheme="minorBidi"/>
                <w:b/>
                <w:bCs/>
                <w:szCs w:val="24"/>
              </w:rPr>
            </w:pPr>
            <w:r w:rsidRPr="00131A73">
              <w:rPr>
                <w:rFonts w:cstheme="minorHAnsi"/>
                <w:b/>
              </w:rPr>
              <w:t>ИССЛЕДОВАТЕЛЬСКИЕ КОМИССИИ</w:t>
            </w:r>
          </w:p>
          <w:p w14:paraId="61532F84" w14:textId="77777777" w:rsidR="00FA36AD" w:rsidRPr="00131A73" w:rsidRDefault="00FA36AD" w:rsidP="00FA36AD">
            <w:pPr>
              <w:rPr>
                <w:rFonts w:cs="Calibri"/>
                <w:szCs w:val="22"/>
              </w:rPr>
            </w:pPr>
            <w:r w:rsidRPr="00131A73">
              <w:rPr>
                <w:rFonts w:cs="Calibri"/>
              </w:rPr>
              <w:t>Исследовательскими комиссиями МСЭ-D были подготовлены и опубликованы три следующих ежегодных итоговых документа.</w:t>
            </w:r>
          </w:p>
          <w:p w14:paraId="4F52D78F" w14:textId="4A873BCA" w:rsidR="00FA36AD" w:rsidRPr="00131A73" w:rsidRDefault="00600F1F" w:rsidP="00FA36AD">
            <w:hyperlink r:id="rId158" w:history="1">
              <w:r w:rsidR="00FA36AD" w:rsidRPr="00131A73">
                <w:rPr>
                  <w:rStyle w:val="Hyperlink"/>
                  <w:b/>
                  <w:color w:val="0000FF" w:themeColor="hyperlink"/>
                </w:rPr>
                <w:t>Тенденции в области новых технологий, услуг и приложений радиовещания</w:t>
              </w:r>
            </w:hyperlink>
            <w:r w:rsidR="00FA36AD" w:rsidRPr="00131A73">
              <w:t xml:space="preserve"> (Вопрос 2/1, опубликовано в июле 2019 г</w:t>
            </w:r>
            <w:r w:rsidR="00370549">
              <w:t>.</w:t>
            </w:r>
            <w:r w:rsidR="00FA36AD" w:rsidRPr="00131A73">
              <w:t>). Этот документ содержит обзор последних тенденций в области радиовещания, включая новые сценарии услуг, основанные на новейших технологиях, работу, проводимую в рамках МСЭ-Т, а также соответствующие экономические и регуляторные последствия для конечных пользователей, заинтересованных сторон и регуляторных органов.</w:t>
            </w:r>
          </w:p>
          <w:p w14:paraId="38246569" w14:textId="52E62E5D" w:rsidR="00FA36AD" w:rsidRPr="00131A73" w:rsidRDefault="00600F1F" w:rsidP="00FA36AD">
            <w:hyperlink r:id="rId159" w:history="1">
              <w:r w:rsidR="00FA36AD" w:rsidRPr="00131A73">
                <w:rPr>
                  <w:rStyle w:val="Hyperlink"/>
                  <w:rFonts w:asciiTheme="minorHAnsi" w:hAnsiTheme="minorHAnsi" w:cstheme="minorBidi"/>
                  <w:b/>
                </w:rPr>
                <w:t>Факторы, касающиеся структуры затрат на переход к цифровому радиовещанию, включая внедрение новых услуг и приложений</w:t>
              </w:r>
            </w:hyperlink>
            <w:r w:rsidR="00FA36AD" w:rsidRPr="00131A73">
              <w:t xml:space="preserve"> (Вопрос 2/1, опубликовано в мае 2020 г</w:t>
            </w:r>
            <w:r w:rsidR="00370549">
              <w:t>.</w:t>
            </w:r>
            <w:r w:rsidR="00FA36AD" w:rsidRPr="00131A73">
              <w:t>). Этот документ дает представление об эволюции услуг радиовещания и значительном финансовом влиянии цифрового перехода и подробно описывает элементы затрат, которые следует тщательно проанализировать при планировании и реализации мер для успешного перехода к цифровому радиовещанию и отключения аналогового вещания.</w:t>
            </w:r>
          </w:p>
          <w:p w14:paraId="67534C87" w14:textId="44FBE3E9" w:rsidR="00FA36AD" w:rsidRPr="00131A73" w:rsidRDefault="00600F1F" w:rsidP="00FA36AD">
            <w:pPr>
              <w:rPr>
                <w:rFonts w:asciiTheme="minorHAnsi" w:eastAsia="Calibri" w:hAnsiTheme="minorHAnsi"/>
              </w:rPr>
            </w:pPr>
            <w:hyperlink r:id="rId160" w:history="1">
              <w:r w:rsidR="00FA36AD" w:rsidRPr="00131A73">
                <w:rPr>
                  <w:rStyle w:val="Hyperlink"/>
                  <w:rFonts w:asciiTheme="minorHAnsi" w:hAnsiTheme="minorHAnsi"/>
                  <w:b/>
                </w:rPr>
                <w:t>Развитие широкополосной связи и решения по установлению соединений в сельских и отдаленных районах</w:t>
              </w:r>
            </w:hyperlink>
            <w:r w:rsidR="00FA36AD" w:rsidRPr="00131A73">
              <w:rPr>
                <w:rFonts w:asciiTheme="minorHAnsi" w:eastAsia="Calibri" w:hAnsiTheme="minorHAnsi"/>
              </w:rPr>
              <w:t xml:space="preserve"> (Вопрос 5/1, опубликовано в мае 2020 г</w:t>
            </w:r>
            <w:r w:rsidR="001B5B3F" w:rsidRPr="00131A73">
              <w:rPr>
                <w:rFonts w:asciiTheme="minorHAnsi" w:eastAsia="Calibri" w:hAnsiTheme="minorHAnsi"/>
              </w:rPr>
              <w:t>.</w:t>
            </w:r>
            <w:r w:rsidR="00FA36AD" w:rsidRPr="00131A73">
              <w:rPr>
                <w:rFonts w:asciiTheme="minorHAnsi" w:eastAsia="Calibri" w:hAnsiTheme="minorHAnsi"/>
              </w:rPr>
              <w:t>). В документе рассматриваются основные проблемы установления соединений в сельских и отдаленных районах, к которым относятся отсутствующая или недостаточно развитая базовая инфраструктура, сложный рельеф, неграмотность, высокая стоимость строительства инфраструктуры информационно-коммуникационных технологий (ИКТ) и политические вопросы. В нем содержатся рекомендации для регуляторных и директивных органов и операторов относительно способов решения этих проблем.</w:t>
            </w:r>
          </w:p>
          <w:p w14:paraId="01ABB9A7" w14:textId="77777777" w:rsidR="00FA36AD" w:rsidRPr="00131A73" w:rsidRDefault="00FA36AD" w:rsidP="00FA36AD">
            <w:pPr>
              <w:rPr>
                <w:rFonts w:eastAsia="Calibri" w:cs="Calibri"/>
              </w:rPr>
            </w:pPr>
            <w:r w:rsidRPr="00131A73">
              <w:t>Параллельно с собраниями Групп Докладчиков 1</w:t>
            </w:r>
            <w:r w:rsidRPr="00131A73">
              <w:noBreakHyphen/>
              <w:t xml:space="preserve">й Исследовательской комиссии МСЭ-D в сентябре 2019 года были проведены два семинара-практикума. На семинаре-практикуме </w:t>
            </w:r>
            <w:hyperlink r:id="rId161" w:history="1">
              <w:r w:rsidRPr="00131A73">
                <w:rPr>
                  <w:rStyle w:val="Hyperlink"/>
                </w:rPr>
                <w:t>по возможности установления соединений в сельских районах</w:t>
              </w:r>
            </w:hyperlink>
            <w:r w:rsidRPr="00131A73">
              <w:t xml:space="preserve"> рассматривались такие ключевые проблемы, как затраты на обеспечение соединения для людей в сельских районах. Было отмечено, что спектр или покрытие не являются основным препятствием для соединения неподключенных районов. На семинаре-практикуме </w:t>
            </w:r>
            <w:hyperlink r:id="rId162" w:history="1">
              <w:r w:rsidRPr="00131A73">
                <w:rPr>
                  <w:rStyle w:val="Hyperlink"/>
                </w:rPr>
                <w:t>по реализации проектов в области широкополосной связи</w:t>
              </w:r>
            </w:hyperlink>
            <w:r w:rsidRPr="00131A73">
              <w:t xml:space="preserve"> были представлены соответствующие успешные примеры и перечислены проблемы, возникающие при осуществлении таких проектов во всех географических регионах.</w:t>
            </w:r>
          </w:p>
          <w:p w14:paraId="33FDF0A5" w14:textId="77777777" w:rsidR="00FA36AD" w:rsidRPr="00131A73" w:rsidRDefault="00FA36AD" w:rsidP="00FA36AD">
            <w:pPr>
              <w:rPr>
                <w:rFonts w:eastAsia="Calibri" w:cstheme="minorHAnsi"/>
              </w:rPr>
            </w:pPr>
            <w:r w:rsidRPr="00131A73">
              <w:rPr>
                <w:rFonts w:cstheme="minorBidi"/>
              </w:rPr>
              <w:t>Совместно со 2</w:t>
            </w:r>
            <w:r w:rsidRPr="00131A73">
              <w:rPr>
                <w:rFonts w:cstheme="minorBidi"/>
              </w:rPr>
              <w:noBreakHyphen/>
              <w:t xml:space="preserve">й Исследовательской комиссией МСЭ-D в рамках Вопроса 4/2 "Помощь развивающимся странам в выполнении программ по проверке на соответствие и функциональную совместимость (C&amp;I), а также в борьбе с контрафактным оборудованием ИКТ и хищением мобильных устройств" был организован семинар-практикум на тему "Соответствие и функциональная совместимость ИКТ: проблемы развивающихся стран". На мероприятии рассматривались такие вопросы, как использование продуктов ИКТ в качестве вспомогательных инструментов достижения ЦУР, инновационное сотрудничество и новые технологии (в особенности IoT), и были предложены соответствующие решения. </w:t>
            </w:r>
            <w:r w:rsidRPr="00131A73">
              <w:t>Представленная в ходе семинара-практикума информация и сделанные выводы будут использованы при составлении заключительного отчета по</w:t>
            </w:r>
            <w:r w:rsidRPr="00131A73">
              <w:rPr>
                <w:rFonts w:eastAsia="Calibri" w:cstheme="minorBidi"/>
              </w:rPr>
              <w:t xml:space="preserve"> Вопросу 4/2</w:t>
            </w:r>
            <w:r w:rsidRPr="00131A73">
              <w:rPr>
                <w:rFonts w:cstheme="minorBidi"/>
              </w:rPr>
              <w:t xml:space="preserve">. </w:t>
            </w:r>
            <w:r w:rsidRPr="00131A73">
              <w:rPr>
                <w:rFonts w:eastAsia="Calibri" w:cstheme="minorBidi"/>
              </w:rPr>
              <w:t xml:space="preserve">С программой семинара-практикума и презентациями можно ознакомиться на веб-странице исследовательских комиссий по следующей </w:t>
            </w:r>
            <w:hyperlink r:id="rId163" w:history="1">
              <w:r w:rsidRPr="00131A73">
                <w:rPr>
                  <w:rStyle w:val="Hyperlink"/>
                  <w:rFonts w:eastAsia="Calibri" w:cstheme="minorHAnsi"/>
                </w:rPr>
                <w:t>ссылке</w:t>
              </w:r>
            </w:hyperlink>
            <w:r w:rsidRPr="00131A73">
              <w:rPr>
                <w:rFonts w:eastAsia="Calibri" w:cstheme="minorHAnsi"/>
              </w:rPr>
              <w:t>.</w:t>
            </w:r>
          </w:p>
          <w:p w14:paraId="3005AD88" w14:textId="77777777" w:rsidR="00FA36AD" w:rsidRPr="00131A73" w:rsidRDefault="00FA36AD" w:rsidP="00FA36AD">
            <w:pPr>
              <w:rPr>
                <w:rFonts w:cs="Calibri"/>
              </w:rPr>
            </w:pPr>
            <w:r w:rsidRPr="00131A73">
              <w:rPr>
                <w:rFonts w:cs="Calibri"/>
              </w:rPr>
              <w:t xml:space="preserve">В отчете по Вопросу 4/2 содержится четыре иллюстрации по соответствию и функциональной совместимости среды ИКТ: 1) почему именно C&amp;I?; 2) системы C&amp;I; 3) общества с повышенным количеством соединений посредством ИКТ-устройств; 4) борьба с контрафактными устройствами ИКТ. Их можно загрузить </w:t>
            </w:r>
            <w:hyperlink r:id="rId164" w:history="1">
              <w:r w:rsidRPr="00131A73">
                <w:rPr>
                  <w:rStyle w:val="Hyperlink"/>
                  <w:rFonts w:cs="Calibri"/>
                </w:rPr>
                <w:t>здесь</w:t>
              </w:r>
            </w:hyperlink>
            <w:r w:rsidRPr="00131A73">
              <w:rPr>
                <w:rStyle w:val="Hyperlink"/>
                <w:rFonts w:cs="Calibri"/>
                <w:color w:val="auto"/>
                <w:u w:val="none"/>
              </w:rPr>
              <w:t>.</w:t>
            </w:r>
          </w:p>
          <w:p w14:paraId="64DEFEBD" w14:textId="77777777" w:rsidR="00FA36AD" w:rsidRPr="00131A73" w:rsidRDefault="00FA36AD" w:rsidP="00FA36AD">
            <w:pPr>
              <w:shd w:val="clear" w:color="auto" w:fill="FFFFFF" w:themeFill="background1"/>
              <w:overflowPunct/>
              <w:autoSpaceDE/>
              <w:adjustRightInd/>
              <w:rPr>
                <w:rFonts w:eastAsia="Calibri" w:cs="Calibri"/>
              </w:rPr>
            </w:pPr>
            <w:r w:rsidRPr="00131A73">
              <w:rPr>
                <w:rFonts w:eastAsia="Calibri" w:cs="Calibri"/>
              </w:rPr>
              <w:t>Параллельно с собраниями групп докладчиков исследовательских комиссий МСЭ-D</w:t>
            </w:r>
            <w:r w:rsidRPr="00131A73">
              <w:t xml:space="preserve"> в 2019 году </w:t>
            </w:r>
            <w:r w:rsidRPr="00131A73">
              <w:rPr>
                <w:rFonts w:eastAsia="Calibri" w:cs="Calibri"/>
              </w:rPr>
              <w:t>в МСЭ</w:t>
            </w:r>
            <w:r w:rsidRPr="00131A73">
              <w:t xml:space="preserve"> было проведено </w:t>
            </w:r>
            <w:hyperlink r:id="rId165" w:history="1">
              <w:r w:rsidRPr="00131A73">
                <w:rPr>
                  <w:rStyle w:val="Hyperlink"/>
                </w:rPr>
                <w:t>обучающее занятие по ИИ и появляющимся технологиям</w:t>
              </w:r>
            </w:hyperlink>
            <w:r w:rsidRPr="00131A73">
              <w:t xml:space="preserve">, </w:t>
            </w:r>
            <w:r w:rsidRPr="00131A73">
              <w:rPr>
                <w:rFonts w:eastAsia="Calibri" w:cs="Calibri"/>
              </w:rPr>
              <w:t>которое позволило Государствам – Членам МСЭ, Членам Секторов и персоналу МСЭ больше узнать об ИИ и связанных с ним возможностях и проблемах. Инструкторы и докладчики из академических организаций, частных предприятий и государственных учреждений изложили свое видение, а в ходе обсуждений были подняты некоторые вопросы, касающиеся прав интеллектуальной собственности, этики и подотчетности.</w:t>
            </w:r>
          </w:p>
          <w:p w14:paraId="59DF8BAD" w14:textId="77777777" w:rsidR="00FA36AD" w:rsidRPr="00131A73" w:rsidRDefault="00FA36AD" w:rsidP="00FA36AD">
            <w:pPr>
              <w:shd w:val="clear" w:color="auto" w:fill="FFFFFF" w:themeFill="background1"/>
              <w:overflowPunct/>
              <w:autoSpaceDE/>
              <w:adjustRightInd/>
              <w:rPr>
                <w:bCs/>
              </w:rPr>
            </w:pPr>
            <w:r w:rsidRPr="00131A73">
              <w:t xml:space="preserve">В июле 2020 года был проведен вебинар на тему </w:t>
            </w:r>
            <w:hyperlink r:id="rId166" w:history="1">
              <w:r w:rsidRPr="00131A73">
                <w:rPr>
                  <w:rStyle w:val="Hyperlink"/>
                  <w:u w:val="none"/>
                </w:rPr>
                <w:t>"</w:t>
              </w:r>
              <w:r w:rsidRPr="00131A73">
                <w:rPr>
                  <w:rStyle w:val="Hyperlink"/>
                </w:rPr>
                <w:t>Услуги радиовещания для реагирования на пандемию COVID-19</w:t>
              </w:r>
              <w:r w:rsidRPr="00131A73">
                <w:rPr>
                  <w:rStyle w:val="Hyperlink"/>
                  <w:u w:val="none"/>
                </w:rPr>
                <w:t>"</w:t>
              </w:r>
            </w:hyperlink>
            <w:r w:rsidRPr="00131A73">
              <w:t>. Он был посвящен вопросу о том, как радиов</w:t>
            </w:r>
            <w:r w:rsidRPr="00131A73">
              <w:rPr>
                <w:bCs/>
              </w:rPr>
              <w:t xml:space="preserve">ещательные организации оказывают содействие в реагировании на вызванный </w:t>
            </w:r>
            <w:r w:rsidRPr="00131A73">
              <w:t xml:space="preserve">COVID-19 </w:t>
            </w:r>
            <w:r w:rsidRPr="00131A73">
              <w:rPr>
                <w:bCs/>
              </w:rPr>
              <w:t xml:space="preserve">глобальный кризис в области здравоохранения за счет повышения уровня общественной осведомленности, распространения информации и удовлетворения новых потребностей в сфере связи. Докладчики рассказали об исследованиях конкретных ситуаций, касающихся роли радиовещательных организаций в смягчении последствий кризиса, а также о новых услугах и приложениях, которые могут использоваться для оказания помощи населению, в том числе в области электронного обучения и реагирования на чрезвычайные ситуации. </w:t>
            </w:r>
          </w:p>
          <w:p w14:paraId="6FFE3EB7" w14:textId="77777777" w:rsidR="00FA36AD" w:rsidRPr="00131A73" w:rsidRDefault="00FA36AD" w:rsidP="00FA36AD">
            <w:pPr>
              <w:shd w:val="clear" w:color="auto" w:fill="FFFFFF" w:themeFill="background1"/>
              <w:overflowPunct/>
              <w:autoSpaceDE/>
              <w:adjustRightInd/>
              <w:rPr>
                <w:rFonts w:eastAsiaTheme="minorEastAsia"/>
              </w:rPr>
            </w:pPr>
            <w:r w:rsidRPr="00131A73">
              <w:rPr>
                <w:rFonts w:eastAsiaTheme="minorEastAsia"/>
              </w:rPr>
              <w:t>На четвертом пленарном заседании 1</w:t>
            </w:r>
            <w:r w:rsidRPr="00131A73">
              <w:rPr>
                <w:rFonts w:eastAsiaTheme="minorEastAsia"/>
              </w:rPr>
              <w:noBreakHyphen/>
              <w:t>й Исследовательской комиссии МСЭ-D, состоявшемся 26 марта 2021 года, было представлено руководство по решениям для установления соединений последней мили. Одним из авторов руководства является Содокладчик по Вопросу 1/1.</w:t>
            </w:r>
          </w:p>
          <w:p w14:paraId="07B8EEA4" w14:textId="77777777" w:rsidR="00FA36AD" w:rsidRPr="00131A73" w:rsidRDefault="00FA36AD" w:rsidP="00FA36AD">
            <w:pPr>
              <w:shd w:val="clear" w:color="auto" w:fill="FFFFFF" w:themeFill="background1"/>
              <w:overflowPunct/>
              <w:autoSpaceDE/>
              <w:adjustRightInd/>
              <w:spacing w:after="120"/>
              <w:rPr>
                <w:rFonts w:eastAsiaTheme="minorEastAsia"/>
              </w:rPr>
            </w:pPr>
            <w:r w:rsidRPr="00131A73">
              <w:rPr>
                <w:rFonts w:eastAsiaTheme="minorEastAsia"/>
              </w:rPr>
              <w:t>23 апреля 2021 года на семинаре МСЭ "Будущее телевидения в Азиатско-Тихоокеанском регионе" началось распространение результатов заключительных отчетов Исследовательских комиссий МСЭ-D – в данном случае специально по Вопросу 2/1.</w:t>
            </w:r>
          </w:p>
        </w:tc>
      </w:tr>
    </w:tbl>
    <w:p w14:paraId="29EFD50D" w14:textId="77777777" w:rsidR="00FA36AD" w:rsidRPr="00131A73" w:rsidRDefault="00FA36AD" w:rsidP="00FA36AD">
      <w:pPr>
        <w:pStyle w:val="Heading1"/>
      </w:pPr>
      <w:r w:rsidRPr="00131A73">
        <w:lastRenderedPageBreak/>
        <w:t>9</w:t>
      </w:r>
      <w:r w:rsidRPr="00131A73">
        <w:tab/>
        <w:t>Политика и регулирование: совместная политическая основа и нормативная база, способствующие развитию цифрового рынка и благополучию пользователей</w:t>
      </w:r>
    </w:p>
    <w:p w14:paraId="70CD2FF5" w14:textId="77777777" w:rsidR="00FA36AD" w:rsidRPr="00131A73" w:rsidRDefault="00FA36AD" w:rsidP="00FA36AD">
      <w:pPr>
        <w:pStyle w:val="Headingb"/>
      </w:pPr>
      <w:r w:rsidRPr="00131A73">
        <w:t>Глобальный симпозиум для регуляторных органов</w:t>
      </w:r>
    </w:p>
    <w:p w14:paraId="0AB5BAD9" w14:textId="77777777" w:rsidR="00FA36AD" w:rsidRPr="00131A73" w:rsidRDefault="00FA36AD" w:rsidP="00FA36AD">
      <w:r w:rsidRPr="00131A73">
        <w:t xml:space="preserve">19-й </w:t>
      </w:r>
      <w:hyperlink r:id="rId167" w:history="1">
        <w:r w:rsidRPr="00131A73">
          <w:rPr>
            <w:rStyle w:val="Hyperlink"/>
            <w:color w:val="0000FF" w:themeColor="hyperlink"/>
          </w:rPr>
          <w:t>Глобальный симпозиум для регуляторных органов (ГСР-19)</w:t>
        </w:r>
      </w:hyperlink>
      <w:r w:rsidRPr="00131A73">
        <w:t>, состоявшийся 9−12 июля 2019 года в Порт</w:t>
      </w:r>
      <w:r w:rsidRPr="00131A73">
        <w:noBreakHyphen/>
        <w:t>Виле, Вануату, собрал более 325 участников, включая министров правительств, руководителей регуляторных органов и руководителей высшего звена отрасли из 64 стран. ГСР-19 был посвящен теме "</w:t>
      </w:r>
      <w:r w:rsidRPr="00131A73">
        <w:rPr>
          <w:i/>
        </w:rPr>
        <w:t xml:space="preserve">Возможность установления соединений для всех: будущее </w:t>
      </w:r>
      <w:r w:rsidRPr="00131A73">
        <w:rPr>
          <w:rFonts w:eastAsia="Calibri" w:cs="Calibri"/>
          <w:i/>
        </w:rPr>
        <w:t>регулирования</w:t>
      </w:r>
      <w:r w:rsidRPr="00131A73">
        <w:t>". ГСР</w:t>
      </w:r>
      <w:r w:rsidRPr="00131A73">
        <w:noBreakHyphen/>
        <w:t>19 принял Руководящие указания на основе примеров передового опыта по ускоренному обеспечению возможности установления цифрового соединения для всех. В Руководящих указаниях поддерживается развертывание сетей последней мили, для того чтобы каждый мог участвовать в цифровой экономике и пользоваться преимуществами цифровой трансформации.</w:t>
      </w:r>
    </w:p>
    <w:p w14:paraId="78CDDF96" w14:textId="77777777" w:rsidR="00FA36AD" w:rsidRPr="00131A73" w:rsidRDefault="00FA36AD" w:rsidP="00FA36AD">
      <w:pPr>
        <w:rPr>
          <w:rFonts w:cs="Calibri"/>
          <w:color w:val="000000"/>
          <w:szCs w:val="20"/>
        </w:rPr>
      </w:pPr>
      <w:r w:rsidRPr="00131A73">
        <w:t xml:space="preserve">20-й </w:t>
      </w:r>
      <w:r w:rsidRPr="00131A73">
        <w:rPr>
          <w:rStyle w:val="Hyperlink"/>
        </w:rPr>
        <w:t>ГСР</w:t>
      </w:r>
      <w:r w:rsidRPr="00131A73">
        <w:t xml:space="preserve"> состоялся в сентябре 2020 года полностью в виртуальном формате. 20</w:t>
      </w:r>
      <w:r w:rsidRPr="00131A73">
        <w:noBreakHyphen/>
        <w:t>й симпозиум ознаменовал собой двадцатилетие процесса развития нормативной базы для глобального сообщества регуляторных органов ИКТ. Юбилейное мероприятие было посвящено вопросам разработки конкретных указаний по обеспечению реальной возможности установления соединений в процессе цифровой трансформации. ГСР-20 принял набор Руководящих указаний на основе примеров передового опыта по теме "</w:t>
      </w:r>
      <w:hyperlink r:id="rId168" w:history="1">
        <w:r w:rsidRPr="00131A73">
          <w:rPr>
            <w:rStyle w:val="Hyperlink"/>
            <w:rFonts w:cs="Calibri"/>
          </w:rPr>
          <w:t>Золотой стандарт для цифрового регулирования</w:t>
        </w:r>
      </w:hyperlink>
      <w:r w:rsidRPr="00131A73">
        <w:rPr>
          <w:rStyle w:val="Hyperlink"/>
          <w:rFonts w:cs="Calibri"/>
          <w:u w:val="none"/>
        </w:rPr>
        <w:t>"</w:t>
      </w:r>
      <w:r w:rsidRPr="00131A73">
        <w:t xml:space="preserve">. </w:t>
      </w:r>
      <w:r w:rsidRPr="00131A73">
        <w:rPr>
          <w:rStyle w:val="normaltextrun"/>
          <w:rFonts w:cs="Calibri"/>
          <w:shd w:val="clear" w:color="auto" w:fill="FFFFFF"/>
        </w:rPr>
        <w:t>ГСР-20 привлек более 2448 участников и свыше 90 695 веб-посещений.</w:t>
      </w:r>
    </w:p>
    <w:p w14:paraId="0D0765A5" w14:textId="77777777" w:rsidR="00FA36AD" w:rsidRPr="00131A73" w:rsidRDefault="00FA36AD" w:rsidP="00FA36AD">
      <w:r w:rsidRPr="00131A73">
        <w:t>Кроме того, летом 2020 года в рамках серии мероприятий ГСР+ в онлайновом формате были проведены региональные обсуждения в форме заседаний круглого стола по вопросам регулирования, сопутствующие мероприятия, а также учебное занятие; в них принимали участие члены, эксперты, региональные ассоциации регуляторных органов и другие партнеры.</w:t>
      </w:r>
    </w:p>
    <w:p w14:paraId="6FD330FF" w14:textId="693FC3A7" w:rsidR="00FA36AD" w:rsidRPr="00131A73" w:rsidRDefault="007470B6" w:rsidP="00FA36AD">
      <w:pPr>
        <w:pStyle w:val="enumlev1"/>
        <w:rPr>
          <w:rFonts w:eastAsiaTheme="minorEastAsia" w:cstheme="minorBidi"/>
        </w:rPr>
      </w:pPr>
      <w:r w:rsidRPr="00131A73">
        <w:t>−</w:t>
      </w:r>
      <w:r w:rsidR="00FA36AD" w:rsidRPr="00131A73">
        <w:tab/>
      </w:r>
      <w:hyperlink r:id="rId169" w:history="1">
        <w:r w:rsidR="00FA36AD" w:rsidRPr="00131A73">
          <w:rPr>
            <w:rStyle w:val="Hyperlink"/>
          </w:rPr>
          <w:t>Программа ГСР-21</w:t>
        </w:r>
      </w:hyperlink>
      <w:r w:rsidR="00FA36AD" w:rsidRPr="00131A73">
        <w:rPr>
          <w:rStyle w:val="Hyperlink"/>
          <w:color w:val="auto"/>
          <w:u w:val="none"/>
        </w:rPr>
        <w:t xml:space="preserve"> </w:t>
      </w:r>
      <w:r w:rsidR="00FA36AD" w:rsidRPr="00131A73">
        <w:t>(ГСР+) – это серия взаимосвязанных региональных и виртуальных мероприятий, проводимых во всех регионах в период с апреля по июнь, на которых будут обсуждаться перспективы, проблемы и инновационные решения в области регионального регулирования в преддверии основных международных сессий, которые будут проходить с 21 по 25 июня 2021 года, на тему "</w:t>
      </w:r>
      <w:r w:rsidR="00FA36AD" w:rsidRPr="00131A73">
        <w:rPr>
          <w:i/>
        </w:rPr>
        <w:t>Регулирование для обеспечения цифровой трансформации: ускорить предоставление возможности установления соединений, доступа и использования для всех</w:t>
      </w:r>
      <w:r w:rsidR="00FA36AD" w:rsidRPr="00131A73">
        <w:t xml:space="preserve">". Первым в этой серии был </w:t>
      </w:r>
      <w:r w:rsidR="00FA36AD" w:rsidRPr="00131A73">
        <w:rPr>
          <w:color w:val="0000FF"/>
          <w:u w:val="single"/>
        </w:rPr>
        <w:t>Региональный круглый стол по вопросам регулирования для Европы и Африки</w:t>
      </w:r>
      <w:r w:rsidR="00FA36AD" w:rsidRPr="00131A73">
        <w:t>, состоявшийся 14 апреля, на котором, помимо решения проблем регулирования, возникающих на региональном и национальном уровнях, предпринимались попытки определить общие проблемы и решения и таким образом установить цифровой мост между Европой и Африкой в соответствии с приоритетами Европейского союза и Африканского союза.</w:t>
      </w:r>
      <w:r w:rsidR="00FA36AD" w:rsidRPr="00131A73">
        <w:rPr>
          <w:rFonts w:cs="Calibri"/>
          <w:color w:val="000000" w:themeColor="text1"/>
        </w:rPr>
        <w:t xml:space="preserve"> </w:t>
      </w:r>
      <w:r w:rsidR="00FA36AD" w:rsidRPr="00131A73">
        <w:t>ГСР этого года будет полностью согласован с процессом подготовки к ВКРЭ-21 и интегрирован в него, и его традиционные дискуссии лидеров станут этапом на пути в Аддис-Абебу.</w:t>
      </w:r>
      <w:r w:rsidR="00FA36AD" w:rsidRPr="00131A73">
        <w:rPr>
          <w:color w:val="000000" w:themeColor="text1"/>
        </w:rPr>
        <w:t xml:space="preserve"> </w:t>
      </w:r>
      <w:r w:rsidR="00FA36AD" w:rsidRPr="00131A73">
        <w:t>Руководящие указания ГСР-21 на основе примеров передового опыта будут составлены на базе коллективного опыта предшествующих мероприятий, охватывающих более чем два десятилетия, в целях разработки схем совершенствования для обеспечения повсеместной, открытой и устойчивой цифровой инфраструктуры в условиях глобальных социально-экономических потрясений.</w:t>
      </w:r>
    </w:p>
    <w:p w14:paraId="140BA079" w14:textId="77777777" w:rsidR="00FA36AD" w:rsidRPr="00131A73" w:rsidRDefault="00FA36AD" w:rsidP="00FA36AD">
      <w:pPr>
        <w:pStyle w:val="Headingb"/>
      </w:pPr>
      <w:r w:rsidRPr="00131A73">
        <w:t>Положительное воздействие широкополосной связи и регулирования ИКТ</w:t>
      </w:r>
    </w:p>
    <w:p w14:paraId="1D1802EC" w14:textId="77777777" w:rsidR="00FA36AD" w:rsidRPr="00131A73" w:rsidRDefault="00FA36AD" w:rsidP="00FA36AD">
      <w:r w:rsidRPr="00131A73">
        <w:t>В серии отчетов содержится количественная оценка положительного экономического воздействия широкополосной связи, цифровой трансформации и взаимного влияния нормативных положений в области ИКТ на </w:t>
      </w:r>
      <w:hyperlink r:id="rId170" w:history="1">
        <w:r w:rsidRPr="00131A73">
          <w:rPr>
            <w:rStyle w:val="Hyperlink"/>
          </w:rPr>
          <w:t>региональном и глобальном уровнях</w:t>
        </w:r>
      </w:hyperlink>
      <w:r w:rsidRPr="00131A73">
        <w:t>.</w:t>
      </w:r>
      <w:r w:rsidRPr="00131A73">
        <w:rPr>
          <w:bCs/>
        </w:rPr>
        <w:t xml:space="preserve"> </w:t>
      </w:r>
      <w:r w:rsidRPr="00131A73">
        <w:t xml:space="preserve">Основные результаты эконометрического моделирования по регионам свидетельствуют о том, что увеличение проникновения подвижной широкополосной связи на 10% в </w:t>
      </w:r>
      <w:hyperlink r:id="rId171" w:history="1">
        <w:r w:rsidRPr="00131A73">
          <w:rPr>
            <w:rStyle w:val="Hyperlink"/>
          </w:rPr>
          <w:t>Африканском регионе</w:t>
        </w:r>
      </w:hyperlink>
      <w:r w:rsidRPr="00131A73">
        <w:t xml:space="preserve"> приведет к росту ВВП на душу населения на 2,46%, в </w:t>
      </w:r>
      <w:hyperlink r:id="rId172" w:history="1">
        <w:r w:rsidRPr="00131A73">
          <w:rPr>
            <w:rStyle w:val="Hyperlink"/>
          </w:rPr>
          <w:t>регионе Северной и Южной Америки</w:t>
        </w:r>
      </w:hyperlink>
      <w:r w:rsidRPr="00131A73">
        <w:t xml:space="preserve"> – на 1,73%, в регионе арабских государств – на 1,82%, в </w:t>
      </w:r>
      <w:hyperlink r:id="rId173" w:history="1">
        <w:r w:rsidRPr="00131A73">
          <w:rPr>
            <w:rStyle w:val="Hyperlink"/>
          </w:rPr>
          <w:t>Азиатско-Тихоокеанском регионе</w:t>
        </w:r>
      </w:hyperlink>
      <w:r w:rsidRPr="00131A73">
        <w:t xml:space="preserve"> – на 0,51% и в </w:t>
      </w:r>
      <w:r w:rsidRPr="00131A73">
        <w:rPr>
          <w:rStyle w:val="Hyperlink"/>
        </w:rPr>
        <w:t>регионе СНГ</w:t>
      </w:r>
      <w:r w:rsidRPr="00131A73">
        <w:t xml:space="preserve"> – на 1,25%. В странах Европейского </w:t>
      </w:r>
      <w:r w:rsidRPr="00131A73">
        <w:lastRenderedPageBreak/>
        <w:t xml:space="preserve">региона рост составит 2,1%. В новом </w:t>
      </w:r>
      <w:hyperlink r:id="rId174" w:history="1">
        <w:r w:rsidRPr="00131A73">
          <w:rPr>
            <w:rStyle w:val="Hyperlink"/>
            <w:i/>
            <w:iCs/>
          </w:rPr>
          <w:t>отчете 2020 года о воздействии широкополосной связи, цифровизации и регулирования в сфере ИКТ на глобальную экономику</w:t>
        </w:r>
      </w:hyperlink>
      <w:r w:rsidRPr="00131A73">
        <w:t xml:space="preserve"> изложены шесть действенных и конкретных шагов, которые позволят усилить экономическое воздействие стратегических решений в сфере инвестирования в ИКТ, а также конкретные рекомендации, призванные активизировать экономическое воздействие.</w:t>
      </w:r>
    </w:p>
    <w:p w14:paraId="3D34DDB8" w14:textId="77777777" w:rsidR="00FA36AD" w:rsidRPr="00131A73" w:rsidRDefault="00FA36AD" w:rsidP="00FA36AD">
      <w:r w:rsidRPr="00131A73">
        <w:t xml:space="preserve">В новом отчете 2021 года </w:t>
      </w:r>
      <w:r w:rsidRPr="00131A73">
        <w:rPr>
          <w:color w:val="0000FF"/>
        </w:rPr>
        <w:t>"</w:t>
      </w:r>
      <w:hyperlink r:id="rId175" w:history="1">
        <w:r w:rsidRPr="00131A73">
          <w:rPr>
            <w:rStyle w:val="Hyperlink"/>
          </w:rPr>
          <w:t>Влияние политики, регулирования и институтов на показатели деятельности сектора ИКТ</w:t>
        </w:r>
        <w:r w:rsidRPr="00131A73">
          <w:rPr>
            <w:rStyle w:val="Hyperlink"/>
            <w:u w:val="none"/>
          </w:rPr>
          <w:t>"</w:t>
        </w:r>
      </w:hyperlink>
      <w:r w:rsidRPr="00131A73">
        <w:rPr>
          <w:rStyle w:val="Hyperlink"/>
          <w:color w:val="auto"/>
          <w:u w:val="none"/>
        </w:rPr>
        <w:t xml:space="preserve"> используется эконометрическое моделирование в целях определения влияния нормативно-правовой и институциональной базы на показатели деятельности сектора ИКТ и его вклад в национальную экономику.</w:t>
      </w:r>
      <w:r w:rsidRPr="00131A73">
        <w:t xml:space="preserve"> Моделирование позволило получить свежую информацию, подкрепленную авторитетными данными по эволюции процессов регулирования ИКТ с 2007 года, данными инструмента отслеживания нормативно-правовой базы в области ИКТ и глобальным набором данных по экономике рынков ИКТ.</w:t>
      </w:r>
    </w:p>
    <w:p w14:paraId="302AA859" w14:textId="77777777" w:rsidR="00FA36AD" w:rsidRPr="00131A73" w:rsidRDefault="00FA36AD" w:rsidP="00FA36AD">
      <w:r w:rsidRPr="00131A73">
        <w:t xml:space="preserve">Рабочая группа Комиссии по широкополосной связи при подготовке отчета по масштабному проекту для Африки под названием </w:t>
      </w:r>
      <w:hyperlink r:id="rId176" w:history="1">
        <w:r w:rsidRPr="00131A73">
          <w:rPr>
            <w:rStyle w:val="Hyperlink"/>
            <w:u w:val="none"/>
          </w:rPr>
          <w:t>"</w:t>
        </w:r>
        <w:r w:rsidRPr="00131A73">
          <w:rPr>
            <w:rStyle w:val="Hyperlink"/>
            <w:i/>
          </w:rPr>
          <w:t>Соединить Африку посредством широкополосной связи. Стратегия удвоения количества соединений к 2021 году и обеспечения универсального доступа к 2030 году</w:t>
        </w:r>
        <w:r w:rsidRPr="00131A73">
          <w:rPr>
            <w:rStyle w:val="Hyperlink"/>
            <w:u w:val="none"/>
          </w:rPr>
          <w:t>"</w:t>
        </w:r>
      </w:hyperlink>
      <w:r w:rsidRPr="00131A73">
        <w:t xml:space="preserve"> активно использовала реальные вклады МСЭ. В отчете делается попытка оценить стоимость преодоления разрыва в области широкополосной связи в Африке и выработки дорожной карты и плана действий по обеспечению универсального широкополосного соединения в регионе к 2030 году. </w:t>
      </w:r>
    </w:p>
    <w:p w14:paraId="6F892343" w14:textId="77777777" w:rsidR="00FA36AD" w:rsidRPr="00131A73" w:rsidRDefault="00FA36AD" w:rsidP="00FA36AD">
      <w:pPr>
        <w:rPr>
          <w:rFonts w:cs="Calibri"/>
          <w:color w:val="000000" w:themeColor="text1"/>
          <w:szCs w:val="20"/>
        </w:rPr>
      </w:pPr>
      <w:r w:rsidRPr="00131A73">
        <w:t xml:space="preserve">В отчете МСЭ </w:t>
      </w:r>
      <w:r w:rsidRPr="00131A73">
        <w:rPr>
          <w:color w:val="0000FF"/>
        </w:rPr>
        <w:t>"</w:t>
      </w:r>
      <w:hyperlink r:id="rId177" w:history="1">
        <w:r w:rsidRPr="00131A73">
          <w:rPr>
            <w:rStyle w:val="Hyperlink"/>
            <w:i/>
          </w:rPr>
          <w:t>Соединяя человечество: оценка потребностей в инвестировании в обеспечение человечества подключением к интернету к 2030 году</w:t>
        </w:r>
      </w:hyperlink>
      <w:r w:rsidRPr="00131A73">
        <w:rPr>
          <w:color w:val="0000FF"/>
        </w:rPr>
        <w:t>"</w:t>
      </w:r>
      <w:r w:rsidRPr="00131A73">
        <w:t xml:space="preserve"> приводится примерная оценка объема инвестиций, необходимых для обеспечения всеобщего, приемлемого в ценовом отношении подключения к интернету всего человечества к концу нынешнего десятилетия. Данное исследование было разработано при содействии Саудовской Аравии в рамках деятельности МСЭ в качестве информационно-аналитического партнера в Целевой группе по цифровой экономике председателя Группы двадцати.</w:t>
      </w:r>
    </w:p>
    <w:p w14:paraId="7B1AC5BC" w14:textId="77777777" w:rsidR="00FA36AD" w:rsidRPr="00131A73" w:rsidRDefault="00FA36AD" w:rsidP="00FA36AD">
      <w:pPr>
        <w:pStyle w:val="Headingb"/>
      </w:pPr>
      <w:r w:rsidRPr="00131A73">
        <w:t>#REG4COVID – Глобальная платформа по обеспечению устойчивости сетей</w:t>
      </w:r>
    </w:p>
    <w:p w14:paraId="4D20BC00" w14:textId="77777777" w:rsidR="00FA36AD" w:rsidRPr="00131A73" w:rsidRDefault="00FA36AD" w:rsidP="00FA36AD">
      <w:r w:rsidRPr="00131A73">
        <w:t xml:space="preserve">В связи с глобальным кризисом, вызванным пандемией COVID-19, МСЭ ввел в действие Глобальную платформу по обеспечению устойчивости сетей </w:t>
      </w:r>
      <w:r w:rsidRPr="00131A73">
        <w:rPr>
          <w:rStyle w:val="Hyperlink"/>
          <w:rFonts w:cs="Calibri"/>
          <w:color w:val="auto"/>
        </w:rPr>
        <w:t>(</w:t>
      </w:r>
      <w:hyperlink r:id="rId178" w:history="1">
        <w:r w:rsidRPr="00131A73">
          <w:rPr>
            <w:rStyle w:val="Hyperlink"/>
            <w:rFonts w:cs="Calibri"/>
          </w:rPr>
          <w:t>#REG4COVID</w:t>
        </w:r>
      </w:hyperlink>
      <w:r w:rsidRPr="00131A73">
        <w:t>) для обмена информацией об инициативах, внедряемых по всему миру регуляторными органами и операторами в целях содействия сохранению соединенности сообществ, в таких ключевых областях, как обеспечение готовности широкополосной связи, ее доступности и приемлемости в ценовом отношении, защита потребителей, управление трафиком и электросвязь в чрезвычайных ситуациях. Сначала МСЭ рассмотрел принятые меры экстренного реагирования, а теперь рассматривает этап "восстановления", чтобы ответить на вопросы: Что дальше? Устойчивы ли эти меры? Как эволюционировала нормативно-правовая база? Каковы долгосрочные политические и регуляторные тенденции для различных групп заинтересованных сторон? Что работает, а что нет?</w:t>
      </w:r>
    </w:p>
    <w:p w14:paraId="7BD92BD4" w14:textId="77777777" w:rsidR="00FA36AD" w:rsidRPr="00131A73" w:rsidRDefault="00FA36AD" w:rsidP="00FA36AD">
      <w:r w:rsidRPr="00131A73">
        <w:t xml:space="preserve">В рамках инициативы #REG4COVID прошла серия виртуальных мероприятий высокого уровня по вопросам цифрового сотрудничества. К ним относятся </w:t>
      </w:r>
      <w:hyperlink r:id="rId179" w:history="1">
        <w:r w:rsidRPr="00131A73">
          <w:rPr>
            <w:rStyle w:val="Hyperlink"/>
          </w:rPr>
          <w:t>Вебинар #1: Обеспечение возможности соединений − оценка ситуации</w:t>
        </w:r>
      </w:hyperlink>
      <w:r w:rsidRPr="00131A73">
        <w:t xml:space="preserve"> и </w:t>
      </w:r>
      <w:r w:rsidRPr="00131A73">
        <w:rPr>
          <w:rStyle w:val="Hyperlink"/>
          <w:rFonts w:cs="Calibri"/>
        </w:rPr>
        <w:t>Вебинар #2: Обеспечение возможности соединений – передовой опыт: что работает, а что нет</w:t>
      </w:r>
      <w:r w:rsidRPr="00131A73">
        <w:t xml:space="preserve">. В целях удовлетворения насущных потребностей в период COVID-19 был </w:t>
      </w:r>
      <w:r w:rsidRPr="00131A73">
        <w:rPr>
          <w:rStyle w:val="Hyperlink"/>
          <w:color w:val="auto"/>
          <w:u w:val="none"/>
        </w:rPr>
        <w:t xml:space="preserve">разработан </w:t>
      </w:r>
      <w:hyperlink r:id="rId180" w:history="1">
        <w:r w:rsidRPr="00131A73">
          <w:rPr>
            <w:rStyle w:val="Hyperlink"/>
          </w:rPr>
          <w:t>Совместный план действий по цифровому развитию МСЭ/GSMA/Всемирного банка/МВФ</w:t>
        </w:r>
      </w:hyperlink>
      <w:r w:rsidRPr="00131A73">
        <w:rPr>
          <w:rStyle w:val="Hyperlink"/>
          <w:color w:val="auto"/>
          <w:u w:val="none"/>
        </w:rPr>
        <w:t>, который, вместе со связанными с ним мероприятиями высокого уровня, был направлен на принятие незамедлительных действий по повышению устойчивости сетей, а также по обеспечению приемлемости цифровых услуг в ценовом отношении.</w:t>
      </w:r>
    </w:p>
    <w:p w14:paraId="5573706E" w14:textId="77777777" w:rsidR="00FA36AD" w:rsidRPr="00131A73" w:rsidRDefault="00FA36AD" w:rsidP="00FA36AD">
      <w:r w:rsidRPr="00131A73">
        <w:t>Платформа #REG4COVID также снабжена актуальными исследовательскими и аналитическими ресурсами, такими как "</w:t>
      </w:r>
      <w:hyperlink r:id="rId181" w:history="1">
        <w:r w:rsidRPr="00131A73">
          <w:rPr>
            <w:rStyle w:val="Hyperlink"/>
          </w:rPr>
          <w:t>Аналитика REG4COVID</w:t>
        </w:r>
      </w:hyperlink>
      <w:r w:rsidRPr="00131A73">
        <w:t xml:space="preserve">", "Первый обзор политики в области ИКТ и основных регуляторных инициатив в связи с COVID-19", </w:t>
      </w:r>
      <w:hyperlink r:id="rId182" w:history="1">
        <w:r w:rsidRPr="00131A73">
          <w:rPr>
            <w:rStyle w:val="Hyperlink"/>
          </w:rPr>
          <w:t>отчет о пандемии в эпоху интернета за 2020 год: меры реагирования отрасли связи</w:t>
        </w:r>
      </w:hyperlink>
      <w:r w:rsidRPr="00131A73">
        <w:t xml:space="preserve">, а также документы для обсуждения по вопросам </w:t>
      </w:r>
      <w:r w:rsidRPr="00131A73">
        <w:rPr>
          <w:rStyle w:val="Hyperlink"/>
          <w:rFonts w:cs="Calibri"/>
          <w:u w:val="none"/>
        </w:rPr>
        <w:t>"</w:t>
      </w:r>
      <w:r w:rsidRPr="00131A73">
        <w:rPr>
          <w:rStyle w:val="Hyperlink"/>
          <w:rFonts w:cs="Calibri"/>
        </w:rPr>
        <w:t>Возможность установления соединений последней мили в контексте COVID-19</w:t>
      </w:r>
      <w:r w:rsidRPr="00131A73">
        <w:rPr>
          <w:rStyle w:val="Hyperlink"/>
          <w:rFonts w:cs="Calibri"/>
          <w:u w:val="none"/>
        </w:rPr>
        <w:t>"</w:t>
      </w:r>
      <w:r w:rsidRPr="00131A73">
        <w:t xml:space="preserve"> и </w:t>
      </w:r>
      <w:hyperlink r:id="rId183" w:history="1">
        <w:r w:rsidRPr="00131A73">
          <w:rPr>
            <w:rStyle w:val="Hyperlink"/>
            <w:u w:val="none"/>
          </w:rPr>
          <w:t>"</w:t>
        </w:r>
        <w:r w:rsidRPr="00131A73">
          <w:rPr>
            <w:rStyle w:val="Hyperlink"/>
          </w:rPr>
          <w:t>Экономическое воздействие COVID-19 на цифровую инфраструктуру: отчет собрания в формате круглого стола с участием экономических экспертов</w:t>
        </w:r>
      </w:hyperlink>
      <w:r w:rsidRPr="00131A73">
        <w:rPr>
          <w:rStyle w:val="Hyperlink"/>
          <w:u w:val="none"/>
        </w:rPr>
        <w:t>"</w:t>
      </w:r>
      <w:r w:rsidRPr="00131A73">
        <w:t>. В рамках REG4COVID также было принято совместное заявление "</w:t>
      </w:r>
      <w:hyperlink r:id="rId184">
        <w:r w:rsidRPr="00131A73">
          <w:t>Партнерский диалог по вопросам обеспечения связи – ускорение распространения цифровых соединений в связи с COVID-19</w:t>
        </w:r>
      </w:hyperlink>
      <w:r w:rsidRPr="00131A73">
        <w:t>" в рамках Глобального форума по вопросам управления в 75-летнюю годовщину Организации Объединенных Наций.</w:t>
      </w:r>
    </w:p>
    <w:p w14:paraId="48AD1516" w14:textId="77777777" w:rsidR="00FA36AD" w:rsidRPr="00131A73" w:rsidRDefault="00FA36AD" w:rsidP="00FA36AD">
      <w:pPr>
        <w:pStyle w:val="Headingb"/>
      </w:pPr>
      <w:r w:rsidRPr="00131A73">
        <w:t>Показатели регуляторной деятельности МСЭ в области ИКТ</w:t>
      </w:r>
    </w:p>
    <w:p w14:paraId="330EC0C3" w14:textId="77777777" w:rsidR="00FA36AD" w:rsidRPr="00131A73" w:rsidRDefault="00FA36AD" w:rsidP="00FA36AD">
      <w:pPr>
        <w:rPr>
          <w:rFonts w:cstheme="minorHAnsi"/>
        </w:rPr>
      </w:pPr>
      <w:r w:rsidRPr="00131A73">
        <w:rPr>
          <w:rFonts w:cstheme="minorHAnsi"/>
          <w:shd w:val="clear" w:color="auto" w:fill="FFFFFF"/>
        </w:rPr>
        <w:t xml:space="preserve">МСЭ опубликовал Инструмент отслеживания нормативной базы в области ИКТ для содействия обоснованному принятию ключевых политических решений. </w:t>
      </w:r>
      <w:r w:rsidRPr="00131A73">
        <w:rPr>
          <w:rFonts w:cstheme="minorHAnsi"/>
        </w:rPr>
        <w:t xml:space="preserve">Он включает 50 показателей, сгруппированных в четыре основных блока: регулирующий орган, сфера полномочий по регулированию, режим регулирования и принципы конкуренции; данные доступны за период с 2007 по 2019 год. </w:t>
      </w:r>
    </w:p>
    <w:p w14:paraId="5805D586" w14:textId="77777777" w:rsidR="00FA36AD" w:rsidRPr="00131A73" w:rsidRDefault="00FA36AD" w:rsidP="00FA36AD">
      <w:r w:rsidRPr="00131A73">
        <w:t>Отчет "</w:t>
      </w:r>
      <w:hyperlink r:id="rId185" w:history="1">
        <w:r w:rsidRPr="00131A73">
          <w:rPr>
            <w:rStyle w:val="Hyperlink"/>
          </w:rPr>
          <w:t>Глобальные регуляторные перспективы в области ИКТ</w:t>
        </w:r>
      </w:hyperlink>
      <w:r w:rsidRPr="00131A73">
        <w:t xml:space="preserve">" за 2020 год содержит уникальные </w:t>
      </w:r>
      <w:r w:rsidRPr="00131A73">
        <w:rPr>
          <w:rFonts w:cstheme="minorHAnsi"/>
        </w:rPr>
        <w:t>специализированные</w:t>
      </w:r>
      <w:r w:rsidRPr="00131A73">
        <w:t xml:space="preserve"> исследования, а также данные и практические рекомендации для поддержки регуляторных органов, продвигающихся к совместному регулированию пятого поколения.</w:t>
      </w:r>
    </w:p>
    <w:p w14:paraId="72DD69F7" w14:textId="097FECD0" w:rsidR="00FA36AD" w:rsidRPr="00131A73" w:rsidRDefault="00FA36AD" w:rsidP="00FA36AD">
      <w:r w:rsidRPr="00131A73">
        <w:t xml:space="preserve">На ГСР-19 был представлен </w:t>
      </w:r>
      <w:hyperlink r:id="rId186" w:history="1">
        <w:r w:rsidRPr="00131A73">
          <w:rPr>
            <w:rStyle w:val="Hyperlink"/>
          </w:rPr>
          <w:t>опорный показатель G5</w:t>
        </w:r>
      </w:hyperlink>
      <w:r w:rsidRPr="00131A73">
        <w:t xml:space="preserve"> – новый инструмент моделирования системы и инструментов регулирования, который предлагает совместные межсекторальные решения с целью ускорить налаживание эффективного регулирования для цифровой трансформации. Данный инструмент, опирающийся на продуманную систему методов и надежные данные, позволяет выявлять недостатки в существующих политических основах цифровой трансформации и содержит план действий для дальнейшего реформирования системы регулирования. </w:t>
      </w:r>
      <w:hyperlink r:id="rId187" w:history="1">
        <w:r w:rsidRPr="00131A73">
          <w:rPr>
            <w:rStyle w:val="Hyperlink"/>
          </w:rPr>
          <w:t>Первоначальный анализ, основанный на опорном показателе G5</w:t>
        </w:r>
      </w:hyperlink>
      <w:r w:rsidRPr="00131A73">
        <w:t xml:space="preserve"> (МСЭ, 2020 г</w:t>
      </w:r>
      <w:r w:rsidR="00370549">
        <w:t>.</w:t>
      </w:r>
      <w:r w:rsidRPr="00131A73">
        <w:t>), позволил МСЭ опробовать принципы, лежащие в основе нового комплексного показателя, и оценить его надежность и актуальность подобранных показателей. Важно отметить, что в анализе 2020 года пересмотрены "золотые правила" для открытых цифровых рынков, основанные на большом количестве данных, полученных МСЭ более чем за десятилетие от 193 стран.</w:t>
      </w:r>
    </w:p>
    <w:p w14:paraId="33372556" w14:textId="77777777" w:rsidR="00FA36AD" w:rsidRPr="00131A73" w:rsidRDefault="00FA36AD" w:rsidP="00FA36AD">
      <w:r w:rsidRPr="00131A73">
        <w:t>На протяжении 2020 и 2021 годов благодаря широкому процессу консультаций с Государствами – Членами МСЭ, специалистами-практиками по вопросам регулирования и другими заинтересованными сторонами МСЭ удалось организовать коллективную выработку идей и наладить на их основе процесс проектировочного мышления в целях укрепления первоначальной базы за счет ключевых составляющих концепции регулирования следующего поколения,</w:t>
      </w:r>
      <w:r w:rsidRPr="00131A73">
        <w:rPr>
          <w:rFonts w:cs="Calibri"/>
        </w:rPr>
        <w:t xml:space="preserve"> а также организовать серию исследований конкретных ситуаций по нормативно-правовым и институциональным базам и совместному управлению в отдельных странах разных регионов.</w:t>
      </w:r>
      <w:r w:rsidRPr="00131A73">
        <w:t xml:space="preserve"> Эти исследования конкретных ситуаций также будут направлены на обеспечение более глубокого понимания роли и влияния сотрудничества и совместного управления; в них также будут рассмотрены вопросы использования новых инструментов для регулирования рынков ИКТ.</w:t>
      </w:r>
    </w:p>
    <w:p w14:paraId="65A030C7" w14:textId="77777777" w:rsidR="00FA36AD" w:rsidRPr="00131A73" w:rsidRDefault="00FA36AD" w:rsidP="00FA36AD">
      <w:pPr>
        <w:pStyle w:val="Headingb"/>
        <w:rPr>
          <w:szCs w:val="20"/>
        </w:rPr>
      </w:pPr>
      <w:r w:rsidRPr="00131A73">
        <w:t>Профессиональная подготовка по вопросам регулирования</w:t>
      </w:r>
    </w:p>
    <w:p w14:paraId="4D7C28A5" w14:textId="3E38575A" w:rsidR="00FA36AD" w:rsidRPr="00131A73" w:rsidRDefault="00FA36AD" w:rsidP="00FA36AD">
      <w:r w:rsidRPr="00131A73">
        <w:t>Был организован ряд учебных занятий для сотрудников регуляторных органов по вопросам разработки цифровой политики, регулирования и изменений на рынке, а также совместных подходов к регулированию для обеспечения цифровой трансформации.</w:t>
      </w:r>
    </w:p>
    <w:p w14:paraId="2F30206D" w14:textId="77777777" w:rsidR="00FA36AD" w:rsidRPr="00131A73" w:rsidRDefault="00FA36AD" w:rsidP="00FA36AD">
      <w:pPr>
        <w:rPr>
          <w:bCs/>
        </w:rPr>
      </w:pPr>
      <w:r w:rsidRPr="00131A73">
        <w:t>На ГСР-19 в рамках Академии МСЭ Ассоциация GSM провела пробное учебное занятие для представителей директивных и регуляторных органов по вопросам политики в области конкуренции в секторе ИКТ/подвижной связи. Оно представляло собой рассчитанное на полдня занятие по введению в тему, построенное на основе материалов двухдневного курса Академии электросвязи Соединенного Королевства "</w:t>
      </w:r>
      <w:r w:rsidRPr="00131A73">
        <w:rPr>
          <w:i/>
        </w:rPr>
        <w:t>Политика содействия конкуренции в цифровую эпоху</w:t>
      </w:r>
      <w:r w:rsidRPr="00131A73">
        <w:t>", который был проведен на базе Академии МСЭ в форме онлайнового курса для директивных и регуляторных органов в 2019 году.</w:t>
      </w:r>
    </w:p>
    <w:p w14:paraId="6458D14F" w14:textId="77777777" w:rsidR="00FA36AD" w:rsidRPr="00131A73" w:rsidRDefault="00FA36AD" w:rsidP="00FA36AD">
      <w:pPr>
        <w:rPr>
          <w:bCs/>
        </w:rPr>
      </w:pPr>
      <w:r w:rsidRPr="00131A73">
        <w:rPr>
          <w:bCs/>
        </w:rPr>
        <w:t xml:space="preserve">МСЭ, USTTI и Группа Всемирного банка (ГВБ) совместно провели в Найроби, Кения, занятия по изучению примеров передового опыта в области регулирования для должностных лиц из Эсватини, Эфиопии, Кении, Сомали, Южного Судана и Сьерра-Леоне. Трехдневная программа, проведенная при значительной поддержке Управления связи Кении и Африканского </w:t>
      </w:r>
      <w:r w:rsidRPr="00131A73">
        <w:t>союза</w:t>
      </w:r>
      <w:r w:rsidRPr="00131A73">
        <w:rPr>
          <w:bCs/>
        </w:rPr>
        <w:t xml:space="preserve"> электросвязи (АСЭ), была посвящена функциям независимого регуляторного органа по электросвязи, системе лицензирования и передовому опыту регулирования, стимулирующего инвестиции.</w:t>
      </w:r>
    </w:p>
    <w:p w14:paraId="3E62AA20" w14:textId="77777777" w:rsidR="00FA36AD" w:rsidRPr="00131A73" w:rsidRDefault="00FA36AD" w:rsidP="00FA36AD">
      <w:pPr>
        <w:rPr>
          <w:szCs w:val="20"/>
        </w:rPr>
      </w:pPr>
      <w:r w:rsidRPr="00131A73">
        <w:rPr>
          <w:szCs w:val="20"/>
        </w:rPr>
        <w:t>В преддверии празднования 20</w:t>
      </w:r>
      <w:r w:rsidRPr="00131A73">
        <w:rPr>
          <w:szCs w:val="20"/>
        </w:rPr>
        <w:noBreakHyphen/>
        <w:t xml:space="preserve">го выпуска ГСР USTTI и МСЭ объединили усилия, чтобы заглянуть за кулисы </w:t>
      </w:r>
      <w:r w:rsidRPr="00131A73">
        <w:rPr>
          <w:rStyle w:val="ms-rtethemeforecolor-9-0"/>
          <w:rFonts w:asciiTheme="minorHAnsi" w:hAnsiTheme="minorHAnsi" w:cstheme="minorHAnsi"/>
          <w:bdr w:val="none" w:sz="0" w:space="0" w:color="auto" w:frame="1"/>
        </w:rPr>
        <w:t>в целях рассмотрения работы, проводимой для подготовки развертывания и применения появляющихся технологий. Эксперты представили регуляторным органам информацию о технологических основах появляющихся технологий и о планировании использования спектра, осуществляемом для реализации этих новых услуг</w:t>
      </w:r>
      <w:r w:rsidRPr="00131A73">
        <w:rPr>
          <w:szCs w:val="20"/>
        </w:rPr>
        <w:t>.</w:t>
      </w:r>
    </w:p>
    <w:p w14:paraId="6A257313" w14:textId="77777777" w:rsidR="00FA36AD" w:rsidRPr="00131A73" w:rsidRDefault="00FA36AD" w:rsidP="00FA36AD">
      <w:pPr>
        <w:rPr>
          <w:szCs w:val="20"/>
        </w:rPr>
      </w:pPr>
      <w:r w:rsidRPr="00131A73">
        <w:rPr>
          <w:szCs w:val="20"/>
        </w:rPr>
        <w:t>МСЭ совместно со Всемирным банком разрабатывает учебные материалы для регуляторных органов в рамках Справочника и платформы по цифровому регулированию. Эти учебные материалы, которые будут доступны в третьем–четвертом квартале, представляют собой серию модулей электронного обучения для самостоятельного изучения вопросов регулирования, управления использованием спектра, доступа для всех, конкуренции и экономики, а также вопросов, касающихся потребителей. Программа онлайн-обучения по цифровому регулированию разрабатывается совместно с Комиссией по связи и информационным технологиям (CITC) Саудовской Аравии и проводится в два этапа. Первый этап, посвященный управлению регулированием и совместному регулированию, состоялся 29 и 30 марта 2021 года, второй этап состоится в 4</w:t>
      </w:r>
      <w:r w:rsidRPr="00131A73">
        <w:rPr>
          <w:szCs w:val="20"/>
        </w:rPr>
        <w:noBreakHyphen/>
        <w:t>м квартале 2021 года.</w:t>
      </w:r>
    </w:p>
    <w:p w14:paraId="39BC9DDC" w14:textId="77777777" w:rsidR="00FA36AD" w:rsidRPr="00131A73" w:rsidRDefault="00FA36AD" w:rsidP="00FA36AD">
      <w:pPr>
        <w:pStyle w:val="Headingb"/>
      </w:pPr>
      <w:r w:rsidRPr="00131A73">
        <w:t>Защита потребителя</w:t>
      </w:r>
    </w:p>
    <w:p w14:paraId="1400C15D" w14:textId="77777777" w:rsidR="00FA36AD" w:rsidRPr="00131A73" w:rsidRDefault="00FA36AD" w:rsidP="00FA36AD">
      <w:pPr>
        <w:rPr>
          <w:rFonts w:eastAsia="Calibri" w:cs="Calibri"/>
          <w:szCs w:val="24"/>
        </w:rPr>
      </w:pPr>
      <w:r w:rsidRPr="00131A73">
        <w:rPr>
          <w:rFonts w:eastAsia="Calibri" w:cs="Calibri"/>
        </w:rPr>
        <w:t xml:space="preserve">В Эсватини состоялся Форум потребителей цифровых услуг для </w:t>
      </w:r>
      <w:r w:rsidRPr="00131A73">
        <w:rPr>
          <w:bCs/>
        </w:rPr>
        <w:t>Африки</w:t>
      </w:r>
      <w:r w:rsidRPr="00131A73">
        <w:rPr>
          <w:rFonts w:eastAsia="Calibri" w:cs="Calibri"/>
        </w:rPr>
        <w:t xml:space="preserve"> 2019 года, посвященный вопросам защиты данных, конфиденциальности потребителей, доверия и безопасности, на котором был принят комплекс рекомендаций и руководящих указаний на основе примеров передового опыта для директивных и регуляторных органов Африканского региона. После окончания форума состоялся семинар-практикум по выработке совместных подходов к защите потребителей для охвата цифровыми финансовыми услугами с участием круга заинтересованных сторон, в частности из сферы финансовых услуг, страхования, местных органов власти и академических учреждений.</w:t>
      </w:r>
    </w:p>
    <w:p w14:paraId="7C06C85A" w14:textId="77777777" w:rsidR="00FA36AD" w:rsidRPr="00131A73" w:rsidRDefault="00FA36AD" w:rsidP="00FA36AD">
      <w:pPr>
        <w:pStyle w:val="Headingb"/>
        <w:rPr>
          <w:szCs w:val="20"/>
        </w:rPr>
      </w:pPr>
      <w:r w:rsidRPr="00131A73">
        <w:t>Глобальная инициатива по охвату финансовыми услугами (FIGI)</w:t>
      </w:r>
    </w:p>
    <w:p w14:paraId="2B410E0C" w14:textId="77777777" w:rsidR="00FA36AD" w:rsidRPr="00131A73" w:rsidRDefault="00FA36AD" w:rsidP="00FA36AD">
      <w:pPr>
        <w:rPr>
          <w:rFonts w:eastAsia="Calibri" w:cs="Calibri"/>
        </w:rPr>
      </w:pPr>
      <w:r w:rsidRPr="00131A73">
        <w:rPr>
          <w:rFonts w:eastAsia="Calibri" w:cs="Calibri"/>
        </w:rPr>
        <w:t xml:space="preserve">Китаю, Египту и Мексике была оказана помощь в вопросах использования ИКТ для обеспечения охвата цифровыми финансовыми услугами в рамках трехлетней Глобальной инициативы по охвату финансовыми услугами, осуществляемой под руководством МСЭ, Группы Всемирного банка, Комитета по платежам и рыночным инфраструктурам (КПРИ) и при поддержке Фонда Билла и Мелинды Гейтс. Работа велась по таким направлениям, как анализ имеющихся у Египта недочетов с точки зрения потребностей для содействия созданию безопасной устойчивой инфраструктуры для ИКТ, картирование инфраструктуры в Мексике, определение пилотных проектов по использованию ИКТ для содействия развитию цифровых финансовых услуг в целях искоренения бедности в Китае, а также определение и внедрение совместных механизмов регулирования для поддержки общегосударственного подхода в Мексике. </w:t>
      </w:r>
    </w:p>
    <w:p w14:paraId="79C4A4D1" w14:textId="3455CF57" w:rsidR="00FA36AD" w:rsidRPr="00131A73" w:rsidRDefault="00FA36AD" w:rsidP="00FA36AD">
      <w:pPr>
        <w:rPr>
          <w:szCs w:val="20"/>
        </w:rPr>
      </w:pPr>
      <w:r w:rsidRPr="00131A73">
        <w:t>Укреплению межотраслевого сотрудничества способствовало осуществление инициатив в области электронного правительства, электронного сельского хозяйства (в рамках</w:t>
      </w:r>
      <w:r w:rsidR="00F82C8D" w:rsidRPr="00370549">
        <w:t xml:space="preserve"> </w:t>
      </w:r>
      <w:r w:rsidR="00F82C8D">
        <w:t xml:space="preserve">региональной инициативы </w:t>
      </w:r>
      <w:r w:rsidRPr="00131A73">
        <w:t>ASP 2) и цифровых финансовых услуг. В настоящее время МСЭ в сотрудничестве с CAICT, в координации со Всемирным банком и за счет средств фонда Билла и Мелинды Гейтс реализует проект в области цифровых финансов (</w:t>
      </w:r>
      <w:hyperlink r:id="rId188" w:history="1">
        <w:r w:rsidRPr="00131A73">
          <w:rPr>
            <w:rStyle w:val="Hyperlink"/>
            <w:rFonts w:cs="Calibri"/>
          </w:rPr>
          <w:t>FIGI</w:t>
        </w:r>
      </w:hyperlink>
      <w:r w:rsidRPr="00131A73">
        <w:t>) в Китае.</w:t>
      </w:r>
    </w:p>
    <w:p w14:paraId="07F3EA8D" w14:textId="77777777" w:rsidR="00FA36AD" w:rsidRPr="00131A73" w:rsidRDefault="00FA36AD" w:rsidP="00FA36AD">
      <w:pPr>
        <w:pStyle w:val="Headingb"/>
      </w:pPr>
      <w:r w:rsidRPr="00131A73">
        <w:t>Рекомендации Целевой группы Европейского союза/Африканского союза по цифровой экономике</w:t>
      </w:r>
    </w:p>
    <w:p w14:paraId="3379EA2E" w14:textId="77777777" w:rsidR="00FA36AD" w:rsidRPr="00131A73" w:rsidRDefault="00FA36AD" w:rsidP="00FA36AD">
      <w:pPr>
        <w:rPr>
          <w:rFonts w:eastAsia="Calibri" w:cs="Calibri"/>
        </w:rPr>
      </w:pPr>
      <w:r w:rsidRPr="00131A73">
        <w:rPr>
          <w:rFonts w:eastAsia="Calibri" w:cs="Calibri"/>
        </w:rPr>
        <w:t xml:space="preserve">Являясь активным членом </w:t>
      </w:r>
      <w:hyperlink r:id="rId189" w:history="1">
        <w:r w:rsidRPr="00131A73">
          <w:rPr>
            <w:rStyle w:val="Hyperlink"/>
            <w:rFonts w:cs="Calibri"/>
          </w:rPr>
          <w:t>Целевой группы Европейского союза/Африканского союза по цифровой экономике (DETF ЕС-АС)</w:t>
        </w:r>
      </w:hyperlink>
      <w:r w:rsidRPr="00131A73">
        <w:rPr>
          <w:rFonts w:eastAsia="Calibri" w:cs="Calibri"/>
        </w:rPr>
        <w:t>, МСЭ участвовал в разработке единой концепции, комплекса общих согласованных принципов и перечня политических рекомендаций и действий, которые приводятся в отчете, в целях устранения основных препятствий, с которыми сталкиваются страны Африканского региона на пути развития цифровой экономики и цифрового общества. Основными рассматриваемыми областями были: ускорение обеспечения универсального доступа к приемлемой в ценовом отношении широкополосной связи; обеспечение получения всеми людьми основных навыков, которые позволят гражданам быть успешными в эпоху цифровых технологий; улучшение условий для ведения бизнеса и упрощение доступа к финансовым услугам и услугам по поддержке бизнеса для стимулирования развития использующего цифровые технологии предпринимательства, а также ускорение внедрения электронных услуг и дальнейшее развитие цифровой экономики для достижения целей в области устойчивого развития. Рекомендации были направлены Комиссии Африканского союза по разработке стратегии цифровой трансформации Африканского союза.</w:t>
      </w:r>
    </w:p>
    <w:p w14:paraId="6719C113" w14:textId="77777777" w:rsidR="00FA36AD" w:rsidRPr="00131A73" w:rsidRDefault="00FA36AD" w:rsidP="00FA36AD">
      <w:pPr>
        <w:pStyle w:val="Headingb"/>
        <w:rPr>
          <w:szCs w:val="20"/>
        </w:rPr>
      </w:pPr>
      <w:r w:rsidRPr="00131A73">
        <w:t>Экономическое регулирование и калькуляция затрат</w:t>
      </w:r>
    </w:p>
    <w:p w14:paraId="6210D1FD" w14:textId="77777777" w:rsidR="00FA36AD" w:rsidRPr="00131A73" w:rsidRDefault="00FA36AD" w:rsidP="00FA36AD">
      <w:pPr>
        <w:rPr>
          <w:rFonts w:cs="Calibri"/>
        </w:rPr>
      </w:pPr>
      <w:r w:rsidRPr="00131A73">
        <w:t xml:space="preserve">В рамках работы 2-й Исследовательской комиссии МСЭ-D по Вопросу 4/1 был утвержден предназначенный для ассоциаций национальных регуляторных органов новый подробный комплекс </w:t>
      </w:r>
      <w:hyperlink r:id="rId190" w:history="1">
        <w:r w:rsidRPr="00131A73">
          <w:rPr>
            <w:rStyle w:val="Hyperlink"/>
          </w:rPr>
          <w:t>Руководящих указаний по моделированию затрат</w:t>
        </w:r>
      </w:hyperlink>
      <w:r w:rsidRPr="00131A73">
        <w:t xml:space="preserve">, который послужит им подспорьем в налаживании процесса регулирования затрат и цен. В Европейском регионе, регионах СНГ, Северной и Южной Америки и Африканском регионе были организованы </w:t>
      </w:r>
      <w:hyperlink r:id="rId191" w:history="1">
        <w:r w:rsidRPr="00131A73">
          <w:rPr>
            <w:rStyle w:val="Hyperlink"/>
          </w:rPr>
          <w:t>Региональные экономические диалоги МСЭ (RED)</w:t>
        </w:r>
      </w:hyperlink>
      <w:r w:rsidRPr="00131A73">
        <w:rPr>
          <w:rStyle w:val="Hyperlink"/>
          <w:color w:val="auto"/>
          <w:u w:val="none"/>
        </w:rPr>
        <w:t>, посвященные</w:t>
      </w:r>
      <w:r w:rsidRPr="00131A73">
        <w:t xml:space="preserve"> вопросам экономического воздействия и стратегиям восстановления, призванным обеспечить восстановление с улучшением, а также возможность соединений и непрерывность деятельности в период кризиса, вызванного COVID-19, и после него; соглашениям о присоединении и одноранговом соединении последующих поколений на рынке цифровых услуг; а также бизнес-моделям и стратегиям ценообразования в сфере новых услуг (ОТТ, IoT и данные). Рекомендации и итоговые результаты были направлены исследовательским комиссиям МСЭ. </w:t>
      </w:r>
    </w:p>
    <w:p w14:paraId="3A54B9D1" w14:textId="77777777" w:rsidR="00FA36AD" w:rsidRPr="00131A73" w:rsidRDefault="00FA36AD" w:rsidP="00FA36AD">
      <w:pPr>
        <w:rPr>
          <w:rFonts w:eastAsiaTheme="minorEastAsia"/>
        </w:rPr>
      </w:pPr>
      <w:r w:rsidRPr="00131A73">
        <w:t>В области создания потенциала в 2019−2020 годах проводились учебные занятия по теме "</w:t>
      </w:r>
      <w:r w:rsidRPr="00131A73">
        <w:rPr>
          <w:i/>
        </w:rPr>
        <w:t>Положительные изменения в разработке стратегий регулирования определения затрат и ценообразования в сфере цифровых услуг для арабских государств и стран Карибского бассейна</w:t>
      </w:r>
      <w:r w:rsidRPr="00131A73">
        <w:t>" с участием многих заинтересованных сторон, а также учебные занятия по анализу конкуренции в среде цифровых приложений для Азиатско-Тихоокеанского региона. Сан-Томе и Принсипи, Палестине и Коморским Островам была оказана непосредственная помощь в вопросах анализа рынка, тарифной политики и моделирования затрат. В каждой из стран проводилась специализированная подготовка, с тем чтобы привить сотрудникам национальных регуляторных органов этих стран основные навыки.</w:t>
      </w:r>
    </w:p>
    <w:p w14:paraId="5F6957C6" w14:textId="77777777" w:rsidR="00FA36AD" w:rsidRPr="00131A73" w:rsidRDefault="00FA36AD" w:rsidP="00FA36AD">
      <w:pPr>
        <w:pStyle w:val="Headingb"/>
      </w:pPr>
      <w:r w:rsidRPr="00131A73">
        <w:t>Справочник и платформа по цифровому регулированию</w:t>
      </w:r>
    </w:p>
    <w:p w14:paraId="67592064" w14:textId="77777777" w:rsidR="00FA36AD" w:rsidRPr="00131A73" w:rsidRDefault="00FA36AD" w:rsidP="00FA36AD">
      <w:pPr>
        <w:rPr>
          <w:rFonts w:eastAsiaTheme="minorEastAsia"/>
        </w:rPr>
      </w:pPr>
      <w:r w:rsidRPr="00131A73">
        <w:t xml:space="preserve">Всемирный банк и Международный союз электросвязи совместно разработали </w:t>
      </w:r>
      <w:hyperlink r:id="rId192" w:history="1">
        <w:r w:rsidRPr="00131A73">
          <w:rPr>
            <w:rStyle w:val="Hyperlink"/>
          </w:rPr>
          <w:t>Справочник по цифровому регулированию</w:t>
        </w:r>
      </w:hyperlink>
      <w:r w:rsidRPr="00131A73">
        <w:t xml:space="preserve"> и новую онлайновую </w:t>
      </w:r>
      <w:hyperlink r:id="rId193" w:history="1">
        <w:r w:rsidRPr="00131A73">
          <w:rPr>
            <w:rStyle w:val="Hyperlink"/>
          </w:rPr>
          <w:t>платформу по цифровому регулированию</w:t>
        </w:r>
      </w:hyperlink>
      <w:r w:rsidRPr="00131A73">
        <w:t xml:space="preserve"> для обновления и пересмотра Комплекта материалов и Справочника по регулированию в области ИКТ. В Справочнике содержится весьма подробный обзор текущего положения дел за 2020 год, а платформа представляет собой динамичный ресурс и будет непрерывно обновляться в предстоящие годы, с тем чтобы отражать стремительные изменения в цифровом мире путем публикации более подробных указаний и исследований конкретных ситуаций с применением передового опыта в сфере регулирования цифровой экономики. К тематическим областям относятся управление регулированием и независимость регуляторных органов, конкуренция и экономика, всеобщий доступ, урегулирование вопросов потребителей, защита данных и доверие, управление использованием спектра, появляющиеся технологии, техническое регулирование и связь в чрезвычайных ситуациях.</w:t>
      </w:r>
    </w:p>
    <w:p w14:paraId="613C97E2" w14:textId="77777777" w:rsidR="00FA36AD" w:rsidRPr="00131A73" w:rsidRDefault="00FA36AD" w:rsidP="00FA36AD">
      <w:pPr>
        <w:pStyle w:val="Headingb"/>
      </w:pPr>
      <w:r w:rsidRPr="00131A73">
        <w:t>Прямая помощь</w:t>
      </w:r>
    </w:p>
    <w:p w14:paraId="6C9BA718" w14:textId="77777777" w:rsidR="00FA36AD" w:rsidRPr="00131A73" w:rsidRDefault="00FA36AD" w:rsidP="00FA36AD">
      <w:pPr>
        <w:spacing w:after="160"/>
        <w:rPr>
          <w:szCs w:val="20"/>
        </w:rPr>
      </w:pPr>
      <w:r w:rsidRPr="00131A73">
        <w:rPr>
          <w:rFonts w:eastAsia="Calibri" w:cs="Calibri"/>
        </w:rPr>
        <w:t xml:space="preserve">Португалоговорящим странам в Сан-Томе и Принсипи была оказана точечная помощь по вопросам обеспечения качества обслуживания сетей и нумерации. Демократической Республике Конго была предоставлена непосредственная помощь в деле выполнения ее национального обязательства по универсальному обслуживанию (USO), а также организован семинар-практикум по вопросам нумерации в Киншасе. Также прямое содействие в осуществлении перехода на наземное телевизионное вещание было оказано Центральноафриканской Республике, Экваториальной Гвинее и Сан-Томе и Принсипи, для которых были обновлены планы действий в данной области. Кроме того, непосредственную помощь в 2019 году получили Либерия и Гамбия: в обеих странах прошли два семинара-практикума по оценке готовности к обеспечению кибербезопасности и управлению использованием спектра. Антигуа и Барбуде было оказано содействие в пересмотре проекта национального закона об электросвязи и определении первостепенных вспомогательных подзаконных актов. </w:t>
      </w:r>
      <w:r w:rsidRPr="00131A73">
        <w:t>Были предложены к рассмотрению рекомендации в отношении режима регулирования и дополнительных нормативных актов к законопроекту. Тринидаду и Тобаго было оказано содействие в дальнейшей разработке национального плана в области ИКТ (Fast Forward II) в форме сессии семинара-практикума. Помощь предоставлялась в виде технических рекомендаций правительству по вопросам создания организационной, функциональной структуры и структуры управления, согласующихся с национальной повесткой дня и целями сектора ИКТ. В ноябре 2019 года по итогам пересмотра и реформы Закона о защите данных и электронных операциях Тринидада и Тобаго были подготовлены презентации. В них освещались примеры международного передового опыта, а также был представлен план действий по обеспечению защиты данных и электронным операциям, а также отмечались сложности и возможности в плане модернизации и оптимизации местных законов, принятых в 2011 году.</w:t>
      </w:r>
    </w:p>
    <w:tbl>
      <w:tblPr>
        <w:tblStyle w:val="TableGrid5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FA36AD" w:rsidRPr="00131A73" w14:paraId="53581E6B" w14:textId="77777777" w:rsidTr="008D3B8A"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63670" w14:textId="77777777" w:rsidR="00FA36AD" w:rsidRPr="00131A73" w:rsidRDefault="00FA36AD" w:rsidP="00FA36AD">
            <w:pPr>
              <w:rPr>
                <w:b/>
                <w:bCs/>
                <w:szCs w:val="22"/>
              </w:rPr>
            </w:pPr>
            <w:r w:rsidRPr="00131A73">
              <w:rPr>
                <w:b/>
                <w:bCs/>
              </w:rPr>
              <w:t>РЕГИОНАЛЬНЫЕ ИНИЦИАТИВЫ</w:t>
            </w:r>
          </w:p>
          <w:p w14:paraId="2E431DC3" w14:textId="77777777" w:rsidR="00FA36AD" w:rsidRPr="00131A73" w:rsidRDefault="00FA36AD" w:rsidP="00FA36AD">
            <w:pPr>
              <w:spacing w:before="240"/>
            </w:pPr>
            <w:r w:rsidRPr="00131A73">
              <w:rPr>
                <w:rFonts w:eastAsia="Calibri" w:cs="Calibri"/>
              </w:rPr>
              <w:t>Регион Северной и Южной Америки</w:t>
            </w:r>
            <w:r w:rsidRPr="00131A73">
              <w:t>: улучшение широкополосного доступа к услугам и приложениям</w:t>
            </w:r>
          </w:p>
          <w:p w14:paraId="5FD988B8" w14:textId="6DB67978" w:rsidR="00FA36AD" w:rsidRPr="00131A73" w:rsidRDefault="00D6199A" w:rsidP="00FA36AD">
            <w:pPr>
              <w:pStyle w:val="enumlev1"/>
              <w:spacing w:before="60"/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tab/>
              <w:t>В 2018 году МСЭ разработал законопроект о национальной электросвязи для Антигуа и Барбуды. Также были вынесены на рассмотрение рекомендации по режиму регулирования и дополнительным положениям к законопроекту/закону.</w:t>
            </w:r>
          </w:p>
          <w:p w14:paraId="375EF49A" w14:textId="30CA198C" w:rsidR="00FA36AD" w:rsidRPr="00131A73" w:rsidRDefault="00D6199A" w:rsidP="00FA36AD">
            <w:pPr>
              <w:pStyle w:val="enumlev1"/>
              <w:spacing w:before="60"/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tab/>
              <w:t>МСЭ в сотрудничестве с бразильским регуляторным органом разработал крупномасштабный проект по оказанию помощи в пересмотре нормативной базы электросвязи с бюджетом в 7 млн. долл. США. Проект включает ряд рекомендаций: i) по модернизации и обновлению общего закона об электросвязи (LGT) Бразилии; ii) изменению сферы применения концессионных договоров с поставщиками услуг электросвязи в целях увеличения инвестиций в инфраструктуру и расширения сетей широкополосного доступа; iii) разработке Стратегического плана цифровой трансформации; iv) укреплению доверия и улучшению отношений регуляторного органа с потребителями услуг электросвязи; v) превращению бразильского регуляторного органа в образец по использованию данных и аналитики для принятия решений; и vi) организации учебных курсов для повышения производительности труда и качества управления кадрами, необходимыми для выполнения обязанностей и полномочий регуляторного органа.</w:t>
            </w:r>
          </w:p>
          <w:p w14:paraId="50DA9827" w14:textId="2573F08E" w:rsidR="00FA36AD" w:rsidRPr="00131A73" w:rsidRDefault="00D6199A" w:rsidP="00FA36AD">
            <w:pPr>
              <w:pStyle w:val="enumlev1"/>
              <w:spacing w:before="60"/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tab/>
              <w:t>Для Эквадора было подготовлено исследование конкретной ситуации в отношении эволюции ИКТ с рассмотрением экономических перспектив и политической и нормативной среды.</w:t>
            </w:r>
          </w:p>
          <w:p w14:paraId="6D0BF2B2" w14:textId="15CC095A" w:rsidR="00FA36AD" w:rsidRPr="00131A73" w:rsidRDefault="00D6199A" w:rsidP="00FA36AD">
            <w:pPr>
              <w:pStyle w:val="enumlev1"/>
              <w:spacing w:before="60"/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tab/>
              <w:t>Региональным отделением МСЭ для Северной и Южной Америки совместно с Отделом регуляторной и рыночной среды (RME) БРЭ в тесном сотрудничестве с Федеральным институтом электросвязи IFT Мексики был организован Региональный экономический диалог МСЭ по вопросам электросвязи/ИКТ для стран Латинской Америки и Карибского бассейна (RED-AMS). Всего в диалоге, который состоялся 4–6 сентября 2018 года, приняли участие 176 делегатов из 14 стран. RED объединяет представителей ассоциаций регуляторных органов, региональных ассоциаций потребителей и ассоциаций предприятий частного сектора, таких как Управление электросвязи стран Восточно-Карибского региона (ECTEL), Региональная техническая комиссия по электросвязи Центральной Америки (COMTELCA), Федеральная прокуратура по защите прав потребителей Мексики (PROFECO), GSMA, Межамериканская ассоциация предприятий в области электросвязи (ASIET) и др.</w:t>
            </w:r>
          </w:p>
          <w:p w14:paraId="7E6A9165" w14:textId="506EC98C" w:rsidR="00FA36AD" w:rsidRPr="00131A73" w:rsidRDefault="00D6199A" w:rsidP="00FA36AD">
            <w:pPr>
              <w:pStyle w:val="enumlev1"/>
              <w:spacing w:before="60"/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tab/>
              <w:t>6 сентября 2018 года в Мексике одновременно с Региональным экономическим диалогом (RED) по вопросам электросвязи/ИКТ для стран Латинской Америки и Карибского бассейна состоялась сессия собрания экспертов по обмену знаниями по Вопросу 4/1 1</w:t>
            </w:r>
            <w:r w:rsidR="00FA36AD" w:rsidRPr="00131A73">
              <w:noBreakHyphen/>
              <w:t>й Исследовательской комиссии МСЭ-D "Экономическая политика и методы определения стоимости услуг национальных сетей электросвязи/ИКТ".</w:t>
            </w:r>
          </w:p>
          <w:p w14:paraId="5958BDE9" w14:textId="6719195E" w:rsidR="00FA36AD" w:rsidRPr="00131A73" w:rsidRDefault="00D6199A" w:rsidP="00FA36AD">
            <w:pPr>
              <w:pStyle w:val="enumlev1"/>
              <w:spacing w:before="60"/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tab/>
              <w:t>С 5 по 7 октября 2020 года прошел онлайновый коллоквиум МСЭ по вопросам политики и экономики 2020 года – IPEC-2020 МСЭ для Северной и Южной Америки. Это мероприятие было организовано БРЭ в тесном сотрудничестве с Агентством по надзору за частными инвестициями в сфере электросвязи (OSIPTEL) Перу. Он включал дискуссионный вебинар по COVID-19 "Проблемы и возможности для предприятий электросвязи/ИКТ в регионе Северной и Южной Америки", Региональный экономический диалог (RED) и собрание по Вопросу 4/1 МСЭ-D. В общей сложности было зарегистрировано 240 участников из 39 стран со всего мира, из них 24 страны – из региона Северной и Южной Америки.</w:t>
            </w:r>
          </w:p>
          <w:p w14:paraId="3C7A74FA" w14:textId="1562A6CA" w:rsidR="00FA36AD" w:rsidRPr="00131A73" w:rsidRDefault="00D6199A" w:rsidP="00FA36AD">
            <w:pPr>
              <w:pStyle w:val="enumlev1"/>
              <w:spacing w:before="60"/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tab/>
              <w:t>В июне 2018 года в Порт-оф-Спейн (Тринидад и Тобаго) были проведены Форум по вопросам соответствия и функциональной совместимости (C&amp;I) в области инноваций для молодежи и семинар-практикум по заключению соглашения о взаимном признании (MRA) для стран Карибского бассейна.</w:t>
            </w:r>
          </w:p>
          <w:p w14:paraId="40E672C9" w14:textId="578A4A54" w:rsidR="00FA36AD" w:rsidRPr="00131A73" w:rsidRDefault="00D6199A" w:rsidP="00FA36AD">
            <w:pPr>
              <w:pStyle w:val="enumlev1"/>
              <w:spacing w:before="60"/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tab/>
              <w:t>Региональное отделение для Северной и Южной Америки в тесном сотрудничестве с Отделом по развитию потенциала и цифровых навыков (CDS) и Отделом сетей электросвязи и управления использованием спектра ведет разработку учебной программы по вопросам соответствия и функциональной совместимости (CITP). Эта программа будет осуществляться в интерактивном режиме через Академию МСЭ в тесной координации с Отделом по развитию потенциала и цифровых навыков (CDS) и с учетом уроков, извлеченных из опыта реализации программы профессиональной подготовки в области управления использованием спектра (SMTP). По состоянию на декабрь 2020 года CITP включала 10 модулей. Пять из них были разработаны, три прошли экспертную оценку, а два ожидали рассмотрения.</w:t>
            </w:r>
          </w:p>
          <w:p w14:paraId="63CE6C4C" w14:textId="466D24DD" w:rsidR="00FA36AD" w:rsidRPr="00131A73" w:rsidRDefault="00D6199A" w:rsidP="00FA36AD">
            <w:pPr>
              <w:pStyle w:val="enumlev1"/>
              <w:spacing w:before="60"/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tab/>
              <w:t>С мая по ноябрь 2018 года МСЭ по согласованию с ASETA и странами-бенефициарами (страны Андского региона – Колумбия, Эквадор, Перу и Боливия) подготовил исследование на тему "Присоединение и снижение цен на услуги электросвязи и стоимости доступа в интернет".</w:t>
            </w:r>
          </w:p>
          <w:p w14:paraId="011D934E" w14:textId="0BC557AD" w:rsidR="00FA36AD" w:rsidRPr="00131A73" w:rsidRDefault="00D6199A" w:rsidP="00FA36AD">
            <w:pPr>
              <w:pStyle w:val="enumlev1"/>
              <w:spacing w:before="60"/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tab/>
              <w:t>С апреля по август 2018 года МСЭ оказал поддержку Суринаму по разработке его национальной модели IXP.</w:t>
            </w:r>
          </w:p>
          <w:p w14:paraId="66A8B5D4" w14:textId="0C63ECF3" w:rsidR="00FA36AD" w:rsidRPr="00131A73" w:rsidRDefault="00D6199A" w:rsidP="00FA36AD">
            <w:pPr>
              <w:pStyle w:val="enumlev1"/>
              <w:spacing w:before="60"/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tab/>
              <w:t>МСЭ в сотрудничестве с ФАО и КСЭ организовал региональный семинар-практикум по разработке стратегии электронного сельского хозяйства для стран Карибского бассейна, который прошел в период с 13 по 17 июля 2018 года в Джорджтауне, Гайана. По итогам этого форума МСЭ, ФАО и партнерство Compete Caribbean договорились о сотрудничестве в рамках проекта по разработке региональной стратегии электронного сельского хозяйства для стран Карибского бассейна и национальных стратегий электронного сельского хозяйства для четырех стран.</w:t>
            </w:r>
          </w:p>
          <w:p w14:paraId="71548372" w14:textId="58A6A24E" w:rsidR="00FA36AD" w:rsidRPr="00131A73" w:rsidRDefault="00D6199A" w:rsidP="00FA36AD">
            <w:pPr>
              <w:pStyle w:val="enumlev1"/>
              <w:spacing w:before="60"/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tab/>
              <w:t>В области инициатив по мобильному и электронному здравоохранению МСЭ и Панамериканская организация здравоохранения (ПАОЗ) договорились об использовании комплекта материалов по национальной стратегии электронного здравоохранения</w:t>
            </w:r>
            <w:r w:rsidR="00FA36AD" w:rsidRPr="00131A73">
              <w:rPr>
                <w:rStyle w:val="FootnoteReference"/>
              </w:rPr>
              <w:footnoteReference w:id="1"/>
            </w:r>
            <w:r w:rsidR="00FA36AD" w:rsidRPr="00131A73">
              <w:t xml:space="preserve"> для Гайаны. Полный текст проекта стратегии был доработан и представлен в качестве вклада МСЭ; ПАОЗ и Гайана продолжили осуществление этой инициативы.</w:t>
            </w:r>
          </w:p>
          <w:p w14:paraId="52439444" w14:textId="0F6423C5" w:rsidR="00FA36AD" w:rsidRPr="00131A73" w:rsidRDefault="00D6199A" w:rsidP="00FA36AD">
            <w:pPr>
              <w:pStyle w:val="enumlev1"/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tab/>
              <w:t xml:space="preserve">В Боливии и Парагвае, двух развивающихся странах, не имеющих выхода к морю, БРЭ способствовало </w:t>
            </w:r>
            <w:r w:rsidR="008247EB" w:rsidRPr="008247EB">
              <w:t>создани</w:t>
            </w:r>
            <w:r w:rsidR="008247EB">
              <w:t>ю</w:t>
            </w:r>
            <w:r w:rsidR="008247EB" w:rsidRPr="008247EB">
              <w:t xml:space="preserve"> </w:t>
            </w:r>
            <w:r w:rsidR="00FA36AD" w:rsidRPr="00131A73">
              <w:t>потенциала и расширению опыта, представив руководящие указания и практические рекомендации по установлению соединений, а также обеспечив политическое руководство в рамках двух отдельных исследований конкретных ситуаций по Боливии и Парагваю за 2018 год:</w:t>
            </w:r>
            <w:r w:rsidR="00FA36AD" w:rsidRPr="00131A73">
              <w:rPr>
                <w:rStyle w:val="tw4winMark"/>
                <w:noProof w:val="0"/>
                <w:lang w:val="ru-RU"/>
              </w:rPr>
              <w:t xml:space="preserve"> </w:t>
            </w:r>
            <w:r w:rsidR="00FA36AD" w:rsidRPr="00131A73">
              <w:t>"Развивающиеся страны, не имеющие выхода к морю (ЛЛДС) в Северной и Южной Америке: проблемы и перспективы, связанные с возможностью установления соединений".</w:t>
            </w:r>
          </w:p>
          <w:p w14:paraId="059BC541" w14:textId="6E078C50" w:rsidR="00FA36AD" w:rsidRPr="00131A73" w:rsidRDefault="00D6199A" w:rsidP="00FA36AD">
            <w:pPr>
              <w:pStyle w:val="enumlev1"/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tab/>
              <w:t>С 26 по 30 августа 2019 года в Санто-Доминго, Доминиканская Республика, проходило ежегодное мероприятие, посвященное вопросам политики и экономики в Северной и Южной Америке, – Коллоквиум МСЭ по вопросам политики и экономики (IPEC). Мероприятие было разделено на две части: двухдневный семинар-диалог по сетям 5G и новым технологиям, за которым последовал Региональный экономический диалог (RED) для стран Латинской Америки и Карибского бассейна.</w:t>
            </w:r>
          </w:p>
          <w:p w14:paraId="43EB0C34" w14:textId="0E11105B" w:rsidR="00FA36AD" w:rsidRPr="00131A73" w:rsidRDefault="00D6199A" w:rsidP="00FA36AD">
            <w:pPr>
              <w:pStyle w:val="enumlev1"/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tab/>
              <w:t>31 августа 2019 года в Доминиканской Республике одновременно с региональным Экономическим диалогом (RED) по вопросам электросвязи/ИКТ для стран Латинской Америки и Карибского бассейна состоялась сессия по обмену знаниями между экспертами по Вопросу 4/1 1</w:t>
            </w:r>
            <w:r w:rsidR="00FA36AD" w:rsidRPr="00131A73">
              <w:noBreakHyphen/>
              <w:t>й Исследовательской комиссии МСЭ-D "Экономическая политика и методы определения стоимости услуг национальных сетей электросвязи/ИКТ".</w:t>
            </w:r>
          </w:p>
          <w:p w14:paraId="2B400C92" w14:textId="732D2A99" w:rsidR="00FA36AD" w:rsidRPr="00131A73" w:rsidRDefault="00D6199A" w:rsidP="00FA36AD">
            <w:pPr>
              <w:pStyle w:val="enumlev1"/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tab/>
              <w:t>МСЭ-D реализует трехлетний проект по использованию потенциала информационно-коммуникационных технологий (ИКТ) для укрепления цифровых финансовых услуг (DFS) и расширению охвата цифровыми финансовыми услугами (DFI) в Китае, Египте и Мексике. В этом контексте МСЭ-D повысил осведомленность о благоприятных условиях для обеспечения охвата финансовым услугам в Мексике, подготовив проект страновой оценки по охвату цифровыми финансовыми услугами в этой стране.</w:t>
            </w:r>
          </w:p>
          <w:p w14:paraId="532F032C" w14:textId="127BE04E" w:rsidR="00FA36AD" w:rsidRPr="00131A73" w:rsidRDefault="00D6199A" w:rsidP="00FA36AD">
            <w:pPr>
              <w:pStyle w:val="enumlev1"/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tab/>
              <w:t>МСЭ реализовал два проекта FIT (целевых фондов)</w:t>
            </w:r>
            <w:r w:rsidRPr="00131A73">
              <w:t xml:space="preserve"> </w:t>
            </w:r>
            <w:r w:rsidR="00FA36AD" w:rsidRPr="00131A73">
              <w:t>– "Реформирование законодательства по электросвязи в Доминиканской Республике" и "Институциональная поддержка Доминиканского института электросвязи (INDOTEL)". В рамках этих проектов Доминиканский институт электросвязи (INDOTEL) получил техническую помощь по разработке политики и стандартов для решения задач, связанных с новыми технологиями и изменениями в секторе ИКТ.</w:t>
            </w:r>
          </w:p>
          <w:p w14:paraId="4D99896C" w14:textId="042785FA" w:rsidR="00FA36AD" w:rsidRPr="00131A73" w:rsidRDefault="00D6199A" w:rsidP="00FA36AD">
            <w:pPr>
              <w:pStyle w:val="enumlev1"/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tab/>
              <w:t>С 5 по 9 августа 2019 года МСЭ совместно с ФАО по приглашению Antel организовали в Монтевидео, Уругвай, мероприятие "Неделя инноваций в сфере ИКТ". В нем приняли участие 136 представителей из Аргентины, Боливии, Бразилии, Чили, Колумбии, Коста-Рики, Сальвадора, Франции, Гайаны, Гондураса, Италии, Японии, Мексики, Никарагуа, Панамы, Перу и Уругвая.</w:t>
            </w:r>
          </w:p>
          <w:p w14:paraId="1639D74B" w14:textId="1A331F5F" w:rsidR="00FA36AD" w:rsidRPr="00131A73" w:rsidRDefault="00D6199A" w:rsidP="00FA36AD">
            <w:pPr>
              <w:pStyle w:val="enumlev1"/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tab/>
              <w:t>МСЭ продолжал работу по обновлению интерактивных карт передачи, особенно карт Гватемалы, Гондураса и Суринама.</w:t>
            </w:r>
          </w:p>
          <w:p w14:paraId="440510AB" w14:textId="77777777" w:rsidR="00FA36AD" w:rsidRPr="00131A73" w:rsidRDefault="00FA36AD" w:rsidP="00FA36AD">
            <w:pPr>
              <w:rPr>
                <w:rFonts w:eastAsia="Calibri" w:cs="Calibri"/>
                <w:szCs w:val="22"/>
              </w:rPr>
            </w:pPr>
            <w:r w:rsidRPr="00131A73">
              <w:rPr>
                <w:rFonts w:eastAsia="Calibri" w:cs="Calibri"/>
              </w:rPr>
              <w:t>Азиатско-Тихоокеанский регион: благоприятная политическая и регуляторная среда</w:t>
            </w:r>
          </w:p>
          <w:p w14:paraId="115D4159" w14:textId="52EF83C4" w:rsidR="00FA36AD" w:rsidRPr="00131A73" w:rsidRDefault="00D6199A" w:rsidP="00FA36AD">
            <w:pPr>
              <w:pStyle w:val="enumlev1"/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tab/>
              <w:t>МСЭ оказал помощь АСЕАН по двум нормативным документам: i) обязательства по универсальному обслуживанию с применением технологий нового поколения (USO 2.0); и ii) защита детей в интернете, который был одобрен высокопоставленными должностными лицами и министрами электросвязи стран АСЕАН.</w:t>
            </w:r>
          </w:p>
          <w:p w14:paraId="41A0A2E9" w14:textId="6DF05889" w:rsidR="00FA36AD" w:rsidRPr="00131A73" w:rsidRDefault="00D6199A" w:rsidP="00FA36AD">
            <w:pPr>
              <w:pStyle w:val="enumlev1"/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tab/>
            </w:r>
            <w:r w:rsidR="00FA36AD" w:rsidRPr="00131A73">
              <w:rPr>
                <w:rFonts w:eastAsia="Calibri" w:cs="Calibri"/>
              </w:rPr>
              <w:t>В Таиланде МСЭ в сотрудничестве с NBTC (Таиланд) организовал курсы повышения квалификации по технологии блокчейн для 50 исследователей</w:t>
            </w:r>
            <w:r w:rsidR="00FA36AD" w:rsidRPr="00131A73">
              <w:t>. МСЭ также наладил сотрудничество между Университетом Организации Объединенных Наций и Академическими организациями – членами МСЭ.</w:t>
            </w:r>
          </w:p>
          <w:p w14:paraId="4A96AB98" w14:textId="57C18BB0" w:rsidR="00FA36AD" w:rsidRPr="00131A73" w:rsidRDefault="00D6199A" w:rsidP="00FA36AD">
            <w:pPr>
              <w:pStyle w:val="enumlev1"/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tab/>
              <w:t>МСЭ оказывает техническую помощь в двух областях – в области дорожной карты использования спектра и в области новых правил лицензирования для страны, а также планирует организовать семинар по защите прав потребителей, на котором особое внимание будет уделяться защите данных для тихоокеанских стран.</w:t>
            </w:r>
          </w:p>
          <w:p w14:paraId="1141D617" w14:textId="76458EAC" w:rsidR="00FA36AD" w:rsidRPr="00131A73" w:rsidRDefault="00D6199A" w:rsidP="00FA36AD">
            <w:pPr>
              <w:pStyle w:val="enumlev1"/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tab/>
              <w:t xml:space="preserve">МСЭ провел несколько исследований в области политики развертывания волоконно-оптических кабелей совместно с электроэнергетической инфраструктурой, а также по инновационным бизнес-моделям в секторе электросвязи. Эти исследования будут представлены на мероприятии </w:t>
            </w:r>
            <w:r w:rsidR="00593CDC">
              <w:t>ГСР</w:t>
            </w:r>
            <w:r w:rsidR="00FA36AD" w:rsidRPr="00131A73">
              <w:t>+</w:t>
            </w:r>
            <w:r w:rsidR="00593CDC">
              <w:t>АТР</w:t>
            </w:r>
            <w:r w:rsidR="00FA36AD" w:rsidRPr="00131A73">
              <w:t>, которое будет проведено с 8 по 9 июня 2021 года в рамках подготовки к Глобальному симпозиуму для регуляторных органов.</w:t>
            </w:r>
          </w:p>
          <w:p w14:paraId="25BEEB1A" w14:textId="77777777" w:rsidR="00FA36AD" w:rsidRPr="00131A73" w:rsidRDefault="00FA36AD" w:rsidP="00FA36AD">
            <w:pPr>
              <w:rPr>
                <w:rFonts w:eastAsiaTheme="minorEastAsia"/>
              </w:rPr>
            </w:pPr>
            <w:r w:rsidRPr="00131A73">
              <w:t>Регион СНГ: развитие и регулирование инфокоммуникационной инфраструктуры для обеспечения открытости, безопасности и жизнестойкости городов и населенных пунктов</w:t>
            </w:r>
          </w:p>
          <w:p w14:paraId="284E0782" w14:textId="0A165A0E" w:rsidR="00FA36AD" w:rsidRPr="00131A73" w:rsidRDefault="00D6199A" w:rsidP="00FA36AD">
            <w:pPr>
              <w:pStyle w:val="enumlev1"/>
              <w:rPr>
                <w:rFonts w:eastAsiaTheme="minorEastAsia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rPr>
                <w:rFonts w:eastAsia="Calibri" w:cs="Calibri"/>
                <w:szCs w:val="22"/>
              </w:rPr>
              <w:tab/>
            </w:r>
            <w:r w:rsidR="00FA36AD" w:rsidRPr="00131A73">
              <w:rPr>
                <w:rFonts w:eastAsia="Calibri" w:cs="Calibri"/>
              </w:rPr>
              <w:t xml:space="preserve">В ответ на просьбу своих членов МСЭ опубликовал исследование, посвященное регулированию в области широкополосной связи в СНГ и соседних странах. </w:t>
            </w:r>
          </w:p>
          <w:p w14:paraId="5482CF81" w14:textId="318765FB" w:rsidR="00FA36AD" w:rsidRPr="00131A73" w:rsidRDefault="00D6199A" w:rsidP="00FA36AD">
            <w:pPr>
              <w:pStyle w:val="enumlev1"/>
              <w:rPr>
                <w:rFonts w:eastAsia="Calibri" w:cs="Calibri"/>
                <w:szCs w:val="22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rPr>
                <w:rFonts w:eastAsia="Calibri" w:cs="Calibri"/>
              </w:rPr>
              <w:tab/>
              <w:t>В настоящее время проводится базовая оценка уровня использования различных инструментов и платформ, а также уровня спроса в странах СНГ.</w:t>
            </w:r>
          </w:p>
          <w:p w14:paraId="395F7A6E" w14:textId="77777777" w:rsidR="00FA36AD" w:rsidRPr="00131A73" w:rsidRDefault="00FA36AD" w:rsidP="00FA36AD">
            <w:pPr>
              <w:rPr>
                <w:rFonts w:eastAsia="Calibri" w:cs="Calibri"/>
                <w:szCs w:val="22"/>
              </w:rPr>
            </w:pPr>
            <w:r w:rsidRPr="00131A73">
              <w:rPr>
                <w:rFonts w:eastAsia="Calibri" w:cs="Calibri"/>
              </w:rPr>
              <w:t>Европейский регион: инфраструктура широкополосной связи, радиовещание и управление использованием спектра</w:t>
            </w:r>
          </w:p>
          <w:p w14:paraId="1EE89D63" w14:textId="2B823BA8" w:rsidR="00FA36AD" w:rsidRPr="00131A73" w:rsidRDefault="00D6199A" w:rsidP="00FA36AD">
            <w:pPr>
              <w:pStyle w:val="enumlev1"/>
              <w:rPr>
                <w:rFonts w:eastAsia="Calibri" w:cs="Calibri"/>
                <w:szCs w:val="22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tab/>
            </w:r>
            <w:r w:rsidR="00FA36AD" w:rsidRPr="00131A73">
              <w:rPr>
                <w:rFonts w:eastAsia="Calibri" w:cs="Calibri"/>
                <w:szCs w:val="22"/>
              </w:rPr>
              <w:t>Двум странам было оказано техническое содействие: для Албании был разработан национальный план развития широкополосной связи на 2020–2025 годы, а для Северной Македонии – специальный программный документ по развитию инфраструктуры ИКТ и инвестициям.</w:t>
            </w:r>
          </w:p>
          <w:p w14:paraId="5CEAA71F" w14:textId="0117B3F8" w:rsidR="00FA36AD" w:rsidRPr="00131A73" w:rsidRDefault="00D6199A" w:rsidP="00FA36AD">
            <w:pPr>
              <w:pStyle w:val="enumlev1"/>
              <w:rPr>
                <w:rFonts w:eastAsia="Calibri" w:cs="Calibri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tab/>
            </w:r>
            <w:r w:rsidR="00FA36AD" w:rsidRPr="00131A73">
              <w:rPr>
                <w:rFonts w:eastAsia="Calibri" w:cs="Calibri"/>
              </w:rPr>
              <w:t xml:space="preserve">Ежегодные региональные форумы по вопросам регулирования, Региональный экономический диалог и региональные круглые столы по вопросам регулирования </w:t>
            </w:r>
            <w:r w:rsidR="00593CDC">
              <w:rPr>
                <w:rFonts w:eastAsia="Calibri" w:cs="Calibri"/>
              </w:rPr>
              <w:t>ГСР</w:t>
            </w:r>
            <w:r w:rsidR="00FA36AD" w:rsidRPr="00131A73">
              <w:rPr>
                <w:rFonts w:eastAsia="Calibri" w:cs="Calibri"/>
              </w:rPr>
              <w:t xml:space="preserve"> предоставили европейским регуляторным органам дополнительные платформы для обсуждения новых тенденций.</w:t>
            </w:r>
          </w:p>
          <w:p w14:paraId="311A2708" w14:textId="09F739AE" w:rsidR="00FA36AD" w:rsidRPr="00131A73" w:rsidRDefault="00D6199A" w:rsidP="00FA36AD">
            <w:pPr>
              <w:pStyle w:val="enumlev1"/>
              <w:spacing w:after="120"/>
              <w:rPr>
                <w:rFonts w:eastAsia="Calibri" w:cs="Calibri"/>
                <w:szCs w:val="22"/>
              </w:rPr>
            </w:pPr>
            <w:r w:rsidRPr="00131A73">
              <w:rPr>
                <w:rFonts w:eastAsiaTheme="minorEastAsia"/>
                <w:szCs w:val="22"/>
              </w:rPr>
              <w:t>−</w:t>
            </w:r>
            <w:r w:rsidR="00FA36AD" w:rsidRPr="00131A73">
              <w:tab/>
            </w:r>
            <w:r w:rsidR="00FA36AD" w:rsidRPr="00131A73">
              <w:rPr>
                <w:rFonts w:eastAsia="Calibri" w:cs="Calibri"/>
              </w:rPr>
              <w:t>Было разработано и издано региональное эконометрическое исследование по экономическому воздействию широкополосной связи, цифровизации и регулированию ИКТ в европейских странах.</w:t>
            </w:r>
          </w:p>
        </w:tc>
      </w:tr>
    </w:tbl>
    <w:p w14:paraId="7693D7C5" w14:textId="77777777" w:rsidR="00FA36AD" w:rsidRPr="00131A73" w:rsidRDefault="00FA36AD" w:rsidP="00370549">
      <w:pPr>
        <w:shd w:val="clear" w:color="auto" w:fill="FFFFFF"/>
        <w:overflowPunct/>
        <w:autoSpaceDE/>
        <w:adjustRightInd/>
        <w:spacing w:before="0"/>
        <w:rPr>
          <w:rFonts w:cstheme="minorHAnsi"/>
        </w:rPr>
      </w:pPr>
    </w:p>
    <w:tbl>
      <w:tblPr>
        <w:tblStyle w:val="TableGrid5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FA36AD" w:rsidRPr="00131A73" w14:paraId="6E4D7730" w14:textId="77777777" w:rsidTr="008D3B8A"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985CC" w14:textId="77777777" w:rsidR="00FA36AD" w:rsidRPr="00131A73" w:rsidRDefault="00FA36AD" w:rsidP="00FA36AD">
            <w:pPr>
              <w:shd w:val="clear" w:color="auto" w:fill="FFFFFF" w:themeFill="background1"/>
              <w:overflowPunct/>
              <w:autoSpaceDE/>
              <w:adjustRightInd/>
              <w:rPr>
                <w:rFonts w:cstheme="minorBidi"/>
                <w:b/>
                <w:bCs/>
                <w:szCs w:val="22"/>
              </w:rPr>
            </w:pPr>
            <w:r w:rsidRPr="00131A73">
              <w:rPr>
                <w:rFonts w:cstheme="minorBidi"/>
                <w:b/>
                <w:bCs/>
              </w:rPr>
              <w:t>ИССЛЕДОВАТЕЛЬСКИЕ КОМИССИИ</w:t>
            </w:r>
          </w:p>
          <w:p w14:paraId="6E1EA5DE" w14:textId="68285E2B" w:rsidR="00FA36AD" w:rsidRPr="00131A73" w:rsidRDefault="00FA36AD" w:rsidP="00FA36AD">
            <w:pPr>
              <w:rPr>
                <w:rFonts w:cs="Calibri"/>
                <w:szCs w:val="22"/>
              </w:rPr>
            </w:pPr>
            <w:r w:rsidRPr="00131A73">
              <w:t>В ходе собраний Групп Докладчиков 1</w:t>
            </w:r>
            <w:r w:rsidRPr="00131A73">
              <w:noBreakHyphen/>
              <w:t>й Исследовательской комиссии МСЭ-D Государства – Члены МСЭ, Члены Секторов и эксперты поделились своим видением в отношении </w:t>
            </w:r>
            <w:r w:rsidRPr="00131A73">
              <w:rPr>
                <w:i/>
              </w:rPr>
              <w:t xml:space="preserve">регулирования и экономического воздействия </w:t>
            </w:r>
            <w:r w:rsidRPr="00131A73">
              <w:rPr>
                <w:i/>
                <w:iCs/>
              </w:rPr>
              <w:t>OTT</w:t>
            </w:r>
            <w:r w:rsidRPr="00131A73">
              <w:t xml:space="preserve">. Состоялось обсуждение по </w:t>
            </w:r>
            <w:hyperlink r:id="rId194" w:history="1">
              <w:r w:rsidRPr="00131A73">
                <w:rPr>
                  <w:rStyle w:val="Hyperlink"/>
                </w:rPr>
                <w:t>Вопросу 3/1</w:t>
              </w:r>
            </w:hyperlink>
            <w:r w:rsidRPr="00131A73">
              <w:t xml:space="preserve"> (</w:t>
            </w:r>
            <w:r w:rsidRPr="00131A73">
              <w:rPr>
                <w:i/>
              </w:rPr>
              <w:t xml:space="preserve">Появляющиеся технологии, в том числе облачные вычисления, </w:t>
            </w:r>
            <w:r w:rsidRPr="00131A73">
              <w:rPr>
                <w:rFonts w:eastAsia="Calibri" w:cs="Calibri"/>
                <w:i/>
              </w:rPr>
              <w:t>мобильные</w:t>
            </w:r>
            <w:r w:rsidRPr="00131A73">
              <w:rPr>
                <w:i/>
              </w:rPr>
              <w:t xml:space="preserve"> услуги и услуги OTT: проблемы и возможности, а также экономические и политические последствия для развивающихся стран</w:t>
            </w:r>
            <w:r w:rsidRPr="00131A73">
              <w:t xml:space="preserve">) и </w:t>
            </w:r>
            <w:hyperlink r:id="rId195" w:history="1">
              <w:r w:rsidRPr="00131A73">
                <w:rPr>
                  <w:rStyle w:val="Hyperlink"/>
                </w:rPr>
                <w:t>Вопросу 4/1</w:t>
              </w:r>
            </w:hyperlink>
            <w:r w:rsidRPr="00131A73">
              <w:t xml:space="preserve"> (</w:t>
            </w:r>
            <w:r w:rsidRPr="00131A73">
              <w:rPr>
                <w:i/>
              </w:rPr>
              <w:t>Экономическая политика и методы определения стоимости услуг национальных сетей электросвязи/ИКТ</w:t>
            </w:r>
            <w:r w:rsidRPr="00131A73">
              <w:t xml:space="preserve">). С презентациями и документами для обсуждения можно ознакомиться на </w:t>
            </w:r>
            <w:hyperlink r:id="rId196" w:history="1">
              <w:r w:rsidRPr="00131A73">
                <w:rPr>
                  <w:rStyle w:val="Hyperlink"/>
                </w:rPr>
                <w:t>веб-сайте</w:t>
              </w:r>
            </w:hyperlink>
            <w:r w:rsidRPr="00131A73">
              <w:t xml:space="preserve"> семинара-практикума. Соответственно был разработан совместный ежегодный итоговый документ по теме "</w:t>
            </w:r>
            <w:hyperlink r:id="rId197" w:history="1">
              <w:r w:rsidRPr="00131A73">
                <w:rPr>
                  <w:rStyle w:val="Hyperlink"/>
                  <w:rFonts w:cs="Calibri"/>
                </w:rPr>
                <w:t>Экономическое воздействие OTT на национальные рынки электросвязи/ИКТ</w:t>
              </w:r>
            </w:hyperlink>
            <w:r w:rsidRPr="00131A73">
              <w:rPr>
                <w:rFonts w:cs="Calibri"/>
              </w:rPr>
              <w:t>" (опубликован в июне 2020 г</w:t>
            </w:r>
            <w:r w:rsidR="00370549">
              <w:rPr>
                <w:rFonts w:cs="Calibri"/>
              </w:rPr>
              <w:t>.</w:t>
            </w:r>
            <w:r w:rsidRPr="00131A73">
              <w:rPr>
                <w:rFonts w:cs="Calibri"/>
              </w:rPr>
              <w:t>). В документе отражены усиливающееся значение приложений over-the-top (OTT) и их растущие распространенность и влияние в цифровом мире. Это помогает заинтересованным сторонам в сфере ИКТ решать сложные вопросы, такие как влияние ОТТ на спрос, доходы и затраты операторов сетей подвижной связи. В документе также рассматриваются вопросы о том, как заинтересованные стороны в области ИКТ могут выстраивать партнерские связи между MNO и ОТТ для создания максимального потенциала, а также о том, как переход от прошлых моделей регулирования в сфере ИКТ может идти в ногу с новыми стремительно меняющимися реалиями ОТТ.</w:t>
            </w:r>
          </w:p>
          <w:p w14:paraId="28CE2FC9" w14:textId="77777777" w:rsidR="00FA36AD" w:rsidRPr="00131A73" w:rsidRDefault="00FA36AD" w:rsidP="00FA36AD">
            <w:pPr>
              <w:rPr>
                <w:szCs w:val="22"/>
              </w:rPr>
            </w:pPr>
            <w:r w:rsidRPr="00131A73">
              <w:t xml:space="preserve">В 2020 году в рамках работы по Вопросу 3/1 состоялся </w:t>
            </w:r>
            <w:hyperlink r:id="rId198" w:history="1">
              <w:r w:rsidRPr="00131A73">
                <w:rPr>
                  <w:rStyle w:val="Hyperlink"/>
                  <w:rFonts w:cs="Calibri"/>
                </w:rPr>
                <w:t>веб-диалог по вопросу о применении облачных технологий для реагирования на COVID-19</w:t>
              </w:r>
            </w:hyperlink>
            <w:r w:rsidRPr="00131A73">
              <w:t>. Основное внимание в ходе мероприятия было посвящено способам использования облачных вычислений в условиях нынешнего кризиса, вызванного пандемией COVID-19, для обеспечения непрерывности деятельности, содействия достижению социальных целей и создания равных возможностей для инноваций. Выступавшие освещали случаи использования облачных технологий государственными ведомствами и частными игроками для решения проблем подключений и удовлетворения различных потребностей, возникавших в условиях кризиса. Соответствующие трудности, возможности и извлеченные уроки рассматривались в формате открытой дискуссии со всеми участниками.</w:t>
            </w:r>
          </w:p>
          <w:p w14:paraId="090BE87F" w14:textId="77777777" w:rsidR="00FA36AD" w:rsidRPr="00131A73" w:rsidRDefault="00FA36AD" w:rsidP="00FA36AD">
            <w:r w:rsidRPr="00131A73">
              <w:rPr>
                <w:rFonts w:asciiTheme="minorHAnsi" w:hAnsiTheme="minorHAnsi" w:cstheme="minorBidi"/>
              </w:rPr>
              <w:t>В рамках работы по Вопросу 4/1 было проведено два вебинара: по</w:t>
            </w:r>
            <w:r w:rsidRPr="00131A73">
              <w:rPr>
                <w:rFonts w:asciiTheme="minorHAnsi" w:hAnsiTheme="minorHAnsi" w:cstheme="minorBidi"/>
                <w:color w:val="444444"/>
              </w:rPr>
              <w:t xml:space="preserve"> </w:t>
            </w:r>
            <w:hyperlink r:id="rId199" w:history="1">
              <w:r w:rsidRPr="00131A73">
                <w:rPr>
                  <w:rStyle w:val="Hyperlink"/>
                </w:rPr>
                <w:t>экономическим последствиям</w:t>
              </w:r>
              <w:r w:rsidRPr="00131A73">
                <w:rPr>
                  <w:rStyle w:val="Hyperlink"/>
                  <w:rFonts w:asciiTheme="minorHAnsi" w:hAnsiTheme="minorHAnsi" w:cstheme="minorBidi"/>
                </w:rPr>
                <w:t xml:space="preserve"> COVID-19 для национальной инфраструктуры электросвязи/ИКТ</w:t>
              </w:r>
            </w:hyperlink>
            <w:r w:rsidRPr="00131A73">
              <w:rPr>
                <w:rFonts w:asciiTheme="minorHAnsi" w:hAnsiTheme="minorHAnsi" w:cstheme="minorBidi"/>
                <w:color w:val="444444"/>
              </w:rPr>
              <w:t xml:space="preserve"> </w:t>
            </w:r>
            <w:r w:rsidRPr="00131A73">
              <w:rPr>
                <w:rFonts w:asciiTheme="minorHAnsi" w:hAnsiTheme="minorHAnsi" w:cstheme="minorBidi"/>
              </w:rPr>
              <w:t xml:space="preserve">в июне 2020 года и по </w:t>
            </w:r>
            <w:hyperlink r:id="rId200" w:history="1">
              <w:r w:rsidRPr="00131A73">
                <w:rPr>
                  <w:rStyle w:val="Hyperlink"/>
                  <w:rFonts w:cs="Calibri"/>
                </w:rPr>
                <w:t>воздействию неравного доступа к инфраструктуре ИКТ для географии распространения COVID-19</w:t>
              </w:r>
            </w:hyperlink>
            <w:r w:rsidRPr="00131A73">
              <w:rPr>
                <w:rFonts w:asciiTheme="minorHAnsi" w:hAnsiTheme="minorHAnsi" w:cstheme="minorBidi"/>
                <w:color w:val="444444"/>
              </w:rPr>
              <w:t xml:space="preserve"> </w:t>
            </w:r>
            <w:r w:rsidRPr="00131A73">
              <w:rPr>
                <w:rFonts w:asciiTheme="minorHAnsi" w:hAnsiTheme="minorHAnsi" w:cstheme="minorBidi"/>
              </w:rPr>
              <w:t xml:space="preserve">в июле 2020 года. Состоялось обсуждение того, </w:t>
            </w:r>
            <w:hyperlink r:id="rId201" w:history="1">
              <w:r w:rsidRPr="00131A73">
                <w:rPr>
                  <w:rStyle w:val="Hyperlink"/>
                  <w:rFonts w:asciiTheme="minorHAnsi" w:hAnsiTheme="minorHAnsi" w:cstheme="minorBidi"/>
                </w:rPr>
                <w:t>как более открытая политика и инфраструктура ИКТ могут способствовать сдерживанию распространения COVID</w:t>
              </w:r>
            </w:hyperlink>
            <w:r w:rsidRPr="00131A73">
              <w:rPr>
                <w:rFonts w:asciiTheme="minorHAnsi" w:hAnsiTheme="minorHAnsi" w:cstheme="minorBidi"/>
                <w:color w:val="444444"/>
              </w:rPr>
              <w:t>.</w:t>
            </w:r>
          </w:p>
          <w:p w14:paraId="28E305A3" w14:textId="34F2B09F" w:rsidR="00FA36AD" w:rsidRPr="00131A73" w:rsidRDefault="00FA36AD" w:rsidP="00FA36AD">
            <w:pPr>
              <w:rPr>
                <w:rFonts w:eastAsia="Calibri" w:cs="Calibri"/>
              </w:rPr>
            </w:pPr>
            <w:r w:rsidRPr="00131A73">
              <w:rPr>
                <w:rFonts w:eastAsia="Calibri"/>
              </w:rPr>
              <w:t xml:space="preserve">В июле 2020 года в рамках работы </w:t>
            </w:r>
            <w:hyperlink r:id="rId202" w:history="1">
              <w:r w:rsidRPr="00131A73">
                <w:rPr>
                  <w:rStyle w:val="Hyperlink"/>
                </w:rPr>
                <w:t>Исследовательской комиссии по Вопросу 6/1</w:t>
              </w:r>
            </w:hyperlink>
            <w:r w:rsidRPr="00131A73">
              <w:rPr>
                <w:rFonts w:eastAsia="Calibri"/>
              </w:rPr>
              <w:t xml:space="preserve"> (</w:t>
            </w:r>
            <w:r w:rsidRPr="00131A73">
              <w:rPr>
                <w:rFonts w:eastAsia="Calibri"/>
                <w:i/>
              </w:rPr>
              <w:t>Информация для потребителей, их защита и права: законы, нормативные положения, экономические основы, сети потребителей</w:t>
            </w:r>
            <w:r w:rsidRPr="00131A73">
              <w:rPr>
                <w:rFonts w:eastAsia="Calibri"/>
              </w:rPr>
              <w:t>) состоялся вебинар по теме "</w:t>
            </w:r>
            <w:hyperlink r:id="rId203" w:history="1">
              <w:r w:rsidRPr="00131A73">
                <w:rPr>
                  <w:rStyle w:val="Hyperlink"/>
                  <w:rFonts w:ascii="Segoe UI" w:hAnsi="Segoe UI" w:cs="Segoe UI"/>
                  <w:shd w:val="clear" w:color="auto" w:fill="FFFFFF"/>
                </w:rPr>
                <w:t>Н</w:t>
              </w:r>
              <w:r w:rsidRPr="00131A73">
                <w:rPr>
                  <w:rStyle w:val="Hyperlink"/>
                  <w:rFonts w:asciiTheme="minorHAnsi" w:hAnsiTheme="minorHAnsi" w:cstheme="minorBidi"/>
                </w:rPr>
                <w:t xml:space="preserve">езапрашиваемые коммерческие сообщения или злонамеренные вызовы: </w:t>
              </w:r>
              <w:r w:rsidRPr="00131A73">
                <w:rPr>
                  <w:rStyle w:val="Hyperlink"/>
                  <w:rFonts w:cs="Calibri"/>
                </w:rPr>
                <w:t>являются ли потребители более уязвимыми в эпоху пандемии COVID-19</w:t>
              </w:r>
              <w:r w:rsidR="00905055" w:rsidRPr="00131A73">
                <w:rPr>
                  <w:rStyle w:val="Hyperlink"/>
                  <w:rFonts w:cs="Calibri"/>
                  <w:u w:val="none"/>
                </w:rPr>
                <w:t>"</w:t>
              </w:r>
              <w:r w:rsidRPr="00131A73">
                <w:rPr>
                  <w:rStyle w:val="Hyperlink"/>
                  <w:rFonts w:cs="Calibri"/>
                  <w:u w:val="none"/>
                </w:rPr>
                <w:t xml:space="preserve">. </w:t>
              </w:r>
            </w:hyperlink>
            <w:r w:rsidRPr="00131A73">
              <w:rPr>
                <w:rFonts w:eastAsia="Calibri"/>
              </w:rPr>
              <w:t>Итоги вебинара были отражены в ежегодном итоговом документе "Трудности и стратегии, касающиеся незапрашиваемых коммерческих сообщений", который был опубликован 3 февраля 2021 года. В документе представлен общий обзор трудностей, связанных со злонамеренными или мошенническими вызовами и текстовыми сообщениями, а также стратегий, принятых различными странами в целях решения этой проблемы.</w:t>
            </w:r>
          </w:p>
          <w:p w14:paraId="285C0C38" w14:textId="6473CE24" w:rsidR="00FA36AD" w:rsidRPr="00131A73" w:rsidRDefault="00FA36AD" w:rsidP="00FA36AD">
            <w:pPr>
              <w:spacing w:after="120"/>
              <w:rPr>
                <w:rFonts w:eastAsiaTheme="minorEastAsia"/>
                <w:szCs w:val="22"/>
              </w:rPr>
            </w:pPr>
            <w:r w:rsidRPr="00131A73">
              <w:t>Итоги работы 1-й Исследовательской комиссии МСЭ-D (</w:t>
            </w:r>
            <w:hyperlink r:id="rId204" w:history="1">
              <w:r w:rsidRPr="00131A73">
                <w:rPr>
                  <w:rStyle w:val="Hyperlink"/>
                </w:rPr>
                <w:t>Вопрос 1/1</w:t>
              </w:r>
            </w:hyperlink>
            <w:r w:rsidRPr="00131A73">
              <w:t xml:space="preserve">, Вопрос 3/1, Вопрос 4/1) продолжают применяться в других направлениях деятельности, связанной с МСЭ, в том числе в региональных экономических диалогах, мероприятиях </w:t>
            </w:r>
            <w:r w:rsidR="00593CDC">
              <w:t>ГСР</w:t>
            </w:r>
            <w:r w:rsidRPr="00131A73">
              <w:t>+ и при создании Справочника и платформы по цифровому регулированию.</w:t>
            </w:r>
          </w:p>
        </w:tc>
      </w:tr>
    </w:tbl>
    <w:p w14:paraId="2CE26B25" w14:textId="77777777" w:rsidR="00FA36AD" w:rsidRPr="00131A73" w:rsidRDefault="00FA36AD" w:rsidP="00FA36AD">
      <w:pPr>
        <w:pStyle w:val="Heading1"/>
        <w:rPr>
          <w:szCs w:val="20"/>
        </w:rPr>
      </w:pPr>
      <w:r w:rsidRPr="00131A73">
        <w:t>10</w:t>
      </w:r>
      <w:r w:rsidRPr="00131A73">
        <w:tab/>
        <w:t>Статистика. Помощь странам в принятии политики ИКТ на основе фактических данных для сообществ, охваченных цифровыми технологиями</w:t>
      </w:r>
    </w:p>
    <w:p w14:paraId="053523EA" w14:textId="77777777" w:rsidR="00FA36AD" w:rsidRPr="00131A73" w:rsidRDefault="00FA36AD" w:rsidP="00FA36AD">
      <w:pPr>
        <w:pStyle w:val="Headingb"/>
      </w:pPr>
      <w:r w:rsidRPr="00131A73">
        <w:t>Серия "Измерение цифрового развития"</w:t>
      </w:r>
    </w:p>
    <w:p w14:paraId="62AF87B2" w14:textId="68021508" w:rsidR="00FA36AD" w:rsidRPr="00131A73" w:rsidRDefault="00FA36AD" w:rsidP="00FA36AD">
      <w:pPr>
        <w:spacing w:after="120"/>
      </w:pPr>
      <w:r w:rsidRPr="00131A73">
        <w:t>В издании отчета "</w:t>
      </w:r>
      <w:r w:rsidRPr="00131A73">
        <w:rPr>
          <w:i/>
        </w:rPr>
        <w:t>Измерение информационного общества</w:t>
      </w:r>
      <w:r w:rsidRPr="00131A73">
        <w:t xml:space="preserve">" (MISR) за </w:t>
      </w:r>
      <w:hyperlink r:id="rId205" w:history="1">
        <w:r w:rsidRPr="00131A73">
          <w:rPr>
            <w:rStyle w:val="Hyperlink"/>
          </w:rPr>
          <w:t>2018 год</w:t>
        </w:r>
      </w:hyperlink>
      <w:r w:rsidRPr="00131A73">
        <w:t xml:space="preserve"> приводятся данные о</w:t>
      </w:r>
      <w:r w:rsidR="009F5750" w:rsidRPr="00131A73">
        <w:t> </w:t>
      </w:r>
      <w:r w:rsidRPr="00131A73">
        <w:t>состоянии цифрового развития и содержится подробный анализ навыков в области ИКТ; информация о поступлениях и инвестиционной деятельности в секторе электросвязи, а также о доступности ИКТ в ценовом отношении. Это 10</w:t>
      </w:r>
      <w:r w:rsidRPr="00131A73">
        <w:noBreakHyphen/>
        <w:t>е издание стало заключительным в данной серии. В</w:t>
      </w:r>
      <w:r w:rsidR="009F5750" w:rsidRPr="00131A73">
        <w:t> </w:t>
      </w:r>
      <w:r w:rsidRPr="00131A73">
        <w:t>2019 году на смену ей пришла серия "</w:t>
      </w:r>
      <w:r w:rsidRPr="00131A73">
        <w:rPr>
          <w:i/>
        </w:rPr>
        <w:t>Измерение цифрового развития</w:t>
      </w:r>
      <w:r w:rsidRPr="00131A73">
        <w:t>" (MDD), которая представляет собой публикации статистического и аналитического характера. Первой публикацией в серии MDD стали "</w:t>
      </w:r>
      <w:hyperlink r:id="rId206" w:history="1">
        <w:r w:rsidRPr="00131A73">
          <w:rPr>
            <w:rStyle w:val="Hyperlink"/>
          </w:rPr>
          <w:t>Факты и цифры, 2019 год</w:t>
        </w:r>
      </w:hyperlink>
      <w:r w:rsidRPr="00131A73">
        <w:rPr>
          <w:rStyle w:val="Hyperlink"/>
          <w:u w:val="none"/>
        </w:rPr>
        <w:t>"</w:t>
      </w:r>
      <w:r w:rsidRPr="00131A73">
        <w:t xml:space="preserve">. В этом исследовании содержится актуальная оценка состояния цифрового развития в мире и во всех регионах на основании комплекса ключевых показателей ИКТ и примерные оценки на текущий год. </w:t>
      </w:r>
      <w:hyperlink r:id="rId207" w:history="1">
        <w:r w:rsidRPr="00131A73">
          <w:rPr>
            <w:rStyle w:val="Hyperlink"/>
          </w:rPr>
          <w:t>Издание за 2020 год</w:t>
        </w:r>
      </w:hyperlink>
      <w:r w:rsidRPr="00131A73">
        <w:t xml:space="preserve"> было опубликовано 30 ноября 2020 года. Второй в серии стала публикация "</w:t>
      </w:r>
      <w:hyperlink r:id="rId208" w:history="1">
        <w:r w:rsidRPr="00131A73">
          <w:rPr>
            <w:rStyle w:val="Hyperlink"/>
          </w:rPr>
          <w:t>Динамика цен в области ИКТ, 2019 год</w:t>
        </w:r>
      </w:hyperlink>
      <w:r w:rsidRPr="00131A73">
        <w:t xml:space="preserve">", в которой изложено уникальное видение вопроса обеспечения доступности в ценовом отношении ИКТ, которые являются одним из главных факторов, способствующих установлению цифровых соединений. В отчете приводится обзор уровня доступности услуг ИКТ в ценовом отношении, основанный на результатах анализа и сопоставления данных о ценах на услуги передачи голоса по сетям подвижной связи, мобильных данных, а также данных о фиксированной широкополосной связи в 196 экономиках. В марте 2021 года были выпущены </w:t>
      </w:r>
      <w:hyperlink r:id="rId209">
        <w:r w:rsidRPr="00131A73">
          <w:rPr>
            <w:rStyle w:val="Hyperlink"/>
          </w:rPr>
          <w:t>аналитическая записка</w:t>
        </w:r>
      </w:hyperlink>
      <w:r w:rsidRPr="00131A73">
        <w:t xml:space="preserve"> и </w:t>
      </w:r>
      <w:hyperlink r:id="rId210">
        <w:r w:rsidRPr="00131A73">
          <w:rPr>
            <w:rStyle w:val="Hyperlink"/>
          </w:rPr>
          <w:t>приложение</w:t>
        </w:r>
      </w:hyperlink>
      <w:r w:rsidRPr="00131A73">
        <w:t xml:space="preserve"> для представления цен 2020 года. Дальнейший анализ будет представлен в отчете "Динамика цен в области ИКТ, 2020 год", который выйдет в мае 2021 года.</w:t>
      </w:r>
    </w:p>
    <w:p w14:paraId="02F5A0A5" w14:textId="77777777" w:rsidR="00FA36AD" w:rsidRPr="00131A73" w:rsidRDefault="00FA36AD" w:rsidP="00FA36AD">
      <w:r w:rsidRPr="00131A73">
        <w:t xml:space="preserve">После прекращения публикации Индекса развития ИКТ (IDI) в 2017 году, начиная с 2018 года Секретариат предпринял несколько попыток возобновить публикацию индекса, измеряющего уровень развития ИКТ. Недавно, в марте 2020 года, Секретариат предложил разработать </w:t>
      </w:r>
      <w:hyperlink r:id="rId211" w:history="1">
        <w:r w:rsidRPr="00131A73">
          <w:rPr>
            <w:rStyle w:val="Hyperlink"/>
          </w:rPr>
          <w:t>новый индекс</w:t>
        </w:r>
      </w:hyperlink>
      <w:r w:rsidRPr="00131A73">
        <w:rPr>
          <w:rStyle w:val="Hyperlink"/>
          <w:color w:val="auto"/>
          <w:u w:val="none"/>
        </w:rPr>
        <w:t xml:space="preserve">, связывающий цифровое развитие с ЦУР, а в сентябре 2020 года выступил с </w:t>
      </w:r>
      <w:hyperlink r:id="rId212" w:history="1">
        <w:r w:rsidRPr="00131A73">
          <w:rPr>
            <w:rStyle w:val="Hyperlink"/>
          </w:rPr>
          <w:t>другим предложение</w:t>
        </w:r>
      </w:hyperlink>
      <w:r w:rsidRPr="00131A73">
        <w:rPr>
          <w:rStyle w:val="Hyperlink"/>
        </w:rPr>
        <w:t>м</w:t>
      </w:r>
      <w:r w:rsidRPr="00131A73">
        <w:rPr>
          <w:rStyle w:val="Hyperlink"/>
          <w:color w:val="auto"/>
          <w:u w:val="none"/>
        </w:rPr>
        <w:t xml:space="preserve"> по индексу, основанному на первоначальном IDI.</w:t>
      </w:r>
      <w:r w:rsidRPr="00131A73">
        <w:t xml:space="preserve"> В обоих случаях Государства-Члены не достигли консенсуса.</w:t>
      </w:r>
    </w:p>
    <w:p w14:paraId="2420796A" w14:textId="77777777" w:rsidR="00FA36AD" w:rsidRPr="00131A73" w:rsidRDefault="00FA36AD" w:rsidP="00FA36AD">
      <w:pPr>
        <w:pStyle w:val="Headingb"/>
      </w:pPr>
      <w:r w:rsidRPr="00131A73">
        <w:t>Развитие потенциала в области статистики</w:t>
      </w:r>
    </w:p>
    <w:p w14:paraId="0CDE9614" w14:textId="77777777" w:rsidR="00FA36AD" w:rsidRPr="00131A73" w:rsidRDefault="00FA36AD" w:rsidP="00FA36AD">
      <w:r w:rsidRPr="00131A73">
        <w:t>В Ташкенте, Узбекистан, состоялся семинар-практикум по статистике ИКТ для должностных лиц из национальных статистических управлений и координаторов по статистике ИКТ в министерствах связи и регуляторных органах стран регионов арабских государств и СНГ. Аналогичный семинар-практикум был проведен и для Африканского региона. Семинар-практикум проводился в целях укрепления потенциала стран этих регионов в области составления национальной статистики и разработки показателей электросвязи и ИКТ в соответствии с международными стандартами; при этом особое внимание уделялось ключевым статистическим данным, входящим в базу данных МСЭ по всемирным показателям в области электросвязи/ИКТ (WTI).</w:t>
      </w:r>
    </w:p>
    <w:p w14:paraId="52303B15" w14:textId="77777777" w:rsidR="00FA36AD" w:rsidRPr="00131A73" w:rsidRDefault="00FA36AD" w:rsidP="00FA36AD">
      <w:pPr>
        <w:rPr>
          <w:szCs w:val="20"/>
        </w:rPr>
      </w:pPr>
      <w:r w:rsidRPr="00131A73">
        <w:t>В апреле 2019 года в Тринидаде и Тобаго был организован субрегиональный семинар-практикум по вопросам выработки показателей ИКТ для сбора данных и статистики в сфере ИКТ, повышения доступности, качества данных и улучшения процесса их предоставления. Двухдневное мероприятие состояло из 12 сессий, в рамках которых был представлен общий обзор деятельности по вопросам измерения ИКТ, осуществляемой по всему миру Отделом данных и статистики в области ИКТ, включая Руководство и Справочник МСЭ, Индекс развития ИКТ (IDI) и корзину цен ИКТ (IPB).</w:t>
      </w:r>
    </w:p>
    <w:p w14:paraId="1F5768DA" w14:textId="77777777" w:rsidR="00FA36AD" w:rsidRPr="00131A73" w:rsidRDefault="00FA36AD" w:rsidP="00FA36AD">
      <w:r w:rsidRPr="00131A73">
        <w:t>Ряд мероприятий, проведенных с 2018 года, позволил повысить потенциал администраций, необходимый для сбора данных, составления и анализа сопоставимых на международном уровне показателей в области ИКТ. К таким мероприятиям относились региональные семинары-практикумы по статистическим данным для региона СНГ в Алматы, Казахстан, для стран Азиатско-Тихоокеанского региона в Маниле, Филиппины, для Африканского региона в Лилонгве, Малави, а также для региона арабских государств в Манаме, Бахрейн. Состоялся субрегиональный семинар-практикум по статистическим данным в области ИКТ для стран Азиатско-Тихоокеанского региона в Нади, Фиджи; а также региональный семинар-практикум по статистическим данным в области ИКТ для государств САДК в Ботсване.</w:t>
      </w:r>
    </w:p>
    <w:p w14:paraId="775E2CF6" w14:textId="77777777" w:rsidR="00FA36AD" w:rsidRPr="00131A73" w:rsidRDefault="00FA36AD" w:rsidP="00FA36AD">
      <w:r w:rsidRPr="00131A73">
        <w:t xml:space="preserve">В июне 2020 было опубликовано издание </w:t>
      </w:r>
      <w:hyperlink r:id="rId213" w:history="1">
        <w:r w:rsidRPr="00131A73">
          <w:rPr>
            <w:rStyle w:val="Hyperlink"/>
          </w:rPr>
          <w:t>Справочника МСЭ по сбору административных данных в области электросвязи/ИКT</w:t>
        </w:r>
      </w:hyperlink>
      <w:r w:rsidRPr="00131A73">
        <w:t xml:space="preserve"> за 2020 год. В Справочнике содержится более 90 согласованных на международном уровне показателей для содействия в отслеживании глобальных тенденций в области ИКТ, перегруппированных таким образом, чтобы основное внимание уделялось показателям сектора услуг электросвязи, сбор которых осуществляется главным образом национальными регуляторными органами. В опубликованном в то же время издании </w:t>
      </w:r>
      <w:hyperlink r:id="rId214" w:history="1">
        <w:r w:rsidRPr="00131A73">
          <w:rPr>
            <w:rStyle w:val="Hyperlink"/>
          </w:rPr>
          <w:t>Руководства МСЭ по оценке доступа к ИКТ и их использования на уровне домохозяйств и отдельных лиц</w:t>
        </w:r>
      </w:hyperlink>
      <w:r w:rsidRPr="00131A73">
        <w:t xml:space="preserve"> за 2020 год основной упор делается на показателях в области спроса, сбор которых главным образом осуществляется национальными статистическими учреждениями. Руководство призвано служить практическим инструментом, направляющим страны в процессе производства данных в области ИКТ, основным справочным документом при подготовке, разработке и проведении обследований в области использования ИКТ в домашних хозяйствах.</w:t>
      </w:r>
    </w:p>
    <w:p w14:paraId="72EFDB4A" w14:textId="77777777" w:rsidR="00FA36AD" w:rsidRPr="00131A73" w:rsidRDefault="00FA36AD" w:rsidP="00FA36AD">
      <w:r w:rsidRPr="00131A73">
        <w:t>Глобальная пандемия усилила потребность в сокращении использования очных семинаров-практикумов для развития потенциала. МСЭ открыл в Академии МСЭ свой первый учебный онлайн-курс по статистике ИКТ.</w:t>
      </w:r>
      <w:r w:rsidRPr="00131A73">
        <w:rPr>
          <w:rStyle w:val="tw4winMark"/>
          <w:noProof w:val="0"/>
          <w:lang w:val="ru-RU"/>
        </w:rPr>
        <w:t xml:space="preserve"> </w:t>
      </w:r>
      <w:r w:rsidRPr="00131A73">
        <w:t>"Измерение цифрового развития: показатели электросвязи/ИКТ" – это первая серия онлайн-курсов, состоящая из трех частей, которые выйдут в 2021 году.</w:t>
      </w:r>
    </w:p>
    <w:p w14:paraId="76BCA4E2" w14:textId="77777777" w:rsidR="00FA36AD" w:rsidRPr="00131A73" w:rsidRDefault="00FA36AD" w:rsidP="00FA36AD">
      <w:pPr>
        <w:pStyle w:val="Headingb"/>
      </w:pPr>
      <w:r w:rsidRPr="00131A73">
        <w:t>Группы экспертов</w:t>
      </w:r>
    </w:p>
    <w:p w14:paraId="3E0E6DCF" w14:textId="77777777" w:rsidR="00FA36AD" w:rsidRPr="00131A73" w:rsidRDefault="00FA36AD" w:rsidP="00FA36AD">
      <w:r w:rsidRPr="00131A73">
        <w:t xml:space="preserve">В мае 2009 года была создана Группа экспертов МСЭ по показателям в области электросвязи/ИКТ (EGTI); в ее мандат входит пересмотр перечня показателей ИКТ, касающихся предложения (то есть данных, собираемых у операторов), а также обсуждение оставшихся нерешенными методических вопросов и новых показателей. В мае 2012 года в целях рассмотрения статистических показателей измерения доступа к ИКТ и их использования домашними хозяйствами и отдельными лицами была создана Группа экспертов по показателям ИКТ в домашних хозяйствах (EGH). Участие в обеих группах является открытым для членов МСЭ, экспертов в области ИКТ и специалистов по статистике, которые знакомы со сбором данных по этим показателям. </w:t>
      </w:r>
    </w:p>
    <w:p w14:paraId="4A9773D8" w14:textId="77777777" w:rsidR="00FA36AD" w:rsidRPr="00131A73" w:rsidRDefault="00FA36AD" w:rsidP="00FA36AD">
      <w:r w:rsidRPr="00131A73">
        <w:t xml:space="preserve">В 2018–2020 годах ежегодные собрания Группы экспертов по показателям в области электросвязи/ИКТ (EGTI) и Группы экспертов по показателям ИКТ в домашних хозяйствах (EGH) проводились непосредственно одно за другим. </w:t>
      </w:r>
      <w:hyperlink r:id="rId215" w:history="1">
        <w:r w:rsidRPr="00131A73">
          <w:rPr>
            <w:rStyle w:val="Hyperlink"/>
          </w:rPr>
          <w:t>Собрания 2018 года</w:t>
        </w:r>
      </w:hyperlink>
      <w:r w:rsidRPr="00131A73">
        <w:t xml:space="preserve"> состоялись в октябре, а </w:t>
      </w:r>
      <w:hyperlink r:id="rId216" w:history="1">
        <w:r w:rsidRPr="00131A73">
          <w:rPr>
            <w:rStyle w:val="Hyperlink"/>
          </w:rPr>
          <w:t>собрания 2019 года</w:t>
        </w:r>
        <w:r w:rsidRPr="00131A73">
          <w:rPr>
            <w:rStyle w:val="Hyperlink"/>
            <w:u w:val="none"/>
          </w:rPr>
          <w:t xml:space="preserve"> </w:t>
        </w:r>
      </w:hyperlink>
      <w:r w:rsidRPr="00131A73">
        <w:t xml:space="preserve">и </w:t>
      </w:r>
      <w:hyperlink r:id="rId217" w:history="1">
        <w:r w:rsidRPr="00131A73">
          <w:rPr>
            <w:rStyle w:val="Hyperlink"/>
          </w:rPr>
          <w:t>2020 года</w:t>
        </w:r>
      </w:hyperlink>
      <w:r w:rsidRPr="00131A73">
        <w:t xml:space="preserve"> – в сентябре. На этих мероприятиях группы экспертов рассматривают деятельность тематических рабочих групп за текущий период работы и предлагают темы для предстоящего периода работы. </w:t>
      </w:r>
    </w:p>
    <w:p w14:paraId="2F43F08C" w14:textId="77777777" w:rsidR="00FA36AD" w:rsidRPr="00131A73" w:rsidRDefault="00FA36AD" w:rsidP="00FA36AD">
      <w:r w:rsidRPr="00131A73">
        <w:t>Затем итоги обсуждений представляются на Симпозиуме по всемирным показателям в области электросвязи/ИКТ (WTIS) для принятия.</w:t>
      </w:r>
    </w:p>
    <w:p w14:paraId="5C7004D9" w14:textId="77777777" w:rsidR="00FA36AD" w:rsidRPr="00131A73" w:rsidRDefault="00FA36AD" w:rsidP="00FA36AD">
      <w:pPr>
        <w:pStyle w:val="Headingb"/>
      </w:pPr>
      <w:r w:rsidRPr="00131A73">
        <w:t>Партнерство</w:t>
      </w:r>
    </w:p>
    <w:p w14:paraId="5076D871" w14:textId="77777777" w:rsidR="00FA36AD" w:rsidRPr="00131A73" w:rsidRDefault="00FA36AD" w:rsidP="00FA36AD">
      <w:r w:rsidRPr="00131A73">
        <w:t xml:space="preserve">МСЭ играет центральную роль в реализации </w:t>
      </w:r>
      <w:hyperlink r:id="rId218">
        <w:r w:rsidRPr="00131A73">
          <w:rPr>
            <w:rStyle w:val="Hyperlink"/>
          </w:rPr>
          <w:t>дорожной карты по</w:t>
        </w:r>
      </w:hyperlink>
      <w:r w:rsidRPr="00131A73">
        <w:rPr>
          <w:rStyle w:val="Hyperlink"/>
        </w:rPr>
        <w:t xml:space="preserve"> цифровому сотрудничеству</w:t>
      </w:r>
      <w:r w:rsidRPr="00131A73">
        <w:rPr>
          <w:rStyle w:val="Hyperlink"/>
          <w:color w:val="auto"/>
          <w:u w:val="none"/>
        </w:rPr>
        <w:t xml:space="preserve"> Генерального секретаря ООН. С января 2021 года в рамках задачи дорожной карты по достижению универсальной возможности установления соединений к 2030 году МСЭ возглавлял рабочую группу, которой было поручено определить исходный уровень универсальной реальной возможности установления соединений, который позволяет получать информацию о </w:t>
      </w:r>
      <w:r w:rsidRPr="00131A73">
        <w:rPr>
          <w:rStyle w:val="Hyperlink"/>
          <w:i/>
          <w:color w:val="auto"/>
          <w:u w:val="none"/>
        </w:rPr>
        <w:t>текущем положении дел</w:t>
      </w:r>
      <w:r w:rsidRPr="00131A73">
        <w:rPr>
          <w:rStyle w:val="Hyperlink"/>
          <w:color w:val="auto"/>
          <w:u w:val="none"/>
        </w:rPr>
        <w:t xml:space="preserve"> с доступностью и качеством цифровых соединений в разных странах, а также сформулировать целевые показатели возможности установления соединений на 2030 год, которые указывают на то, где страны </w:t>
      </w:r>
      <w:r w:rsidRPr="00131A73">
        <w:rPr>
          <w:rStyle w:val="Hyperlink"/>
          <w:i/>
          <w:color w:val="auto"/>
          <w:u w:val="none"/>
        </w:rPr>
        <w:t>должны находиться</w:t>
      </w:r>
      <w:r w:rsidRPr="00131A73">
        <w:rPr>
          <w:rStyle w:val="Hyperlink"/>
          <w:color w:val="auto"/>
          <w:u w:val="none"/>
        </w:rPr>
        <w:t xml:space="preserve"> к тому времени.</w:t>
      </w:r>
    </w:p>
    <w:p w14:paraId="7A5A3832" w14:textId="77777777" w:rsidR="00FA36AD" w:rsidRPr="00131A73" w:rsidRDefault="00FA36AD" w:rsidP="00FA36AD">
      <w:r w:rsidRPr="00131A73">
        <w:t xml:space="preserve">МСЭ остается активным членом </w:t>
      </w:r>
      <w:hyperlink r:id="rId219" w:history="1">
        <w:r w:rsidRPr="00131A73">
          <w:rPr>
            <w:rStyle w:val="Hyperlink"/>
          </w:rPr>
          <w:t>Партнерства по измерению ИКТ в целях развития</w:t>
        </w:r>
      </w:hyperlink>
      <w:r w:rsidRPr="00131A73">
        <w:t xml:space="preserve"> и является одним из трех членов его Руководящего комитета наряду с ЮНКТАД и UIS. В 2019 году Партнерство продолжало активно участвовать в мониторинге усилий по достижению целей в области устойчивого развития (ЦУР), задействуя свою Целевую группу по использованию ИКТ для достижения ЦУР, возглавляемую МСЭ совместно с ДЭСВ ООН. В ходе Форума ВВУИО 2019 года Партнерство организовало сессию на тему </w:t>
      </w:r>
      <w:r w:rsidRPr="00131A73">
        <w:rPr>
          <w:i/>
        </w:rPr>
        <w:t>измерения прогресса в деле достижения ЦУР при помощи показателей ИКТ.</w:t>
      </w:r>
      <w:r w:rsidRPr="00131A73">
        <w:t xml:space="preserve"> На сессии обсуждался прогресс, достигнутый Целевой группой, и рассматривался тематический список показателей ИКТ для измерения доступности и использования ИКТ в секторах, имеющих отношение к ЦУР и не охваченных глобальной системой мониторинга показателей достижения ЦУР. Список включает 26 показателей ИКТ, относящихся к 27 задачам ЦУР по 11 целям, которые были обсуждены и согласованы в процессе консультаций с участием правительств и международных организаций. Окончательный список был представлен на одобрение 51</w:t>
      </w:r>
      <w:r w:rsidRPr="00131A73">
        <w:noBreakHyphen/>
        <w:t>й сессии Статистической комиссии Организации Объединенных Наций (СК ООН), которая состоялась в марте 2020 года.</w:t>
      </w:r>
    </w:p>
    <w:p w14:paraId="722ACB80" w14:textId="77777777" w:rsidR="00FA36AD" w:rsidRPr="00131A73" w:rsidRDefault="00FA36AD" w:rsidP="00FA36AD">
      <w:pPr>
        <w:pStyle w:val="Headingb"/>
        <w:rPr>
          <w:szCs w:val="20"/>
        </w:rPr>
      </w:pPr>
      <w:r w:rsidRPr="00131A73">
        <w:t>Симпозиум по всемирным показателям в области электросвязи/ИКТ</w:t>
      </w:r>
    </w:p>
    <w:p w14:paraId="6ECDD8B8" w14:textId="77777777" w:rsidR="00FA36AD" w:rsidRPr="00131A73" w:rsidRDefault="00600F1F" w:rsidP="00FA36AD">
      <w:pPr>
        <w:spacing w:after="240"/>
      </w:pPr>
      <w:hyperlink r:id="rId220" w:history="1">
        <w:r w:rsidR="00FA36AD" w:rsidRPr="00131A73">
          <w:rPr>
            <w:rStyle w:val="Hyperlink"/>
          </w:rPr>
          <w:t>16</w:t>
        </w:r>
        <w:r w:rsidR="00FA36AD" w:rsidRPr="00131A73">
          <w:rPr>
            <w:rStyle w:val="Hyperlink"/>
          </w:rPr>
          <w:noBreakHyphen/>
          <w:t>й</w:t>
        </w:r>
      </w:hyperlink>
      <w:r w:rsidR="00FA36AD" w:rsidRPr="00131A73">
        <w:t xml:space="preserve"> Симпозиум по всемирным показателям в области электросвязи/ИКТ (WTIS) состоялся в декабре 2018 года; основное внимание на мероприятии было уделено вопросу воздействия электросвязи/ИКТ и появляющихся технологий на социально-экономическое развитие. </w:t>
      </w:r>
      <w:hyperlink r:id="rId221" w:history="1">
        <w:r w:rsidR="00FA36AD" w:rsidRPr="00131A73">
          <w:rPr>
            <w:rStyle w:val="Hyperlink"/>
          </w:rPr>
          <w:t>17</w:t>
        </w:r>
        <w:r w:rsidR="00FA36AD" w:rsidRPr="00131A73">
          <w:rPr>
            <w:rStyle w:val="Hyperlink"/>
          </w:rPr>
          <w:noBreakHyphen/>
          <w:t>й</w:t>
        </w:r>
      </w:hyperlink>
      <w:r w:rsidR="00FA36AD" w:rsidRPr="00131A73">
        <w:t> Симпозиум, проведение которого первоначально планировалось в апреле 2020 года, был отложен ввиду пандемии COVID-19 и состоялся 1–3 декабря 2020 года; он был посвящен теме "К созданию открытого для всех цифрового общества". В нем приняли участие более 400 экспертов и специалистов-практиков.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36AD" w:rsidRPr="00131A73" w14:paraId="1015111B" w14:textId="77777777" w:rsidTr="008D3B8A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0859" w14:textId="77777777" w:rsidR="00FA36AD" w:rsidRPr="00131A73" w:rsidRDefault="00FA36AD" w:rsidP="00FA36AD">
            <w:pPr>
              <w:keepNext/>
              <w:rPr>
                <w:rFonts w:cstheme="minorHAnsi"/>
                <w:b/>
                <w:bCs/>
                <w:szCs w:val="22"/>
              </w:rPr>
            </w:pPr>
            <w:r w:rsidRPr="00131A73">
              <w:rPr>
                <w:rFonts w:cstheme="minorHAnsi"/>
                <w:b/>
                <w:bCs/>
              </w:rPr>
              <w:t>ИССЛЕДОВАТЕЛЬСКИЕ КОМИССИИ</w:t>
            </w:r>
          </w:p>
          <w:p w14:paraId="1E4D21C4" w14:textId="41B54B19" w:rsidR="00FA36AD" w:rsidRPr="00131A73" w:rsidRDefault="00FA36AD" w:rsidP="00FA36AD">
            <w:pPr>
              <w:spacing w:after="120"/>
              <w:rPr>
                <w:rFonts w:cstheme="minorHAnsi"/>
                <w:szCs w:val="22"/>
              </w:rPr>
            </w:pPr>
            <w:r w:rsidRPr="00131A73">
              <w:t>Под руководством Государств-Членов и Членов Секторов МСЭ были предприняты конкретные шаги по координации направлений деятельности, связанных со статистикой, между исследовательскими комиссиями МСЭ-D, Группой экспертов по показателям в области электросвязи/ИКТ (EGTI) и Группой экспертов по показателям ИКТ в домашних хозяйствах (EGH). Эксперты и члены руководства участвуют в собраниях других групп и представляют отчеты по вопросам, представляющим общий интерес. Группы также обменялись заявлениями о взаимодействии. Это сотрудничество нацелено на содействие выполнению Резолюции 131 (Пересм. Дубай, 2018 г</w:t>
            </w:r>
            <w:r w:rsidR="00370549">
              <w:t>.</w:t>
            </w:r>
            <w:r w:rsidRPr="00131A73">
              <w:t>) Полномочной конференции МСЭ и Резолюции 8 (Пересм. Буэнос</w:t>
            </w:r>
            <w:r w:rsidRPr="00131A73">
              <w:noBreakHyphen/>
              <w:t>Айрес, 2017 г</w:t>
            </w:r>
            <w:r w:rsidR="00370549">
              <w:t>.</w:t>
            </w:r>
            <w:r w:rsidRPr="00131A73">
              <w:t>) ВКРЭ, а также обмену информацией.</w:t>
            </w:r>
          </w:p>
        </w:tc>
      </w:tr>
    </w:tbl>
    <w:p w14:paraId="133DF56E" w14:textId="77777777" w:rsidR="00FA36AD" w:rsidRPr="00131A73" w:rsidRDefault="00FA36AD" w:rsidP="00FA36AD">
      <w:pPr>
        <w:pStyle w:val="Heading1"/>
      </w:pPr>
      <w:r w:rsidRPr="00131A73">
        <w:t>11</w:t>
      </w:r>
      <w:r w:rsidRPr="00131A73">
        <w:tab/>
        <w:t>Стратегические инициативы: Giga, Connect2Recover и I-CoDI</w:t>
      </w:r>
    </w:p>
    <w:p w14:paraId="4AFD2E6A" w14:textId="77777777" w:rsidR="00FA36AD" w:rsidRPr="00131A73" w:rsidRDefault="00FA36AD" w:rsidP="00FA36AD">
      <w:pPr>
        <w:rPr>
          <w:szCs w:val="20"/>
        </w:rPr>
      </w:pPr>
      <w:r w:rsidRPr="00131A73">
        <w:t>Помимо описанных выше результатов, достигнутых в каждой из областей тематических приоритетов, в период 2018–2020 годов состоялся запуск значимых стратегических инициатив, затрагивающих сразу множество тематических приоритетов: Giga, Connect2Recover и I-CoDI. Они разрабатывались как глобальные и позволяют охватить многие страны и регионы.</w:t>
      </w:r>
    </w:p>
    <w:p w14:paraId="6DEA6DD9" w14:textId="77777777" w:rsidR="00FA36AD" w:rsidRPr="00131A73" w:rsidRDefault="00FA36AD" w:rsidP="00FA36AD">
      <w:pPr>
        <w:pStyle w:val="Headingb"/>
      </w:pPr>
      <w:r w:rsidRPr="00131A73">
        <w:t>Giga</w:t>
      </w:r>
    </w:p>
    <w:p w14:paraId="558519C3" w14:textId="77777777" w:rsidR="00FA36AD" w:rsidRPr="00131A73" w:rsidRDefault="00FA36AD" w:rsidP="00FA36AD">
      <w:pPr>
        <w:rPr>
          <w:bCs/>
          <w:szCs w:val="24"/>
        </w:rPr>
      </w:pPr>
      <w:r w:rsidRPr="00131A73">
        <w:rPr>
          <w:bCs/>
        </w:rPr>
        <w:t>Giga представляет собой совместный проект МСЭ и ЮНИСЕФ, представленный на Генеральной ассамблее ООН в 2019 году; его целью является обеспечение всех школ мира соединением с интернетом, а всех молодых людей – доступом к информации, перспективам и возможности выбора.</w:t>
      </w:r>
      <w:r w:rsidRPr="00131A73">
        <w:rPr>
          <w:rFonts w:cs="Arial"/>
          <w:szCs w:val="24"/>
          <w:shd w:val="clear" w:color="auto" w:fill="FFFFFF"/>
        </w:rPr>
        <w:t xml:space="preserve"> В мире примерно 3,7 миллиарда человек не имеют доступа к интернету, из них 360 миллионов – молодые люди. Отсутствие доступа к </w:t>
      </w:r>
      <w:r w:rsidRPr="00131A73">
        <w:rPr>
          <w:bCs/>
        </w:rPr>
        <w:t>интернету</w:t>
      </w:r>
      <w:r w:rsidRPr="00131A73">
        <w:rPr>
          <w:rFonts w:cs="Arial"/>
          <w:szCs w:val="24"/>
          <w:shd w:val="clear" w:color="auto" w:fill="FFFFFF"/>
        </w:rPr>
        <w:t xml:space="preserve"> означает, что дети и молодые люди лишены возможности использовать все богатство информации, доступной в онлайновом режиме, что ограничивает их ресурсы для обучения, развития и реализации своего потенциала. Для устранения цифрового разрыва необходимы глобальное сотрудничество, руководство и инновации в финансах и технологиях. </w:t>
      </w:r>
    </w:p>
    <w:p w14:paraId="6E3A3876" w14:textId="77777777" w:rsidR="00FA36AD" w:rsidRPr="00131A73" w:rsidRDefault="00FA36AD" w:rsidP="00FA36AD">
      <w:r w:rsidRPr="00131A73">
        <w:t>Подход в рамках инициативы Giga опирается на четыре основные составляющие: картирование возможностей подключения каждой школы и использование этой карты для установления мест, где имеется потребность в подключении и использование новых технологий для картирования расположения школ в режиме реального времени с указанием их уровня возможности установления соединений; финансирование общей заявки, в которой обобщены потребности школ в подключении (на основе опросов в нескольких странах), и созданы модели прогнозирования затрат, чтобы сделать подключение более доступным; подключение всех школ к интернету и создание системы контроля уровня и качества соединений, предоставляемых поставщиками интернет-услуг; и расширение возможностей молодых людей за счет привития им цифровых навыков путем инвестирования в разработку решений с открытыми исходными кодами и распространения таких решений, которые – при наличии соединений – будут доступны детям, учителям и администраторам. К первому кварталу 2021 года на карту было нанесено 800 000 школ в 30 странах, и 17 стран присоединились к проекту Giga с намерением подключить более 86 000 школ и 25,8 миллиона учащихся и преподавателей. В Кении в рамках пилотного проекта подключено более 100 школ, аналогичные пилотные проекты проводятся в Руанде и Казахстане.</w:t>
      </w:r>
    </w:p>
    <w:p w14:paraId="4A94F2EA" w14:textId="77777777" w:rsidR="00FA36AD" w:rsidRPr="00131A73" w:rsidRDefault="00FA36AD" w:rsidP="00FA36AD">
      <w:pPr>
        <w:rPr>
          <w:szCs w:val="20"/>
        </w:rPr>
      </w:pPr>
      <w:r w:rsidRPr="00131A73">
        <w:t xml:space="preserve">В настоящее время Giga совместно с партнерами, такими как Ericsson, FCDO, Softbank, Musk Foundation, BCG и Nic.br, ведет работу по картированию и подключению школ в нескольких районах: Азиатско-Тихоокеанском регионе (Бутан), Центральной Азии (Казахстан, Кыргызстан и Узбекистан), странах Восточно-Карибского бассейна и Центральной Америки (Колумбия, Сальвадор, Гондурас и ОВКГ) и странах Африки к югу от Сахары (Кения, Нигер, Руанда, Сьерра-Леоне и Зимбабве). </w:t>
      </w:r>
    </w:p>
    <w:p w14:paraId="4F37D226" w14:textId="77777777" w:rsidR="00FA36AD" w:rsidRPr="00131A73" w:rsidRDefault="00FA36AD" w:rsidP="00FA36AD">
      <w:pPr>
        <w:rPr>
          <w:rFonts w:eastAsiaTheme="minorHAnsi"/>
        </w:rPr>
      </w:pPr>
      <w:r w:rsidRPr="00131A73">
        <w:t xml:space="preserve">В 2021 году планируется усилить и расширить деятельность по реализации инициативы Giga в этих и в других странах и регионах. Подробнее с проектом Giga можно ознакомиться, пройдя по ссылке </w:t>
      </w:r>
      <w:hyperlink r:id="rId222" w:history="1">
        <w:r w:rsidRPr="00131A73">
          <w:rPr>
            <w:rStyle w:val="Hyperlink"/>
          </w:rPr>
          <w:t>https://gigaconnect.org/</w:t>
        </w:r>
      </w:hyperlink>
      <w:r w:rsidRPr="00131A73">
        <w:rPr>
          <w:rFonts w:cs="Arial"/>
          <w:szCs w:val="24"/>
          <w:shd w:val="clear" w:color="auto" w:fill="FFFFFF"/>
        </w:rPr>
        <w:t>.</w:t>
      </w:r>
    </w:p>
    <w:p w14:paraId="2B85DF29" w14:textId="77777777" w:rsidR="00FA36AD" w:rsidRPr="00131A73" w:rsidRDefault="00FA36AD" w:rsidP="00FA36AD">
      <w:pPr>
        <w:pStyle w:val="Headingb"/>
      </w:pPr>
      <w:r w:rsidRPr="00131A73">
        <w:t>Connect2Recover</w:t>
      </w:r>
    </w:p>
    <w:p w14:paraId="49CEFC30" w14:textId="77777777" w:rsidR="00FA36AD" w:rsidRPr="00131A73" w:rsidRDefault="00FA36AD" w:rsidP="00FA36AD">
      <w:r w:rsidRPr="00131A73">
        <w:t xml:space="preserve">В сентябре 2020 года </w:t>
      </w:r>
      <w:r w:rsidRPr="00131A73">
        <w:rPr>
          <w:rFonts w:asciiTheme="minorHAnsi" w:hAnsiTheme="minorHAnsi" w:cstheme="minorHAnsi"/>
        </w:rPr>
        <w:t xml:space="preserve">МСЭ при поддержке Министерства внутренних дел и связи Японии и </w:t>
      </w:r>
      <w:r w:rsidRPr="00131A73">
        <w:rPr>
          <w:rFonts w:asciiTheme="minorHAnsi" w:hAnsiTheme="minorHAnsi" w:cstheme="minorHAnsi"/>
          <w:color w:val="000000"/>
        </w:rPr>
        <w:t xml:space="preserve">Центра гуманитарной помощи и гуманитарных операций им. короля Салмана (Королевство Саудовская Аравия) </w:t>
      </w:r>
      <w:r w:rsidRPr="00131A73">
        <w:rPr>
          <w:rFonts w:asciiTheme="minorHAnsi" w:hAnsiTheme="minorHAnsi" w:cstheme="minorHAnsi"/>
        </w:rPr>
        <w:t>приступил к реализации инициативы Connect2Recover</w:t>
      </w:r>
      <w:r w:rsidRPr="00131A73">
        <w:t xml:space="preserve">. Данная инициатива направлена на оказание содействия менее соединенным странам в различных регионах, в особенности в Африканском, в укреплении своей цифровой инфраструктуры и экосистем, для того чтобы усовершенствовать механизмы использования цифровых технологий, как, например, телеработа, электронная торговля, дистанционное обучение и телемедицина, на фоне кризиса, вызванного COVID-19. </w:t>
      </w:r>
    </w:p>
    <w:p w14:paraId="24ADA48A" w14:textId="77777777" w:rsidR="00FA36AD" w:rsidRPr="00131A73" w:rsidRDefault="00FA36AD" w:rsidP="00FA36AD">
      <w:r w:rsidRPr="00131A73">
        <w:rPr>
          <w:rFonts w:cstheme="minorHAnsi"/>
        </w:rPr>
        <w:t>Инициатива Connect2Recover состоит из трех основных элементов</w:t>
      </w:r>
      <w:r w:rsidRPr="00131A73">
        <w:t xml:space="preserve">. Во-первых, она предполагает разработку системы методов для выявления пробелов и узких мест в использовании цифровых сетей и технологий на уровне стран в целях реагирования на пандемию COVID-19 и смягчения ее последствий, повышения готовности к подобным чрезвычайным ситуациям в будущем, а также обеспечения возможностей для восстановления и подготовки к принятию "новой нормы". </w:t>
      </w:r>
      <w:r w:rsidRPr="00131A73">
        <w:rPr>
          <w:rFonts w:cstheme="minorHAnsi"/>
        </w:rPr>
        <w:t>Во-вторых, в рамках Connect2Recover странам будет оказываться содействие в оценке их потребностей, пробелов и узких мест, а также разработке стратегий, направленных на то, чтобы цифровая инфраструктура и экосистемы должным образом поддерживали деятельность по восстановлению и "новую норму".</w:t>
      </w:r>
      <w:r w:rsidRPr="00131A73">
        <w:t xml:space="preserve"> И наконец, в рамках инициативы Connect2Recover будет создаваться концептуальная основа экспериментальных проектов, которые будут реализовываться в целях испытания конкретных технологических решений в соответствии с национальными стратегиями и политикой стран, а также будет оказана поддержка проведению углубленных исследований в конкретных областях цифровой политики в соответствии с приоритетами отдельных стран, например в области цифровых финансовых услуг, электронного образования, электронного здравоохранения и электронного правительства или удаленной работы.</w:t>
      </w:r>
    </w:p>
    <w:p w14:paraId="348E1993" w14:textId="77777777" w:rsidR="00FA36AD" w:rsidRPr="00131A73" w:rsidRDefault="00FA36AD" w:rsidP="00FA36AD">
      <w:pPr>
        <w:pStyle w:val="Headingb"/>
      </w:pPr>
      <w:r w:rsidRPr="00131A73">
        <w:t>Международный центр цифровых инноваций МСЭ (I-CoDI)</w:t>
      </w:r>
    </w:p>
    <w:p w14:paraId="4A77F544" w14:textId="77777777" w:rsidR="00FA36AD" w:rsidRPr="00131A73" w:rsidRDefault="00FA36AD" w:rsidP="00FA36AD">
      <w:r w:rsidRPr="00131A73">
        <w:t>Согласно цели 4 повестки дня "Соединим к 2030 году" МСЭ поручено содействовать созданию благоприятных условий для развития инноваций в области ИКТ, а на ВКРЭ</w:t>
      </w:r>
      <w:r w:rsidRPr="00131A73">
        <w:noBreakHyphen/>
        <w:t>17 Государства-Члены определили формирование культуры инноваций в БРЭ в качестве одного из приоритетов. Данный аспект дополнительно подчеркивается в Задаче 3 ВКРЭ-17 ("Благоприятная среда"), где содержится поручение Государств-Членов в адрес БРЭ укреплять потенциал членов МСЭ в целях интеграции инноваций в области электросвязи/ИКТ в национальные программы развития и разработки стратегий содействия инновационным инициативам, в том числе при помощи государственных, частных и государственно-частных партнерств. Государства-Члены также определили инновации в качестве приоритета на региональном уровне; ВКРЭ-17 дала поручение на осуществление региональных инициатив, касающихся инноваций, для Африканского региона, регионов Северной и Южной Америки, арабских государств, СНГ и Европейского региона.</w:t>
      </w:r>
    </w:p>
    <w:p w14:paraId="77091BE0" w14:textId="77777777" w:rsidR="00FA36AD" w:rsidRPr="00131A73" w:rsidRDefault="00FA36AD" w:rsidP="00FA36AD">
      <w:r w:rsidRPr="00131A73">
        <w:t>В декабре 2020 года при поддержке Регуляторного органа электросвязи Объединенных Арабских Эмиратов был завершен этап проектирования Международного центра цифровых инноваций (I</w:t>
      </w:r>
      <w:r w:rsidRPr="00131A73">
        <w:noBreakHyphen/>
        <w:t>CoDI). В контексте цели "создание возможностей для инноваций, чтобы соединить мир" и использования подхода, основанного на принципах единого МСЭ, I-CoDI ориентирован на решение следующих задач:</w:t>
      </w:r>
    </w:p>
    <w:p w14:paraId="337F48FA" w14:textId="38B2AE14" w:rsidR="00FA36AD" w:rsidRPr="00131A73" w:rsidRDefault="00132427" w:rsidP="00FA36AD">
      <w:pPr>
        <w:pStyle w:val="enumlev1"/>
      </w:pPr>
      <w:r w:rsidRPr="00131A73">
        <w:t>−</w:t>
      </w:r>
      <w:r w:rsidR="00FA36AD" w:rsidRPr="00131A73">
        <w:tab/>
        <w:t xml:space="preserve">помогать Государствам-Членам интегрировать инновации в сфере электросвязи/ИКТ в их национальные повестки дня в области развития; </w:t>
      </w:r>
    </w:p>
    <w:p w14:paraId="351F682D" w14:textId="4EAE4479" w:rsidR="00FA36AD" w:rsidRPr="00131A73" w:rsidRDefault="00132427" w:rsidP="00FA36AD">
      <w:pPr>
        <w:pStyle w:val="enumlev1"/>
      </w:pPr>
      <w:r w:rsidRPr="00131A73">
        <w:t>−</w:t>
      </w:r>
      <w:r w:rsidR="00FA36AD" w:rsidRPr="00131A73">
        <w:tab/>
      </w:r>
      <w:r w:rsidR="008247EB">
        <w:t>развивать</w:t>
      </w:r>
      <w:r w:rsidR="00FA36AD" w:rsidRPr="00131A73">
        <w:t xml:space="preserve"> потенциал в рамках МСЭ/БРЭ, с тем чтобы интегрировать инновации в их повседневную деятельность.</w:t>
      </w:r>
    </w:p>
    <w:p w14:paraId="10EC5985" w14:textId="77777777" w:rsidR="00FA36AD" w:rsidRPr="00131A73" w:rsidRDefault="00FA36AD" w:rsidP="00FA36AD">
      <w:pPr>
        <w:spacing w:after="160"/>
      </w:pPr>
      <w:r w:rsidRPr="00131A73">
        <w:t>I-CoDI также позволит вести работу как в полностью виртуальной, так и в потенциально физической среде, а с учетом того, что I-CoDI делает упор на методы проектного мышления, он служит платформой для открытого обсуждения и внесения вкладов в региональные процессы подготовки к ВКРЭ-21. Например, на виртуальном семинаре, состоявшемся 30–31 марта, I-CoDI использовался для определения региональных приоритетов арабских государств на ВКРЭ-21. 29 марта 2021 года также была проведена информационная сессия I-CoDI в качестве параллельного мероприятия во время Совместного регионального подготовительного собрания МСЭ-АТС для Африки.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36AD" w:rsidRPr="00131A73" w14:paraId="03E9DEA5" w14:textId="77777777" w:rsidTr="008D3B8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0E9E" w14:textId="77777777" w:rsidR="00FA36AD" w:rsidRPr="00131A73" w:rsidRDefault="00FA36AD" w:rsidP="009F5750">
            <w:pPr>
              <w:rPr>
                <w:rFonts w:eastAsia="Calibri" w:cs="Calibri"/>
                <w:b/>
                <w:szCs w:val="22"/>
              </w:rPr>
            </w:pPr>
            <w:r w:rsidRPr="00131A73">
              <w:rPr>
                <w:rFonts w:eastAsia="Calibri" w:cs="Calibri"/>
                <w:b/>
              </w:rPr>
              <w:t>Помощь НРС, СИДС и ЛЛДС</w:t>
            </w:r>
          </w:p>
          <w:p w14:paraId="7FC4B24A" w14:textId="77777777" w:rsidR="00FA36AD" w:rsidRPr="00131A73" w:rsidRDefault="00FA36AD" w:rsidP="009F5750">
            <w:r w:rsidRPr="00131A73">
              <w:t xml:space="preserve">Деятельность БРЭ сосредоточена на укреплении согласованных и целенаправленных рабочих процессов и охватывает наименее развитые страны (НРС), малые островные развивающиеся государства (СИДС) и развивающиеся страны, не имеющие </w:t>
            </w:r>
            <w:r w:rsidRPr="00131A73">
              <w:rPr>
                <w:rFonts w:eastAsia="Calibri" w:cs="Calibri"/>
              </w:rPr>
              <w:t>выхода</w:t>
            </w:r>
            <w:r w:rsidRPr="00131A73">
              <w:t xml:space="preserve"> к морю (ЛЛДС). В данном документе рассматривается и описывается помощь, оказанная этим странам. </w:t>
            </w:r>
          </w:p>
          <w:p w14:paraId="37F8BA7E" w14:textId="77777777" w:rsidR="00FA36AD" w:rsidRPr="00131A73" w:rsidRDefault="00FA36AD" w:rsidP="009F5750">
            <w:r w:rsidRPr="00131A73">
              <w:t xml:space="preserve">В 2019 году помощь была оказана, в частности, Бурунди, Камбодже, </w:t>
            </w:r>
            <w:r w:rsidRPr="00131A73">
              <w:rPr>
                <w:rFonts w:eastAsia="Calibri" w:cs="Calibri"/>
              </w:rPr>
              <w:t>Коморским</w:t>
            </w:r>
            <w:r w:rsidRPr="00131A73">
              <w:t xml:space="preserve"> Островам, Эритрее, Эсватини, Фиджи, Гамбии, Кирибати, Кыргызстану, Лаосской Народно-Демократической Республике, Либерии, Малави, Мавритании, Монголии, Мьянме, Северной Македонии, Папуа</w:t>
            </w:r>
            <w:r w:rsidRPr="00131A73">
              <w:noBreakHyphen/>
              <w:t>Новой Гвинее, Сент-Китсу и Невису, Самоа, Сан-Томе и Принсипи, Соломоновым Островам, Сомали, Южному Судану, Тонга, Тувалу, Уганде, Вануату и Йемену. В 2018 году МСЭ оказывал точечную помощь следующим НРС, ЛЛДС и СИДС: Афганистану, Боливии, Бурунди, Эсватини, Гвинее-Бисау, Гаити, Кирибати, Малави, Мьянме, Парагваю, Сан</w:t>
            </w:r>
            <w:r w:rsidRPr="00131A73">
              <w:noBreakHyphen/>
              <w:t xml:space="preserve">Томе и Принсипи, Соломоновым Островам, Сомали, Южному Судану, Судану, Суринаму, Тимор-Лешти, Уганде и Узбекистану. Содействие оказывалось в тематических приоритетных областях, включая регулирование и политику, электросвязь в чрезвычайных ситуациях и реагирование на бедствия, охват цифровыми технологиями, кибербезопасность, инфраструктуру ИКТ и управление использованием спектра. </w:t>
            </w:r>
          </w:p>
          <w:p w14:paraId="5C17461E" w14:textId="77777777" w:rsidR="00FA36AD" w:rsidRPr="00131A73" w:rsidRDefault="00FA36AD" w:rsidP="009F5750">
            <w:pPr>
              <w:spacing w:after="120"/>
              <w:rPr>
                <w:szCs w:val="22"/>
              </w:rPr>
            </w:pPr>
            <w:r w:rsidRPr="00131A73">
              <w:t xml:space="preserve">Был подготовлен ряд специальных отчетов, посвященных урегулированию проблем в этих странах. Среди них – проведенное МСЭ исследование </w:t>
            </w:r>
            <w:r w:rsidRPr="00131A73">
              <w:rPr>
                <w:color w:val="0000FF"/>
              </w:rPr>
              <w:t>"</w:t>
            </w:r>
            <w:hyperlink r:id="rId223" w:anchor=":~:text=Mobile%20broadband%20appears%20to%20exert,cent%20increase%20for%20fixed%20broadband." w:history="1">
              <w:r w:rsidRPr="00131A73">
                <w:rPr>
                  <w:rStyle w:val="Hyperlink"/>
                  <w:i/>
                </w:rPr>
                <w:t>Экономическое воздействие широкополосной связи в НРС, ЛЛДС и СИДС</w:t>
              </w:r>
            </w:hyperlink>
            <w:r w:rsidRPr="00131A73">
              <w:rPr>
                <w:rStyle w:val="Hyperlink"/>
                <w:u w:val="none"/>
              </w:rPr>
              <w:t>"</w:t>
            </w:r>
            <w:r w:rsidRPr="00131A73">
              <w:t xml:space="preserve">, </w:t>
            </w:r>
            <w:r w:rsidRPr="00131A73">
              <w:rPr>
                <w:rFonts w:eastAsia="Calibri" w:cs="Calibri"/>
              </w:rPr>
              <w:t>подготовленное</w:t>
            </w:r>
            <w:r w:rsidRPr="00131A73">
              <w:t xml:space="preserve"> в сотрудничестве с Канцелярией Высокого представителя ООН по наименее развитым странам, развивающимся странам, не имеющим выхода к морю, и малым островным развивающимся государствам (КВПНРМ ООН). Документ подтверждает, что как фиксированная, так и подвижная широкополосная связь оказывают положительное влияние в наиболее уязвимых странах. Из второго отчета, озаглавленного </w:t>
            </w:r>
            <w:r w:rsidRPr="00131A73">
              <w:rPr>
                <w:color w:val="0000FF"/>
              </w:rPr>
              <w:t>"</w:t>
            </w:r>
            <w:hyperlink r:id="rId224" w:history="1">
              <w:r w:rsidRPr="00131A73">
                <w:rPr>
                  <w:rStyle w:val="Hyperlink"/>
                  <w:i/>
                </w:rPr>
                <w:t>Малые островные развивающиеся государства и ИКТ – среднесрочный обзор пути Самоа</w:t>
              </w:r>
            </w:hyperlink>
            <w:r w:rsidRPr="00131A73">
              <w:t xml:space="preserve">", следует, что со времени проведения конференции в Самоа СИДС достигли прогресса в плане обеспечения универсальности своих сетей ИКТ и их приемлемости в ценовом отношении. Тем не менее этот прогресс был неравномерным, и существует значительный разрыв между наиболее эффективными и остальными СИДС. В третьем отчете под названием </w:t>
            </w:r>
            <w:hyperlink r:id="rId225" w:history="1">
              <w:r w:rsidRPr="00131A73">
                <w:rPr>
                  <w:rStyle w:val="Hyperlink"/>
                  <w:u w:val="none"/>
                </w:rPr>
                <w:t>"</w:t>
              </w:r>
              <w:r w:rsidRPr="00131A73">
                <w:rPr>
                  <w:rStyle w:val="Hyperlink"/>
                  <w:i/>
                </w:rPr>
                <w:t>ИКТ</w:t>
              </w:r>
              <w:r w:rsidRPr="00131A73">
                <w:rPr>
                  <w:rStyle w:val="Hyperlink"/>
                  <w:i/>
                  <w:iCs/>
                </w:rPr>
                <w:t>, НРС и ЦУР: обеспечение всеобщего и доступного в ценовом отношении интернета в наименее развитых странах</w:t>
              </w:r>
              <w:r w:rsidRPr="00131A73">
                <w:rPr>
                  <w:rStyle w:val="Hyperlink"/>
                  <w:iCs/>
                  <w:u w:val="none"/>
                </w:rPr>
                <w:t>"</w:t>
              </w:r>
            </w:hyperlink>
            <w:r w:rsidRPr="00131A73">
              <w:t xml:space="preserve"> описываются возможности, которые предоставляют ИКТ с точки зрения преодоления трудностей в области развития в наиболее уязвимых странах мира. В нем анализируются изменения в сфере ИКТ, происходящие в НРС, и отслеживается прогресс в достижении задачи 9 целей в области устойчивого развития: "существенно расширить доступ к информационно-коммуникационным технологиям и стремиться к обеспечению всеобщего и недорогого доступа к интернету в наименее развитых странах к 2020 году". Анализ строится на новой, включающей три измерения структуре, в которой НРС распределяются по трем категориям сообразно их общей эффективности с точки зрения обеспечения доступа, доступности в ценовом отношении и уровня навыков. Это поможет странам определить области с самыми неотложными проблемами, на решение которых необходимо направлять меры политики и ограниченные финансовые и людские ресурсы.</w:t>
            </w:r>
          </w:p>
        </w:tc>
      </w:tr>
    </w:tbl>
    <w:p w14:paraId="3E0F0914" w14:textId="77777777" w:rsidR="00FA36AD" w:rsidRPr="00131A73" w:rsidRDefault="00FA36AD" w:rsidP="00FA36AD">
      <w:pPr>
        <w:pStyle w:val="Heading1"/>
        <w:rPr>
          <w:szCs w:val="20"/>
        </w:rPr>
      </w:pPr>
      <w:r w:rsidRPr="00131A73">
        <w:t>12</w:t>
      </w:r>
      <w:r w:rsidRPr="00131A73">
        <w:tab/>
        <w:t>Работа исследовательских комиссий</w:t>
      </w:r>
    </w:p>
    <w:p w14:paraId="61DC1363" w14:textId="77777777" w:rsidR="00FA36AD" w:rsidRPr="00131A73" w:rsidRDefault="00FA36AD" w:rsidP="00FA36AD">
      <w:r w:rsidRPr="00131A73">
        <w:t>В исследовательском цикле 2018−2021 годов от членов МСЭ-D было получено в общей сложности более 800 документов (вкладов, отчетов о ходе работы и о собраниях). Эти ценные документы были рассмотрены в контексте 14 Вопросов исследовательских комиссий и освещены в 14 заключительных отчетах (по одному на каждый из Вопросов). Отчеты будут утверждены на собраниях исследовательских комиссий, которые состоятся 15–26 марта 2021 года. Эти собрания являются завершающими в нынешнем исследовательском цикле и будут посвящены подведению итогов всех обсуждений в отношении будущих Вопросов на исследовательский цикл 2022−2025 годов. Выводы собраний исследовательских комиссий будут доведены до сведения КГРЭ (</w:t>
      </w:r>
      <w:r w:rsidRPr="00131A73">
        <w:rPr>
          <w:rFonts w:cs="Calibri"/>
        </w:rPr>
        <w:t>Документы TDAG-21/8 и TDAG-21/9)</w:t>
      </w:r>
      <w:r w:rsidRPr="00131A73">
        <w:t>, и на ВКРЭ-21 будет согласован итоговый новый круг исследовательских Вопросов.</w:t>
      </w:r>
    </w:p>
    <w:p w14:paraId="52E0B5F9" w14:textId="77777777" w:rsidR="00FA36AD" w:rsidRPr="00131A73" w:rsidRDefault="00FA36AD" w:rsidP="00FA36AD">
      <w:r w:rsidRPr="00131A73">
        <w:t xml:space="preserve">В ходе ежегодных собраний исследовательских комиссий МСЭ-D были утверждены </w:t>
      </w:r>
      <w:hyperlink r:id="rId226" w:history="1">
        <w:r w:rsidRPr="00131A73">
          <w:rPr>
            <w:rStyle w:val="Hyperlink"/>
            <w:rFonts w:cs="Calibri"/>
          </w:rPr>
          <w:t>восемь ежегодных итоговых документов</w:t>
        </w:r>
      </w:hyperlink>
      <w:r w:rsidRPr="00131A73">
        <w:t xml:space="preserve">, сгруппированных в соответствии со своими тематическими приоритетами. Эти итоговые документы дополнительно обсуждались в ходе интервью с авторами и освещались в </w:t>
      </w:r>
      <w:r w:rsidRPr="00131A73">
        <w:rPr>
          <w:i/>
        </w:rPr>
        <w:t>новостных блогах МСЭ</w:t>
      </w:r>
      <w:r w:rsidRPr="00131A73">
        <w:t>.</w:t>
      </w:r>
    </w:p>
    <w:p w14:paraId="11B1F8B6" w14:textId="77777777" w:rsidR="00FA36AD" w:rsidRPr="00131A73" w:rsidRDefault="00FA36AD" w:rsidP="00FA36AD">
      <w:pPr>
        <w:pStyle w:val="Headingb"/>
        <w:ind w:left="0" w:firstLine="0"/>
      </w:pPr>
      <w:r w:rsidRPr="00131A73">
        <w:t>Семинары-практикумы/учебные занятия/вебинары, касающиеся исследовательских комиссий МСЭ-D</w:t>
      </w:r>
    </w:p>
    <w:p w14:paraId="739F1D21" w14:textId="236E8AB4" w:rsidR="00FA36AD" w:rsidRPr="00131A73" w:rsidRDefault="00FA36AD" w:rsidP="00FA36AD">
      <w:r w:rsidRPr="00131A73">
        <w:t>С перечнем мероприятий, организованных в исследовательский период 2018</w:t>
      </w:r>
      <w:r w:rsidR="003C0A98" w:rsidRPr="00131A73">
        <w:t>−</w:t>
      </w:r>
      <w:r w:rsidRPr="00131A73">
        <w:t xml:space="preserve">2021 годов и упомянутых в настоящем отчете в соответствии с тематическими приоритетами, можно ознакомиться на следующей </w:t>
      </w:r>
      <w:hyperlink r:id="rId227" w:history="1">
        <w:r w:rsidRPr="00131A73">
          <w:rPr>
            <w:rStyle w:val="Hyperlink"/>
            <w:rFonts w:cs="Calibri"/>
          </w:rPr>
          <w:t>веб-странице</w:t>
        </w:r>
      </w:hyperlink>
      <w:r w:rsidRPr="00131A73">
        <w:t xml:space="preserve">. </w:t>
      </w:r>
      <w:r w:rsidRPr="00131A73">
        <w:rPr>
          <w:rFonts w:eastAsia="Calibri" w:cs="Calibri"/>
        </w:rPr>
        <w:t xml:space="preserve">Результаты </w:t>
      </w:r>
      <w:r w:rsidRPr="00131A73">
        <w:t>этих</w:t>
      </w:r>
      <w:r w:rsidRPr="00131A73">
        <w:rPr>
          <w:rFonts w:eastAsia="Calibri" w:cs="Calibri"/>
        </w:rPr>
        <w:t xml:space="preserve"> семинаров-практикумов не только послужили основой при составлении новых ежегодных итоговых документов и проектов руководящих указаний, но и использовались при подготовке заключительных отчетов по исследовательским Вопросам.</w:t>
      </w:r>
    </w:p>
    <w:p w14:paraId="3A2D71FA" w14:textId="77777777" w:rsidR="00FA36AD" w:rsidRPr="00131A73" w:rsidRDefault="00FA36AD" w:rsidP="00FA36AD">
      <w:pPr>
        <w:pStyle w:val="Headingb"/>
      </w:pPr>
      <w:r w:rsidRPr="00131A73">
        <w:t>Работа по подготовке к ВКРЭ-21</w:t>
      </w:r>
    </w:p>
    <w:p w14:paraId="7C7A4860" w14:textId="77777777" w:rsidR="00FA36AD" w:rsidRPr="00131A73" w:rsidRDefault="00FA36AD" w:rsidP="00FA36AD">
      <w:r w:rsidRPr="00131A73">
        <w:t xml:space="preserve">В рамках подготовительного процесса исследовательские комиссии МСЭ-D приступили к обсуждению тем для ВКРЭ-21, а именно правил процедуры Сектора развития электросвязи МСЭ (Резолюция 1 ВКРЭ), будущих исследовательских Вопросов (Резолюция 2 ВКРЭ), упорядочения Резолюций ВКРЭ и Декларации ВКРЭ. Предварительные мнения по этим темам содержатся в заявлении о взаимодействии, направленном Рабочей группе КГРЭ по Резолюциям, Декларации и тематическим приоритетам ВКРЭ (РГ-РДТП-КГРЭ), в документе </w:t>
      </w:r>
      <w:hyperlink r:id="rId228">
        <w:r w:rsidRPr="00131A73">
          <w:rPr>
            <w:rStyle w:val="Hyperlink"/>
            <w:rFonts w:cs="Calibri"/>
          </w:rPr>
          <w:t>TDAG-WG-RDTP/8</w:t>
        </w:r>
      </w:hyperlink>
      <w:r w:rsidRPr="00131A73">
        <w:t>. Обсуждение этих четырех тем проводилось на уровне исследовательских комиссий МСЭ-D, и было организовано специальное совместное собрание для консолидации дискуссий о будущих исследовательских Вопросах и Резолюции 2 о методах работы исследовательских комиссий. Позиции, по которым консенсус еще не достигнут, будут дополнительно рассматриваться на уровне КГРЭ.</w:t>
      </w:r>
    </w:p>
    <w:p w14:paraId="7A3792CB" w14:textId="1D35E73A" w:rsidR="00FA36AD" w:rsidRPr="00131A73" w:rsidRDefault="00FA36AD" w:rsidP="00FA36AD">
      <w:pPr>
        <w:rPr>
          <w:b/>
        </w:rPr>
      </w:pPr>
      <w:r w:rsidRPr="00131A73">
        <w:t>Кандидатуры на посты председателей и заместителей председателей исследовательских комиссий МСЭ-D будут рассмотрены в соответствии с Резолюцией 61 (Пересм. Дубай, 2014 г</w:t>
      </w:r>
      <w:r w:rsidR="00370549">
        <w:t>.</w:t>
      </w:r>
      <w:r w:rsidRPr="00131A73">
        <w:t>) ВКРЭ не позднее чем за две недели до открытия ВКРЭ-21. Членам МСЭ-D предлагается провести консультации на уровне стран и региональном уровне, чтобы добиться консенсуса по вопросу о</w:t>
      </w:r>
      <w:r w:rsidR="00D276B5" w:rsidRPr="00131A73">
        <w:t> </w:t>
      </w:r>
      <w:r w:rsidRPr="00131A73">
        <w:t>кандидатурах для выдвижения. После ВКРЭ-21 будет разослано циркулярное письмо с предложением представлять кандидатуры на должности Докладчиков и заместителей Докладчиков.</w:t>
      </w:r>
    </w:p>
    <w:p w14:paraId="410762C4" w14:textId="77777777" w:rsidR="00FA36AD" w:rsidRPr="00131A73" w:rsidRDefault="00FA36AD" w:rsidP="00FA36AD">
      <w:pPr>
        <w:pStyle w:val="Headingb"/>
      </w:pPr>
      <w:r w:rsidRPr="00131A73">
        <w:t>Заключительные отчеты по Вопросам</w:t>
      </w:r>
    </w:p>
    <w:p w14:paraId="5364DE21" w14:textId="77777777" w:rsidR="00FA36AD" w:rsidRPr="00131A73" w:rsidRDefault="00FA36AD" w:rsidP="00FA36AD">
      <w:pPr>
        <w:spacing w:after="120"/>
      </w:pPr>
      <w:r w:rsidRPr="00131A73">
        <w:t>На четвертом (и последнем) ежегодном собрании исследовательских комиссий МСЭ</w:t>
      </w:r>
      <w:r w:rsidRPr="00131A73">
        <w:rPr>
          <w:rStyle w:val="FootnoteReference"/>
        </w:rPr>
        <w:footnoteReference w:id="2"/>
      </w:r>
      <w:r w:rsidRPr="00131A73">
        <w:t>, состоявшемся в марте 2021 года, были завершены и утверждены 14 заключительных отчетов и руководящие указания по моделированию затрат (Вопрос 4/1). Утвержденные отчеты доступны для членов и оформляются в виде публикаций МСЭ для бесплатного предоставления всем желающим на всех официальных языках ООН. Выводы и рекомендации из этих отчетов уже доступны для использования БРЭ и МСЭ на соответствующих мероприятиях, учебных курсах, в проектах и в деятельности в странах.</w:t>
      </w:r>
    </w:p>
    <w:p w14:paraId="5FAA8B87" w14:textId="77777777" w:rsidR="00FA36AD" w:rsidRPr="00131A73" w:rsidRDefault="00FA36AD" w:rsidP="00FA36AD">
      <w:pPr>
        <w:pStyle w:val="Headingb"/>
      </w:pPr>
      <w:r w:rsidRPr="00131A73">
        <w:t>Сотрудничество в рамках региональной работы и тематических приоритетов</w:t>
      </w:r>
    </w:p>
    <w:p w14:paraId="2CB79755" w14:textId="77777777" w:rsidR="00FA36AD" w:rsidRPr="00131A73" w:rsidRDefault="00FA36AD" w:rsidP="00FA36AD">
      <w:r w:rsidRPr="00131A73">
        <w:t>Ряд представителей руководства исследовательских комиссий МСЭ-D активно работают, участвуя в качестве экспертов-консультантов (докладчиков) в мероприятиях МСЭ-D (например, RED, "Доступная Европа" и РФР), как инструкторы по проектам МСЭ (например, PRIDA), как эксперты – рецензенты комплектов материалов МСЭ-D (например, Справочника по регулированию в области ИКТ), а также как авторы публикаций МСЭ-D (например, Руководства по решениям для обеспечения соединений последней мили). Осуществляется сотрудничество с группами по тематическим приоритетам в целях разработки руководящих указаний и организации вебинаров и семинаров-практикумов. Значительно продвигается процесс достижения согласованности с тематическими приоритетами и региональными направлениями деятельности – как на внутриорганизационном уровне благодаря осуществлению управления, ориентированного на результаты, так и на уровне членов, по линии Рабочей группы КГРЭ по Резолюциям, Декларации и тематическим приоритетам ВКРЭ.</w:t>
      </w:r>
    </w:p>
    <w:p w14:paraId="1A3550D4" w14:textId="77777777" w:rsidR="00FA36AD" w:rsidRPr="00131A73" w:rsidRDefault="00FA36AD" w:rsidP="00FA36AD">
      <w:pPr>
        <w:pStyle w:val="Headingb"/>
      </w:pPr>
      <w:r w:rsidRPr="00131A73">
        <w:t>Сотрудничество с другими Секторами</w:t>
      </w:r>
    </w:p>
    <w:p w14:paraId="0A6A8A4B" w14:textId="77777777" w:rsidR="00FA36AD" w:rsidRPr="00131A73" w:rsidRDefault="00FA36AD" w:rsidP="00FA36AD">
      <w:pPr>
        <w:rPr>
          <w:rFonts w:eastAsia="Calibri" w:cs="Calibri"/>
        </w:rPr>
      </w:pPr>
      <w:r w:rsidRPr="00131A73">
        <w:t xml:space="preserve">Осуществляется активное сотрудничество в форме участия в сессиях и мероприятиях исследовательских комиссий в целях обмена информацией между исследовательскими комиссиями и получения конкретных вкладов. В отношении вопросов, представляющих взаимный интерес, секретариат </w:t>
      </w:r>
      <w:hyperlink r:id="rId229" w:history="1">
        <w:r w:rsidRPr="00131A73">
          <w:rPr>
            <w:rStyle w:val="Hyperlink"/>
          </w:rPr>
          <w:t>Межсекторальной координационной группы</w:t>
        </w:r>
        <w:r w:rsidRPr="00131A73">
          <w:rPr>
            <w:rStyle w:val="Hyperlink"/>
            <w:u w:val="none"/>
          </w:rPr>
          <w:t xml:space="preserve"> </w:t>
        </w:r>
      </w:hyperlink>
      <w:r w:rsidRPr="00131A73">
        <w:rPr>
          <w:rStyle w:val="Hyperlink"/>
          <w:color w:val="auto"/>
          <w:u w:val="none"/>
        </w:rPr>
        <w:t xml:space="preserve">(МСКГ) </w:t>
      </w:r>
      <w:r w:rsidRPr="00131A73">
        <w:t xml:space="preserve">в сотрудничестве с секретариатами исследовательских комиссий всех трех Секторов МСЭ ведет и обновляет межсекторальную таблицу сопоставления вопросов, в которой обозначены общие области работы для исследовательских комиссий МСЭ-D и МСЭ-Т, а также МСЭ-R и МСЭ-Т. </w:t>
      </w:r>
      <w:r w:rsidRPr="00131A73">
        <w:rPr>
          <w:rFonts w:eastAsia="Calibri" w:cs="Calibri"/>
        </w:rPr>
        <w:t>Дополнительную информацию о работе 1</w:t>
      </w:r>
      <w:r w:rsidRPr="00131A73">
        <w:rPr>
          <w:rFonts w:eastAsia="Calibri" w:cs="Calibri"/>
        </w:rPr>
        <w:noBreakHyphen/>
        <w:t>й и 2</w:t>
      </w:r>
      <w:r w:rsidRPr="00131A73">
        <w:rPr>
          <w:rFonts w:eastAsia="Calibri" w:cs="Calibri"/>
        </w:rPr>
        <w:noBreakHyphen/>
        <w:t>й </w:t>
      </w:r>
      <w:r w:rsidRPr="00131A73">
        <w:t>Исследовательских</w:t>
      </w:r>
      <w:r w:rsidRPr="00131A73">
        <w:rPr>
          <w:rFonts w:eastAsia="Calibri" w:cs="Calibri"/>
        </w:rPr>
        <w:t xml:space="preserve"> комиссий МСЭ-D см. в Документах </w:t>
      </w:r>
      <w:hyperlink r:id="rId230" w:history="1">
        <w:r w:rsidRPr="00131A73">
          <w:rPr>
            <w:rFonts w:eastAsia="Calibri"/>
          </w:rPr>
          <w:t>TDAG-21/8</w:t>
        </w:r>
      </w:hyperlink>
      <w:r w:rsidRPr="00131A73">
        <w:rPr>
          <w:rFonts w:eastAsia="Calibri" w:cs="Calibri"/>
        </w:rPr>
        <w:t xml:space="preserve"> и </w:t>
      </w:r>
      <w:hyperlink r:id="rId231" w:history="1">
        <w:r w:rsidRPr="00131A73">
          <w:rPr>
            <w:rFonts w:eastAsia="Calibri"/>
          </w:rPr>
          <w:t>TDAG-21/9</w:t>
        </w:r>
      </w:hyperlink>
      <w:r w:rsidRPr="00131A73">
        <w:rPr>
          <w:rFonts w:eastAsia="Calibri" w:cs="Calibri"/>
        </w:rPr>
        <w:t>.</w:t>
      </w:r>
    </w:p>
    <w:p w14:paraId="34481858" w14:textId="77777777" w:rsidR="00FA36AD" w:rsidRPr="00131A73" w:rsidRDefault="00FA36AD" w:rsidP="00FA36AD">
      <w:pPr>
        <w:pStyle w:val="Heading1"/>
      </w:pPr>
      <w:r w:rsidRPr="00131A73">
        <w:t>13</w:t>
      </w:r>
      <w:r w:rsidRPr="00131A73">
        <w:tab/>
        <w:t>Региональные форумы по вопросам развития</w:t>
      </w:r>
    </w:p>
    <w:p w14:paraId="4CDAAB2E" w14:textId="77777777" w:rsidR="00FA36AD" w:rsidRPr="00131A73" w:rsidRDefault="00FA36AD" w:rsidP="00FA36AD">
      <w:r w:rsidRPr="00131A73">
        <w:t xml:space="preserve">Региональные форумы по вопросам развития (РФР) предоставляют уникальную возможность для диалога между региональными отделениями и директивными органами Государств – Членов МСЭ и Членов Секторов, региональными и международными организациями и другими заинтересованными сторонами в каждом из шести регионов МСЭ-D. На этих мероприятиях осуществляется анализ и обсуждается положение каждого региона с точки зрения осуществления Плана действий Буэнос-Айреса в целом и региональных инициатив в частности. РФР дают возможность обсуждать достигнутый прогресс, текущую работу и планы по осуществлению, а также сотрудничество и партнерства, которые будут способствовать реализации региональных инициатив. РФР содействуют репрезентативному, открытому для всех процессу в целях достижения согласованных целей в области развития, а также позволяют вносить необходимые коррективы в подходы к их достижению. С более подробной информацией о РФР можно ознакомиться, перейдя по ссылке на </w:t>
      </w:r>
      <w:hyperlink r:id="rId232" w:history="1">
        <w:r w:rsidRPr="00131A73">
          <w:rPr>
            <w:rStyle w:val="Hyperlink"/>
          </w:rPr>
          <w:t>вебсайт</w:t>
        </w:r>
      </w:hyperlink>
      <w:r w:rsidRPr="00131A73">
        <w:rPr>
          <w:rStyle w:val="Hyperlink"/>
        </w:rPr>
        <w:t xml:space="preserve"> РФР</w:t>
      </w:r>
      <w:r w:rsidRPr="00131A73">
        <w:t>.</w:t>
      </w:r>
    </w:p>
    <w:p w14:paraId="7BE5DAED" w14:textId="77777777" w:rsidR="00FA36AD" w:rsidRPr="00131A73" w:rsidRDefault="00FA36AD" w:rsidP="00FA36AD">
      <w:pPr>
        <w:pStyle w:val="Heading1"/>
      </w:pPr>
      <w:r w:rsidRPr="00131A73">
        <w:t>14</w:t>
      </w:r>
      <w:r w:rsidRPr="00131A73">
        <w:tab/>
        <w:t>Партнерство для обеспечения цифровой трансформации</w:t>
      </w:r>
    </w:p>
    <w:p w14:paraId="3C0CA06C" w14:textId="77777777" w:rsidR="00FA36AD" w:rsidRPr="00131A73" w:rsidRDefault="00FA36AD" w:rsidP="00FA36AD">
      <w:pPr>
        <w:rPr>
          <w:rFonts w:cstheme="minorHAnsi"/>
        </w:rPr>
      </w:pPr>
      <w:r w:rsidRPr="00131A73">
        <w:rPr>
          <w:rFonts w:cstheme="minorHAnsi"/>
        </w:rPr>
        <w:t xml:space="preserve">В настоящем документе подчеркивается, что современная цифровая эра требует тесного взаимодействия, основанного на сотрудничестве, совместном использовании ресурсов и взаимовыгодных договоренностях в интересах правительств, отрасли и пользователей. Фундаментальное значение имеет более комплексный общегосударственный подход, в рамках которого технологии рассматриваются как базовые полезные услуги, отвечающие всеобщим интересам. </w:t>
      </w:r>
    </w:p>
    <w:p w14:paraId="4B731F7B" w14:textId="7012401E" w:rsidR="00FA36AD" w:rsidRPr="00131A73" w:rsidRDefault="00FA36AD" w:rsidP="00FA36AD">
      <w:pPr>
        <w:rPr>
          <w:rFonts w:cs="Calibri"/>
          <w:szCs w:val="20"/>
        </w:rPr>
      </w:pPr>
      <w:r w:rsidRPr="00131A73">
        <w:rPr>
          <w:rFonts w:cstheme="minorHAnsi"/>
        </w:rPr>
        <w:t xml:space="preserve">БРЭ наращивает усилия по построению взаимовыгодных стратегических партнерств, которые открывают возможности для взаимодействия, необходимого для улучшения итоговых показателей, получения ощутимых результатов и оказания воздействия. БРЭ продолжает развивать отношения с существующими партнерами, выявлять и приглашать к взаимодействию новых, удерживать и привлекать новых Членов Сектора МСЭ-D в целях привлечения ресурсов для финансирования крупномасштабных проектов, включая региональные инициативы, в поддержку эффективной реализации Плана действий Буэнос-Айреса на глобальном, региональном и национальном уровнях. </w:t>
      </w:r>
      <w:r w:rsidRPr="00131A73">
        <w:t>В итоге в течение 2020 года (по состоянию на 30 ноября 2020 г</w:t>
      </w:r>
      <w:r w:rsidR="00370549">
        <w:t>.</w:t>
      </w:r>
      <w:r w:rsidRPr="00131A73">
        <w:t xml:space="preserve">) были подписаны 32 новых партнерских соглашения на общую сумму обязательств 15,1 млн. долл. США. Это сопоставимо с 30 новыми партнерскими соглашениями на сумму 15,2 млн. долл. США, подписанными в 2019 году, и 43 новыми партнерскими соглашениями на сумму 10,9 млн. долл. США, подписанными в 2018 году. Информация об этих партнерствах приведена на веб-странице МСЭ-D в разделе </w:t>
      </w:r>
      <w:r w:rsidRPr="00131A73">
        <w:rPr>
          <w:color w:val="0000FF"/>
        </w:rPr>
        <w:t>"</w:t>
      </w:r>
      <w:hyperlink r:id="rId233" w:history="1">
        <w:r w:rsidRPr="00131A73">
          <w:rPr>
            <w:rStyle w:val="Hyperlink"/>
          </w:rPr>
          <w:t>Присоединиться к МСЭ</w:t>
        </w:r>
      </w:hyperlink>
      <w:r w:rsidRPr="00131A73">
        <w:rPr>
          <w:color w:val="0000FF"/>
        </w:rPr>
        <w:t>"</w:t>
      </w:r>
      <w:r w:rsidRPr="00131A73">
        <w:t xml:space="preserve">. </w:t>
      </w:r>
    </w:p>
    <w:p w14:paraId="1A8BA021" w14:textId="77777777" w:rsidR="00FA36AD" w:rsidRPr="00131A73" w:rsidRDefault="00FA36AD" w:rsidP="00FA36AD">
      <w:pPr>
        <w:rPr>
          <w:rFonts w:cstheme="minorHAnsi"/>
        </w:rPr>
      </w:pPr>
      <w:r w:rsidRPr="00131A73">
        <w:rPr>
          <w:rFonts w:cstheme="minorHAnsi"/>
        </w:rPr>
        <w:t>В 2021 году БРЭ продолжит работу по выполнению Плана действий Буэнос-Айреса в рамках тематических приоритетов МСЭ-D, направленных на обеспечение устойчивого воздействия и продвижение цифровой трансформации в интересах всех людей. Общими усилиями БРЭ сможет продолжать преобразование цифровой эры и поддерживать диалог в целях обеспечения всеобъемлющей цифровой трансформации.</w:t>
      </w:r>
    </w:p>
    <w:p w14:paraId="798AE1C9" w14:textId="77777777" w:rsidR="00FA36AD" w:rsidRPr="00131A73" w:rsidRDefault="00FA36AD" w:rsidP="00FA36AD">
      <w:pPr>
        <w:pStyle w:val="Heading1"/>
      </w:pPr>
      <w:r w:rsidRPr="00131A73">
        <w:t>15</w:t>
      </w:r>
      <w:r w:rsidRPr="00131A73">
        <w:tab/>
        <w:t>Сотрудничество с ООН</w:t>
      </w:r>
    </w:p>
    <w:p w14:paraId="6004C704" w14:textId="77777777" w:rsidR="00FA36AD" w:rsidRPr="00131A73" w:rsidRDefault="00FA36AD" w:rsidP="00FA36AD">
      <w:pPr>
        <w:rPr>
          <w:rFonts w:eastAsiaTheme="minorHAnsi" w:cs="Calibri"/>
        </w:rPr>
      </w:pPr>
      <w:r w:rsidRPr="00131A73">
        <w:t xml:space="preserve">В течение 2020 и 2021 годов по настоящее время МСЭ значительно укрепил свое взаимодействие с сетью координаторов-резидентов (РК) ООН через Управление ООН по координации оперативной деятельности в целях развития (УКОР ООН), деятельность которого координируется БРЭ в рамках регионального присутствия. МСЭ в сотрудничестве с УКОР ООН разработал поэтапный подход к взаимодействию с координаторами-резидентами во всем мире. В соответствии с этим подходом МСЭ разработал и согласовал с УКОР ООН предложения МСЭ конкретно для каждого региона; согласовал и распространил среди всех РК совместное обязательство по расширению сотрудничества (между МСЭ и УКОР ООН); а также согласовал список стран для целевого участия МСЭ. Осведомленность в рамках системы РК о мандате и работе МСЭ повышается благодаря проведению вебинаров с РК в каждом регионе, и МСЭ уже приступил к работе во многих целевых странах, осуществляя общую страновую </w:t>
      </w:r>
      <w:bookmarkStart w:id="10" w:name="WfCopyCase"/>
      <w:r w:rsidRPr="00131A73">
        <w:t>оценку (</w:t>
      </w:r>
      <w:bookmarkEnd w:id="10"/>
      <w:r w:rsidRPr="00131A73">
        <w:t>ОСО) и разрабатывая страновые структуры.</w:t>
      </w:r>
    </w:p>
    <w:p w14:paraId="3253CCFB" w14:textId="77777777" w:rsidR="00FA36AD" w:rsidRPr="00131A73" w:rsidRDefault="00FA36AD" w:rsidP="00FA36AD">
      <w:r w:rsidRPr="00131A73">
        <w:t>МСЭ все активнее участвует в различных оценках на уровне ООН, в том числе в четырехгодичном обзоре, но, возможно, еще важнее то, что БРЭ использует это в качестве критерия повышения эффективности своего регионального присутствия, применяя для этого методы внутреннего контроля и оценки.</w:t>
      </w:r>
    </w:p>
    <w:p w14:paraId="53EB7B92" w14:textId="6DDA650B" w:rsidR="00FA36AD" w:rsidRPr="00131A73" w:rsidRDefault="00FA36AD" w:rsidP="00FA36AD">
      <w:r w:rsidRPr="00131A73">
        <w:t>Эту деятельность координирует внутренняя Целевая группа, обеспечивающая надлежащее рассмотрение всех направлений работы и вводимых ресурсов, а БРЭ ввело должность сотрудника уровня P4, ответственного за взаимодействие, в представительстве МСЭ в Нью-Йорке, который приступит к работе в мае 2021 года и будет обеспечивать дополнительный уровень координации и взаимодействия с ООН. Эта позиция укрепит способность МСЭ в полной мере участвовать в системе развития ООН на глобальном уровне и полностью соединит сеть региональных отделений с системой</w:t>
      </w:r>
      <w:r w:rsidR="00D276B5" w:rsidRPr="00131A73">
        <w:t> </w:t>
      </w:r>
      <w:r w:rsidRPr="00131A73">
        <w:t>ООН.</w:t>
      </w:r>
    </w:p>
    <w:p w14:paraId="0BF06756" w14:textId="77777777" w:rsidR="00FA36AD" w:rsidRPr="00131A73" w:rsidRDefault="00FA36AD" w:rsidP="00FA36AD">
      <w:r w:rsidRPr="00131A73">
        <w:t>Ниже перечислены некоторые конкретные мероприятия и действия по сотрудничеству в рамках системы ООН.</w:t>
      </w:r>
    </w:p>
    <w:p w14:paraId="20B8F2CF" w14:textId="77777777" w:rsidR="00FA36AD" w:rsidRPr="00131A73" w:rsidRDefault="00FA36AD" w:rsidP="00FA36AD">
      <w:pPr>
        <w:rPr>
          <w:rFonts w:cstheme="minorHAnsi"/>
          <w:lang w:eastAsia="en-GB"/>
        </w:rPr>
      </w:pPr>
      <w:r w:rsidRPr="00131A73">
        <w:rPr>
          <w:rFonts w:cstheme="minorHAnsi"/>
          <w:b/>
          <w:bCs/>
        </w:rPr>
        <w:t xml:space="preserve">Сотрудничество со Специальным представителем Генерального секретаря ООН по технологиям. </w:t>
      </w:r>
      <w:r w:rsidRPr="00131A73">
        <w:rPr>
          <w:rFonts w:cstheme="minorHAnsi"/>
          <w:lang w:eastAsia="en-GB"/>
        </w:rPr>
        <w:t>В июне 2020 года Генеральный секретарь ООН выпустил новую дорожную карту по цифровому сотрудничеству (</w:t>
      </w:r>
      <w:hyperlink r:id="rId234" w:history="1">
        <w:r w:rsidRPr="00131A73">
          <w:rPr>
            <w:rStyle w:val="Hyperlink"/>
            <w:rFonts w:cstheme="minorHAnsi"/>
            <w:lang w:eastAsia="en-GB"/>
          </w:rPr>
          <w:t>A/74/821</w:t>
        </w:r>
      </w:hyperlink>
      <w:r w:rsidRPr="00131A73">
        <w:rPr>
          <w:rStyle w:val="Hyperlink"/>
          <w:rFonts w:cstheme="minorHAnsi"/>
          <w:color w:val="auto"/>
          <w:u w:val="none"/>
          <w:lang w:eastAsia="en-GB"/>
        </w:rPr>
        <w:t>) с набором рекомендуемых действий международного сообщества, которые помогут обеспечить возможность установления соединений, уважение и защиту всех людей в цифровую эпоху.</w:t>
      </w:r>
      <w:r w:rsidRPr="00131A73">
        <w:rPr>
          <w:rFonts w:cstheme="minorHAnsi"/>
          <w:lang w:eastAsia="en-GB"/>
        </w:rPr>
        <w:t xml:space="preserve"> Она основана на рекомендациях Группы высокого уровня Генерального секретаря по цифровому сотрудничеству</w:t>
      </w:r>
      <w:r w:rsidRPr="00131A73">
        <w:rPr>
          <w:rStyle w:val="FootnoteReference"/>
          <w:rFonts w:cstheme="minorHAnsi"/>
          <w:lang w:eastAsia="en-GB"/>
        </w:rPr>
        <w:footnoteReference w:id="3"/>
      </w:r>
      <w:r w:rsidRPr="00131A73">
        <w:rPr>
          <w:rFonts w:cstheme="minorHAnsi"/>
          <w:lang w:eastAsia="en-GB"/>
        </w:rPr>
        <w:t xml:space="preserve"> и на материалах, полученных в ходе восьми круглых столов, созванных канцелярией Генерального секретаря ООН, c участием представителей Государств-Членов, предприятий частного сектора, гражданского общества, а также технических обществ и других заинтересованных сторон.</w:t>
      </w:r>
    </w:p>
    <w:p w14:paraId="7247BB40" w14:textId="5483FA1D" w:rsidR="00FA36AD" w:rsidRPr="00131A73" w:rsidRDefault="00FA36AD" w:rsidP="00FA36AD">
      <w:r w:rsidRPr="00131A73">
        <w:t xml:space="preserve">В области реализации дорожной карты по цифровому сотрудничеству МСЭ сотрудничает с канцелярией Генерального секретаря ООН, в частности с канцелярией Специального представителя Генерального секретаря ООН по информационным технологиям. МСЭ возглавляет два круглых стола, а именно по глобальной возможности установления соединений и по </w:t>
      </w:r>
      <w:r w:rsidR="008247EB">
        <w:t>созданию</w:t>
      </w:r>
      <w:r w:rsidRPr="00131A73">
        <w:t xml:space="preserve"> потенциала – соответственно совместно с ЮНИСЕФ и ПРООН, и участвует в других круглых столах, в том числе по цифровым общественным благам, охвату цифровыми услугами, искусственному интеллекту, цифровому доверию и безопасности и по архитектуре цифрового сотрудничества.</w:t>
      </w:r>
      <w:r w:rsidRPr="00131A73">
        <w:rPr>
          <w:rFonts w:cs="Calibri"/>
        </w:rPr>
        <w:t xml:space="preserve"> </w:t>
      </w:r>
    </w:p>
    <w:p w14:paraId="44E76E1A" w14:textId="62CBD635" w:rsidR="00FA36AD" w:rsidRPr="00131A73" w:rsidRDefault="00FA36AD" w:rsidP="00FA36AD">
      <w:pPr>
        <w:rPr>
          <w:rFonts w:eastAsiaTheme="minorEastAsia" w:cstheme="minorBidi"/>
        </w:rPr>
      </w:pPr>
      <w:r w:rsidRPr="00131A73">
        <w:rPr>
          <w:rFonts w:cs="Calibri"/>
        </w:rPr>
        <w:t>В качестве соруково</w:t>
      </w:r>
      <w:r w:rsidR="003C0A98" w:rsidRPr="00131A73">
        <w:rPr>
          <w:rFonts w:cs="Calibri"/>
        </w:rPr>
        <w:t>д</w:t>
      </w:r>
      <w:r w:rsidRPr="00131A73">
        <w:rPr>
          <w:rFonts w:cs="Calibri"/>
        </w:rPr>
        <w:t xml:space="preserve">ителя МСЭ организовал серию виртуальных мероприятий и в партнерстве с соответствующими учреждениями и органами ООН инициировал действия, направленные на использование потенциала цифровых технологий и уменьшение вреда, который они могут причинить. К числу таких мероприятий относятся серия вебинаров на тему "Цифровое сотрудничество во время и после COVID-19", молодежная информационная кампания "Соединяй, уважай и защищай" и собрание высокого уровня по вопросам цифрового сотрудничества во время Генеральной Ассамблеи в сентябре 2020 года. </w:t>
      </w:r>
    </w:p>
    <w:p w14:paraId="7D77ABFD" w14:textId="6D7F1098" w:rsidR="00FA36AD" w:rsidRPr="00131A73" w:rsidRDefault="00FA36AD" w:rsidP="00FA36AD">
      <w:r w:rsidRPr="00131A73">
        <w:t xml:space="preserve">В 2021 году МСЭ продолжает тесно сотрудничать с участниками круглых столов, включая, в частности, правительства Казахстана, Нигера, Руанды, Нидерландов, ОАЭ, Саудовской Аравии, Мексики, Канады, Сингапура, руководство Европейского союза и Европейской комиссии; с предприятиями отрасли – Microsoft, Vodafone, Viasat; с другими членами – GSMA, ISOC, Всемирным экономическим форумом, </w:t>
      </w:r>
      <w:r w:rsidRPr="00131A73">
        <w:rPr>
          <w:rFonts w:cs="Calibri"/>
        </w:rPr>
        <w:t>Web Foundation</w:t>
      </w:r>
      <w:r w:rsidRPr="00131A73">
        <w:t xml:space="preserve">; а также с нашими партнерскими учреждениями ООН – такими как ЮНИСЕФ, ПРООН, ООН-Хабитат, КВПНМ ООН, ЮНКТАД, Всемирный банк и другие, уделяя особое внимание важным действиям, непосредственно отвечающим на призыв дорожной карты к обеспечению универсальной, реальной и приемлемой в ценовом отношении возможности установления соединений, а также к оказанию скоординированной и согласованной поддержки мерам по </w:t>
      </w:r>
      <w:r w:rsidR="008247EB">
        <w:t>созданию</w:t>
      </w:r>
      <w:r w:rsidRPr="00131A73">
        <w:t xml:space="preserve"> потенциала и развитию навыков в области цифровых технологий.</w:t>
      </w:r>
    </w:p>
    <w:p w14:paraId="730E133A" w14:textId="77777777" w:rsidR="00FA36AD" w:rsidRPr="00131A73" w:rsidRDefault="00FA36AD" w:rsidP="00FA36AD">
      <w:r w:rsidRPr="00131A73">
        <w:t>В число других направлений глобального сотрудничества входят:</w:t>
      </w:r>
    </w:p>
    <w:p w14:paraId="7E047DE5" w14:textId="552CB280" w:rsidR="00FA36AD" w:rsidRPr="00131A73" w:rsidRDefault="00FA36AD" w:rsidP="00FA36AD">
      <w:pPr>
        <w:pStyle w:val="enumlev1"/>
      </w:pPr>
      <w:r w:rsidRPr="00131A73">
        <w:t>−</w:t>
      </w:r>
      <w:r w:rsidRPr="00131A73">
        <w:tab/>
        <w:t xml:space="preserve">Комиссия по широкополосной связи в интересах устойчивого развития, </w:t>
      </w:r>
      <w:r w:rsidR="003429DB">
        <w:t xml:space="preserve">работу которой возглавляют </w:t>
      </w:r>
      <w:r w:rsidR="003429DB" w:rsidRPr="00131A73">
        <w:t xml:space="preserve">МСЭ и ЮНЕСКО </w:t>
      </w:r>
      <w:r w:rsidR="003429DB">
        <w:t xml:space="preserve">при участии шести других организаций системы ООН; Комиссия </w:t>
      </w:r>
      <w:r w:rsidRPr="00131A73">
        <w:t>учреждена в 2010 году</w:t>
      </w:r>
      <w:r w:rsidR="003429DB">
        <w:t xml:space="preserve"> </w:t>
      </w:r>
      <w:r w:rsidRPr="00131A73">
        <w:t>в целях повышения роли широкополосной связи в международной политической повестке дня и расширения широкополосного доступа во всех странах как ключа к ускорению прогресса в достижении национальных и международных целей в области развития;</w:t>
      </w:r>
    </w:p>
    <w:p w14:paraId="0D5EB4B4" w14:textId="77777777" w:rsidR="00FA36AD" w:rsidRPr="00131A73" w:rsidRDefault="00FA36AD" w:rsidP="00FA36AD">
      <w:pPr>
        <w:pStyle w:val="enumlev1"/>
        <w:rPr>
          <w:b/>
        </w:rPr>
      </w:pPr>
      <w:r w:rsidRPr="00131A73">
        <w:t>−</w:t>
      </w:r>
      <w:r w:rsidRPr="00131A73">
        <w:tab/>
        <w:t>инновации МСЭ и ЮНИДО в области цифровой трансформации, особенно в отношении ЦУР 9: МСЭ участвует в Третьем десятилетии промышленного развития Африки (IDDA III), возглавляемой ЮНИДО в партнерстве с МСЭ и другими организациями и партнерами ООН, включая разработку совместной дорожной карты и мероприятие высокого уровня IDDA III (25 сентября 2019 года, Нью-Йорк), а также сотрудничество в рамках Инициативы Мохаммеда бен Рашида (ИМР) за глобальное процветание;</w:t>
      </w:r>
    </w:p>
    <w:p w14:paraId="05471045" w14:textId="77777777" w:rsidR="00FA36AD" w:rsidRPr="00131A73" w:rsidRDefault="00FA36AD" w:rsidP="00FA36AD">
      <w:pPr>
        <w:pStyle w:val="enumlev1"/>
      </w:pPr>
      <w:r w:rsidRPr="00131A73">
        <w:t>−</w:t>
      </w:r>
      <w:r w:rsidRPr="00131A73">
        <w:tab/>
        <w:t>неделя мобильного обучения (MLW), организованная ЮНЕСКО в партнерстве с МСЭ при поддержке других партнеров;</w:t>
      </w:r>
    </w:p>
    <w:p w14:paraId="1247E75C" w14:textId="719F8D85" w:rsidR="00FA36AD" w:rsidRPr="00131A73" w:rsidRDefault="00FA36AD" w:rsidP="00FA36AD">
      <w:pPr>
        <w:pStyle w:val="enumlev1"/>
      </w:pPr>
      <w:r w:rsidRPr="00131A73">
        <w:t>−</w:t>
      </w:r>
      <w:r w:rsidRPr="00131A73">
        <w:tab/>
        <w:t>МСЭ/Всемирный банк: Совместная декларация о расширении сотрудничества в целях содействия реализации Повестки дня в области устойчивого развития на период до 2030 года, а также сотрудничества в конкретных областях, таких как цифровые финансовые услуги (например, FIGI), справочники по регулированию, Инициатива по наблюдению за соблюдением норм, Справочник по цифровому регулированию 2020 года, онлайн-платформа цифрового регулирования и комплект материалов по регулированию</w:t>
      </w:r>
      <w:r w:rsidR="00D276B5" w:rsidRPr="00131A73">
        <w:t> </w:t>
      </w:r>
      <w:r w:rsidRPr="00131A73">
        <w:t>ИКТ;</w:t>
      </w:r>
    </w:p>
    <w:p w14:paraId="6B83620D" w14:textId="77777777" w:rsidR="00FA36AD" w:rsidRPr="00131A73" w:rsidRDefault="00FA36AD" w:rsidP="00FA36AD">
      <w:pPr>
        <w:pStyle w:val="enumlev1"/>
        <w:rPr>
          <w:rFonts w:eastAsia="Calibri"/>
        </w:rPr>
      </w:pPr>
      <w:r w:rsidRPr="00131A73">
        <w:t>−</w:t>
      </w:r>
      <w:r w:rsidRPr="00131A73">
        <w:tab/>
        <w:t xml:space="preserve">БРЭ успешно расширило свое сотрудничество с другими учреждениями ООН, что привело к совместной мобилизации ресурсов и установлению партнерских отношений. Одним из положительных результатов стало установление партнерских отношений с ФАО, МОТ, ФКРООН и ПРООН, что </w:t>
      </w:r>
      <w:r w:rsidRPr="00131A73">
        <w:rPr>
          <w:rFonts w:cs="Calibri"/>
        </w:rPr>
        <w:t>позволило заключить соглашение с Европейской комиссией о финансировании проекта "Поддержка сельского предпринимательства, инвестиций и торговли в Папуа-Новой Гвинее"</w:t>
      </w:r>
      <w:r w:rsidRPr="00131A73">
        <w:t>;</w:t>
      </w:r>
    </w:p>
    <w:p w14:paraId="2A557E51" w14:textId="09623BB6" w:rsidR="00FA36AD" w:rsidRPr="00131A73" w:rsidRDefault="00FA36AD" w:rsidP="00FA36AD">
      <w:pPr>
        <w:pStyle w:val="enumlev1"/>
        <w:rPr>
          <w:rFonts w:eastAsiaTheme="minorEastAsia"/>
        </w:rPr>
      </w:pPr>
      <w:bookmarkStart w:id="11" w:name="_Hlk64971169"/>
      <w:r w:rsidRPr="00131A73">
        <w:t>−</w:t>
      </w:r>
      <w:r w:rsidRPr="00131A73">
        <w:tab/>
        <w:t>член Руководящего комитета в сотрудничестве с другими учреждениями ООН по</w:t>
      </w:r>
      <w:r w:rsidRPr="00131A73">
        <w:rPr>
          <w:shd w:val="clear" w:color="auto" w:fill="FFFFFF"/>
        </w:rPr>
        <w:t xml:space="preserve"> </w:t>
      </w:r>
      <w:r w:rsidRPr="00131A73">
        <w:t xml:space="preserve">Партнерству по измерению ИКТ в целях развития – международной инициативе с участием многих заинтересованных сторон, </w:t>
      </w:r>
      <w:r w:rsidR="00FA62A4">
        <w:t xml:space="preserve">выдвинутой в 2004 году с </w:t>
      </w:r>
      <w:r w:rsidRPr="00131A73">
        <w:t>целью повысить доступность и качество данных и показателей ИКТ, в особенности в развивающихся странах.</w:t>
      </w:r>
      <w:bookmarkEnd w:id="11"/>
    </w:p>
    <w:p w14:paraId="2CDBAAFD" w14:textId="77777777" w:rsidR="00FA36AD" w:rsidRPr="00131A73" w:rsidRDefault="00FA36AD" w:rsidP="00FA36AD">
      <w:pPr>
        <w:pStyle w:val="Headingb"/>
      </w:pPr>
      <w:r w:rsidRPr="00131A73">
        <w:t>Региональное сотрудничество с ООН</w:t>
      </w:r>
    </w:p>
    <w:p w14:paraId="023B8348" w14:textId="77777777" w:rsidR="00FA36AD" w:rsidRPr="00131A73" w:rsidRDefault="00FA36AD" w:rsidP="00FA36AD">
      <w:pPr>
        <w:rPr>
          <w:rFonts w:eastAsiaTheme="minorEastAsia"/>
        </w:rPr>
      </w:pPr>
      <w:r w:rsidRPr="00131A73">
        <w:rPr>
          <w:rFonts w:cs="Calibri"/>
        </w:rPr>
        <w:t>В Северной и Южной Америке МСЭ тесно сотрудничает с другими учреждениями ООН в оказании поддержки Гондурасу и Парагваю.</w:t>
      </w:r>
      <w:r w:rsidRPr="00131A73">
        <w:t xml:space="preserve"> В рамках реагирования на COVID-19 страновая группа ООН (СГООН) в Гондурасе в сотрудничестве с МСЭ работала над цифровой трансформацией для обеспечения восстановления с улучшением и включила цифровую трансформацию в число стратегических приоритетов. С 2020 года МСЭ вносит вклад в разработку новой Рамочной программы ООН по сотрудничеству в области устойчивого развития (</w:t>
      </w:r>
      <w:r w:rsidRPr="00131A7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РПООНУР</w:t>
      </w:r>
      <w:r w:rsidRPr="00131A73">
        <w:t>), а в январе 2021 года была завершена общая страновая оценка (ОСО). До сих пор МСЭ как член СГООН в Гондурасе включал цифровую трансформацию в качестве основы стратегического приоритета структурных возможностей.</w:t>
      </w:r>
    </w:p>
    <w:p w14:paraId="40280CB1" w14:textId="77777777" w:rsidR="00FA36AD" w:rsidRPr="00131A73" w:rsidRDefault="00FA36AD" w:rsidP="00FA36AD">
      <w:pPr>
        <w:rPr>
          <w:rFonts w:eastAsiaTheme="minorEastAsia" w:cstheme="minorBidi"/>
        </w:rPr>
      </w:pPr>
      <w:r w:rsidRPr="00131A73">
        <w:t>В Сальвадоре МСЭ в сотрудничестве с местным отделением ЮНИСЕФ вносит вклад в разработку Рамочной программы ООН по сотрудничеству в области устойчивого развития (</w:t>
      </w:r>
      <w:r w:rsidRPr="00131A7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РПООНУР</w:t>
      </w:r>
      <w:r w:rsidRPr="00131A73">
        <w:t>), подписание которой ожидается в 2021 году.</w:t>
      </w:r>
    </w:p>
    <w:p w14:paraId="5B7BAA3C" w14:textId="3D1445A5" w:rsidR="00FA36AD" w:rsidRPr="00131A73" w:rsidRDefault="00FA36AD" w:rsidP="00FA36AD">
      <w:pPr>
        <w:rPr>
          <w:rFonts w:eastAsiaTheme="minorEastAsia" w:cstheme="minorBidi"/>
        </w:rPr>
      </w:pPr>
      <w:r w:rsidRPr="00131A73">
        <w:t xml:space="preserve">В Парагвае МСЭ работает с СГООН и координатором-резидентом ООН над тем, чтобы обеспечить эффективное включение ИКТ в </w:t>
      </w:r>
      <w:r w:rsidRPr="00131A7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РПООНУР</w:t>
      </w:r>
      <w:r w:rsidRPr="00131A73">
        <w:t xml:space="preserve"> на 2020</w:t>
      </w:r>
      <w:r w:rsidR="00370549">
        <w:t>−</w:t>
      </w:r>
      <w:r w:rsidRPr="00131A73">
        <w:t>2024 годы, в частности для обеспечения реальной возможности установления соединений и преодоления цифрового разрыва в регионе Чако.</w:t>
      </w:r>
    </w:p>
    <w:p w14:paraId="323E98AA" w14:textId="77777777" w:rsidR="00FA36AD" w:rsidRPr="00131A73" w:rsidRDefault="00FA36AD" w:rsidP="00FA36AD">
      <w:pPr>
        <w:rPr>
          <w:rFonts w:cs="Calibri"/>
        </w:rPr>
      </w:pPr>
      <w:r w:rsidRPr="00131A73">
        <w:rPr>
          <w:rFonts w:cs="Calibri"/>
        </w:rPr>
        <w:t xml:space="preserve">МСЭ также получил приглашение участвовать в совете проекта </w:t>
      </w:r>
      <w:hyperlink r:id="rId235" w:history="1">
        <w:r w:rsidRPr="00131A73">
          <w:rPr>
            <w:rStyle w:val="Hyperlink"/>
          </w:rPr>
          <w:t>Generación Única</w:t>
        </w:r>
      </w:hyperlink>
      <w:r w:rsidRPr="00131A73">
        <w:rPr>
          <w:rStyle w:val="Hyperlink"/>
          <w:color w:val="auto"/>
          <w:u w:val="none"/>
        </w:rPr>
        <w:t>, реализуемого</w:t>
      </w:r>
      <w:r w:rsidRPr="00131A73">
        <w:rPr>
          <w:rStyle w:val="Hyperlink"/>
          <w:rFonts w:cs="Calibri"/>
          <w:color w:val="auto"/>
          <w:u w:val="none"/>
        </w:rPr>
        <w:t xml:space="preserve"> ЮНИСЕФ в Аргентине, и в проектах СГООН ПООНПИ-DIS в Гватемале.</w:t>
      </w:r>
    </w:p>
    <w:p w14:paraId="26737592" w14:textId="77777777" w:rsidR="00FA36AD" w:rsidRPr="00131A73" w:rsidRDefault="00FA36AD" w:rsidP="00FA36AD">
      <w:pPr>
        <w:rPr>
          <w:rFonts w:cs="Calibri"/>
        </w:rPr>
      </w:pPr>
      <w:r w:rsidRPr="00131A73">
        <w:rPr>
          <w:rFonts w:cs="Calibri"/>
        </w:rPr>
        <w:t xml:space="preserve">В Европе МСЭ создал и совместно с другими организациями возглавляет два координационных механизма, а именно: Группу цифровой трансформации для Европы и Центральной Азии и Целевую группу отделения ООН в Брюсселе по цифровизации для достижения ЦУР. Кроме того, укреплен ряд стратегических направлений сотрудничества с учреждениями ООН, в том числе с ФАО, ЮНИСЕФ, ООН-женщины, ПРООН. Европейское региональное бюро МСЭ также взаимодействовало со всеми СГООН европейского региона и тесно сотрудничает с восемью страновыми группами (Албании, Боснии и Герцеговины, Грузии, Черногории, Молдовы, Северной Македонии, Сербии и Украины). Оно вносит свой вклад в ОСО и </w:t>
      </w:r>
      <w:r w:rsidRPr="00131A7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РПООНУР</w:t>
      </w:r>
      <w:r w:rsidRPr="00131A73">
        <w:rPr>
          <w:rFonts w:cs="Calibri"/>
        </w:rPr>
        <w:t xml:space="preserve"> и нацелено на более эффективную реализацию проектов и инициатив, связанных с цифровой трансформацией.</w:t>
      </w:r>
    </w:p>
    <w:p w14:paraId="36722447" w14:textId="77777777" w:rsidR="00FA36AD" w:rsidRPr="00131A73" w:rsidDel="00D2201A" w:rsidRDefault="00FA36AD" w:rsidP="00FA36AD">
      <w:pPr>
        <w:rPr>
          <w:rFonts w:cs="Calibri"/>
        </w:rPr>
      </w:pPr>
      <w:r w:rsidRPr="00131A73">
        <w:rPr>
          <w:rFonts w:cs="Calibri"/>
        </w:rPr>
        <w:t xml:space="preserve">В регионе СНГ МСЭ входит в состав страновых групп ООН (СГООН) Беларуси и Казахстана и в настоящее время изучает возможность присоединения к СГООН Узбекистана. Поддерживаются регулярные контакты с другими СГООН в странах региона для повышения осведомленности о глобальной и региональной деятельности МСЭ и изучения потенциальных областей партнерства. В Беларуси МСЭ участвовал в разработке ОСО и </w:t>
      </w:r>
      <w:r w:rsidRPr="00131A7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РПООНУР</w:t>
      </w:r>
      <w:r w:rsidRPr="00131A73">
        <w:rPr>
          <w:rFonts w:cs="Calibri"/>
        </w:rPr>
        <w:t xml:space="preserve"> на 2021–2025 годы и присоединился к </w:t>
      </w:r>
      <w:r w:rsidRPr="00131A7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РПООНУР</w:t>
      </w:r>
      <w:r w:rsidRPr="00131A73">
        <w:rPr>
          <w:rFonts w:cs="Calibri"/>
        </w:rPr>
        <w:t xml:space="preserve"> на 2021–2025 годы в Казахстане. В России МСЭ сотрудничает с Информационным центром ООН и вносит свой вклад в Бюллетень ООН. В 2020 году продолжилось сотрудничество с Институтом ЮНЕСКО по информационным технологиям в образовании. Региональное отделение стран СНГ является частью Группы ООН по цифровой трансформации для Европы и Центральной Азии, которую МСЭ возглавляет совместно с ЕЭК ООН.</w:t>
      </w:r>
    </w:p>
    <w:p w14:paraId="67CE8B84" w14:textId="7CF7A41D" w:rsidR="00FA36AD" w:rsidRPr="00131A73" w:rsidRDefault="00FA36AD" w:rsidP="00FA36AD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131A73">
        <w:t>_______________</w:t>
      </w:r>
    </w:p>
    <w:sectPr w:rsidR="00FA36AD" w:rsidRPr="00131A73" w:rsidSect="002502FE">
      <w:headerReference w:type="default" r:id="rId236"/>
      <w:footerReference w:type="default" r:id="rId237"/>
      <w:footerReference w:type="first" r:id="rId238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67459" w14:textId="77777777" w:rsidR="005C0AD5" w:rsidRDefault="005C0AD5" w:rsidP="00E54FD2">
      <w:pPr>
        <w:spacing w:before="0"/>
      </w:pPr>
      <w:r>
        <w:separator/>
      </w:r>
    </w:p>
  </w:endnote>
  <w:endnote w:type="continuationSeparator" w:id="0">
    <w:p w14:paraId="4A2EBC3B" w14:textId="77777777" w:rsidR="005C0AD5" w:rsidRDefault="005C0AD5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EB3C7" w14:textId="31DF77D3" w:rsidR="000D4947" w:rsidRPr="00536C60" w:rsidRDefault="000D4947">
    <w:pPr>
      <w:pStyle w:val="Footer"/>
      <w:rPr>
        <w:lang w:val="fr-CH"/>
      </w:rPr>
    </w:pPr>
    <w:r>
      <w:fldChar w:fldCharType="begin"/>
    </w:r>
    <w:r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P:\RUS\ITU-D\CONF-D\TDAG21\000\002R.docx</w:t>
    </w:r>
    <w:r>
      <w:fldChar w:fldCharType="end"/>
    </w:r>
    <w:r>
      <w:rPr>
        <w:lang w:val="fr-CH"/>
      </w:rPr>
      <w:t xml:space="preserve"> (</w:t>
    </w:r>
    <w:r w:rsidRPr="00536C60">
      <w:rPr>
        <w:lang w:val="fr-CH"/>
      </w:rPr>
      <w:t>485963</w:t>
    </w:r>
    <w:r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D4947" w:rsidRPr="004D495C" w14:paraId="5CFA9BF5" w14:textId="77777777" w:rsidTr="0050362C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0529F476" w14:textId="77777777" w:rsidR="000D4947" w:rsidRPr="0050362C" w:rsidRDefault="000D4947" w:rsidP="0050362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50362C">
            <w:rPr>
              <w:sz w:val="18"/>
              <w:szCs w:val="18"/>
            </w:rPr>
            <w:t>Координатор</w:t>
          </w:r>
          <w:r w:rsidRPr="0050362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593F32A" w14:textId="77777777" w:rsidR="000D4947" w:rsidRPr="0050362C" w:rsidRDefault="000D4947" w:rsidP="0050362C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50362C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060AB721" w14:textId="3C892DDD" w:rsidR="000D4947" w:rsidRPr="005130F3" w:rsidRDefault="000D4947" w:rsidP="0050362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50362C">
            <w:rPr>
              <w:sz w:val="18"/>
              <w:szCs w:val="18"/>
            </w:rPr>
            <w:t>г-н Стивен Беро (Mr Stephen Bereaux), заместитель Директора, Бюро развития электросвязи</w:t>
          </w:r>
        </w:p>
      </w:tc>
    </w:tr>
    <w:tr w:rsidR="000D4947" w:rsidRPr="004D495C" w14:paraId="0366FF4E" w14:textId="77777777" w:rsidTr="0050362C">
      <w:tc>
        <w:tcPr>
          <w:tcW w:w="1418" w:type="dxa"/>
          <w:shd w:val="clear" w:color="auto" w:fill="auto"/>
        </w:tcPr>
        <w:p w14:paraId="153DE76A" w14:textId="77777777" w:rsidR="000D4947" w:rsidRPr="005130F3" w:rsidRDefault="000D4947" w:rsidP="0050362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02E38615" w14:textId="77777777" w:rsidR="000D4947" w:rsidRPr="0050362C" w:rsidRDefault="000D4947" w:rsidP="0050362C">
          <w:pPr>
            <w:pStyle w:val="FirstFooter"/>
            <w:spacing w:before="40"/>
            <w:rPr>
              <w:sz w:val="18"/>
              <w:szCs w:val="18"/>
            </w:rPr>
          </w:pPr>
          <w:r w:rsidRPr="0050362C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3E5C747B" w14:textId="75B13BD7" w:rsidR="000D4947" w:rsidRPr="0050362C" w:rsidRDefault="000D4947" w:rsidP="0050362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50362C">
            <w:rPr>
              <w:sz w:val="18"/>
              <w:szCs w:val="18"/>
            </w:rPr>
            <w:t>+41 22 730 5131</w:t>
          </w:r>
        </w:p>
      </w:tc>
    </w:tr>
    <w:tr w:rsidR="000D4947" w:rsidRPr="004D495C" w14:paraId="45CA999B" w14:textId="77777777" w:rsidTr="0050362C">
      <w:tc>
        <w:tcPr>
          <w:tcW w:w="1418" w:type="dxa"/>
          <w:shd w:val="clear" w:color="auto" w:fill="auto"/>
        </w:tcPr>
        <w:p w14:paraId="215D0551" w14:textId="77777777" w:rsidR="000D4947" w:rsidRPr="0050362C" w:rsidRDefault="000D4947" w:rsidP="0050362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08A1ADD3" w14:textId="77777777" w:rsidR="000D4947" w:rsidRPr="0050362C" w:rsidRDefault="000D4947" w:rsidP="0050362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50362C">
            <w:rPr>
              <w:sz w:val="18"/>
              <w:szCs w:val="18"/>
            </w:rPr>
            <w:t>Эл. почта</w:t>
          </w:r>
          <w:r w:rsidRPr="0050362C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5FF2F0A2" w14:textId="2B51AF07" w:rsidR="000D4947" w:rsidRPr="0050362C" w:rsidRDefault="00600F1F" w:rsidP="0050362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0D4947" w:rsidRPr="0050362C">
              <w:rPr>
                <w:rStyle w:val="Hyperlink"/>
                <w:sz w:val="18"/>
                <w:szCs w:val="18"/>
              </w:rPr>
              <w:t>stephen.bereaux@itu.int</w:t>
            </w:r>
          </w:hyperlink>
          <w:r w:rsidR="000D4947" w:rsidRPr="0050362C">
            <w:rPr>
              <w:sz w:val="18"/>
              <w:szCs w:val="18"/>
            </w:rPr>
            <w:t xml:space="preserve"> </w:t>
          </w:r>
        </w:p>
      </w:tc>
    </w:tr>
  </w:tbl>
  <w:p w14:paraId="5ADEC970" w14:textId="77777777" w:rsidR="000D4947" w:rsidRPr="006E4AB3" w:rsidRDefault="00600F1F" w:rsidP="0050362C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0D4947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81D6B" w14:textId="77777777" w:rsidR="005C0AD5" w:rsidRDefault="005C0AD5" w:rsidP="00E54FD2">
      <w:pPr>
        <w:spacing w:before="0"/>
      </w:pPr>
      <w:r>
        <w:separator/>
      </w:r>
    </w:p>
  </w:footnote>
  <w:footnote w:type="continuationSeparator" w:id="0">
    <w:p w14:paraId="01E32DBE" w14:textId="77777777" w:rsidR="005C0AD5" w:rsidRDefault="005C0AD5" w:rsidP="00E54FD2">
      <w:pPr>
        <w:spacing w:before="0"/>
      </w:pPr>
      <w:r>
        <w:continuationSeparator/>
      </w:r>
    </w:p>
  </w:footnote>
  <w:footnote w:id="1">
    <w:p w14:paraId="4CF561FA" w14:textId="77777777" w:rsidR="00FA36AD" w:rsidRPr="003B5CA7" w:rsidRDefault="00FA36AD" w:rsidP="00FA36AD">
      <w:pPr>
        <w:pStyle w:val="FootnoteText"/>
        <w:ind w:left="256" w:hanging="256"/>
        <w:rPr>
          <w:szCs w:val="20"/>
        </w:rPr>
      </w:pPr>
      <w:r w:rsidRPr="00014D8F">
        <w:rPr>
          <w:rStyle w:val="FootnoteReference"/>
          <w:szCs w:val="16"/>
        </w:rPr>
        <w:footnoteRef/>
      </w:r>
      <w:r w:rsidRPr="003B5CA7">
        <w:rPr>
          <w:szCs w:val="20"/>
        </w:rPr>
        <w:tab/>
      </w:r>
      <w:r>
        <w:rPr>
          <w:szCs w:val="20"/>
        </w:rPr>
        <w:t>Комплект материалов по национальной стратегии в области здравоохранения опубликован на странице</w:t>
      </w:r>
      <w:r w:rsidRPr="003B5CA7">
        <w:rPr>
          <w:szCs w:val="20"/>
        </w:rPr>
        <w:t xml:space="preserve"> </w:t>
      </w:r>
      <w:hyperlink r:id="rId1" w:history="1">
        <w:r w:rsidRPr="00AB3EC3">
          <w:rPr>
            <w:rStyle w:val="Hyperlink"/>
            <w:szCs w:val="20"/>
            <w:lang w:val="en-US"/>
          </w:rPr>
          <w:t>https</w:t>
        </w:r>
        <w:r w:rsidRPr="003B5CA7">
          <w:rPr>
            <w:rStyle w:val="Hyperlink"/>
            <w:szCs w:val="20"/>
          </w:rPr>
          <w:t>://</w:t>
        </w:r>
        <w:r w:rsidRPr="00AB3EC3">
          <w:rPr>
            <w:rStyle w:val="Hyperlink"/>
            <w:szCs w:val="20"/>
            <w:lang w:val="en-US"/>
          </w:rPr>
          <w:t>www</w:t>
        </w:r>
        <w:r w:rsidRPr="003B5CA7">
          <w:rPr>
            <w:rStyle w:val="Hyperlink"/>
            <w:szCs w:val="20"/>
          </w:rPr>
          <w:t>.</w:t>
        </w:r>
        <w:r w:rsidRPr="00AB3EC3">
          <w:rPr>
            <w:rStyle w:val="Hyperlink"/>
            <w:szCs w:val="20"/>
            <w:lang w:val="en-US"/>
          </w:rPr>
          <w:t>itu</w:t>
        </w:r>
        <w:r w:rsidRPr="003B5CA7">
          <w:rPr>
            <w:rStyle w:val="Hyperlink"/>
            <w:szCs w:val="20"/>
          </w:rPr>
          <w:t>-</w:t>
        </w:r>
        <w:r w:rsidRPr="00AB3EC3">
          <w:rPr>
            <w:rStyle w:val="Hyperlink"/>
            <w:szCs w:val="20"/>
            <w:lang w:val="en-US"/>
          </w:rPr>
          <w:t>ilibrary</w:t>
        </w:r>
        <w:r w:rsidRPr="003B5CA7">
          <w:rPr>
            <w:rStyle w:val="Hyperlink"/>
            <w:szCs w:val="20"/>
          </w:rPr>
          <w:t>.</w:t>
        </w:r>
        <w:r w:rsidRPr="00AB3EC3">
          <w:rPr>
            <w:rStyle w:val="Hyperlink"/>
            <w:szCs w:val="20"/>
            <w:lang w:val="en-US"/>
          </w:rPr>
          <w:t>org</w:t>
        </w:r>
        <w:r w:rsidRPr="003B5CA7">
          <w:rPr>
            <w:rStyle w:val="Hyperlink"/>
            <w:szCs w:val="20"/>
          </w:rPr>
          <w:t>/</w:t>
        </w:r>
        <w:r w:rsidRPr="00AB3EC3">
          <w:rPr>
            <w:rStyle w:val="Hyperlink"/>
            <w:szCs w:val="20"/>
            <w:lang w:val="en-US"/>
          </w:rPr>
          <w:t>science</w:t>
        </w:r>
        <w:r w:rsidRPr="003B5CA7">
          <w:rPr>
            <w:rStyle w:val="Hyperlink"/>
            <w:szCs w:val="20"/>
          </w:rPr>
          <w:t>-</w:t>
        </w:r>
        <w:r w:rsidRPr="00AB3EC3">
          <w:rPr>
            <w:rStyle w:val="Hyperlink"/>
            <w:szCs w:val="20"/>
            <w:lang w:val="en-US"/>
          </w:rPr>
          <w:t>and</w:t>
        </w:r>
        <w:r w:rsidRPr="003B5CA7">
          <w:rPr>
            <w:rStyle w:val="Hyperlink"/>
            <w:szCs w:val="20"/>
          </w:rPr>
          <w:t>-</w:t>
        </w:r>
        <w:r w:rsidRPr="00AB3EC3">
          <w:rPr>
            <w:rStyle w:val="Hyperlink"/>
            <w:szCs w:val="20"/>
            <w:lang w:val="en-US"/>
          </w:rPr>
          <w:t>technology</w:t>
        </w:r>
        <w:r w:rsidRPr="003B5CA7">
          <w:rPr>
            <w:rStyle w:val="Hyperlink"/>
            <w:szCs w:val="20"/>
          </w:rPr>
          <w:t>/</w:t>
        </w:r>
        <w:r w:rsidRPr="00AB3EC3">
          <w:rPr>
            <w:rStyle w:val="Hyperlink"/>
            <w:szCs w:val="20"/>
            <w:lang w:val="en-US"/>
          </w:rPr>
          <w:t>national</w:t>
        </w:r>
        <w:r w:rsidRPr="003B5CA7">
          <w:rPr>
            <w:rStyle w:val="Hyperlink"/>
            <w:szCs w:val="20"/>
          </w:rPr>
          <w:t>-</w:t>
        </w:r>
        <w:r w:rsidRPr="00AB3EC3">
          <w:rPr>
            <w:rStyle w:val="Hyperlink"/>
            <w:szCs w:val="20"/>
            <w:lang w:val="en-US"/>
          </w:rPr>
          <w:t>ehealth</w:t>
        </w:r>
        <w:r w:rsidRPr="003B5CA7">
          <w:rPr>
            <w:rStyle w:val="Hyperlink"/>
            <w:szCs w:val="20"/>
          </w:rPr>
          <w:t>-</w:t>
        </w:r>
        <w:r w:rsidRPr="00AB3EC3">
          <w:rPr>
            <w:rStyle w:val="Hyperlink"/>
            <w:szCs w:val="20"/>
            <w:lang w:val="en-US"/>
          </w:rPr>
          <w:t>strategy</w:t>
        </w:r>
        <w:r w:rsidRPr="003B5CA7">
          <w:rPr>
            <w:rStyle w:val="Hyperlink"/>
            <w:szCs w:val="20"/>
          </w:rPr>
          <w:t>-</w:t>
        </w:r>
        <w:r w:rsidRPr="00AB3EC3">
          <w:rPr>
            <w:rStyle w:val="Hyperlink"/>
            <w:szCs w:val="20"/>
            <w:lang w:val="en-US"/>
          </w:rPr>
          <w:t>toolkit</w:t>
        </w:r>
        <w:r w:rsidRPr="003B5CA7">
          <w:rPr>
            <w:rStyle w:val="Hyperlink"/>
            <w:szCs w:val="20"/>
          </w:rPr>
          <w:t>_</w:t>
        </w:r>
        <w:r w:rsidRPr="00AB3EC3">
          <w:rPr>
            <w:rStyle w:val="Hyperlink"/>
            <w:szCs w:val="20"/>
            <w:lang w:val="en-US"/>
          </w:rPr>
          <w:t>pub</w:t>
        </w:r>
        <w:r w:rsidRPr="003B5CA7">
          <w:rPr>
            <w:rStyle w:val="Hyperlink"/>
            <w:szCs w:val="20"/>
          </w:rPr>
          <w:t>/8069793</w:t>
        </w:r>
        <w:r w:rsidRPr="00AB3EC3">
          <w:rPr>
            <w:rStyle w:val="Hyperlink"/>
            <w:szCs w:val="20"/>
            <w:lang w:val="en-US"/>
          </w:rPr>
          <w:t>a</w:t>
        </w:r>
        <w:r w:rsidRPr="003B5CA7">
          <w:rPr>
            <w:rStyle w:val="Hyperlink"/>
            <w:szCs w:val="20"/>
          </w:rPr>
          <w:t>-</w:t>
        </w:r>
        <w:r w:rsidRPr="00AB3EC3">
          <w:rPr>
            <w:rStyle w:val="Hyperlink"/>
            <w:szCs w:val="20"/>
            <w:lang w:val="en-US"/>
          </w:rPr>
          <w:t>en</w:t>
        </w:r>
      </w:hyperlink>
      <w:r w:rsidRPr="003B5CA7">
        <w:rPr>
          <w:rStyle w:val="Hyperlink"/>
          <w:szCs w:val="20"/>
          <w:u w:val="none"/>
        </w:rPr>
        <w:t>.</w:t>
      </w:r>
    </w:p>
  </w:footnote>
  <w:footnote w:id="2">
    <w:p w14:paraId="7CBC7F1F" w14:textId="77777777" w:rsidR="00FA36AD" w:rsidRPr="003B5CA7" w:rsidRDefault="00FA36AD" w:rsidP="00FA36AD">
      <w:pPr>
        <w:pStyle w:val="FootnoteText"/>
        <w:ind w:left="0" w:firstLine="0"/>
        <w:rPr>
          <w:szCs w:val="20"/>
        </w:rPr>
      </w:pPr>
      <w:r w:rsidRPr="00014D8F">
        <w:rPr>
          <w:rStyle w:val="FootnoteReference"/>
        </w:rPr>
        <w:footnoteRef/>
      </w:r>
      <w:r w:rsidRPr="003B5CA7">
        <w:rPr>
          <w:szCs w:val="20"/>
        </w:rPr>
        <w:tab/>
      </w:r>
      <w:r>
        <w:rPr>
          <w:szCs w:val="20"/>
        </w:rPr>
        <w:t>См. заключительные отчеты собраний</w:t>
      </w:r>
      <w:r w:rsidRPr="003B5CA7">
        <w:rPr>
          <w:szCs w:val="20"/>
        </w:rPr>
        <w:t xml:space="preserve"> </w:t>
      </w:r>
      <w:hyperlink r:id="rId2" w:history="1">
        <w:r w:rsidRPr="003B5CA7">
          <w:rPr>
            <w:rStyle w:val="Hyperlink"/>
            <w:szCs w:val="20"/>
          </w:rPr>
          <w:t>1/32</w:t>
        </w:r>
      </w:hyperlink>
      <w:r w:rsidRPr="003B5CA7">
        <w:rPr>
          <w:szCs w:val="20"/>
        </w:rPr>
        <w:t xml:space="preserve">, </w:t>
      </w:r>
      <w:hyperlink r:id="rId3" w:history="1">
        <w:r w:rsidRPr="003B5CA7">
          <w:rPr>
            <w:rStyle w:val="Hyperlink"/>
            <w:szCs w:val="20"/>
          </w:rPr>
          <w:t>1/33</w:t>
        </w:r>
      </w:hyperlink>
      <w:r w:rsidRPr="003B5CA7">
        <w:rPr>
          <w:szCs w:val="20"/>
        </w:rPr>
        <w:t xml:space="preserve"> </w:t>
      </w:r>
      <w:r>
        <w:rPr>
          <w:szCs w:val="20"/>
        </w:rPr>
        <w:t>и</w:t>
      </w:r>
      <w:r w:rsidRPr="003B5CA7">
        <w:rPr>
          <w:szCs w:val="20"/>
        </w:rPr>
        <w:t xml:space="preserve"> </w:t>
      </w:r>
      <w:hyperlink r:id="rId4" w:history="1">
        <w:r w:rsidRPr="003B5CA7">
          <w:rPr>
            <w:rStyle w:val="Hyperlink"/>
            <w:szCs w:val="20"/>
          </w:rPr>
          <w:t>2/32</w:t>
        </w:r>
      </w:hyperlink>
      <w:r w:rsidRPr="003B5CA7">
        <w:rPr>
          <w:rStyle w:val="Hyperlink"/>
          <w:szCs w:val="20"/>
          <w:u w:val="none"/>
        </w:rPr>
        <w:t>.</w:t>
      </w:r>
    </w:p>
  </w:footnote>
  <w:footnote w:id="3">
    <w:p w14:paraId="6665B727" w14:textId="77777777" w:rsidR="00FA36AD" w:rsidRPr="003B5CA7" w:rsidRDefault="00FA36AD" w:rsidP="00FA36AD">
      <w:pPr>
        <w:pStyle w:val="FootnoteText"/>
        <w:ind w:left="0" w:firstLine="0"/>
        <w:rPr>
          <w:szCs w:val="20"/>
        </w:rPr>
      </w:pPr>
      <w:r w:rsidRPr="00D25E34">
        <w:rPr>
          <w:rStyle w:val="FootnoteReference"/>
          <w:szCs w:val="16"/>
        </w:rPr>
        <w:footnoteRef/>
      </w:r>
      <w:r w:rsidRPr="003B5CA7">
        <w:tab/>
      </w:r>
      <w:hyperlink r:id="rId5" w:history="1">
        <w:r w:rsidRPr="003B5CA7">
          <w:rPr>
            <w:rStyle w:val="Hyperlink"/>
            <w:szCs w:val="20"/>
          </w:rPr>
          <w:t>Группа высокого уровня Генерального секретаря ООН по цифровому сотрудничеству</w:t>
        </w:r>
      </w:hyperlink>
      <w:r w:rsidRPr="00303C6C">
        <w:rPr>
          <w:rStyle w:val="Hyperlink"/>
          <w:color w:val="auto"/>
          <w:szCs w:val="20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06B32" w14:textId="196B6E62" w:rsidR="000D4947" w:rsidRPr="00701E31" w:rsidRDefault="000D4947" w:rsidP="00B01C2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ind w:right="1"/>
      <w:rPr>
        <w:smallCaps/>
        <w:spacing w:val="24"/>
      </w:rPr>
    </w:pPr>
    <w:r w:rsidRPr="00972BCD">
      <w:tab/>
    </w:r>
    <w:r w:rsidRPr="004D0E96">
      <w:t>TDAG-</w:t>
    </w:r>
    <w:r w:rsidRPr="004D0E96">
      <w:rPr>
        <w:lang w:val="en-US"/>
      </w:rPr>
      <w:t>21</w:t>
    </w:r>
    <w:r w:rsidRPr="004D0E96">
      <w:t>/</w:t>
    </w:r>
    <w:r>
      <w:t>2</w:t>
    </w:r>
    <w:r w:rsidRPr="004D0E96">
      <w:t>-R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2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3642D"/>
    <w:multiLevelType w:val="hybridMultilevel"/>
    <w:tmpl w:val="F84C4738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05785"/>
    <w:multiLevelType w:val="hybridMultilevel"/>
    <w:tmpl w:val="F5901DEC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E0C7E"/>
    <w:multiLevelType w:val="hybridMultilevel"/>
    <w:tmpl w:val="7164A3F2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C85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C1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06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E6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E89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E6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CA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2A6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4041B"/>
    <w:multiLevelType w:val="hybridMultilevel"/>
    <w:tmpl w:val="CB284B8A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E7C70"/>
    <w:multiLevelType w:val="hybridMultilevel"/>
    <w:tmpl w:val="FE1045FC"/>
    <w:lvl w:ilvl="0" w:tplc="D8AA70E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DE66243"/>
    <w:multiLevelType w:val="hybridMultilevel"/>
    <w:tmpl w:val="C1C6725C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FE4166"/>
    <w:multiLevelType w:val="hybridMultilevel"/>
    <w:tmpl w:val="F296293A"/>
    <w:lvl w:ilvl="0" w:tplc="D8AA70E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E744575"/>
    <w:multiLevelType w:val="hybridMultilevel"/>
    <w:tmpl w:val="E4EA8D74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EF8FB3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FB0A7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9A67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66DF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C4C54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25472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1840F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58219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5E5E80"/>
    <w:multiLevelType w:val="hybridMultilevel"/>
    <w:tmpl w:val="07B2B462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D24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22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85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A8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FC7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28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AC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C2F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83CE1"/>
    <w:multiLevelType w:val="hybridMultilevel"/>
    <w:tmpl w:val="7BCCBF72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C31FD"/>
    <w:multiLevelType w:val="hybridMultilevel"/>
    <w:tmpl w:val="D222DE62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764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54D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6A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A9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FC2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6C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8D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D69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6343F"/>
    <w:multiLevelType w:val="hybridMultilevel"/>
    <w:tmpl w:val="12F20AD6"/>
    <w:lvl w:ilvl="0" w:tplc="D8AA70E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3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419" w:vendorID="64" w:dllVersion="0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00D66"/>
    <w:rsid w:val="00003C8B"/>
    <w:rsid w:val="00005222"/>
    <w:rsid w:val="00014D8F"/>
    <w:rsid w:val="00022267"/>
    <w:rsid w:val="00024158"/>
    <w:rsid w:val="00030BBF"/>
    <w:rsid w:val="000330E3"/>
    <w:rsid w:val="0006171F"/>
    <w:rsid w:val="000630E7"/>
    <w:rsid w:val="000848B6"/>
    <w:rsid w:val="00085402"/>
    <w:rsid w:val="000B2F7F"/>
    <w:rsid w:val="000B58AD"/>
    <w:rsid w:val="000B6144"/>
    <w:rsid w:val="000D334E"/>
    <w:rsid w:val="000D4947"/>
    <w:rsid w:val="000F78E5"/>
    <w:rsid w:val="00107E03"/>
    <w:rsid w:val="00111662"/>
    <w:rsid w:val="0011601A"/>
    <w:rsid w:val="00124BB2"/>
    <w:rsid w:val="001252B9"/>
    <w:rsid w:val="0012574A"/>
    <w:rsid w:val="00130398"/>
    <w:rsid w:val="00131A73"/>
    <w:rsid w:val="001321F0"/>
    <w:rsid w:val="00132427"/>
    <w:rsid w:val="00134D3C"/>
    <w:rsid w:val="00145210"/>
    <w:rsid w:val="001475EB"/>
    <w:rsid w:val="001522F1"/>
    <w:rsid w:val="001530FB"/>
    <w:rsid w:val="001531E7"/>
    <w:rsid w:val="00156EA4"/>
    <w:rsid w:val="00160D14"/>
    <w:rsid w:val="00176FC1"/>
    <w:rsid w:val="00177236"/>
    <w:rsid w:val="00191479"/>
    <w:rsid w:val="00192AEE"/>
    <w:rsid w:val="0019469D"/>
    <w:rsid w:val="00194B80"/>
    <w:rsid w:val="00197305"/>
    <w:rsid w:val="001978D1"/>
    <w:rsid w:val="001B5527"/>
    <w:rsid w:val="001B5B3F"/>
    <w:rsid w:val="001B7CCB"/>
    <w:rsid w:val="001C0F66"/>
    <w:rsid w:val="001C3B49"/>
    <w:rsid w:val="001C6DD3"/>
    <w:rsid w:val="001E0693"/>
    <w:rsid w:val="001E3E78"/>
    <w:rsid w:val="00202D0A"/>
    <w:rsid w:val="00206D60"/>
    <w:rsid w:val="002162E0"/>
    <w:rsid w:val="002219FC"/>
    <w:rsid w:val="002236F8"/>
    <w:rsid w:val="00226C8E"/>
    <w:rsid w:val="00233B04"/>
    <w:rsid w:val="00234DD5"/>
    <w:rsid w:val="002363C5"/>
    <w:rsid w:val="00245256"/>
    <w:rsid w:val="002502FE"/>
    <w:rsid w:val="00255945"/>
    <w:rsid w:val="00257C2C"/>
    <w:rsid w:val="00270876"/>
    <w:rsid w:val="002717CC"/>
    <w:rsid w:val="0028690D"/>
    <w:rsid w:val="002919C0"/>
    <w:rsid w:val="002931FA"/>
    <w:rsid w:val="00293568"/>
    <w:rsid w:val="002A2E7B"/>
    <w:rsid w:val="002A517C"/>
    <w:rsid w:val="002B0454"/>
    <w:rsid w:val="002B5563"/>
    <w:rsid w:val="002D1546"/>
    <w:rsid w:val="002E1ED8"/>
    <w:rsid w:val="002E6229"/>
    <w:rsid w:val="002F13E6"/>
    <w:rsid w:val="002F57B8"/>
    <w:rsid w:val="00301D5D"/>
    <w:rsid w:val="00316454"/>
    <w:rsid w:val="0033434B"/>
    <w:rsid w:val="00334864"/>
    <w:rsid w:val="00335150"/>
    <w:rsid w:val="003421F5"/>
    <w:rsid w:val="003429DB"/>
    <w:rsid w:val="003654D1"/>
    <w:rsid w:val="00366978"/>
    <w:rsid w:val="00370549"/>
    <w:rsid w:val="00371F2F"/>
    <w:rsid w:val="0037284D"/>
    <w:rsid w:val="00377515"/>
    <w:rsid w:val="0038102C"/>
    <w:rsid w:val="00387114"/>
    <w:rsid w:val="00393D9E"/>
    <w:rsid w:val="003A169F"/>
    <w:rsid w:val="003A1889"/>
    <w:rsid w:val="003A294B"/>
    <w:rsid w:val="003A7C0E"/>
    <w:rsid w:val="003B08E5"/>
    <w:rsid w:val="003B252C"/>
    <w:rsid w:val="003C0A98"/>
    <w:rsid w:val="003C1CB3"/>
    <w:rsid w:val="003C6B6C"/>
    <w:rsid w:val="003C6E83"/>
    <w:rsid w:val="003D7078"/>
    <w:rsid w:val="003E2157"/>
    <w:rsid w:val="003E6E87"/>
    <w:rsid w:val="003F29C1"/>
    <w:rsid w:val="003F38D1"/>
    <w:rsid w:val="0040328D"/>
    <w:rsid w:val="00410DA0"/>
    <w:rsid w:val="004143D5"/>
    <w:rsid w:val="00422053"/>
    <w:rsid w:val="0043194D"/>
    <w:rsid w:val="00431AEC"/>
    <w:rsid w:val="004374F3"/>
    <w:rsid w:val="004430AF"/>
    <w:rsid w:val="00452886"/>
    <w:rsid w:val="00455E6A"/>
    <w:rsid w:val="00460CED"/>
    <w:rsid w:val="00463A76"/>
    <w:rsid w:val="0046689B"/>
    <w:rsid w:val="004713B8"/>
    <w:rsid w:val="00485BC5"/>
    <w:rsid w:val="004919B4"/>
    <w:rsid w:val="00492670"/>
    <w:rsid w:val="004958BA"/>
    <w:rsid w:val="0049590B"/>
    <w:rsid w:val="004B516B"/>
    <w:rsid w:val="004D0E96"/>
    <w:rsid w:val="004D2490"/>
    <w:rsid w:val="004D4235"/>
    <w:rsid w:val="004D5B04"/>
    <w:rsid w:val="004E4490"/>
    <w:rsid w:val="004F4F15"/>
    <w:rsid w:val="004F7277"/>
    <w:rsid w:val="0050362C"/>
    <w:rsid w:val="005117C9"/>
    <w:rsid w:val="005130F3"/>
    <w:rsid w:val="00536C60"/>
    <w:rsid w:val="00542A7C"/>
    <w:rsid w:val="005500FD"/>
    <w:rsid w:val="00550E87"/>
    <w:rsid w:val="00557CF7"/>
    <w:rsid w:val="00571D4B"/>
    <w:rsid w:val="0057404B"/>
    <w:rsid w:val="00576A46"/>
    <w:rsid w:val="005773D4"/>
    <w:rsid w:val="00593CDC"/>
    <w:rsid w:val="005A4E0D"/>
    <w:rsid w:val="005B39B0"/>
    <w:rsid w:val="005B3DC9"/>
    <w:rsid w:val="005C0551"/>
    <w:rsid w:val="005C0AD5"/>
    <w:rsid w:val="005C2A62"/>
    <w:rsid w:val="005C36DE"/>
    <w:rsid w:val="005C4201"/>
    <w:rsid w:val="005C64D2"/>
    <w:rsid w:val="005C7BEC"/>
    <w:rsid w:val="005D3ADE"/>
    <w:rsid w:val="005D4DF3"/>
    <w:rsid w:val="005E006A"/>
    <w:rsid w:val="005E052C"/>
    <w:rsid w:val="005E1D49"/>
    <w:rsid w:val="005E3A7A"/>
    <w:rsid w:val="00600F1F"/>
    <w:rsid w:val="006017CE"/>
    <w:rsid w:val="00615F7D"/>
    <w:rsid w:val="00631202"/>
    <w:rsid w:val="00633E65"/>
    <w:rsid w:val="00634634"/>
    <w:rsid w:val="00651707"/>
    <w:rsid w:val="00653A0A"/>
    <w:rsid w:val="00655923"/>
    <w:rsid w:val="00683CB0"/>
    <w:rsid w:val="00694764"/>
    <w:rsid w:val="006A4F52"/>
    <w:rsid w:val="006B2F23"/>
    <w:rsid w:val="006B7CDA"/>
    <w:rsid w:val="006C6518"/>
    <w:rsid w:val="006D33C1"/>
    <w:rsid w:val="006E0EA3"/>
    <w:rsid w:val="006F5E91"/>
    <w:rsid w:val="00701E31"/>
    <w:rsid w:val="00703B74"/>
    <w:rsid w:val="007108F7"/>
    <w:rsid w:val="00720D79"/>
    <w:rsid w:val="0072154D"/>
    <w:rsid w:val="007344E1"/>
    <w:rsid w:val="00737228"/>
    <w:rsid w:val="00743C0D"/>
    <w:rsid w:val="007470B6"/>
    <w:rsid w:val="00755045"/>
    <w:rsid w:val="00756126"/>
    <w:rsid w:val="0075684C"/>
    <w:rsid w:val="00766213"/>
    <w:rsid w:val="00767BC6"/>
    <w:rsid w:val="0077248D"/>
    <w:rsid w:val="00784A51"/>
    <w:rsid w:val="0078538E"/>
    <w:rsid w:val="00791F4F"/>
    <w:rsid w:val="00794556"/>
    <w:rsid w:val="007A08B3"/>
    <w:rsid w:val="007A757C"/>
    <w:rsid w:val="007B446D"/>
    <w:rsid w:val="007B54EB"/>
    <w:rsid w:val="007D781B"/>
    <w:rsid w:val="007E6B3A"/>
    <w:rsid w:val="007F4A03"/>
    <w:rsid w:val="00804DFD"/>
    <w:rsid w:val="008112E9"/>
    <w:rsid w:val="008147B9"/>
    <w:rsid w:val="008203A1"/>
    <w:rsid w:val="00823D94"/>
    <w:rsid w:val="008247EB"/>
    <w:rsid w:val="0083640D"/>
    <w:rsid w:val="008365CA"/>
    <w:rsid w:val="008401CA"/>
    <w:rsid w:val="00846664"/>
    <w:rsid w:val="008508CE"/>
    <w:rsid w:val="0085298E"/>
    <w:rsid w:val="00866545"/>
    <w:rsid w:val="00875722"/>
    <w:rsid w:val="00877723"/>
    <w:rsid w:val="008A3C59"/>
    <w:rsid w:val="008A453E"/>
    <w:rsid w:val="008B21A7"/>
    <w:rsid w:val="008B46FC"/>
    <w:rsid w:val="008C5426"/>
    <w:rsid w:val="008C576E"/>
    <w:rsid w:val="008C7B1A"/>
    <w:rsid w:val="008C7FD7"/>
    <w:rsid w:val="008F1A8E"/>
    <w:rsid w:val="008F48C1"/>
    <w:rsid w:val="008F5E0B"/>
    <w:rsid w:val="00905055"/>
    <w:rsid w:val="009053BE"/>
    <w:rsid w:val="00906268"/>
    <w:rsid w:val="00907C1E"/>
    <w:rsid w:val="009135B4"/>
    <w:rsid w:val="00916B10"/>
    <w:rsid w:val="00916D31"/>
    <w:rsid w:val="00917A7F"/>
    <w:rsid w:val="00917F27"/>
    <w:rsid w:val="00920E42"/>
    <w:rsid w:val="00924F74"/>
    <w:rsid w:val="00933E0E"/>
    <w:rsid w:val="00937865"/>
    <w:rsid w:val="00940ABA"/>
    <w:rsid w:val="00946B2E"/>
    <w:rsid w:val="00947EDA"/>
    <w:rsid w:val="00955E17"/>
    <w:rsid w:val="00963CF6"/>
    <w:rsid w:val="00965DE3"/>
    <w:rsid w:val="00970251"/>
    <w:rsid w:val="00971CC7"/>
    <w:rsid w:val="00977009"/>
    <w:rsid w:val="00991843"/>
    <w:rsid w:val="00997F31"/>
    <w:rsid w:val="009A1ECD"/>
    <w:rsid w:val="009A2C6A"/>
    <w:rsid w:val="009C5B8E"/>
    <w:rsid w:val="009E2146"/>
    <w:rsid w:val="009F4A41"/>
    <w:rsid w:val="009F5750"/>
    <w:rsid w:val="00A01B2D"/>
    <w:rsid w:val="00A1088E"/>
    <w:rsid w:val="00A10D7F"/>
    <w:rsid w:val="00A15A4E"/>
    <w:rsid w:val="00A24D4C"/>
    <w:rsid w:val="00A2576E"/>
    <w:rsid w:val="00A30897"/>
    <w:rsid w:val="00A30C48"/>
    <w:rsid w:val="00A36A10"/>
    <w:rsid w:val="00A41B6A"/>
    <w:rsid w:val="00A44602"/>
    <w:rsid w:val="00A50573"/>
    <w:rsid w:val="00A53525"/>
    <w:rsid w:val="00A64F9D"/>
    <w:rsid w:val="00A6531D"/>
    <w:rsid w:val="00A675E5"/>
    <w:rsid w:val="00A73D91"/>
    <w:rsid w:val="00A75177"/>
    <w:rsid w:val="00A85B27"/>
    <w:rsid w:val="00A92D70"/>
    <w:rsid w:val="00A97853"/>
    <w:rsid w:val="00A97932"/>
    <w:rsid w:val="00AA42F8"/>
    <w:rsid w:val="00AA582C"/>
    <w:rsid w:val="00AA6149"/>
    <w:rsid w:val="00AB6249"/>
    <w:rsid w:val="00AC2E0E"/>
    <w:rsid w:val="00AC30BC"/>
    <w:rsid w:val="00AC51D8"/>
    <w:rsid w:val="00AC6023"/>
    <w:rsid w:val="00AD56D6"/>
    <w:rsid w:val="00AE0BB7"/>
    <w:rsid w:val="00AE1BA7"/>
    <w:rsid w:val="00B01C23"/>
    <w:rsid w:val="00B16371"/>
    <w:rsid w:val="00B222FE"/>
    <w:rsid w:val="00B24169"/>
    <w:rsid w:val="00B24982"/>
    <w:rsid w:val="00B24A4D"/>
    <w:rsid w:val="00B3633A"/>
    <w:rsid w:val="00B37E33"/>
    <w:rsid w:val="00B42259"/>
    <w:rsid w:val="00B50AE3"/>
    <w:rsid w:val="00B52E6E"/>
    <w:rsid w:val="00B54A6D"/>
    <w:rsid w:val="00B66606"/>
    <w:rsid w:val="00B67A1A"/>
    <w:rsid w:val="00B7147A"/>
    <w:rsid w:val="00B726C0"/>
    <w:rsid w:val="00B75868"/>
    <w:rsid w:val="00B81254"/>
    <w:rsid w:val="00B86DFA"/>
    <w:rsid w:val="00B9410B"/>
    <w:rsid w:val="00B961EF"/>
    <w:rsid w:val="00BA5A7F"/>
    <w:rsid w:val="00BC4931"/>
    <w:rsid w:val="00BD2C91"/>
    <w:rsid w:val="00BD533A"/>
    <w:rsid w:val="00BD7A1A"/>
    <w:rsid w:val="00BE1E73"/>
    <w:rsid w:val="00BE3ECC"/>
    <w:rsid w:val="00BF1766"/>
    <w:rsid w:val="00BF7BB8"/>
    <w:rsid w:val="00C01354"/>
    <w:rsid w:val="00C0593F"/>
    <w:rsid w:val="00C1509B"/>
    <w:rsid w:val="00C1527E"/>
    <w:rsid w:val="00C15500"/>
    <w:rsid w:val="00C2387E"/>
    <w:rsid w:val="00C3333A"/>
    <w:rsid w:val="00C33388"/>
    <w:rsid w:val="00C3531C"/>
    <w:rsid w:val="00C36489"/>
    <w:rsid w:val="00C41514"/>
    <w:rsid w:val="00C42778"/>
    <w:rsid w:val="00C517DF"/>
    <w:rsid w:val="00C62513"/>
    <w:rsid w:val="00C62E82"/>
    <w:rsid w:val="00C63CDA"/>
    <w:rsid w:val="00C66389"/>
    <w:rsid w:val="00C71A6F"/>
    <w:rsid w:val="00C7671E"/>
    <w:rsid w:val="00C76ACC"/>
    <w:rsid w:val="00C84CCD"/>
    <w:rsid w:val="00C91B9F"/>
    <w:rsid w:val="00CA10F5"/>
    <w:rsid w:val="00CA57D4"/>
    <w:rsid w:val="00CB1036"/>
    <w:rsid w:val="00CC1874"/>
    <w:rsid w:val="00CD1F3E"/>
    <w:rsid w:val="00CD34AE"/>
    <w:rsid w:val="00CE37A1"/>
    <w:rsid w:val="00CE4AF4"/>
    <w:rsid w:val="00CE5E7B"/>
    <w:rsid w:val="00CE72A9"/>
    <w:rsid w:val="00D07C89"/>
    <w:rsid w:val="00D16175"/>
    <w:rsid w:val="00D25DD1"/>
    <w:rsid w:val="00D25E34"/>
    <w:rsid w:val="00D276B5"/>
    <w:rsid w:val="00D41EAB"/>
    <w:rsid w:val="00D42F77"/>
    <w:rsid w:val="00D60203"/>
    <w:rsid w:val="00D6169C"/>
    <w:rsid w:val="00D6199A"/>
    <w:rsid w:val="00D64322"/>
    <w:rsid w:val="00D655B7"/>
    <w:rsid w:val="00D712FE"/>
    <w:rsid w:val="00D8020D"/>
    <w:rsid w:val="00D8653C"/>
    <w:rsid w:val="00D923CD"/>
    <w:rsid w:val="00D92A9E"/>
    <w:rsid w:val="00D93FCC"/>
    <w:rsid w:val="00D95DCA"/>
    <w:rsid w:val="00DA4610"/>
    <w:rsid w:val="00DA75A1"/>
    <w:rsid w:val="00DB20A6"/>
    <w:rsid w:val="00DB346A"/>
    <w:rsid w:val="00DC354B"/>
    <w:rsid w:val="00DD19E1"/>
    <w:rsid w:val="00DD3140"/>
    <w:rsid w:val="00DD5D8C"/>
    <w:rsid w:val="00DD7A96"/>
    <w:rsid w:val="00DE0023"/>
    <w:rsid w:val="00DE1315"/>
    <w:rsid w:val="00DE3EE6"/>
    <w:rsid w:val="00E016DD"/>
    <w:rsid w:val="00E02543"/>
    <w:rsid w:val="00E06A7D"/>
    <w:rsid w:val="00E22374"/>
    <w:rsid w:val="00E24645"/>
    <w:rsid w:val="00E265CD"/>
    <w:rsid w:val="00E30170"/>
    <w:rsid w:val="00E34626"/>
    <w:rsid w:val="00E36649"/>
    <w:rsid w:val="00E530F9"/>
    <w:rsid w:val="00E54FD2"/>
    <w:rsid w:val="00E6308B"/>
    <w:rsid w:val="00E82D31"/>
    <w:rsid w:val="00E93344"/>
    <w:rsid w:val="00EA2BEA"/>
    <w:rsid w:val="00EA30B3"/>
    <w:rsid w:val="00EA32BD"/>
    <w:rsid w:val="00EA3995"/>
    <w:rsid w:val="00EB07D1"/>
    <w:rsid w:val="00EB35AB"/>
    <w:rsid w:val="00EC25C6"/>
    <w:rsid w:val="00EC7FA5"/>
    <w:rsid w:val="00EE153D"/>
    <w:rsid w:val="00F03925"/>
    <w:rsid w:val="00F06E7F"/>
    <w:rsid w:val="00F376CB"/>
    <w:rsid w:val="00F45B27"/>
    <w:rsid w:val="00F55320"/>
    <w:rsid w:val="00F56F23"/>
    <w:rsid w:val="00F657BC"/>
    <w:rsid w:val="00F66FAF"/>
    <w:rsid w:val="00F67866"/>
    <w:rsid w:val="00F72A94"/>
    <w:rsid w:val="00F746B3"/>
    <w:rsid w:val="00F82C8D"/>
    <w:rsid w:val="00F961B7"/>
    <w:rsid w:val="00FA14CE"/>
    <w:rsid w:val="00FA29E1"/>
    <w:rsid w:val="00FA2BC3"/>
    <w:rsid w:val="00FA36AD"/>
    <w:rsid w:val="00FA39D8"/>
    <w:rsid w:val="00FA4AB7"/>
    <w:rsid w:val="00FA62A4"/>
    <w:rsid w:val="00FA6BDB"/>
    <w:rsid w:val="00FA70C3"/>
    <w:rsid w:val="00FC1008"/>
    <w:rsid w:val="00FC163B"/>
    <w:rsid w:val="00FC5ABC"/>
    <w:rsid w:val="00FC6E30"/>
    <w:rsid w:val="00FC792E"/>
    <w:rsid w:val="00FD2B37"/>
    <w:rsid w:val="00FE7B5F"/>
    <w:rsid w:val="00FF21A5"/>
    <w:rsid w:val="00FF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5A2EBC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7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7772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uiPriority w:val="99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uiPriority w:val="99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uiPriority w:val="99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uiPriority w:val="99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uiPriority w:val="99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uiPriority w:val="99"/>
    <w:rsid w:val="00CE37A1"/>
  </w:style>
  <w:style w:type="paragraph" w:customStyle="1" w:styleId="Appendixref">
    <w:name w:val="Appendix_ref"/>
    <w:basedOn w:val="Annexref"/>
    <w:next w:val="Normal"/>
    <w:uiPriority w:val="99"/>
    <w:rsid w:val="00CE37A1"/>
  </w:style>
  <w:style w:type="paragraph" w:customStyle="1" w:styleId="Appendixtitle">
    <w:name w:val="Appendix_title"/>
    <w:basedOn w:val="Annextitle"/>
    <w:next w:val="Normal"/>
    <w:uiPriority w:val="99"/>
    <w:rsid w:val="00CE37A1"/>
    <w:rPr>
      <w:sz w:val="22"/>
    </w:rPr>
  </w:style>
  <w:style w:type="paragraph" w:customStyle="1" w:styleId="Artheading">
    <w:name w:val="Art_heading"/>
    <w:basedOn w:val="Normal"/>
    <w:next w:val="Normal"/>
    <w:uiPriority w:val="99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uiPriority w:val="99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uiPriority w:val="99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uiPriority w:val="99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uiPriority w:val="99"/>
    <w:rsid w:val="00CE37A1"/>
  </w:style>
  <w:style w:type="paragraph" w:customStyle="1" w:styleId="Chaptitle">
    <w:name w:val="Chap_title"/>
    <w:basedOn w:val="Arttitle"/>
    <w:next w:val="Normal"/>
    <w:uiPriority w:val="99"/>
    <w:rsid w:val="00CE37A1"/>
  </w:style>
  <w:style w:type="paragraph" w:customStyle="1" w:styleId="Committee">
    <w:name w:val="Committee"/>
    <w:basedOn w:val="Normal"/>
    <w:uiPriority w:val="99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uiPriority w:val="99"/>
    <w:rsid w:val="002E6229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1530FB"/>
    <w:pPr>
      <w:ind w:left="1191" w:hanging="397"/>
    </w:pPr>
  </w:style>
  <w:style w:type="paragraph" w:customStyle="1" w:styleId="enumlev3">
    <w:name w:val="enumlev3"/>
    <w:basedOn w:val="enumlev2"/>
    <w:uiPriority w:val="99"/>
    <w:rsid w:val="001530FB"/>
    <w:pPr>
      <w:ind w:left="1588"/>
    </w:pPr>
  </w:style>
  <w:style w:type="paragraph" w:styleId="Footer">
    <w:name w:val="footer"/>
    <w:basedOn w:val="Normal"/>
    <w:link w:val="FooterChar"/>
    <w:qFormat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014D8F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qFormat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77723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qFormat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uiPriority w:val="99"/>
    <w:qFormat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paragraph" w:styleId="NormalIndent">
    <w:name w:val="Normal Indent"/>
    <w:basedOn w:val="Normal"/>
    <w:uiPriority w:val="99"/>
    <w:rsid w:val="00CE37A1"/>
    <w:pPr>
      <w:ind w:left="567"/>
    </w:pPr>
  </w:style>
  <w:style w:type="paragraph" w:customStyle="1" w:styleId="Note">
    <w:name w:val="Note"/>
    <w:basedOn w:val="Normal"/>
    <w:uiPriority w:val="99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uiPriority w:val="99"/>
    <w:qFormat/>
    <w:rsid w:val="00CE37A1"/>
  </w:style>
  <w:style w:type="paragraph" w:customStyle="1" w:styleId="RecNo">
    <w:name w:val="Rec_No"/>
    <w:basedOn w:val="Normal"/>
    <w:next w:val="Normal"/>
    <w:uiPriority w:val="99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uiPriority w:val="99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uiPriority w:val="99"/>
    <w:rsid w:val="00CE37A1"/>
  </w:style>
  <w:style w:type="paragraph" w:customStyle="1" w:styleId="Restitle">
    <w:name w:val="Res_title"/>
    <w:basedOn w:val="Annextitle"/>
    <w:next w:val="Normal"/>
    <w:uiPriority w:val="99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uiPriority w:val="99"/>
    <w:rsid w:val="0050362C"/>
    <w:pPr>
      <w:framePr w:hSpace="180" w:wrap="around" w:vAnchor="page" w:hAnchor="margin" w:y="790"/>
      <w:spacing w:before="48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uiPriority w:val="99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uiPriority w:val="99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uiPriority w:val="99"/>
    <w:rsid w:val="00CE37A1"/>
    <w:pPr>
      <w:spacing w:before="120"/>
    </w:pPr>
  </w:style>
  <w:style w:type="paragraph" w:customStyle="1" w:styleId="TableNo">
    <w:name w:val="Table_No"/>
    <w:basedOn w:val="Normal"/>
    <w:next w:val="Normal"/>
    <w:uiPriority w:val="99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uiPriority w:val="99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uiPriority w:val="99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uiPriority w:val="99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uiPriority w:val="99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uiPriority w:val="99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uiPriority w:val="99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uiPriority w:val="99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uiPriority w:val="99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uiPriority w:val="99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uiPriority w:val="99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uiPriority w:val="99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uiPriority w:val="99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paragraph" w:customStyle="1" w:styleId="msonormal0">
    <w:name w:val="msonormal"/>
    <w:basedOn w:val="Normal"/>
    <w:uiPriority w:val="99"/>
    <w:rsid w:val="00536C6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Theme="minorHAnsi" w:eastAsia="Calibri" w:hAnsiTheme="minorHAnsi" w:cstheme="minorHAnsi"/>
      <w:sz w:val="24"/>
      <w:szCs w:val="24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E3EE6"/>
    <w:rPr>
      <w:color w:val="605E5C"/>
      <w:shd w:val="clear" w:color="auto" w:fill="E1DFDD"/>
    </w:rPr>
  </w:style>
  <w:style w:type="paragraph" w:customStyle="1" w:styleId="Agendaitem">
    <w:name w:val="Agenda_item"/>
    <w:basedOn w:val="Normal"/>
    <w:next w:val="Normal"/>
    <w:uiPriority w:val="99"/>
    <w:qFormat/>
    <w:rsid w:val="00536C6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sz w:val="26"/>
      <w:szCs w:val="20"/>
      <w:lang w:val="es-ES_tradnl"/>
    </w:rPr>
  </w:style>
  <w:style w:type="paragraph" w:customStyle="1" w:styleId="ApptoAnnex">
    <w:name w:val="App_to_Annex"/>
    <w:basedOn w:val="AppendixNo"/>
    <w:next w:val="Normal"/>
    <w:uiPriority w:val="99"/>
    <w:qFormat/>
    <w:rsid w:val="00536C6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textAlignment w:val="auto"/>
    </w:pPr>
    <w:rPr>
      <w:szCs w:val="20"/>
      <w:lang w:val="en-GB"/>
    </w:rPr>
  </w:style>
  <w:style w:type="paragraph" w:customStyle="1" w:styleId="Equation">
    <w:name w:val="Equation"/>
    <w:basedOn w:val="Normal"/>
    <w:uiPriority w:val="99"/>
    <w:rsid w:val="00536C6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center" w:pos="4820"/>
        <w:tab w:val="right" w:pos="9639"/>
      </w:tabs>
      <w:textAlignment w:val="auto"/>
    </w:pPr>
    <w:rPr>
      <w:szCs w:val="20"/>
      <w:lang w:val="en-GB"/>
    </w:rPr>
  </w:style>
  <w:style w:type="paragraph" w:customStyle="1" w:styleId="Equationlegend">
    <w:name w:val="Equation_legend"/>
    <w:basedOn w:val="NormalIndent"/>
    <w:uiPriority w:val="99"/>
    <w:rsid w:val="00536C60"/>
    <w:pPr>
      <w:tabs>
        <w:tab w:val="clear" w:pos="794"/>
        <w:tab w:val="clear" w:pos="1191"/>
        <w:tab w:val="clear" w:pos="1588"/>
        <w:tab w:val="clear" w:pos="1985"/>
        <w:tab w:val="right" w:pos="1871"/>
        <w:tab w:val="left" w:pos="2041"/>
      </w:tabs>
      <w:spacing w:before="80"/>
      <w:ind w:left="2041" w:hanging="2041"/>
      <w:textAlignment w:val="auto"/>
    </w:pPr>
    <w:rPr>
      <w:szCs w:val="20"/>
      <w:lang w:val="en-GB"/>
    </w:rPr>
  </w:style>
  <w:style w:type="paragraph" w:customStyle="1" w:styleId="Figure">
    <w:name w:val="Figure"/>
    <w:basedOn w:val="Normal"/>
    <w:next w:val="Normal"/>
    <w:uiPriority w:val="99"/>
    <w:rsid w:val="00536C6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  <w:textAlignment w:val="auto"/>
    </w:pPr>
    <w:rPr>
      <w:szCs w:val="20"/>
      <w:lang w:val="en-GB"/>
    </w:rPr>
  </w:style>
  <w:style w:type="paragraph" w:customStyle="1" w:styleId="Figurelegend">
    <w:name w:val="Figure_legend"/>
    <w:basedOn w:val="Normal"/>
    <w:uiPriority w:val="99"/>
    <w:rsid w:val="00536C6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" w:after="20"/>
      <w:textAlignment w:val="auto"/>
    </w:pPr>
    <w:rPr>
      <w:sz w:val="18"/>
      <w:szCs w:val="20"/>
      <w:lang w:val="en-GB"/>
    </w:rPr>
  </w:style>
  <w:style w:type="paragraph" w:customStyle="1" w:styleId="FigureNo">
    <w:name w:val="Figure_No"/>
    <w:basedOn w:val="Normal"/>
    <w:next w:val="Normal"/>
    <w:uiPriority w:val="99"/>
    <w:rsid w:val="00536C6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  <w:textAlignment w:val="auto"/>
    </w:pPr>
    <w:rPr>
      <w:caps/>
      <w:szCs w:val="20"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536C6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480"/>
      <w:jc w:val="center"/>
      <w:textAlignment w:val="auto"/>
    </w:pPr>
    <w:rPr>
      <w:b/>
      <w:szCs w:val="20"/>
      <w:lang w:val="en-GB"/>
    </w:rPr>
  </w:style>
  <w:style w:type="paragraph" w:customStyle="1" w:styleId="Figurewithouttitle">
    <w:name w:val="Figure_without_title"/>
    <w:basedOn w:val="FigureNo"/>
    <w:next w:val="Normal"/>
    <w:uiPriority w:val="99"/>
    <w:rsid w:val="00536C60"/>
    <w:pPr>
      <w:keepNext w:val="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536C60"/>
    <w:rPr>
      <w:rFonts w:ascii="Calibri" w:eastAsia="Times New Roman" w:hAnsi="Calibri" w:cs="Times New Roman"/>
      <w:lang w:val="ru-RU" w:eastAsia="en-US"/>
    </w:rPr>
  </w:style>
  <w:style w:type="paragraph" w:customStyle="1" w:styleId="Section10">
    <w:name w:val="Section_1"/>
    <w:basedOn w:val="Normal"/>
    <w:uiPriority w:val="99"/>
    <w:rsid w:val="00536C60"/>
    <w:pPr>
      <w:tabs>
        <w:tab w:val="clear" w:pos="794"/>
        <w:tab w:val="clear" w:pos="1191"/>
        <w:tab w:val="clear" w:pos="1588"/>
        <w:tab w:val="clear" w:pos="1985"/>
        <w:tab w:val="left" w:pos="1871"/>
        <w:tab w:val="center" w:pos="4820"/>
      </w:tabs>
      <w:spacing w:before="360"/>
      <w:jc w:val="center"/>
      <w:textAlignment w:val="auto"/>
    </w:pPr>
    <w:rPr>
      <w:b/>
      <w:szCs w:val="20"/>
      <w:lang w:val="en-GB"/>
    </w:rPr>
  </w:style>
  <w:style w:type="paragraph" w:customStyle="1" w:styleId="Section20">
    <w:name w:val="Section_2"/>
    <w:basedOn w:val="Section10"/>
    <w:uiPriority w:val="99"/>
    <w:rsid w:val="00536C60"/>
    <w:rPr>
      <w:b w:val="0"/>
      <w:i/>
    </w:rPr>
  </w:style>
  <w:style w:type="paragraph" w:customStyle="1" w:styleId="Section3">
    <w:name w:val="Section_3"/>
    <w:basedOn w:val="Section10"/>
    <w:uiPriority w:val="99"/>
    <w:rsid w:val="00536C60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536C6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textAlignment w:val="auto"/>
    </w:pPr>
    <w:rPr>
      <w:szCs w:val="20"/>
      <w:lang w:val="en-GB"/>
    </w:rPr>
  </w:style>
  <w:style w:type="paragraph" w:customStyle="1" w:styleId="Sectiontitle">
    <w:name w:val="Section_title"/>
    <w:basedOn w:val="Annextitle"/>
    <w:next w:val="Normalaftertitle"/>
    <w:uiPriority w:val="99"/>
    <w:rsid w:val="00536C6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textAlignment w:val="auto"/>
    </w:pPr>
    <w:rPr>
      <w:szCs w:val="20"/>
      <w:lang w:val="en-GB"/>
    </w:rPr>
  </w:style>
  <w:style w:type="paragraph" w:customStyle="1" w:styleId="SpecialFooter">
    <w:name w:val="Special Footer"/>
    <w:basedOn w:val="Footer"/>
    <w:uiPriority w:val="99"/>
    <w:rsid w:val="00536C6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both"/>
      <w:textAlignment w:val="auto"/>
    </w:pPr>
    <w:rPr>
      <w:caps w:val="0"/>
      <w:noProof w:val="0"/>
      <w:szCs w:val="20"/>
      <w:lang w:val="en-GB"/>
    </w:rPr>
  </w:style>
  <w:style w:type="paragraph" w:customStyle="1" w:styleId="Subsection1">
    <w:name w:val="Subsection_1"/>
    <w:basedOn w:val="Section10"/>
    <w:next w:val="Normalaftertitle"/>
    <w:uiPriority w:val="99"/>
    <w:qFormat/>
    <w:rsid w:val="00536C60"/>
  </w:style>
  <w:style w:type="paragraph" w:customStyle="1" w:styleId="Tableref">
    <w:name w:val="Table_ref"/>
    <w:basedOn w:val="Normal"/>
    <w:next w:val="Normal"/>
    <w:uiPriority w:val="99"/>
    <w:rsid w:val="00536C6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  <w:textAlignment w:val="auto"/>
    </w:pPr>
    <w:rPr>
      <w:sz w:val="20"/>
      <w:szCs w:val="20"/>
      <w:lang w:val="en-GB"/>
    </w:rPr>
  </w:style>
  <w:style w:type="paragraph" w:customStyle="1" w:styleId="Normalend">
    <w:name w:val="Normal_end"/>
    <w:basedOn w:val="Normal"/>
    <w:next w:val="Normal"/>
    <w:uiPriority w:val="99"/>
    <w:qFormat/>
    <w:rsid w:val="00536C6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textAlignment w:val="auto"/>
    </w:pPr>
    <w:rPr>
      <w:szCs w:val="20"/>
      <w:lang w:val="en-US"/>
    </w:rPr>
  </w:style>
  <w:style w:type="paragraph" w:customStyle="1" w:styleId="Questiondate">
    <w:name w:val="Question_date"/>
    <w:basedOn w:val="Normal"/>
    <w:next w:val="Normalaftertitle"/>
    <w:uiPriority w:val="99"/>
    <w:rsid w:val="00536C6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right"/>
      <w:textAlignment w:val="auto"/>
    </w:pPr>
    <w:rPr>
      <w:szCs w:val="20"/>
      <w:lang w:val="en-GB"/>
    </w:rPr>
  </w:style>
  <w:style w:type="paragraph" w:customStyle="1" w:styleId="QuestionNo">
    <w:name w:val="Question_No"/>
    <w:basedOn w:val="Normal"/>
    <w:next w:val="Normal"/>
    <w:uiPriority w:val="99"/>
    <w:rsid w:val="00536C6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  <w:textAlignment w:val="auto"/>
    </w:pPr>
    <w:rPr>
      <w:caps/>
      <w:sz w:val="26"/>
      <w:szCs w:val="20"/>
      <w:lang w:val="en-GB"/>
    </w:rPr>
  </w:style>
  <w:style w:type="paragraph" w:customStyle="1" w:styleId="Questiontitle">
    <w:name w:val="Question_title"/>
    <w:basedOn w:val="Normal"/>
    <w:next w:val="Normal"/>
    <w:uiPriority w:val="99"/>
    <w:rsid w:val="00536C6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  <w:textAlignment w:val="auto"/>
    </w:pPr>
    <w:rPr>
      <w:b/>
      <w:sz w:val="26"/>
      <w:szCs w:val="20"/>
      <w:lang w:val="en-GB"/>
    </w:rPr>
  </w:style>
  <w:style w:type="paragraph" w:customStyle="1" w:styleId="Title4">
    <w:name w:val="Title 4"/>
    <w:basedOn w:val="Title3"/>
    <w:next w:val="Heading1"/>
    <w:uiPriority w:val="99"/>
    <w:rsid w:val="00536C60"/>
  </w:style>
  <w:style w:type="paragraph" w:customStyle="1" w:styleId="Part1">
    <w:name w:val="Part_1"/>
    <w:basedOn w:val="Section10"/>
    <w:next w:val="Section10"/>
    <w:uiPriority w:val="99"/>
    <w:qFormat/>
    <w:rsid w:val="00536C60"/>
  </w:style>
  <w:style w:type="paragraph" w:customStyle="1" w:styleId="PartNo">
    <w:name w:val="Part_No"/>
    <w:basedOn w:val="AnnexNo"/>
    <w:next w:val="Normal"/>
    <w:uiPriority w:val="99"/>
    <w:rsid w:val="00536C6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textAlignment w:val="auto"/>
    </w:pPr>
    <w:rPr>
      <w:szCs w:val="20"/>
      <w:lang w:val="en-GB"/>
    </w:rPr>
  </w:style>
  <w:style w:type="paragraph" w:customStyle="1" w:styleId="Partref">
    <w:name w:val="Part_ref"/>
    <w:basedOn w:val="Annexref"/>
    <w:next w:val="Normal"/>
    <w:uiPriority w:val="99"/>
    <w:rsid w:val="00536C6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textAlignment w:val="auto"/>
    </w:pPr>
    <w:rPr>
      <w:sz w:val="22"/>
      <w:szCs w:val="20"/>
      <w:lang w:val="en-GB"/>
    </w:rPr>
  </w:style>
  <w:style w:type="paragraph" w:customStyle="1" w:styleId="Parttitle">
    <w:name w:val="Part_title"/>
    <w:basedOn w:val="Annextitle"/>
    <w:next w:val="Normalaftertitle"/>
    <w:uiPriority w:val="99"/>
    <w:rsid w:val="00536C6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textAlignment w:val="auto"/>
    </w:pPr>
    <w:rPr>
      <w:szCs w:val="20"/>
      <w:lang w:val="en-GB"/>
    </w:rPr>
  </w:style>
  <w:style w:type="paragraph" w:customStyle="1" w:styleId="Recdate">
    <w:name w:val="Rec_date"/>
    <w:basedOn w:val="Normal"/>
    <w:next w:val="Normalaftertitle"/>
    <w:uiPriority w:val="99"/>
    <w:rsid w:val="00536C6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right"/>
      <w:textAlignment w:val="auto"/>
    </w:pPr>
    <w:rPr>
      <w:szCs w:val="20"/>
      <w:lang w:val="en-GB"/>
    </w:rPr>
  </w:style>
  <w:style w:type="paragraph" w:customStyle="1" w:styleId="AppArtNo">
    <w:name w:val="App_Art_No"/>
    <w:basedOn w:val="ArtNo"/>
    <w:uiPriority w:val="99"/>
    <w:qFormat/>
    <w:rsid w:val="00536C6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textAlignment w:val="auto"/>
    </w:pPr>
    <w:rPr>
      <w:szCs w:val="20"/>
      <w:lang w:val="en-GB"/>
    </w:rPr>
  </w:style>
  <w:style w:type="paragraph" w:customStyle="1" w:styleId="AppArttitle">
    <w:name w:val="App_Art_title"/>
    <w:basedOn w:val="Arttitle"/>
    <w:uiPriority w:val="99"/>
    <w:qFormat/>
    <w:rsid w:val="00536C6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0"/>
      <w:textAlignment w:val="auto"/>
    </w:pPr>
    <w:rPr>
      <w:szCs w:val="20"/>
      <w:lang w:val="en-GB"/>
    </w:rPr>
  </w:style>
  <w:style w:type="paragraph" w:customStyle="1" w:styleId="Opiniontitle">
    <w:name w:val="Opinion_title"/>
    <w:basedOn w:val="Rectitle"/>
    <w:next w:val="Normalaftertitle"/>
    <w:uiPriority w:val="99"/>
    <w:qFormat/>
    <w:rsid w:val="00536C6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textAlignment w:val="auto"/>
    </w:pPr>
    <w:rPr>
      <w:szCs w:val="20"/>
      <w:lang w:val="en-GB"/>
    </w:rPr>
  </w:style>
  <w:style w:type="paragraph" w:customStyle="1" w:styleId="OpinionNo">
    <w:name w:val="Opinion_No"/>
    <w:basedOn w:val="RecNo"/>
    <w:next w:val="Opiniontitle"/>
    <w:uiPriority w:val="99"/>
    <w:qFormat/>
    <w:rsid w:val="00536C6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textAlignment w:val="auto"/>
    </w:pPr>
    <w:rPr>
      <w:szCs w:val="20"/>
      <w:lang w:val="en-GB"/>
    </w:rPr>
  </w:style>
  <w:style w:type="paragraph" w:customStyle="1" w:styleId="Volumetitle">
    <w:name w:val="Volume_title"/>
    <w:basedOn w:val="Normal"/>
    <w:uiPriority w:val="99"/>
    <w:qFormat/>
    <w:rsid w:val="00536C6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szCs w:val="20"/>
      <w:lang w:val="en-US"/>
    </w:rPr>
  </w:style>
  <w:style w:type="character" w:customStyle="1" w:styleId="Appdef">
    <w:name w:val="App_def"/>
    <w:basedOn w:val="DefaultParagraphFont"/>
    <w:rsid w:val="00536C60"/>
    <w:rPr>
      <w:rFonts w:ascii="Calibri" w:hAnsi="Calibri" w:cs="Calibri" w:hint="default"/>
      <w:b/>
      <w:bCs w:val="0"/>
    </w:rPr>
  </w:style>
  <w:style w:type="character" w:customStyle="1" w:styleId="Appref">
    <w:name w:val="App_ref"/>
    <w:basedOn w:val="DefaultParagraphFont"/>
    <w:rsid w:val="00536C60"/>
    <w:rPr>
      <w:rFonts w:ascii="Calibri" w:hAnsi="Calibri" w:cs="Calibri" w:hint="default"/>
    </w:rPr>
  </w:style>
  <w:style w:type="character" w:customStyle="1" w:styleId="Artdef">
    <w:name w:val="Art_def"/>
    <w:basedOn w:val="DefaultParagraphFont"/>
    <w:rsid w:val="00536C60"/>
    <w:rPr>
      <w:rFonts w:ascii="Calibri" w:hAnsi="Calibri" w:cs="Calibri" w:hint="default"/>
      <w:b/>
      <w:bCs w:val="0"/>
    </w:rPr>
  </w:style>
  <w:style w:type="character" w:customStyle="1" w:styleId="Artref">
    <w:name w:val="Art_ref"/>
    <w:basedOn w:val="DefaultParagraphFont"/>
    <w:rsid w:val="00536C60"/>
    <w:rPr>
      <w:rFonts w:ascii="Calibri" w:hAnsi="Calibri" w:cs="Calibri" w:hint="default"/>
    </w:rPr>
  </w:style>
  <w:style w:type="character" w:customStyle="1" w:styleId="Tablefreq">
    <w:name w:val="Table_freq"/>
    <w:basedOn w:val="DefaultParagraphFont"/>
    <w:rsid w:val="00536C60"/>
    <w:rPr>
      <w:rFonts w:asciiTheme="minorHAnsi" w:hAnsiTheme="minorHAnsi" w:cs="Calibri" w:hint="default"/>
      <w:b/>
      <w:bCs w:val="0"/>
      <w:color w:val="auto"/>
      <w:sz w:val="20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536C60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536C60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StyleRowBandSize w:val="1"/>
      <w:tblStyleColBandSize w:val="1"/>
      <w:tblInd w:w="0" w:type="nil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uiPriority w:val="59"/>
    <w:rsid w:val="00536C60"/>
    <w:pPr>
      <w:spacing w:after="0" w:line="240" w:lineRule="auto"/>
    </w:pPr>
    <w:rPr>
      <w:rFonts w:ascii="CG Times" w:hAnsi="CG Times" w:cs="Times"/>
      <w:sz w:val="20"/>
      <w:szCs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uiPriority w:val="59"/>
    <w:rsid w:val="00536C60"/>
    <w:pPr>
      <w:spacing w:after="0" w:line="240" w:lineRule="auto"/>
    </w:pPr>
    <w:rPr>
      <w:rFonts w:ascii="CG Times" w:hAnsi="CG Times" w:cs="Times"/>
      <w:sz w:val="20"/>
      <w:szCs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uiPriority w:val="59"/>
    <w:rsid w:val="00536C60"/>
    <w:pPr>
      <w:spacing w:after="0" w:line="240" w:lineRule="auto"/>
    </w:pPr>
    <w:rPr>
      <w:rFonts w:ascii="CG Times" w:hAnsi="CG Times" w:cs="Times"/>
      <w:sz w:val="20"/>
      <w:szCs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uiPriority w:val="39"/>
    <w:rsid w:val="00536C60"/>
    <w:pPr>
      <w:spacing w:after="0" w:line="240" w:lineRule="auto"/>
    </w:pPr>
    <w:rPr>
      <w:rFonts w:ascii="CG Times" w:hAnsi="CG Times" w:cs="Times"/>
      <w:sz w:val="20"/>
      <w:szCs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uiPriority w:val="59"/>
    <w:rsid w:val="00536C60"/>
    <w:pPr>
      <w:spacing w:after="0" w:line="240" w:lineRule="auto"/>
    </w:pPr>
    <w:rPr>
      <w:rFonts w:ascii="CG Times" w:hAnsi="CG Times" w:cs="Times"/>
      <w:sz w:val="20"/>
      <w:szCs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uiPriority w:val="59"/>
    <w:rsid w:val="00536C60"/>
    <w:pPr>
      <w:spacing w:after="0" w:line="240" w:lineRule="auto"/>
    </w:pPr>
    <w:rPr>
      <w:rFonts w:ascii="CG Times" w:hAnsi="CG Times" w:cs="Times"/>
      <w:sz w:val="20"/>
      <w:szCs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1">
    <w:name w:val="Таблица-сетка 1 светлая — акцент 11"/>
    <w:basedOn w:val="TableNormal"/>
    <w:uiPriority w:val="46"/>
    <w:rsid w:val="00536C60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StyleRowBandSize w:val="1"/>
      <w:tblStyleColBandSize w:val="1"/>
      <w:tblInd w:w="0" w:type="nil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1">
    <w:name w:val="Таблица-сетка 1 светлая — акцент 111"/>
    <w:basedOn w:val="TableNormal"/>
    <w:uiPriority w:val="46"/>
    <w:rsid w:val="00536C60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StyleRowBandSize w:val="1"/>
      <w:tblStyleColBandSize w:val="1"/>
      <w:tblInd w:w="0" w:type="nil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1">
    <w:name w:val="Table Grid11"/>
    <w:basedOn w:val="TableNormal"/>
    <w:uiPriority w:val="59"/>
    <w:rsid w:val="00536C60"/>
    <w:pPr>
      <w:spacing w:after="0" w:line="240" w:lineRule="auto"/>
    </w:pPr>
    <w:rPr>
      <w:rFonts w:ascii="CG Times" w:hAnsi="CG Times" w:cs="Times"/>
      <w:sz w:val="20"/>
      <w:szCs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TableNormal"/>
    <w:uiPriority w:val="59"/>
    <w:rsid w:val="00536C60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536C60"/>
    <w:pPr>
      <w:spacing w:after="0" w:line="240" w:lineRule="auto"/>
    </w:pPr>
    <w:rPr>
      <w:rFonts w:ascii="CG Times" w:hAnsi="CG Times" w:cs="Times"/>
      <w:sz w:val="20"/>
      <w:szCs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">
    <w:name w:val="Table Grid31"/>
    <w:basedOn w:val="TableNormal"/>
    <w:uiPriority w:val="59"/>
    <w:rsid w:val="00536C60"/>
    <w:pPr>
      <w:spacing w:after="0" w:line="240" w:lineRule="auto"/>
    </w:pPr>
    <w:rPr>
      <w:rFonts w:ascii="CG Times" w:hAnsi="CG Times" w:cs="Times"/>
      <w:sz w:val="20"/>
      <w:szCs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1">
    <w:name w:val="Table Grid61"/>
    <w:basedOn w:val="TableNormal"/>
    <w:uiPriority w:val="39"/>
    <w:rsid w:val="00536C60"/>
    <w:pPr>
      <w:spacing w:after="0" w:line="240" w:lineRule="auto"/>
    </w:pPr>
    <w:rPr>
      <w:rFonts w:ascii="CG Times" w:hAnsi="CG Times" w:cs="Times"/>
      <w:sz w:val="20"/>
      <w:szCs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">
    <w:name w:val="Table Grid41"/>
    <w:basedOn w:val="TableNormal"/>
    <w:uiPriority w:val="59"/>
    <w:rsid w:val="00536C60"/>
    <w:pPr>
      <w:spacing w:after="0" w:line="240" w:lineRule="auto"/>
    </w:pPr>
    <w:rPr>
      <w:rFonts w:ascii="CG Times" w:hAnsi="CG Times" w:cs="Times"/>
      <w:sz w:val="20"/>
      <w:szCs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">
    <w:name w:val="Table Grid51"/>
    <w:basedOn w:val="TableNormal"/>
    <w:uiPriority w:val="59"/>
    <w:rsid w:val="00536C60"/>
    <w:pPr>
      <w:spacing w:after="0" w:line="240" w:lineRule="auto"/>
    </w:pPr>
    <w:rPr>
      <w:rFonts w:ascii="CG Times" w:hAnsi="CG Times" w:cs="Times"/>
      <w:sz w:val="20"/>
      <w:szCs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E3EE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Theme="minorHAnsi" w:eastAsia="Calibri" w:hAnsiTheme="minorHAnsi" w:cstheme="minorHAnsi"/>
      <w:sz w:val="24"/>
      <w:szCs w:val="24"/>
      <w:lang w:val="en-US" w:eastAsia="en-GB"/>
    </w:rPr>
  </w:style>
  <w:style w:type="paragraph" w:styleId="ListParagraph">
    <w:name w:val="List Paragraph"/>
    <w:aliases w:val="NUMBERED PARAGRAPH,List Paragraph 1,List Paragraph (numbered (a)),Use Case List Paragraph,References,ReferencesCxSpLast,lp1,List Paragraph1,Recommendation,List Paragraph11,List Paragraph- Con,Bullets,Dot pt,F5 List Paragraph,No Spacing1"/>
    <w:basedOn w:val="Normal"/>
    <w:link w:val="ListParagraphChar"/>
    <w:uiPriority w:val="34"/>
    <w:qFormat/>
    <w:rsid w:val="00B1637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="Calibri" w:hAnsiTheme="minorHAnsi" w:cstheme="minorHAnsi"/>
      <w:sz w:val="24"/>
      <w:szCs w:val="24"/>
      <w:lang w:val="en-US" w:eastAsia="en-GB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,List Paragraph1 Char,Recommendation Char,List Paragraph11 Char,Dot pt Char"/>
    <w:basedOn w:val="DefaultParagraphFont"/>
    <w:link w:val="ListParagraph"/>
    <w:uiPriority w:val="34"/>
    <w:qFormat/>
    <w:locked/>
    <w:rsid w:val="00B16371"/>
    <w:rPr>
      <w:rFonts w:eastAsia="Calibri" w:cstheme="minorHAnsi"/>
      <w:sz w:val="24"/>
      <w:szCs w:val="24"/>
      <w:lang w:val="en-US" w:eastAsia="en-GB"/>
    </w:rPr>
  </w:style>
  <w:style w:type="paragraph" w:customStyle="1" w:styleId="paragraph">
    <w:name w:val="paragraph"/>
    <w:basedOn w:val="Normal"/>
    <w:rsid w:val="00946B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2A2E7B"/>
  </w:style>
  <w:style w:type="character" w:styleId="Strong">
    <w:name w:val="Strong"/>
    <w:basedOn w:val="DefaultParagraphFont"/>
    <w:uiPriority w:val="22"/>
    <w:qFormat/>
    <w:rsid w:val="002A2E7B"/>
    <w:rPr>
      <w:b/>
      <w:bCs/>
    </w:rPr>
  </w:style>
  <w:style w:type="character" w:customStyle="1" w:styleId="ms-rtethemeforecolor-9-0">
    <w:name w:val="ms-rtethemeforecolor-9-0"/>
    <w:basedOn w:val="DefaultParagraphFont"/>
    <w:rsid w:val="00B7147A"/>
  </w:style>
  <w:style w:type="character" w:styleId="Emphasis">
    <w:name w:val="Emphasis"/>
    <w:basedOn w:val="DefaultParagraphFont"/>
    <w:uiPriority w:val="20"/>
    <w:qFormat/>
    <w:rsid w:val="00D25E34"/>
    <w:rPr>
      <w:i/>
      <w:iCs/>
    </w:rPr>
  </w:style>
  <w:style w:type="paragraph" w:styleId="NoSpacing">
    <w:name w:val="No Spacing"/>
    <w:uiPriority w:val="1"/>
    <w:qFormat/>
    <w:rsid w:val="00D25E3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fault">
    <w:name w:val="Default"/>
    <w:rsid w:val="00381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36AD"/>
    <w:rPr>
      <w:color w:val="605E5C"/>
      <w:shd w:val="clear" w:color="auto" w:fill="E1DFDD"/>
    </w:rPr>
  </w:style>
  <w:style w:type="table" w:customStyle="1" w:styleId="GridTable1Light-Accent11">
    <w:name w:val="Grid Table 1 Light - Accent 11"/>
    <w:basedOn w:val="TableNormal"/>
    <w:uiPriority w:val="46"/>
    <w:rsid w:val="00FA36AD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w4winMark">
    <w:name w:val="tw4winMark"/>
    <w:basedOn w:val="DefaultParagraphFont"/>
    <w:rsid w:val="00FA36AD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szCs w:val="20"/>
      <w:effect w:val="none"/>
      <w:vertAlign w:val="subscript"/>
      <w:lang w:val="en-GB"/>
    </w:rPr>
  </w:style>
  <w:style w:type="character" w:styleId="PlaceholderText">
    <w:name w:val="Placeholder Text"/>
    <w:basedOn w:val="DefaultParagraphFont"/>
    <w:uiPriority w:val="99"/>
    <w:semiHidden/>
    <w:rsid w:val="002B04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en/ITU-D/Emergency-Telecommunications/Documents/2019/GET_2019/Partnerships-for-Saving-Lives-Disaster-Connectivity-Map-Concept-Note.pdf" TargetMode="External"/><Relationship Id="rId21" Type="http://schemas.openxmlformats.org/officeDocument/2006/relationships/hyperlink" Target="https://academy.itu.int/index.php/main-activities/research-publications/digital-skills-insights" TargetMode="External"/><Relationship Id="rId42" Type="http://schemas.openxmlformats.org/officeDocument/2006/relationships/hyperlink" Target="https://www.itu.int/en/ITU-D/Cybersecurity/Pages/CyberDrill-2020/Incident-Response-with-TheHive-and-Cortex.aspx" TargetMode="External"/><Relationship Id="rId63" Type="http://schemas.openxmlformats.org/officeDocument/2006/relationships/hyperlink" Target="https://www.enhancedif.org/en/empower-women-power-trade" TargetMode="External"/><Relationship Id="rId84" Type="http://schemas.openxmlformats.org/officeDocument/2006/relationships/hyperlink" Target="https://www.itu.int/en/ITU-D/Innovation/Pages/Nurturing-A-Digital-Innovation-Ecosystem-That-Accelerate-Youth-Resilience-and-Empowerment-In-Benin.aspx" TargetMode="External"/><Relationship Id="rId138" Type="http://schemas.openxmlformats.org/officeDocument/2006/relationships/hyperlink" Target="https://www.itu.int/en/ITU-D/Climate-Change/Pages/ewaste/A-New-Circular-Vision-for-Electronics-Time-for-a-Global-Reboot.aspx" TargetMode="External"/><Relationship Id="rId159" Type="http://schemas.openxmlformats.org/officeDocument/2006/relationships/hyperlink" Target="https://www.itu.int/oth/D0723000001/en" TargetMode="External"/><Relationship Id="rId170" Type="http://schemas.openxmlformats.org/officeDocument/2006/relationships/hyperlink" Target="https://www.itu.int/pub/D-PREF-EF.BDR-2018" TargetMode="External"/><Relationship Id="rId191" Type="http://schemas.openxmlformats.org/officeDocument/2006/relationships/hyperlink" Target="https://www.itu.int/en/ITU-D/Regulatory-Market/Pages/Events.aspx" TargetMode="External"/><Relationship Id="rId205" Type="http://schemas.openxmlformats.org/officeDocument/2006/relationships/hyperlink" Target="https://www.itu.int/en/ITU-D/Statistics/Pages/publications/misr2018.aspx" TargetMode="External"/><Relationship Id="rId226" Type="http://schemas.openxmlformats.org/officeDocument/2006/relationships/hyperlink" Target="https://www.itu.int/en/ITU-D/Study-Groups/2018-2021/Pages/OngoingWork.aspx" TargetMode="External"/><Relationship Id="rId107" Type="http://schemas.openxmlformats.org/officeDocument/2006/relationships/hyperlink" Target="https://www.itu.int/en/ITU-D/Emergency-Telecommunications/Documents/2020/T-REC-X.1303bis-201403-.pdf" TargetMode="External"/><Relationship Id="rId11" Type="http://schemas.openxmlformats.org/officeDocument/2006/relationships/hyperlink" Target="https://www.itu.int/md/D18-RPMARB-C-0004/" TargetMode="External"/><Relationship Id="rId32" Type="http://schemas.openxmlformats.org/officeDocument/2006/relationships/hyperlink" Target="https://www.itu.int/en/cop/Pages/guidelines.aspx" TargetMode="External"/><Relationship Id="rId53" Type="http://schemas.openxmlformats.org/officeDocument/2006/relationships/hyperlink" Target="https://www.itu.int/en/ITU-D/Digital-Inclusion/Women-and-Girls/Girls-in-ICT-Portal/Pages/GirlsInICTDay/2021/GICT-2021.aspx" TargetMode="External"/><Relationship Id="rId74" Type="http://schemas.openxmlformats.org/officeDocument/2006/relationships/hyperlink" Target="https://www.equals.org/" TargetMode="External"/><Relationship Id="rId128" Type="http://schemas.openxmlformats.org/officeDocument/2006/relationships/hyperlink" Target="https://www.itu.int/en/ITU-D/Environment/Pages/Toolbox/WEEE-Africa-Toolkit.aspx" TargetMode="External"/><Relationship Id="rId149" Type="http://schemas.openxmlformats.org/officeDocument/2006/relationships/hyperlink" Target="https://academy.itu.int/training-courses/full-catalogue/itu-training-business-planning-ict-infrastructure-development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tu.int/oth/D0717000002/" TargetMode="External"/><Relationship Id="rId160" Type="http://schemas.openxmlformats.org/officeDocument/2006/relationships/hyperlink" Target="https://www.itu.int/oth/D0723000002/en" TargetMode="External"/><Relationship Id="rId181" Type="http://schemas.openxmlformats.org/officeDocument/2006/relationships/hyperlink" Target="https://sway.office.com/4AcrlY9R4BMemONI" TargetMode="External"/><Relationship Id="rId216" Type="http://schemas.openxmlformats.org/officeDocument/2006/relationships/hyperlink" Target="https://www.itu.int/en/ITU-D/Statistics/Pages/events/egti2019/default.aspx" TargetMode="External"/><Relationship Id="rId237" Type="http://schemas.openxmlformats.org/officeDocument/2006/relationships/footer" Target="footer1.xml"/><Relationship Id="rId22" Type="http://schemas.openxmlformats.org/officeDocument/2006/relationships/hyperlink" Target="https://academy.itu.int/digital-skills-insights-2020" TargetMode="External"/><Relationship Id="rId43" Type="http://schemas.openxmlformats.org/officeDocument/2006/relationships/hyperlink" Target="https://www.itu.int/en/ITU-D/Cybersecurity/Pages/CyberDrill-2020/Incident-Response-with-TheHive-and-Cortex.aspx" TargetMode="External"/><Relationship Id="rId64" Type="http://schemas.openxmlformats.org/officeDocument/2006/relationships/hyperlink" Target="https://www.girlsinict.org/" TargetMode="External"/><Relationship Id="rId118" Type="http://schemas.openxmlformats.org/officeDocument/2006/relationships/hyperlink" Target="https://itu.zoom.us/rec/share/flOV1MYUfGGXq6SiDeFXDfuAvPV5gnXjsStpbe4U_vkooKx7J9y6UtVS9uiCobkU.Ic8cp4a7NGcdKMHy" TargetMode="External"/><Relationship Id="rId139" Type="http://schemas.openxmlformats.org/officeDocument/2006/relationships/hyperlink" Target="https://www.itu.int/en/ITU-D/Climate-Change/Pages/ewaste/E-waste-pilot-plant.aspx" TargetMode="External"/><Relationship Id="rId85" Type="http://schemas.openxmlformats.org/officeDocument/2006/relationships/hyperlink" Target="https://www.itu.int/en/ITU-D/Innovation/Pages/Scaling-up-Digital-Innovations-through-South-South-and-Triangular-Cooperation.aspx" TargetMode="External"/><Relationship Id="rId150" Type="http://schemas.openxmlformats.org/officeDocument/2006/relationships/hyperlink" Target="https://www.itu.int/en/ITU-D/Regional-Presence/Europe/Documents/Events/2019/Workshop%20Kyiv/Aminata%20Garba%203%20Last%20Mile%20Connectivity%20Kiev.pdf" TargetMode="External"/><Relationship Id="rId171" Type="http://schemas.openxmlformats.org/officeDocument/2006/relationships/hyperlink" Target="https://www.itu.int/pub/D-PREF-EF.BDT_AFR-2019" TargetMode="External"/><Relationship Id="rId192" Type="http://schemas.openxmlformats.org/officeDocument/2006/relationships/hyperlink" Target="https://www.itu.int/en/ITU-D/Regulatory-Market/Pages/DigiReg20.aspx" TargetMode="External"/><Relationship Id="rId206" Type="http://schemas.openxmlformats.org/officeDocument/2006/relationships/hyperlink" Target="https://www.itu.int/en/ITU-D/Statistics/Pages/facts/default.aspx" TargetMode="External"/><Relationship Id="rId227" Type="http://schemas.openxmlformats.org/officeDocument/2006/relationships/hyperlink" Target="https://www.itu.int/en/ITU-D/Study-Groups/2018-2021/Pages/meetings/events_workshops.aspx" TargetMode="External"/><Relationship Id="rId12" Type="http://schemas.openxmlformats.org/officeDocument/2006/relationships/hyperlink" Target="https://www.itu.int/md/D18-RPMAFR-210329/sum/en" TargetMode="External"/><Relationship Id="rId33" Type="http://schemas.openxmlformats.org/officeDocument/2006/relationships/hyperlink" Target="https://www.itu.int/en/ITU-D/Cybersecurity/Pages/2020-COP-Guidelines-launch-webinar.aspx" TargetMode="External"/><Relationship Id="rId108" Type="http://schemas.openxmlformats.org/officeDocument/2006/relationships/hyperlink" Target="https://www.itu.int/en/ITU-D/Regional-Presence/ArabStates/Pages/Events/2019/ICT4DRR/DRR.aspx" TargetMode="External"/><Relationship Id="rId129" Type="http://schemas.openxmlformats.org/officeDocument/2006/relationships/hyperlink" Target="https://weee-forum.org/iewd-about/" TargetMode="External"/><Relationship Id="rId54" Type="http://schemas.openxmlformats.org/officeDocument/2006/relationships/hyperlink" Target="https://www.itu.int/en/ITU-D/Regional-Presence/Africa/Pages/African-Girls-Can-Code.aspx" TargetMode="External"/><Relationship Id="rId75" Type="http://schemas.openxmlformats.org/officeDocument/2006/relationships/hyperlink" Target="http://foreign.inputprogram.com/?lang=en" TargetMode="External"/><Relationship Id="rId96" Type="http://schemas.openxmlformats.org/officeDocument/2006/relationships/hyperlink" Target="https://www.itu.int/net4/ITU-D/CDS/sg/rgqlist.asp?lg=1&amp;sp=2018&amp;rgq=D18-SG02-RGQ01.2&amp;stg=2" TargetMode="External"/><Relationship Id="rId140" Type="http://schemas.openxmlformats.org/officeDocument/2006/relationships/hyperlink" Target="https://www.itu.int/en/ITU-D/Regional-Presence/ArabStates/Pages/Events/2020/WEEE/WEEE.aspx" TargetMode="External"/><Relationship Id="rId161" Type="http://schemas.openxmlformats.org/officeDocument/2006/relationships/hyperlink" Target="https://www.itu.int/en/ITU-D/Study-Groups/2018-2021/Pages/meetings/session-Q5-1-sept19.aspx" TargetMode="External"/><Relationship Id="rId182" Type="http://schemas.openxmlformats.org/officeDocument/2006/relationships/hyperlink" Target="https://reg4covid.itu.int/wp-content/uploads/2020/06/ITU_COVID-19_and_Telecom-ICT.pdf" TargetMode="External"/><Relationship Id="rId217" Type="http://schemas.openxmlformats.org/officeDocument/2006/relationships/hyperlink" Target="https://www.itu.int/en/ITU-D/Statistics/Pages/events/egti2020/default.aspx" TargetMode="External"/><Relationship Id="rId6" Type="http://schemas.openxmlformats.org/officeDocument/2006/relationships/footnotes" Target="footnotes.xml"/><Relationship Id="rId238" Type="http://schemas.openxmlformats.org/officeDocument/2006/relationships/footer" Target="footer2.xml"/><Relationship Id="rId23" Type="http://schemas.openxmlformats.org/officeDocument/2006/relationships/hyperlink" Target="https://academy.itu.int/main-activities/research-publications/digital-skills-insights/digital-skills-assessment-guidebook" TargetMode="External"/><Relationship Id="rId119" Type="http://schemas.openxmlformats.org/officeDocument/2006/relationships/hyperlink" Target="https://www.itu.int/en/ITU-D/Regional-Presence/Americas/Pages/ACTVTS/PRJ/AMS-PRJ.aspx" TargetMode="External"/><Relationship Id="rId44" Type="http://schemas.openxmlformats.org/officeDocument/2006/relationships/hyperlink" Target="https://www.itu.int/en/ITU-D/Cybersecurity/Pages/2020-NCS-IM-webinar.aspx" TargetMode="External"/><Relationship Id="rId65" Type="http://schemas.openxmlformats.org/officeDocument/2006/relationships/hyperlink" Target="https://www.girlsinict.org/" TargetMode="External"/><Relationship Id="rId86" Type="http://schemas.openxmlformats.org/officeDocument/2006/relationships/hyperlink" Target="https://www.itu.int/en/ITU-D/Innovation/Pages/Digital-Transformation-Accelerators.aspx" TargetMode="External"/><Relationship Id="rId130" Type="http://schemas.openxmlformats.org/officeDocument/2006/relationships/hyperlink" Target="https://www.youtube.com/watch?v=AFqP6IEhf5Y" TargetMode="External"/><Relationship Id="rId151" Type="http://schemas.openxmlformats.org/officeDocument/2006/relationships/hyperlink" Target="https://www.itu.int/en/publications/ITU-D/Pages/publications.aspx?parent=D-TND-01-2020&amp;media=paper" TargetMode="External"/><Relationship Id="rId172" Type="http://schemas.openxmlformats.org/officeDocument/2006/relationships/hyperlink" Target="https://www.itu.int/pub/D-PREF-EF.BDT_AM" TargetMode="External"/><Relationship Id="rId193" Type="http://schemas.openxmlformats.org/officeDocument/2006/relationships/hyperlink" Target="https://digitalregulation.org/" TargetMode="External"/><Relationship Id="rId207" Type="http://schemas.openxmlformats.org/officeDocument/2006/relationships/hyperlink" Target="https://www.itu.int/en/ITU-D/Statistics/Pages/facts/default.aspx" TargetMode="External"/><Relationship Id="rId228" Type="http://schemas.openxmlformats.org/officeDocument/2006/relationships/hyperlink" Target="https://www.itu.int/md/D18-TDAG27.RDTP-C-0008" TargetMode="External"/><Relationship Id="rId13" Type="http://schemas.openxmlformats.org/officeDocument/2006/relationships/hyperlink" Target="https://www.itu.int/md/D18-RPMAMS-C-0004/en" TargetMode="External"/><Relationship Id="rId109" Type="http://schemas.openxmlformats.org/officeDocument/2006/relationships/hyperlink" Target="https://www.itu.int/en/ITU-D/Regional-Presence/ArabStates/Pages/Events/2020/CAP/CAP.aspx" TargetMode="External"/><Relationship Id="rId34" Type="http://schemas.openxmlformats.org/officeDocument/2006/relationships/hyperlink" Target="https://www.itu.int/en/ITU-D/Cybersecurity/Pages/COP/2020/Regional-Launches-COP-2020-Guidelines.aspx" TargetMode="External"/><Relationship Id="rId55" Type="http://schemas.openxmlformats.org/officeDocument/2006/relationships/hyperlink" Target="https://www.youtube.com/watch?v=gkYUlpgasoo" TargetMode="External"/><Relationship Id="rId76" Type="http://schemas.openxmlformats.org/officeDocument/2006/relationships/hyperlink" Target="https://news.itu.int/itu-innovation-challenges-ugandan-tech-solution-helps-deliver-clean-water-for-all/" TargetMode="External"/><Relationship Id="rId97" Type="http://schemas.openxmlformats.org/officeDocument/2006/relationships/hyperlink" Target="https://www.itu.int/en/ITU-D/Study-Groups/2018-2021/Pages/meetings/session-Q2-2-oct19.aspx" TargetMode="External"/><Relationship Id="rId120" Type="http://schemas.openxmlformats.org/officeDocument/2006/relationships/hyperlink" Target="https://www.itu.int/en/ITU-D/Emergency-Telecommunications/Pages/Response.aspx" TargetMode="External"/><Relationship Id="rId141" Type="http://schemas.openxmlformats.org/officeDocument/2006/relationships/hyperlink" Target="https://www.itu.int/en/ITU-D/Climate-Change/Pages/Events/2019/Workshop-on-E-waste-India.aspx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itu.int/en/ITU-D/Study-Groups/2018-2021/Pages/meetings/session-Q1-1-sept19.aspx" TargetMode="External"/><Relationship Id="rId183" Type="http://schemas.openxmlformats.org/officeDocument/2006/relationships/hyperlink" Target="https://www.itu.int/pub/D-PREF-EF.COV_ECO_IMPACT-2020" TargetMode="External"/><Relationship Id="rId218" Type="http://schemas.openxmlformats.org/officeDocument/2006/relationships/hyperlink" Target="https://www.un.org/en/content/digital-cooperation-roadmap/" TargetMode="External"/><Relationship Id="rId239" Type="http://schemas.openxmlformats.org/officeDocument/2006/relationships/fontTable" Target="fontTable.xml"/><Relationship Id="rId24" Type="http://schemas.openxmlformats.org/officeDocument/2006/relationships/hyperlink" Target="https://www.itu.int/en/ITU-D/Digital-Inclusion/Youth-and-Children/Pages/Digital-Skills.aspx" TargetMode="External"/><Relationship Id="rId45" Type="http://schemas.openxmlformats.org/officeDocument/2006/relationships/hyperlink" Target="https://www.equals.org/" TargetMode="External"/><Relationship Id="rId66" Type="http://schemas.openxmlformats.org/officeDocument/2006/relationships/hyperlink" Target="https://www.itu.int/en/ITU-D/Digital-Inclusion/Indigenous-Peoples/Pages/default.aspx" TargetMode="External"/><Relationship Id="rId87" Type="http://schemas.openxmlformats.org/officeDocument/2006/relationships/hyperlink" Target="https://www.itu.int/net4/ITU-D/CDS/sg/rgqlist.asp?lg=6&amp;sp=2018&amp;rgq=D18-SG02-RGQ01.2&amp;stg=2" TargetMode="External"/><Relationship Id="rId110" Type="http://schemas.openxmlformats.org/officeDocument/2006/relationships/hyperlink" Target="https://www.preparecenter.org/activities/common-alerting-protocol-workshop-2020" TargetMode="External"/><Relationship Id="rId131" Type="http://schemas.openxmlformats.org/officeDocument/2006/relationships/hyperlink" Target="https://www.itu.int/en/ITU-D/Environment/Documents/Publications/2020/Internet-Waste%202020.pdf?csf=1&amp;e=iQq5Zi" TargetMode="External"/><Relationship Id="rId152" Type="http://schemas.openxmlformats.org/officeDocument/2006/relationships/hyperlink" Target="https://www.youtube.com/watch?v=6NYLHZqeEvo" TargetMode="External"/><Relationship Id="rId173" Type="http://schemas.openxmlformats.org/officeDocument/2006/relationships/hyperlink" Target="https://www.itu.int/pub/D-PREF-EF.BDT_AP-2019" TargetMode="External"/><Relationship Id="rId194" Type="http://schemas.openxmlformats.org/officeDocument/2006/relationships/hyperlink" Target="https://www.itu.int/net4/ITU-D/CDS/sg/rgqlist.asp?lg=6&amp;sp=2018&amp;rgq=D18-SG01-RGQ03.1&amp;stg=1" TargetMode="External"/><Relationship Id="rId208" Type="http://schemas.openxmlformats.org/officeDocument/2006/relationships/hyperlink" Target="https://www.itu.int/en/ITU-D/Statistics/Pages/ICTprices/default.aspx" TargetMode="External"/><Relationship Id="rId229" Type="http://schemas.openxmlformats.org/officeDocument/2006/relationships/hyperlink" Target="https://www.itu.int/en/general-secretariat/Pages/ISCG/default.aspx" TargetMode="External"/><Relationship Id="rId240" Type="http://schemas.openxmlformats.org/officeDocument/2006/relationships/theme" Target="theme/theme1.xml"/><Relationship Id="rId14" Type="http://schemas.openxmlformats.org/officeDocument/2006/relationships/hyperlink" Target="https://www.itu.int/md/D18-RPMARB-C-0004/en" TargetMode="External"/><Relationship Id="rId35" Type="http://schemas.openxmlformats.org/officeDocument/2006/relationships/hyperlink" Target="https://www.itu.int/en/mediacentre/Pages/cm11-2020-ITU-SaudiArabia-partnership-COP-guidelines.aspx" TargetMode="External"/><Relationship Id="rId56" Type="http://schemas.openxmlformats.org/officeDocument/2006/relationships/hyperlink" Target="https://www.itu.int/en/ITU-D/Cybersecurity/Pages/Women-in-Cyber/Women-in-Cyber-Mentorship-Programme.aspx" TargetMode="External"/><Relationship Id="rId77" Type="http://schemas.openxmlformats.org/officeDocument/2006/relationships/hyperlink" Target="https://www.itu.int/en/ITU-D/Innovation/Documents/Young%20ICT%20LEdaers%27%20Forum%202018%20%20Busan%20-Report.pdf" TargetMode="External"/><Relationship Id="rId100" Type="http://schemas.openxmlformats.org/officeDocument/2006/relationships/hyperlink" Target="https://www.itu.int/en/ITU-D/Emergency-Telecommunications/Documents/Publications/2020/TTX_Guide.pdf" TargetMode="External"/><Relationship Id="rId8" Type="http://schemas.openxmlformats.org/officeDocument/2006/relationships/image" Target="media/image1.png"/><Relationship Id="rId98" Type="http://schemas.openxmlformats.org/officeDocument/2006/relationships/hyperlink" Target="https://www.itu.int/en/ITU-D/Study-Groups/2018-2021/Pages/meetings/Webinars/2020/Q2-2-july06.aspx" TargetMode="External"/><Relationship Id="rId121" Type="http://schemas.openxmlformats.org/officeDocument/2006/relationships/hyperlink" Target="https://www.itu.int/en/ITU-D/Emergency-Telecommunications/Pages/Response.aspx" TargetMode="External"/><Relationship Id="rId142" Type="http://schemas.openxmlformats.org/officeDocument/2006/relationships/hyperlink" Target="https://www.itu.int/en/ITU-D/Climate-Change/Pages/Events/2018/session-Q6-2-oct18.aspx" TargetMode="External"/><Relationship Id="rId163" Type="http://schemas.openxmlformats.org/officeDocument/2006/relationships/hyperlink" Target="https://www.itu.int/en/ITU-D/Study-Groups/2018-2021/Pages/meetings/session-Q4-2-oct19.aspx" TargetMode="External"/><Relationship Id="rId184" Type="http://schemas.openxmlformats.org/officeDocument/2006/relationships/hyperlink" Target="https://reg4covid.itu.int/wp-content/uploads/2020/09/UN75_Partnership_Statement_PD_final.pdf" TargetMode="External"/><Relationship Id="rId219" Type="http://schemas.openxmlformats.org/officeDocument/2006/relationships/hyperlink" Target="https://www.itu.int/en/ITU-D/Statistics/Pages/intlcoop/partnership/default.aspx" TargetMode="External"/><Relationship Id="rId230" Type="http://schemas.openxmlformats.org/officeDocument/2006/relationships/hyperlink" Target="https://www.itu.int/md/D18-TDAG25-C-0012/" TargetMode="External"/><Relationship Id="rId25" Type="http://schemas.openxmlformats.org/officeDocument/2006/relationships/hyperlink" Target="https://www.un.org/en/content/digital-cooperation-roadmap/" TargetMode="External"/><Relationship Id="rId46" Type="http://schemas.openxmlformats.org/officeDocument/2006/relationships/hyperlink" Target="https://www.itu.int/dms_pub/itu-d/opb/str/D-STR-CYB_GUIDE.01-2018-PDF-R.pdf" TargetMode="External"/><Relationship Id="rId67" Type="http://schemas.openxmlformats.org/officeDocument/2006/relationships/hyperlink" Target="https://youtu.be/iPgLFQQAdhU" TargetMode="External"/><Relationship Id="rId88" Type="http://schemas.openxmlformats.org/officeDocument/2006/relationships/hyperlink" Target="https://www.itu.int/en/ITU-D/ICT-Applications/eHEALTH/Be_healthy/Pages/FAQ-01.aspx" TargetMode="External"/><Relationship Id="rId111" Type="http://schemas.openxmlformats.org/officeDocument/2006/relationships/hyperlink" Target="https://news.itu.int/why-itu-is-joining-the-crisis-connectivity-charter-doreen-bogdan-martin/" TargetMode="External"/><Relationship Id="rId132" Type="http://schemas.openxmlformats.org/officeDocument/2006/relationships/hyperlink" Target="https://www.itu.int/en/ITU-D/Environment/Pages/Events/Internet-Waste-Dialogue.aspx" TargetMode="External"/><Relationship Id="rId153" Type="http://schemas.openxmlformats.org/officeDocument/2006/relationships/hyperlink" Target="https://www.itu.int/md/D18-TDAG28-INF-0003/en" TargetMode="External"/><Relationship Id="rId174" Type="http://schemas.openxmlformats.org/officeDocument/2006/relationships/hyperlink" Target="https://www.itu.int/en/ITU-D/Regulatory-Market/Pages/Economic-Contribution.aspx" TargetMode="External"/><Relationship Id="rId195" Type="http://schemas.openxmlformats.org/officeDocument/2006/relationships/hyperlink" Target="https://www.itu.int/net4/ITU-D/CDS/sg/rgqlist.asp?lg=6&amp;sp=2018&amp;rgq=D18-SG01-RGQ04.1&amp;stg=1" TargetMode="External"/><Relationship Id="rId209" Type="http://schemas.openxmlformats.org/officeDocument/2006/relationships/hyperlink" Target="https://www.itu.int/en/ITU-D/Statistics/Documents/publications/prices2020/ITU_A4AI_Price_Briefing_2020.pdf" TargetMode="External"/><Relationship Id="rId190" Type="http://schemas.openxmlformats.org/officeDocument/2006/relationships/hyperlink" Target="https://www.itu.int/md/D18-SG01.RGQ-C-0324/" TargetMode="External"/><Relationship Id="rId204" Type="http://schemas.openxmlformats.org/officeDocument/2006/relationships/hyperlink" Target="https://www.itu.int/net4/ITU-D/CDS/sg/rgqlist.asp?lg=1&amp;sp=2018&amp;rgq=D18-SG01-RGQ01.1&amp;stg=1" TargetMode="External"/><Relationship Id="rId220" Type="http://schemas.openxmlformats.org/officeDocument/2006/relationships/hyperlink" Target="https://www.itu.int/en/ITU-D/Statistics/Pages/events/wtis2018/default.aspx" TargetMode="External"/><Relationship Id="rId225" Type="http://schemas.openxmlformats.org/officeDocument/2006/relationships/hyperlink" Target="https://www.itu.int/en/ITU-D/LDCs/Pages/ICTs-for-SDGs-in-LDCs-Report.aspx" TargetMode="External"/><Relationship Id="rId15" Type="http://schemas.openxmlformats.org/officeDocument/2006/relationships/hyperlink" Target="https://www.itu.int/md/D18-RPMASP-C-0004/en" TargetMode="External"/><Relationship Id="rId36" Type="http://schemas.openxmlformats.org/officeDocument/2006/relationships/hyperlink" Target="https://www.itu-cop-guidelines.com/children" TargetMode="External"/><Relationship Id="rId57" Type="http://schemas.openxmlformats.org/officeDocument/2006/relationships/hyperlink" Target="https://www.equals.org/cisco-equals-learning-space" TargetMode="External"/><Relationship Id="rId106" Type="http://schemas.openxmlformats.org/officeDocument/2006/relationships/hyperlink" Target="https://www.itu.int/en/ITU-D/Emergency-Telecommunications/Pages/EWS_ZAMBIA.aspx" TargetMode="External"/><Relationship Id="rId127" Type="http://schemas.openxmlformats.org/officeDocument/2006/relationships/hyperlink" Target="https://www.youtube.com/watch?v=bienIHFkock" TargetMode="External"/><Relationship Id="rId10" Type="http://schemas.openxmlformats.org/officeDocument/2006/relationships/hyperlink" Target="https://www.itu.int/en/ITU-D/Conferences/WTDC/WTDC17/Documents/WTDC17_final_report_en.pdf" TargetMode="External"/><Relationship Id="rId31" Type="http://schemas.openxmlformats.org/officeDocument/2006/relationships/hyperlink" Target="https://www.itu.int/en/ITU-D/Cybersecurity/Documents/COP/COVID19%20Online%20Technical%20note%20resource%20pack_PUBLISHED.pdf" TargetMode="External"/><Relationship Id="rId52" Type="http://schemas.openxmlformats.org/officeDocument/2006/relationships/hyperlink" Target="https://www.itu.int/en/ITU-D/Digital-Inclusion/Persons-with-Disabilities/Pages/ResourcesOnICTAccessibility.aspx" TargetMode="External"/><Relationship Id="rId73" Type="http://schemas.openxmlformats.org/officeDocument/2006/relationships/hyperlink" Target="https://www.itu.int/en/ITU-D/Innovation/Documents/YILF%202019%20Outcome%20Report%20.pdf" TargetMode="External"/><Relationship Id="rId78" Type="http://schemas.openxmlformats.org/officeDocument/2006/relationships/hyperlink" Target="https://www.itu.int/en/ITU-D/Innovation/Documents/YILF%202019%20Outcome%20Report%20.pdf" TargetMode="External"/><Relationship Id="rId94" Type="http://schemas.openxmlformats.org/officeDocument/2006/relationships/hyperlink" Target="https://www.itu.int/en/ITU-D/ICT-Applications/Documents/Publications/Big%20Data%20for%20Agriculture.pdf" TargetMode="External"/><Relationship Id="rId99" Type="http://schemas.openxmlformats.org/officeDocument/2006/relationships/hyperlink" Target="https://www.itu.int/en/ITU-D/Emergency-Telecommunications/Documents/2020/NETP-guidelines.pdf" TargetMode="External"/><Relationship Id="rId101" Type="http://schemas.openxmlformats.org/officeDocument/2006/relationships/hyperlink" Target="https://www.itu.int/dms_pub/itu-d/opb/hdb/D-HDB-GUIDELINES.03-2020-PDF-E.pdf" TargetMode="External"/><Relationship Id="rId122" Type="http://schemas.openxmlformats.org/officeDocument/2006/relationships/hyperlink" Target="https://www.itu.int/en/ITU-D/Study-Groups/2018-2021/Pages/meetings/session-Q5-2-oct18.aspx" TargetMode="External"/><Relationship Id="rId143" Type="http://schemas.openxmlformats.org/officeDocument/2006/relationships/hyperlink" Target="https://www.itu.int/en/ITU-D/Study-Groups/2018-2021/Pages/meetings/session-Q6-2-oct19.aspx" TargetMode="External"/><Relationship Id="rId148" Type="http://schemas.openxmlformats.org/officeDocument/2006/relationships/hyperlink" Target="https://itu.int/go/businessplan_toolkit" TargetMode="External"/><Relationship Id="rId164" Type="http://schemas.openxmlformats.org/officeDocument/2006/relationships/hyperlink" Target="https://itu.int/go/ci_development" TargetMode="External"/><Relationship Id="rId169" Type="http://schemas.openxmlformats.org/officeDocument/2006/relationships/hyperlink" Target="https://www.itu.int/en/ITU-D/Conferences/GSR/2021/Pages/default.aspx" TargetMode="External"/><Relationship Id="rId185" Type="http://schemas.openxmlformats.org/officeDocument/2006/relationships/hyperlink" Target="https://www.itu.int/en/ITU-D/Regulatory-Market/Pages/giro20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80" Type="http://schemas.openxmlformats.org/officeDocument/2006/relationships/hyperlink" Target="https://www.itu.int/en/Pages/covid-19.aspx" TargetMode="External"/><Relationship Id="rId210" Type="http://schemas.openxmlformats.org/officeDocument/2006/relationships/hyperlink" Target="https://www.itu.int/en/ITU-D/Statistics/Pages/ICTprices/ICTPricesVisualization.aspx" TargetMode="External"/><Relationship Id="rId215" Type="http://schemas.openxmlformats.org/officeDocument/2006/relationships/hyperlink" Target="https://www.itu.int/en/ITU-D/Statistics/Pages/events/egti2018/default.aspx" TargetMode="External"/><Relationship Id="rId236" Type="http://schemas.openxmlformats.org/officeDocument/2006/relationships/header" Target="header1.xml"/><Relationship Id="rId26" Type="http://schemas.openxmlformats.org/officeDocument/2006/relationships/hyperlink" Target="https://academy.itu.int/training-courses/full-catalogue/human-exposure-radio-frequency-electromagnetic-fields-malaysia" TargetMode="External"/><Relationship Id="rId231" Type="http://schemas.openxmlformats.org/officeDocument/2006/relationships/hyperlink" Target="https://www.itu.int/md/D18-TDAG25-C-0013/" TargetMode="External"/><Relationship Id="rId47" Type="http://schemas.openxmlformats.org/officeDocument/2006/relationships/hyperlink" Target="https://www.itu.int/dms_pub/itu-d/opb/str/D-STR-CYB_GUIDE.01-2018-PDF-R.pdf" TargetMode="External"/><Relationship Id="rId68" Type="http://schemas.openxmlformats.org/officeDocument/2006/relationships/hyperlink" Target="https://www.itu.int/en/ITU-D/Study-Groups/2018-2021/Pages/covid19/webinars/1stSeries.aspx" TargetMode="External"/><Relationship Id="rId89" Type="http://schemas.openxmlformats.org/officeDocument/2006/relationships/hyperlink" Target="https://www.itu.int/dms_pub/itu-d/opb/str/D-STR-E_HEALTH.14-2019-PDF-E.pdf" TargetMode="External"/><Relationship Id="rId112" Type="http://schemas.openxmlformats.org/officeDocument/2006/relationships/hyperlink" Target="https://www.itu.int/en/ITU-D/Emergency-Telecommunications/Pages/ITU-Events.aspx" TargetMode="External"/><Relationship Id="rId133" Type="http://schemas.openxmlformats.org/officeDocument/2006/relationships/hyperlink" Target="https://www.itu.int/en/ITU-D/Climate-Change/Pages/ewaste/E-waste-Coalition.aspx" TargetMode="External"/><Relationship Id="rId154" Type="http://schemas.openxmlformats.org/officeDocument/2006/relationships/hyperlink" Target="https://www.itu.int/md/D18-TDAG28-INF-0003/en" TargetMode="External"/><Relationship Id="rId175" Type="http://schemas.openxmlformats.org/officeDocument/2006/relationships/hyperlink" Target="http://handle.itu.int/11.1002/pub/817bc896-en" TargetMode="External"/><Relationship Id="rId196" Type="http://schemas.openxmlformats.org/officeDocument/2006/relationships/hyperlink" Target="https://www.itu.int/en/ITU-D/Study-Groups/2018-2021/Pages/meetings/joint-session-Q3-1-Q4-1_oct19.aspx" TargetMode="External"/><Relationship Id="rId200" Type="http://schemas.openxmlformats.org/officeDocument/2006/relationships/hyperlink" Target="https://www.itu.int/en/ITU-D/Study-Groups/2018-2021/Pages/meetings/Webinars/2020/Q4-1-july29.aspx" TargetMode="External"/><Relationship Id="rId16" Type="http://schemas.openxmlformats.org/officeDocument/2006/relationships/hyperlink" Target="https://www.itu.int/md/D18-RPMCIS-C-0004/en" TargetMode="External"/><Relationship Id="rId221" Type="http://schemas.openxmlformats.org/officeDocument/2006/relationships/hyperlink" Target="https://www.itu.int/en/ITU-D/Statistics/Pages/events/wtis2020/default.aspx" TargetMode="External"/><Relationship Id="rId37" Type="http://schemas.openxmlformats.org/officeDocument/2006/relationships/hyperlink" Target="https://www.itu.int/net4/ITU-D/CDS/projects/display.asp?ProjectNo=9RAS18061" TargetMode="External"/><Relationship Id="rId58" Type="http://schemas.openxmlformats.org/officeDocument/2006/relationships/hyperlink" Target="https://www.equals.org/cisco-equals-learning-space" TargetMode="External"/><Relationship Id="rId79" Type="http://schemas.openxmlformats.org/officeDocument/2006/relationships/hyperlink" Target="https://www.itu.int/en/ITU-D/Innovation/Pages/Innovation-Ecosystem-Program-.aspx" TargetMode="External"/><Relationship Id="rId102" Type="http://schemas.openxmlformats.org/officeDocument/2006/relationships/hyperlink" Target="https://www.itu.int/en/ITU-D/Emergency-Telecommunications/Documents/events/2020/Women-ICT-ET/Full-report.pdf" TargetMode="External"/><Relationship Id="rId123" Type="http://schemas.openxmlformats.org/officeDocument/2006/relationships/hyperlink" Target="https://www.itu.int/en/ITU-D/Study-Groups/2018-2021/Pages/meetings/session-Q5-2-oct19.aspx" TargetMode="External"/><Relationship Id="rId144" Type="http://schemas.openxmlformats.org/officeDocument/2006/relationships/hyperlink" Target="https://www.itu.int/en/ITU-D/Study-Groups/2018-2021/Pages/meetings/Webinars/2020/Q6-2-july15.aspx" TargetMode="External"/><Relationship Id="rId90" Type="http://schemas.openxmlformats.org/officeDocument/2006/relationships/hyperlink" Target="https://www.itu.int/en/ITU-D/ICT-Applications/Pages/EU-mhealth-hub.aspx" TargetMode="External"/><Relationship Id="rId165" Type="http://schemas.openxmlformats.org/officeDocument/2006/relationships/hyperlink" Target="https://www.itu.int/en/ITU-D/Study-Groups/2018-2021/Pages/meetings/tutorial_AI_oct19.aspx" TargetMode="External"/><Relationship Id="rId186" Type="http://schemas.openxmlformats.org/officeDocument/2006/relationships/hyperlink" Target="https://www.itu.int/en/ITU-D/Conferences/GSR/2019/Documents/G5Benchmark_one-pager.pdf" TargetMode="External"/><Relationship Id="rId211" Type="http://schemas.openxmlformats.org/officeDocument/2006/relationships/hyperlink" Target="https://www.itu.int/en/ITU-D/Conferences/TDAG/Documents/2020%20TDAG/TDAG-20%20Web%20Dialogue%20Index%20Framework.pdf" TargetMode="External"/><Relationship Id="rId232" Type="http://schemas.openxmlformats.org/officeDocument/2006/relationships/hyperlink" Target="https://www.itu.int/en/ITU-D/Pages/regional-development-forums.aspx" TargetMode="External"/><Relationship Id="rId27" Type="http://schemas.openxmlformats.org/officeDocument/2006/relationships/hyperlink" Target="https://www.itu.int/en/ITU-D/Regional-Presence/Africa/Pages/projects/2020/jobs-skills.aspx" TargetMode="External"/><Relationship Id="rId48" Type="http://schemas.openxmlformats.org/officeDocument/2006/relationships/hyperlink" Target="https://www.itu.int/en/ITU-D/Study-Groups/2018-2021/Pages/meetings/session-Q3-2-oct18.aspx" TargetMode="External"/><Relationship Id="rId69" Type="http://schemas.openxmlformats.org/officeDocument/2006/relationships/hyperlink" Target="https://www.itu.int/en/ITU-D/Study-Groups/2018-2021/Pages/meetings/webinar-Q7-1-june24.aspx" TargetMode="External"/><Relationship Id="rId113" Type="http://schemas.openxmlformats.org/officeDocument/2006/relationships/hyperlink" Target="https://www.itu.int/en/ITU-D/Emergency-Telecommunications/Pages/Events/2019/GET-2019/default.aspx" TargetMode="External"/><Relationship Id="rId134" Type="http://schemas.openxmlformats.org/officeDocument/2006/relationships/hyperlink" Target="https://www.itu.int/en/ITU-D/Climate-Change/Pages/Building-an-E-waste-Coalition.aspx" TargetMode="External"/><Relationship Id="rId80" Type="http://schemas.openxmlformats.org/officeDocument/2006/relationships/hyperlink" Target="https://www.itu.int/en/ITU-D/Innovation/Pages/2020-ITU-Global-Innovation-Forum.aspx" TargetMode="External"/><Relationship Id="rId155" Type="http://schemas.openxmlformats.org/officeDocument/2006/relationships/hyperlink" Target="https://www.itu.int/en/ITU-D/bdt-director/Pages/News.aspx?ItemID=205" TargetMode="External"/><Relationship Id="rId176" Type="http://schemas.openxmlformats.org/officeDocument/2006/relationships/hyperlink" Target="https://broadbandcommission.org/Documents/working-groups/DigitalMoonshotforAfrica_Report.pdf" TargetMode="External"/><Relationship Id="rId197" Type="http://schemas.openxmlformats.org/officeDocument/2006/relationships/hyperlink" Target="https://www.itu.int/oth/D0723000003/en" TargetMode="External"/><Relationship Id="rId201" Type="http://schemas.openxmlformats.org/officeDocument/2006/relationships/hyperlink" Target="https://www.itu.int/en/myitu/News/2020/10/05/11/54/How-more-inclusive-ICT-policy-and-infrastructure-influence-could-stem-the-spread-of-COVID-19" TargetMode="External"/><Relationship Id="rId222" Type="http://schemas.openxmlformats.org/officeDocument/2006/relationships/hyperlink" Target="https://gigaconnect.org/" TargetMode="External"/><Relationship Id="rId17" Type="http://schemas.openxmlformats.org/officeDocument/2006/relationships/hyperlink" Target="https://www.itu.int/md/D18-RPMEUR-C-0004/en" TargetMode="External"/><Relationship Id="rId38" Type="http://schemas.openxmlformats.org/officeDocument/2006/relationships/hyperlink" Target="https://arcc.om/?GetLang=en" TargetMode="External"/><Relationship Id="rId59" Type="http://schemas.openxmlformats.org/officeDocument/2006/relationships/hyperlink" Target="https://www.itu.int/en/ITU-D/Regional-Presence/Europe/Documents/Events/2021/Gendered%20Digital%20Divide/21-00145_2f_Digitally-Empowered-generation-equality_EV4-no-isbn.pdf?csf=1&amp;e=Zhzrpf" TargetMode="External"/><Relationship Id="rId103" Type="http://schemas.openxmlformats.org/officeDocument/2006/relationships/hyperlink" Target="https://www.itu.int/en/ITU-D/bdt-director/Pages/News.aspx?ItemID=228" TargetMode="External"/><Relationship Id="rId124" Type="http://schemas.openxmlformats.org/officeDocument/2006/relationships/hyperlink" Target="https://www.itu.int/en/ITU-D/Study-Groups/2018-2021/Pages/meetings/Webinars/2020/Q5-2-july14.aspx" TargetMode="External"/><Relationship Id="rId70" Type="http://schemas.openxmlformats.org/officeDocument/2006/relationships/hyperlink" Target="https://www.itu.int/en/ITU-D/Innovation/Pages/ITU-Innovation-Challenges.aspx" TargetMode="External"/><Relationship Id="rId91" Type="http://schemas.openxmlformats.org/officeDocument/2006/relationships/hyperlink" Target="https://www.youtube.com/watch?v=0uYKKJg00eo" TargetMode="External"/><Relationship Id="rId145" Type="http://schemas.openxmlformats.org/officeDocument/2006/relationships/hyperlink" Target="https://itu.int/map-public" TargetMode="External"/><Relationship Id="rId166" Type="http://schemas.openxmlformats.org/officeDocument/2006/relationships/hyperlink" Target="https://www.itu.int/en/ITU-D/Study-Groups/2018-2021/Pages/meetings/Webinars/2020/Q2-1-july03.aspx" TargetMode="External"/><Relationship Id="rId187" Type="http://schemas.openxmlformats.org/officeDocument/2006/relationships/hyperlink" Target="https://itu.foleon.com/itu/global-ict-regulatory-outlook-2020/home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itu.int/en/ITU-D/Statistics/Documents/events/egti2020/IDI2020_BackgroundDocument_E.pdf" TargetMode="External"/><Relationship Id="rId233" Type="http://schemas.openxmlformats.org/officeDocument/2006/relationships/hyperlink" Target="https://www.itu.int/en/ITU-D/MembersPartners/Pages/default.aspx" TargetMode="External"/><Relationship Id="rId28" Type="http://schemas.openxmlformats.org/officeDocument/2006/relationships/hyperlink" Target="https://academy.itu.int/main-activities/digital-transformation-centres-initiative" TargetMode="External"/><Relationship Id="rId49" Type="http://schemas.openxmlformats.org/officeDocument/2006/relationships/hyperlink" Target="https://www.itu.int/en/ITU-D/Digital-Inclusion/Persons-with-Disabilities/Pages/Persons-with-Disabilities.aspx" TargetMode="External"/><Relationship Id="rId114" Type="http://schemas.openxmlformats.org/officeDocument/2006/relationships/hyperlink" Target="https://www.itu.int/en/ITU-D/Emergency-Telecommunications/Pages/Events/2019/GET-2019/CAP-2019-Agenda.aspx" TargetMode="External"/><Relationship Id="rId60" Type="http://schemas.openxmlformats.org/officeDocument/2006/relationships/hyperlink" Target="https://www.itu.int/en/ITU-D/Regional-Presence/Europe/Documents/Events/2021/Gendered%20Digital%20Divide/21-00145_2f_Digitally-Empowered-generation-equality_EV4-no-isbn.pdf?csf=1&amp;e=Zhzrpf" TargetMode="External"/><Relationship Id="rId81" Type="http://schemas.openxmlformats.org/officeDocument/2006/relationships/hyperlink" Target="https://www.itu.int/en/ITU-D/Innovation/Pages/Digital-Innovation-Ecosystem-Courses.aspx" TargetMode="External"/><Relationship Id="rId135" Type="http://schemas.openxmlformats.org/officeDocument/2006/relationships/hyperlink" Target="https://www.itu.int/en/ITU-D/Climate-Change/Pages/Events/2019/Building-the-E-waste-Coalition.aspx" TargetMode="External"/><Relationship Id="rId156" Type="http://schemas.openxmlformats.org/officeDocument/2006/relationships/hyperlink" Target="https://www.itu.int/itu-d/tnd-map-public/" TargetMode="External"/><Relationship Id="rId177" Type="http://schemas.openxmlformats.org/officeDocument/2006/relationships/hyperlink" Target="https://www.itu.int/en/publications/ITU-D/pages/publications.aspx?lang=en&amp;media=electronic&amp;parent=D-GEN-INVEST.CON-2020" TargetMode="External"/><Relationship Id="rId198" Type="http://schemas.openxmlformats.org/officeDocument/2006/relationships/hyperlink" Target="https://www.itu.int/en/ITU-D/Study-Groups/2018-2021/Pages/meetings/webinar-Q3-1-may20.aspx" TargetMode="External"/><Relationship Id="rId202" Type="http://schemas.openxmlformats.org/officeDocument/2006/relationships/hyperlink" Target="https://www.itu.int/net4/ITU-D/CDS/sg/rgqlist.asp?lg=1&amp;sp=2018&amp;rgq=D18-SG01-RGQ06.1&amp;stg=1" TargetMode="External"/><Relationship Id="rId223" Type="http://schemas.openxmlformats.org/officeDocument/2006/relationships/hyperlink" Target="https://www.itu.int/en/ITU-D/LDCs/Pages/Economic-impact-of-broadband-in-LDCs,-LLDCs-and-SIDS.aspx" TargetMode="External"/><Relationship Id="rId18" Type="http://schemas.openxmlformats.org/officeDocument/2006/relationships/hyperlink" Target="https://academy.itu.int/" TargetMode="External"/><Relationship Id="rId39" Type="http://schemas.openxmlformats.org/officeDocument/2006/relationships/hyperlink" Target="https://www.itu.int/en/ITU-D/Cybersecurity/Pages/Cybedrills-2020.aspx" TargetMode="External"/><Relationship Id="rId50" Type="http://schemas.openxmlformats.org/officeDocument/2006/relationships/hyperlink" Target="https://www.itu.int/en/ITU-D/Digital-Inclusion/Persons-with-Disabilities/Pages/ResourcesOnICTAccessibility.aspx" TargetMode="External"/><Relationship Id="rId104" Type="http://schemas.openxmlformats.org/officeDocument/2006/relationships/hyperlink" Target="https://www.itu.int/en/ITU-D/Emergency-Telecommunications/Pages/Promoting-gender-equality-for-the-use-of-ICTs-in-Disaster-Management-.aspx" TargetMode="External"/><Relationship Id="rId125" Type="http://schemas.openxmlformats.org/officeDocument/2006/relationships/hyperlink" Target="https://www.itu.int/en/ITU-D/Environment/Documents/Toolbox/GEM_2020_def.pdf" TargetMode="External"/><Relationship Id="rId146" Type="http://schemas.openxmlformats.org/officeDocument/2006/relationships/hyperlink" Target="https://www.itu.int/en/ITU-D/Initiatives/GIGA/Pages/default.aspx" TargetMode="External"/><Relationship Id="rId167" Type="http://schemas.openxmlformats.org/officeDocument/2006/relationships/hyperlink" Target="https://www.itu.int/ru/ITU-D/Conferences/GSR/2019/Pages/default.aspx" TargetMode="External"/><Relationship Id="rId188" Type="http://schemas.openxmlformats.org/officeDocument/2006/relationships/hyperlink" Target="https://www.itu.int/en/ITU-T/extcoop/figisymposium/Pages/default.aspx" TargetMode="External"/><Relationship Id="rId71" Type="http://schemas.openxmlformats.org/officeDocument/2006/relationships/hyperlink" Target="https://news.itu.int/itu-innovations-challenges-a-life-changing-experience/" TargetMode="External"/><Relationship Id="rId92" Type="http://schemas.openxmlformats.org/officeDocument/2006/relationships/hyperlink" Target="https://news.itu.int/leaving-no-one-behind-nigers-smart-villages-project/" TargetMode="External"/><Relationship Id="rId213" Type="http://schemas.openxmlformats.org/officeDocument/2006/relationships/hyperlink" Target="https://www.itu.int/en/ITU-D/Statistics/Pages/publications/handbook.aspx" TargetMode="External"/><Relationship Id="rId234" Type="http://schemas.openxmlformats.org/officeDocument/2006/relationships/hyperlink" Target="https://undocs.org/A/74/82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en/ITU-D/Cybersecurity/Pages/global-cybersecurity-index.aspx" TargetMode="External"/><Relationship Id="rId40" Type="http://schemas.openxmlformats.org/officeDocument/2006/relationships/hyperlink" Target="https://www.itu.int/en/ITU-D/Cybersecurity/Pages/CyberDrill-2020-Empowering-Women-in-Cybersecurity.aspx" TargetMode="External"/><Relationship Id="rId115" Type="http://schemas.openxmlformats.org/officeDocument/2006/relationships/hyperlink" Target="https://www.itu.int/en/ITU-D/Emergency-Telecommunications/Pages/Building-Disaster-Resilience-through-Emergency-Telecommunications-in-2020.aspx" TargetMode="External"/><Relationship Id="rId136" Type="http://schemas.openxmlformats.org/officeDocument/2006/relationships/hyperlink" Target="https://www.itu.int/en/ITU-D/Climate-Change/Pages/Events/2019/Sustainable-and-Responsible-Reverse-Supply-Chains.aspx" TargetMode="External"/><Relationship Id="rId157" Type="http://schemas.openxmlformats.org/officeDocument/2006/relationships/hyperlink" Target="https://www.itu.int/pub/D-PREF-BB.GDI_AP-2018" TargetMode="External"/><Relationship Id="rId178" Type="http://schemas.openxmlformats.org/officeDocument/2006/relationships/hyperlink" Target="https://reg4covid.itu.int/wp-content/uploads/2020/06/ITU_COVID-19_and_Telecom-ICT.pdf" TargetMode="External"/><Relationship Id="rId61" Type="http://schemas.openxmlformats.org/officeDocument/2006/relationships/hyperlink" Target="https://ituint.sharepoint.com/sites/TDAG/Shared%20Documents/TDAG-21%20(25-28%20May%202021)/Doc%202%20-%20to%20be%20updated%20by%2019%20April/(https:/academy.itu.int/index.php/training-courses/full-catalogue/liderazgo-femenino-en-el-sector-de-las-telecomunicaciones-y-las-tic%20)" TargetMode="External"/><Relationship Id="rId82" Type="http://schemas.openxmlformats.org/officeDocument/2006/relationships/hyperlink" Target="https://www.itu.int/dms_pub/itu-d/opb/inno/D-INNO-TOOLKIT.2-2020-PDF-E.pdf" TargetMode="External"/><Relationship Id="rId199" Type="http://schemas.openxmlformats.org/officeDocument/2006/relationships/hyperlink" Target="https://www.itu.int/en/ITU-D/Study-Groups/2018-2021/Pages/meetings/webinar-Q4-1-june29.aspx" TargetMode="External"/><Relationship Id="rId203" Type="http://schemas.openxmlformats.org/officeDocument/2006/relationships/hyperlink" Target="https://www.itu.int/en/ITU-D/Study-Groups/2018-2021/Pages/meetings/Webinars/2020/Q6-1-july02.aspx" TargetMode="External"/><Relationship Id="rId19" Type="http://schemas.openxmlformats.org/officeDocument/2006/relationships/hyperlink" Target="https://www.itu.int/en/ITU-D/Capacity-Building/Pages/events/2019/academia2019.aspx" TargetMode="External"/><Relationship Id="rId224" Type="http://schemas.openxmlformats.org/officeDocument/2006/relationships/hyperlink" Target="https://www.itu.int/en/ITU-D/LDCs/Pages/Publications/SIDS/ICTs.aspx" TargetMode="External"/><Relationship Id="rId30" Type="http://schemas.openxmlformats.org/officeDocument/2006/relationships/hyperlink" Target="https://www.broadbandcommission.org/Documents/working-groups/ChildOnlineSafety_Declaration.pdf" TargetMode="External"/><Relationship Id="rId105" Type="http://schemas.openxmlformats.org/officeDocument/2006/relationships/hyperlink" Target="https://www.itu.int/en/ITU-D/Emergency-Telecommunications/Documents/2019/GET_2019/Disruptive-Technologies.pdf" TargetMode="External"/><Relationship Id="rId126" Type="http://schemas.openxmlformats.org/officeDocument/2006/relationships/hyperlink" Target="https://globalewaste.org/publications/" TargetMode="External"/><Relationship Id="rId147" Type="http://schemas.openxmlformats.org/officeDocument/2006/relationships/hyperlink" Target="https://www.itu.int/en/myitu/News/2020/10/06/07/37/Mapping-financial-inclusion-Mexico-FIGI" TargetMode="External"/><Relationship Id="rId168" Type="http://schemas.openxmlformats.org/officeDocument/2006/relationships/hyperlink" Target="https://www.itu.int/en/ITU-D/Conferences/GSR/2020/Documents/GSR-20_Best-Practice-Guidelines_Final_E.pdf" TargetMode="External"/><Relationship Id="rId51" Type="http://schemas.openxmlformats.org/officeDocument/2006/relationships/hyperlink" Target="https://www.itu.int/net4/wsis/forum/2020/Agenda/Session/137" TargetMode="External"/><Relationship Id="rId72" Type="http://schemas.openxmlformats.org/officeDocument/2006/relationships/hyperlink" Target="https://cocreate.itu.int/" TargetMode="External"/><Relationship Id="rId93" Type="http://schemas.openxmlformats.org/officeDocument/2006/relationships/hyperlink" Target="https://www.itu.int/pub/D-STR-DIGITAL.02-2019" TargetMode="External"/><Relationship Id="rId189" Type="http://schemas.openxmlformats.org/officeDocument/2006/relationships/hyperlink" Target="https://ec.europa.eu/digital-single-market/en/news/new-africa-europe-digital-economy-partnership-report-eu-au-digital-economy-task-forc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itu.int/en/ITU-D/Statistics/Pages/publications/manual.aspx" TargetMode="External"/><Relationship Id="rId235" Type="http://schemas.openxmlformats.org/officeDocument/2006/relationships/hyperlink" Target="https://www.unicef.org/argentina/generacion-unica" TargetMode="External"/><Relationship Id="rId116" Type="http://schemas.openxmlformats.org/officeDocument/2006/relationships/hyperlink" Target="https://www.itu.int/en/ITU-D/Emergency-Telecommunications/Pages/Information-session-and-virtual-launch-online-training-modules.aspx" TargetMode="External"/><Relationship Id="rId137" Type="http://schemas.openxmlformats.org/officeDocument/2006/relationships/hyperlink" Target="http://cep2030.org/" TargetMode="External"/><Relationship Id="rId158" Type="http://schemas.openxmlformats.org/officeDocument/2006/relationships/hyperlink" Target="https://www.itu.int/en/ITU-D/Study-Groups/2018-2021/Pages/OngoingWork.aspx" TargetMode="External"/><Relationship Id="rId20" Type="http://schemas.openxmlformats.org/officeDocument/2006/relationships/hyperlink" Target="https://academy.itu.int/index.php/main-activities/digital-transformation-centres-initiative" TargetMode="External"/><Relationship Id="rId41" Type="http://schemas.openxmlformats.org/officeDocument/2006/relationships/hyperlink" Target="https://www.itu.int/en/ITU-D/Cybersecurity/Pages/CyberDrill-2020/How-to-conduct-effective-Open-Source-Investigations-Online.aspx" TargetMode="External"/><Relationship Id="rId62" Type="http://schemas.openxmlformats.org/officeDocument/2006/relationships/hyperlink" Target="http://www.equals.org/" TargetMode="External"/><Relationship Id="rId83" Type="http://schemas.openxmlformats.org/officeDocument/2006/relationships/hyperlink" Target="https://www.itu.int/en/ITU-D/Innovation/Pages/Digital-Innovation-Ecosystem-Courses.aspx" TargetMode="External"/><Relationship Id="rId179" Type="http://schemas.openxmlformats.org/officeDocument/2006/relationships/hyperlink" Target="https://www.itu.int/en/ITU-D/bdt-director/Pages/Speeches.aspx?ItemID=253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md/D18-SG01-R-0033/en" TargetMode="External"/><Relationship Id="rId2" Type="http://schemas.openxmlformats.org/officeDocument/2006/relationships/hyperlink" Target="https://www.itu.int/md/D18-SG01-R-0032/en" TargetMode="External"/><Relationship Id="rId1" Type="http://schemas.openxmlformats.org/officeDocument/2006/relationships/hyperlink" Target="https://www.itu-ilibrary.org/science-and-technology/national-ehealth-strategy-toolkit_pub/8069793a-en" TargetMode="External"/><Relationship Id="rId5" Type="http://schemas.openxmlformats.org/officeDocument/2006/relationships/hyperlink" Target="https://www.un.org/en/digital-cooperation-panel/" TargetMode="External"/><Relationship Id="rId4" Type="http://schemas.openxmlformats.org/officeDocument/2006/relationships/hyperlink" Target="https://www.itu.int/md/D18-SG02-R-0032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F414-25E7-4150-9394-3F36DF92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50</Pages>
  <Words>40802</Words>
  <Characters>232574</Characters>
  <Application>Microsoft Office Word</Application>
  <DocSecurity>0</DocSecurity>
  <Lines>1938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272831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BDT-nd</cp:lastModifiedBy>
  <cp:revision>46</cp:revision>
  <cp:lastPrinted>2015-03-02T13:42:00Z</cp:lastPrinted>
  <dcterms:created xsi:type="dcterms:W3CDTF">2021-05-17T22:23:00Z</dcterms:created>
  <dcterms:modified xsi:type="dcterms:W3CDTF">2021-05-24T07:24:00Z</dcterms:modified>
</cp:coreProperties>
</file>