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A4D4A" w14:paraId="42EF5882" w14:textId="77777777" w:rsidTr="0005659A">
        <w:trPr>
          <w:cantSplit/>
          <w:trHeight w:val="1134"/>
        </w:trPr>
        <w:tc>
          <w:tcPr>
            <w:tcW w:w="6379" w:type="dxa"/>
          </w:tcPr>
          <w:p w14:paraId="179E0A0B" w14:textId="77777777" w:rsidR="00DA4D4A" w:rsidRDefault="00DA4D4A" w:rsidP="0005659A">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4F40344" w14:textId="77777777" w:rsidR="00DA4D4A" w:rsidRPr="00844A56" w:rsidRDefault="00DA4D4A" w:rsidP="0005659A">
            <w:pPr>
              <w:tabs>
                <w:tab w:val="clear" w:pos="1191"/>
                <w:tab w:val="clear" w:pos="1588"/>
                <w:tab w:val="clear" w:pos="1985"/>
              </w:tabs>
              <w:spacing w:before="100" w:after="120"/>
              <w:ind w:left="34"/>
              <w:rPr>
                <w:rFonts w:ascii="Verdana" w:hAnsi="Verdana"/>
                <w:sz w:val="28"/>
                <w:szCs w:val="28"/>
              </w:rPr>
            </w:pPr>
            <w:r>
              <w:rPr>
                <w:b/>
                <w:bCs/>
                <w:sz w:val="26"/>
                <w:szCs w:val="26"/>
              </w:rPr>
              <w:t>27th Meeting, Geneva, 23 November 2020</w:t>
            </w:r>
          </w:p>
        </w:tc>
        <w:tc>
          <w:tcPr>
            <w:tcW w:w="3509" w:type="dxa"/>
          </w:tcPr>
          <w:p w14:paraId="402E152E" w14:textId="77777777" w:rsidR="00DA4D4A" w:rsidRPr="00683C32" w:rsidRDefault="00DA4D4A" w:rsidP="0005659A">
            <w:pPr>
              <w:spacing w:before="0"/>
              <w:ind w:right="142"/>
              <w:jc w:val="right"/>
            </w:pPr>
            <w:r w:rsidRPr="008E52B1">
              <w:rPr>
                <w:noProof/>
                <w:color w:val="3399FF"/>
                <w:lang w:eastAsia="en-GB"/>
              </w:rPr>
              <w:drawing>
                <wp:inline distT="0" distB="0" distL="0" distR="0" wp14:anchorId="1E5FFA7C" wp14:editId="63191739">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A4D4A" w:rsidRPr="00997358" w14:paraId="4EB1CE5E" w14:textId="77777777" w:rsidTr="0005659A">
        <w:trPr>
          <w:cantSplit/>
        </w:trPr>
        <w:tc>
          <w:tcPr>
            <w:tcW w:w="6379" w:type="dxa"/>
            <w:tcBorders>
              <w:top w:val="single" w:sz="12" w:space="0" w:color="auto"/>
            </w:tcBorders>
          </w:tcPr>
          <w:p w14:paraId="7323420C" w14:textId="77777777" w:rsidR="00DA4D4A" w:rsidRPr="00997358" w:rsidRDefault="00DA4D4A" w:rsidP="0005659A">
            <w:pPr>
              <w:spacing w:before="0"/>
              <w:rPr>
                <w:rFonts w:cs="Arial"/>
                <w:b/>
                <w:bCs/>
                <w:sz w:val="20"/>
              </w:rPr>
            </w:pPr>
          </w:p>
        </w:tc>
        <w:tc>
          <w:tcPr>
            <w:tcW w:w="3509" w:type="dxa"/>
            <w:tcBorders>
              <w:top w:val="single" w:sz="12" w:space="0" w:color="auto"/>
            </w:tcBorders>
          </w:tcPr>
          <w:p w14:paraId="2AA9C9DC" w14:textId="77777777" w:rsidR="00DA4D4A" w:rsidRPr="00867FC0" w:rsidRDefault="00DA4D4A" w:rsidP="0005659A">
            <w:pPr>
              <w:spacing w:before="0"/>
              <w:rPr>
                <w:b/>
                <w:bCs/>
                <w:szCs w:val="24"/>
              </w:rPr>
            </w:pPr>
          </w:p>
        </w:tc>
      </w:tr>
      <w:tr w:rsidR="00DA4D4A" w:rsidRPr="00DE7328" w14:paraId="04C4AEB4" w14:textId="77777777" w:rsidTr="0005659A">
        <w:trPr>
          <w:cantSplit/>
        </w:trPr>
        <w:tc>
          <w:tcPr>
            <w:tcW w:w="6379" w:type="dxa"/>
          </w:tcPr>
          <w:p w14:paraId="1646D700" w14:textId="77777777" w:rsidR="00DA4D4A" w:rsidRPr="007F1CC7" w:rsidRDefault="00DA4D4A" w:rsidP="0005659A">
            <w:pPr>
              <w:pStyle w:val="Committee"/>
              <w:spacing w:before="0"/>
              <w:rPr>
                <w:b w:val="0"/>
                <w:szCs w:val="24"/>
              </w:rPr>
            </w:pPr>
          </w:p>
        </w:tc>
        <w:tc>
          <w:tcPr>
            <w:tcW w:w="3509" w:type="dxa"/>
          </w:tcPr>
          <w:p w14:paraId="36B2CF3A" w14:textId="26E35868" w:rsidR="00DA4D4A" w:rsidRPr="00DE7328" w:rsidRDefault="00DA4D4A" w:rsidP="0005659A">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TDAG-20</w:t>
            </w:r>
            <w:r>
              <w:rPr>
                <w:b/>
                <w:bCs/>
                <w:lang w:val="es-419"/>
              </w:rPr>
              <w:t>/3</w:t>
            </w:r>
            <w:r w:rsidRPr="00DE7328">
              <w:rPr>
                <w:b/>
                <w:bCs/>
                <w:lang w:val="es-419"/>
              </w:rPr>
              <w:t>/INF/</w:t>
            </w:r>
            <w:bookmarkStart w:id="1" w:name="DocNo1"/>
            <w:bookmarkEnd w:id="1"/>
            <w:r>
              <w:rPr>
                <w:b/>
                <w:bCs/>
                <w:lang w:val="es-419"/>
              </w:rPr>
              <w:t>5</w:t>
            </w:r>
            <w:r>
              <w:rPr>
                <w:b/>
                <w:bCs/>
                <w:lang w:val="es-419"/>
              </w:rPr>
              <w:t>-E</w:t>
            </w:r>
          </w:p>
        </w:tc>
      </w:tr>
      <w:tr w:rsidR="00DA4D4A" w14:paraId="77EA5FFC" w14:textId="77777777" w:rsidTr="0005659A">
        <w:trPr>
          <w:cantSplit/>
        </w:trPr>
        <w:tc>
          <w:tcPr>
            <w:tcW w:w="6379" w:type="dxa"/>
          </w:tcPr>
          <w:p w14:paraId="086EDF93" w14:textId="77777777" w:rsidR="00DA4D4A" w:rsidRPr="00DE7328" w:rsidRDefault="00DA4D4A" w:rsidP="0005659A">
            <w:pPr>
              <w:spacing w:before="0"/>
              <w:rPr>
                <w:b/>
                <w:bCs/>
                <w:smallCaps/>
                <w:szCs w:val="24"/>
                <w:lang w:val="es-419"/>
              </w:rPr>
            </w:pPr>
            <w:r>
              <w:rPr>
                <w:b/>
                <w:bCs/>
                <w:smallCaps/>
                <w:szCs w:val="24"/>
                <w:lang w:val="es-419"/>
              </w:rPr>
              <w:t>3</w:t>
            </w:r>
          </w:p>
        </w:tc>
        <w:tc>
          <w:tcPr>
            <w:tcW w:w="3509" w:type="dxa"/>
          </w:tcPr>
          <w:p w14:paraId="2083B603" w14:textId="6808D379" w:rsidR="00DA4D4A" w:rsidRPr="007F1CC7" w:rsidRDefault="00DA4D4A" w:rsidP="00DA4D4A">
            <w:pPr>
              <w:spacing w:before="0"/>
              <w:rPr>
                <w:b/>
                <w:szCs w:val="24"/>
              </w:rPr>
            </w:pPr>
            <w:bookmarkStart w:id="2" w:name="CreationDate"/>
            <w:bookmarkEnd w:id="2"/>
            <w:r>
              <w:rPr>
                <w:b/>
                <w:bCs/>
                <w:szCs w:val="28"/>
              </w:rPr>
              <w:t>2</w:t>
            </w:r>
            <w:r>
              <w:rPr>
                <w:b/>
                <w:bCs/>
                <w:szCs w:val="28"/>
              </w:rPr>
              <w:t>3</w:t>
            </w:r>
            <w:r>
              <w:rPr>
                <w:b/>
                <w:bCs/>
                <w:szCs w:val="28"/>
              </w:rPr>
              <w:t xml:space="preserve"> November</w:t>
            </w:r>
            <w:r w:rsidRPr="008F5D48">
              <w:rPr>
                <w:b/>
                <w:bCs/>
                <w:szCs w:val="28"/>
              </w:rPr>
              <w:t xml:space="preserve"> 20</w:t>
            </w:r>
            <w:r>
              <w:rPr>
                <w:b/>
                <w:bCs/>
                <w:szCs w:val="28"/>
              </w:rPr>
              <w:t>20</w:t>
            </w:r>
          </w:p>
        </w:tc>
      </w:tr>
      <w:tr w:rsidR="00DA4D4A" w14:paraId="39EF84B8" w14:textId="77777777" w:rsidTr="0005659A">
        <w:trPr>
          <w:cantSplit/>
        </w:trPr>
        <w:tc>
          <w:tcPr>
            <w:tcW w:w="6379" w:type="dxa"/>
          </w:tcPr>
          <w:p w14:paraId="75715103" w14:textId="77777777" w:rsidR="00DA4D4A" w:rsidRPr="007F1CC7" w:rsidRDefault="00DA4D4A" w:rsidP="0005659A">
            <w:pPr>
              <w:spacing w:before="0"/>
              <w:rPr>
                <w:b/>
                <w:bCs/>
                <w:smallCaps/>
                <w:szCs w:val="24"/>
              </w:rPr>
            </w:pPr>
          </w:p>
        </w:tc>
        <w:tc>
          <w:tcPr>
            <w:tcW w:w="3509" w:type="dxa"/>
          </w:tcPr>
          <w:p w14:paraId="173DD3B5" w14:textId="77777777" w:rsidR="00DA4D4A" w:rsidRPr="007F1CC7" w:rsidRDefault="00DA4D4A" w:rsidP="0005659A">
            <w:pPr>
              <w:spacing w:before="0"/>
              <w:rPr>
                <w:szCs w:val="24"/>
              </w:rPr>
            </w:pPr>
            <w:r>
              <w:rPr>
                <w:b/>
              </w:rPr>
              <w:t>English only</w:t>
            </w:r>
          </w:p>
        </w:tc>
      </w:tr>
      <w:tr w:rsidR="00DA4D4A" w14:paraId="479FFCE4" w14:textId="77777777" w:rsidTr="0005659A">
        <w:trPr>
          <w:cantSplit/>
          <w:trHeight w:val="852"/>
        </w:trPr>
        <w:tc>
          <w:tcPr>
            <w:tcW w:w="9888" w:type="dxa"/>
            <w:gridSpan w:val="2"/>
          </w:tcPr>
          <w:p w14:paraId="34C36900" w14:textId="77777777" w:rsidR="00DA4D4A" w:rsidRPr="0030353C" w:rsidRDefault="00DA4D4A" w:rsidP="0005659A">
            <w:pPr>
              <w:pStyle w:val="Source"/>
            </w:pPr>
            <w:bookmarkStart w:id="3" w:name="Source"/>
            <w:bookmarkEnd w:id="3"/>
            <w:r w:rsidRPr="00C11347">
              <w:t>Director, Telecommunication Development Bureau</w:t>
            </w:r>
          </w:p>
        </w:tc>
      </w:tr>
      <w:tr w:rsidR="00DA4D4A" w:rsidRPr="0080701C" w14:paraId="53DA9D86" w14:textId="77777777" w:rsidTr="0005659A">
        <w:trPr>
          <w:cantSplit/>
        </w:trPr>
        <w:tc>
          <w:tcPr>
            <w:tcW w:w="9888" w:type="dxa"/>
            <w:gridSpan w:val="2"/>
          </w:tcPr>
          <w:p w14:paraId="5FB59323" w14:textId="0B07024A" w:rsidR="00DA4D4A" w:rsidRPr="0080701C" w:rsidRDefault="00DA4D4A" w:rsidP="0005659A">
            <w:pPr>
              <w:pStyle w:val="Title1"/>
            </w:pPr>
            <w:bookmarkStart w:id="4" w:name="Title"/>
            <w:bookmarkEnd w:id="4"/>
            <w:r w:rsidRPr="00DA4D4A">
              <w:rPr>
                <w:caps/>
              </w:rPr>
              <w:t>ITU Strategic Plan Workflow</w:t>
            </w:r>
          </w:p>
        </w:tc>
      </w:tr>
      <w:tr w:rsidR="00DA4D4A" w:rsidRPr="0080701C" w14:paraId="3B85FDA2" w14:textId="77777777" w:rsidTr="0005659A">
        <w:trPr>
          <w:cantSplit/>
        </w:trPr>
        <w:tc>
          <w:tcPr>
            <w:tcW w:w="9888" w:type="dxa"/>
            <w:gridSpan w:val="2"/>
          </w:tcPr>
          <w:p w14:paraId="04DA0888" w14:textId="77777777" w:rsidR="00DA4D4A" w:rsidRPr="0080701C" w:rsidRDefault="00DA4D4A" w:rsidP="0005659A">
            <w:pPr>
              <w:pStyle w:val="Title1"/>
              <w:rPr>
                <w:caps/>
                <w:sz w:val="24"/>
                <w:szCs w:val="18"/>
              </w:rPr>
            </w:pPr>
          </w:p>
        </w:tc>
      </w:tr>
    </w:tbl>
    <w:p w14:paraId="1BFB228A" w14:textId="77777777" w:rsidR="00923CF1" w:rsidRDefault="00923CF1" w:rsidP="00935FF0"/>
    <w:p w14:paraId="0C68D696"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0DBA1E8" w14:textId="77777777" w:rsidR="00EE4003" w:rsidRPr="00DA4D4A" w:rsidRDefault="00EE4003" w:rsidP="00DA4D4A">
      <w:pPr>
        <w:spacing w:after="120"/>
        <w:jc w:val="both"/>
        <w:rPr>
          <w:rFonts w:ascii="Calibri" w:hAnsi="Calibri" w:cs="Calibri"/>
          <w:b/>
          <w:bCs/>
          <w:szCs w:val="24"/>
          <w:lang w:val="en-CA"/>
        </w:rPr>
      </w:pPr>
      <w:r w:rsidRPr="00DA4D4A">
        <w:rPr>
          <w:rFonts w:ascii="Calibri" w:hAnsi="Calibri" w:cs="Calibri"/>
          <w:b/>
          <w:bCs/>
          <w:szCs w:val="24"/>
          <w:lang w:val="en-CA"/>
        </w:rPr>
        <w:lastRenderedPageBreak/>
        <w:t>Introduction</w:t>
      </w:r>
    </w:p>
    <w:p w14:paraId="64DF3664" w14:textId="77777777" w:rsidR="00EE4003" w:rsidRPr="00DA4D4A" w:rsidRDefault="00EE4003" w:rsidP="00DA4D4A">
      <w:pPr>
        <w:spacing w:after="120"/>
        <w:jc w:val="both"/>
        <w:rPr>
          <w:rFonts w:ascii="Calibri" w:hAnsi="Calibri" w:cs="Calibri"/>
          <w:szCs w:val="24"/>
          <w:lang w:val="en-CA"/>
        </w:rPr>
      </w:pPr>
      <w:r w:rsidRPr="00DA4D4A">
        <w:rPr>
          <w:rFonts w:ascii="Calibri" w:hAnsi="Calibri" w:cs="Calibri"/>
          <w:szCs w:val="24"/>
          <w:lang w:val="en-CA"/>
        </w:rPr>
        <w:t xml:space="preserve">In order to clarify the timelines for Member proposals on the ITU-D component of the Strategic Plan, the steps and key deadlines are outlined in below. Additionally, the diagram in Annex 1 outlines the Flow in a visual format. </w:t>
      </w:r>
    </w:p>
    <w:p w14:paraId="63464B6A" w14:textId="77777777" w:rsidR="00EE4003" w:rsidRPr="00DA4D4A" w:rsidRDefault="00EE4003" w:rsidP="00DA4D4A">
      <w:pPr>
        <w:spacing w:after="120"/>
        <w:jc w:val="both"/>
        <w:rPr>
          <w:rFonts w:ascii="Calibri" w:hAnsi="Calibri" w:cs="Calibri"/>
          <w:b/>
          <w:bCs/>
          <w:szCs w:val="24"/>
          <w:lang w:val="en-CA"/>
        </w:rPr>
      </w:pPr>
      <w:r w:rsidRPr="00DA4D4A">
        <w:rPr>
          <w:rFonts w:ascii="Calibri" w:hAnsi="Calibri" w:cs="Calibri"/>
          <w:b/>
          <w:bCs/>
          <w:szCs w:val="24"/>
          <w:lang w:val="en-CA"/>
        </w:rPr>
        <w:t>Key planning principles for contributions</w:t>
      </w:r>
    </w:p>
    <w:p w14:paraId="1AC80504" w14:textId="77777777" w:rsidR="00EE4003" w:rsidRPr="00DA4D4A" w:rsidRDefault="00EE4003" w:rsidP="00DA4D4A">
      <w:pPr>
        <w:pStyle w:val="ListParagraph"/>
        <w:numPr>
          <w:ilvl w:val="0"/>
          <w:numId w:val="3"/>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szCs w:val="24"/>
          <w:u w:val="single"/>
          <w:lang w:val="en-CA"/>
        </w:rPr>
      </w:pPr>
      <w:r w:rsidRPr="00DA4D4A">
        <w:rPr>
          <w:rFonts w:ascii="Calibri" w:hAnsi="Calibri" w:cs="Calibri"/>
          <w:szCs w:val="24"/>
          <w:u w:val="single"/>
          <w:lang w:val="en-CA"/>
        </w:rPr>
        <w:t>Planning for impact through results-based approach</w:t>
      </w:r>
    </w:p>
    <w:p w14:paraId="06752653" w14:textId="77777777" w:rsidR="00EE4003" w:rsidRPr="00DA4D4A" w:rsidRDefault="00EE4003" w:rsidP="00DA4D4A">
      <w:pPr>
        <w:pStyle w:val="ListParagraph"/>
        <w:spacing w:after="120"/>
        <w:contextualSpacing w:val="0"/>
        <w:jc w:val="both"/>
        <w:rPr>
          <w:rFonts w:ascii="Calibri" w:hAnsi="Calibri" w:cs="Calibri"/>
          <w:szCs w:val="24"/>
          <w:lang w:val="en-CA"/>
        </w:rPr>
      </w:pPr>
      <w:r w:rsidRPr="00DA4D4A">
        <w:rPr>
          <w:rFonts w:ascii="Calibri" w:hAnsi="Calibri" w:cs="Calibri"/>
          <w:szCs w:val="24"/>
          <w:lang w:val="en-CA"/>
        </w:rPr>
        <w:t>A results-based planning approach will focus on overall goals with specific and measurable targets at the level of the Union, comprising tangible outcomes and indicators to measure the impact of ITU’s work. A results-based planning approach will allocate resources to outcomes and objectives.</w:t>
      </w:r>
    </w:p>
    <w:p w14:paraId="1842167F" w14:textId="77777777" w:rsidR="00EE4003" w:rsidRPr="00DA4D4A" w:rsidRDefault="00EE4003" w:rsidP="00DA4D4A">
      <w:pPr>
        <w:pStyle w:val="ListParagraph"/>
        <w:numPr>
          <w:ilvl w:val="0"/>
          <w:numId w:val="3"/>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szCs w:val="24"/>
          <w:u w:val="single"/>
          <w:lang w:val="en-CA"/>
        </w:rPr>
      </w:pPr>
      <w:r w:rsidRPr="00DA4D4A">
        <w:rPr>
          <w:rFonts w:ascii="Calibri" w:hAnsi="Calibri" w:cs="Calibri"/>
          <w:szCs w:val="24"/>
          <w:u w:val="single"/>
          <w:lang w:val="en-CA"/>
        </w:rPr>
        <w:t>Working as One ITU</w:t>
      </w:r>
    </w:p>
    <w:p w14:paraId="3A65D7F6" w14:textId="77777777" w:rsidR="00EE4003" w:rsidRPr="00DA4D4A" w:rsidRDefault="00EE4003" w:rsidP="00DA4D4A">
      <w:pPr>
        <w:pStyle w:val="ListParagraph"/>
        <w:spacing w:after="120"/>
        <w:contextualSpacing w:val="0"/>
        <w:jc w:val="both"/>
        <w:rPr>
          <w:rFonts w:ascii="Calibri" w:hAnsi="Calibri" w:cs="Calibri"/>
          <w:szCs w:val="24"/>
          <w:lang w:val="en-CA"/>
        </w:rPr>
      </w:pPr>
      <w:r w:rsidRPr="00DA4D4A">
        <w:rPr>
          <w:rFonts w:ascii="Calibri" w:hAnsi="Calibri" w:cs="Calibri"/>
          <w:szCs w:val="24"/>
          <w:lang w:val="en-CA"/>
        </w:rPr>
        <w:t xml:space="preserve">Through the “Working as One ITU” concept, planning will focus towards an ITU-wide mission, vision, set of values and organization-wide goals where all 3 Sectors contribute to their mandate. </w:t>
      </w:r>
    </w:p>
    <w:p w14:paraId="4C44B7DD" w14:textId="77777777" w:rsidR="00EE4003" w:rsidRPr="00DA4D4A" w:rsidRDefault="00EE4003" w:rsidP="00DA4D4A">
      <w:pPr>
        <w:pStyle w:val="ListParagraph"/>
        <w:numPr>
          <w:ilvl w:val="0"/>
          <w:numId w:val="3"/>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szCs w:val="24"/>
          <w:u w:val="single"/>
          <w:lang w:val="en-CA"/>
        </w:rPr>
      </w:pPr>
      <w:r w:rsidRPr="00DA4D4A">
        <w:rPr>
          <w:rFonts w:ascii="Calibri" w:hAnsi="Calibri" w:cs="Calibri"/>
          <w:szCs w:val="24"/>
          <w:u w:val="single"/>
          <w:lang w:val="en-CA"/>
        </w:rPr>
        <w:t>Strategic risk management</w:t>
      </w:r>
    </w:p>
    <w:p w14:paraId="034E65F1" w14:textId="77777777" w:rsidR="00EE4003" w:rsidRPr="00DA4D4A" w:rsidRDefault="00EE4003" w:rsidP="00DA4D4A">
      <w:pPr>
        <w:pStyle w:val="ListParagraph"/>
        <w:spacing w:after="120"/>
        <w:contextualSpacing w:val="0"/>
        <w:jc w:val="both"/>
        <w:rPr>
          <w:rFonts w:ascii="Calibri" w:hAnsi="Calibri" w:cs="Calibri"/>
          <w:szCs w:val="24"/>
          <w:lang w:val="en-CA"/>
        </w:rPr>
      </w:pPr>
      <w:r w:rsidRPr="00DA4D4A">
        <w:rPr>
          <w:rFonts w:ascii="Calibri" w:hAnsi="Calibri" w:cs="Calibri"/>
          <w:szCs w:val="24"/>
          <w:lang w:val="en-CA"/>
        </w:rPr>
        <w:t>Building on the 2020 ITU Risk Management Policy and ITU Risk Appetite Statement, the strategy will pursue increasing integration between risks, strategy, controls and performance.</w:t>
      </w:r>
    </w:p>
    <w:p w14:paraId="0DE2C43F" w14:textId="77777777" w:rsidR="00EE4003" w:rsidRPr="00DA4D4A" w:rsidRDefault="00EE4003" w:rsidP="00DA4D4A">
      <w:pPr>
        <w:spacing w:after="120"/>
        <w:jc w:val="both"/>
        <w:rPr>
          <w:rFonts w:ascii="Calibri" w:hAnsi="Calibri" w:cs="Calibri"/>
          <w:b/>
          <w:bCs/>
          <w:szCs w:val="24"/>
          <w:lang w:val="en-CA"/>
        </w:rPr>
      </w:pPr>
      <w:r w:rsidRPr="00DA4D4A">
        <w:rPr>
          <w:rFonts w:ascii="Calibri" w:hAnsi="Calibri" w:cs="Calibri"/>
          <w:b/>
          <w:bCs/>
          <w:szCs w:val="24"/>
          <w:lang w:val="en-CA"/>
        </w:rPr>
        <w:t>Description of process flow and deadlines for contributions</w:t>
      </w:r>
    </w:p>
    <w:p w14:paraId="4C90932D" w14:textId="72A5A641" w:rsidR="00EE4003" w:rsidRPr="00DA4D4A" w:rsidRDefault="00DA4D4A" w:rsidP="00DA4D4A">
      <w:pPr>
        <w:pStyle w:val="ListParagraph"/>
        <w:numPr>
          <w:ilvl w:val="0"/>
          <w:numId w:val="2"/>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color w:val="FF0000"/>
          <w:szCs w:val="24"/>
          <w:lang w:val="en-CA"/>
        </w:rPr>
      </w:pPr>
      <w:r>
        <w:rPr>
          <w:rFonts w:ascii="Calibri" w:hAnsi="Calibri" w:cs="Calibri"/>
          <w:szCs w:val="24"/>
          <w:lang w:val="en-CA"/>
        </w:rPr>
        <w:tab/>
      </w:r>
      <w:r w:rsidR="00EE4003" w:rsidRPr="00DA4D4A">
        <w:rPr>
          <w:rFonts w:ascii="Calibri" w:hAnsi="Calibri" w:cs="Calibri"/>
          <w:szCs w:val="24"/>
          <w:lang w:val="en-CA"/>
        </w:rPr>
        <w:t xml:space="preserve">WTDC contribution: </w:t>
      </w:r>
      <w:r w:rsidR="00EE4003" w:rsidRPr="00DA4D4A">
        <w:rPr>
          <w:rFonts w:ascii="Calibri" w:hAnsi="Calibri" w:cs="Calibri"/>
          <w:color w:val="FF0000"/>
          <w:szCs w:val="24"/>
          <w:lang w:val="en-CA"/>
        </w:rPr>
        <w:t>deadline October 2021</w:t>
      </w:r>
    </w:p>
    <w:p w14:paraId="616B0687" w14:textId="77777777" w:rsidR="00EE4003" w:rsidRPr="00DA4D4A" w:rsidRDefault="00EE4003" w:rsidP="00DA4D4A">
      <w:pPr>
        <w:spacing w:after="120"/>
        <w:ind w:left="720"/>
        <w:jc w:val="both"/>
        <w:rPr>
          <w:rFonts w:ascii="Calibri" w:hAnsi="Calibri" w:cs="Calibri"/>
          <w:szCs w:val="24"/>
          <w:lang w:val="en-CA"/>
        </w:rPr>
      </w:pPr>
      <w:r w:rsidRPr="00DA4D4A">
        <w:rPr>
          <w:rFonts w:ascii="Calibri" w:hAnsi="Calibri" w:cs="Calibri"/>
          <w:szCs w:val="24"/>
          <w:lang w:val="en-CA"/>
        </w:rPr>
        <w:t xml:space="preserve">WTDC in November 2021 will allocate the contributions to the Working Group of the Plenary to consider the proposal towards the Addis Ababa Action Plan. </w:t>
      </w:r>
    </w:p>
    <w:p w14:paraId="5D01E2D8" w14:textId="57E7F5A3" w:rsidR="00EE4003" w:rsidRPr="00DA4D4A" w:rsidRDefault="00DA4D4A" w:rsidP="00DA4D4A">
      <w:pPr>
        <w:pStyle w:val="ListParagraph"/>
        <w:numPr>
          <w:ilvl w:val="0"/>
          <w:numId w:val="2"/>
        </w:numPr>
        <w:tabs>
          <w:tab w:val="clear" w:pos="1134"/>
          <w:tab w:val="clear" w:pos="1871"/>
          <w:tab w:val="clear" w:pos="2268"/>
        </w:tabs>
        <w:overflowPunct/>
        <w:autoSpaceDE/>
        <w:autoSpaceDN/>
        <w:adjustRightInd/>
        <w:spacing w:after="120"/>
        <w:ind w:left="709" w:hanging="709"/>
        <w:contextualSpacing w:val="0"/>
        <w:jc w:val="both"/>
        <w:textAlignment w:val="auto"/>
        <w:rPr>
          <w:rFonts w:ascii="Calibri" w:hAnsi="Calibri" w:cs="Calibri"/>
          <w:color w:val="FF0000"/>
          <w:szCs w:val="24"/>
          <w:lang w:val="en-CA"/>
        </w:rPr>
      </w:pPr>
      <w:r>
        <w:rPr>
          <w:rFonts w:ascii="Calibri" w:hAnsi="Calibri" w:cs="Calibri"/>
          <w:szCs w:val="24"/>
          <w:lang w:val="en-CA"/>
        </w:rPr>
        <w:tab/>
      </w:r>
      <w:r w:rsidR="00EE4003" w:rsidRPr="00DA4D4A">
        <w:rPr>
          <w:rFonts w:ascii="Calibri" w:hAnsi="Calibri" w:cs="Calibri"/>
          <w:szCs w:val="24"/>
          <w:lang w:val="en-CA"/>
        </w:rPr>
        <w:t xml:space="preserve">TDAG Working Group on Strategic and Operational Plan (TDAG-WG-SOP) contribution: </w:t>
      </w:r>
      <w:r w:rsidR="00EE4003" w:rsidRPr="00DA4D4A">
        <w:rPr>
          <w:rFonts w:ascii="Calibri" w:hAnsi="Calibri" w:cs="Calibri"/>
          <w:color w:val="FF0000"/>
          <w:szCs w:val="24"/>
          <w:lang w:val="en-CA"/>
        </w:rPr>
        <w:t>deadline January 2022</w:t>
      </w:r>
    </w:p>
    <w:p w14:paraId="2C686B69" w14:textId="77777777" w:rsidR="00EE4003" w:rsidRPr="00DA4D4A" w:rsidRDefault="00EE4003" w:rsidP="00DA4D4A">
      <w:pPr>
        <w:pStyle w:val="ListParagraph"/>
        <w:spacing w:after="120"/>
        <w:contextualSpacing w:val="0"/>
        <w:jc w:val="both"/>
        <w:rPr>
          <w:rFonts w:ascii="Calibri" w:hAnsi="Calibri" w:cs="Calibri"/>
          <w:szCs w:val="24"/>
          <w:lang w:val="en-CA"/>
        </w:rPr>
      </w:pPr>
      <w:r w:rsidRPr="00DA4D4A">
        <w:rPr>
          <w:rFonts w:ascii="Calibri" w:hAnsi="Calibri" w:cs="Calibri"/>
          <w:szCs w:val="24"/>
          <w:lang w:val="en-CA"/>
        </w:rPr>
        <w:t>The work of TDAG-WG-SOP, started in July 2020, will continue through Council 22. TDAG-WG-SOP will be consulted at every step in the development of the overall ITU Strategic Plan. TDAG-WG-SOP will capture the proposal embedded in the Addis Ababa Action Plan between November 2021 and March 2022 for inclusion in the overall ITU Strategic Plan.</w:t>
      </w:r>
    </w:p>
    <w:p w14:paraId="107E8313" w14:textId="71C6D1BD" w:rsidR="00EE4003" w:rsidRPr="00DA4D4A" w:rsidRDefault="00DA4D4A" w:rsidP="00DA4D4A">
      <w:pPr>
        <w:pStyle w:val="ListParagraph"/>
        <w:numPr>
          <w:ilvl w:val="0"/>
          <w:numId w:val="2"/>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color w:val="FF0000"/>
          <w:szCs w:val="24"/>
          <w:lang w:val="en-CA"/>
        </w:rPr>
      </w:pPr>
      <w:r>
        <w:rPr>
          <w:rFonts w:ascii="Calibri" w:hAnsi="Calibri" w:cs="Calibri"/>
          <w:szCs w:val="24"/>
          <w:lang w:val="en-CA"/>
        </w:rPr>
        <w:tab/>
      </w:r>
      <w:r w:rsidR="00EE4003" w:rsidRPr="00DA4D4A">
        <w:rPr>
          <w:rFonts w:ascii="Calibri" w:hAnsi="Calibri" w:cs="Calibri"/>
          <w:szCs w:val="24"/>
          <w:lang w:val="en-CA"/>
        </w:rPr>
        <w:t xml:space="preserve">TDAG contribution: </w:t>
      </w:r>
      <w:r w:rsidR="00EE4003" w:rsidRPr="00DA4D4A">
        <w:rPr>
          <w:rFonts w:ascii="Calibri" w:hAnsi="Calibri" w:cs="Calibri"/>
          <w:color w:val="FF0000"/>
          <w:szCs w:val="24"/>
          <w:lang w:val="en-CA"/>
        </w:rPr>
        <w:t>deadline January 2022</w:t>
      </w:r>
    </w:p>
    <w:p w14:paraId="60771EE1" w14:textId="77777777" w:rsidR="00EE4003" w:rsidRPr="00DA4D4A" w:rsidRDefault="00EE4003" w:rsidP="00DA4D4A">
      <w:pPr>
        <w:spacing w:after="120"/>
        <w:ind w:left="720"/>
        <w:jc w:val="both"/>
        <w:rPr>
          <w:rFonts w:ascii="Calibri" w:hAnsi="Calibri" w:cs="Calibri"/>
          <w:szCs w:val="24"/>
          <w:lang w:val="en-CA"/>
        </w:rPr>
      </w:pPr>
      <w:r w:rsidRPr="00DA4D4A">
        <w:rPr>
          <w:rFonts w:ascii="Calibri" w:hAnsi="Calibri" w:cs="Calibri"/>
          <w:szCs w:val="24"/>
          <w:lang w:val="en-CA"/>
        </w:rPr>
        <w:t>TDAG will advise the BDT Director on the ITU-D component of the draft Strategic Plan, which will be addressed by the Council Working Group (CWG) on the Strategic Plan in March 2022</w:t>
      </w:r>
    </w:p>
    <w:p w14:paraId="7A5C1F97" w14:textId="73693692" w:rsidR="00EE4003" w:rsidRPr="00DA4D4A" w:rsidRDefault="00DA4D4A" w:rsidP="00DA4D4A">
      <w:pPr>
        <w:pStyle w:val="ListParagraph"/>
        <w:numPr>
          <w:ilvl w:val="0"/>
          <w:numId w:val="2"/>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color w:val="FF0000"/>
          <w:szCs w:val="24"/>
          <w:lang w:val="en-CA"/>
        </w:rPr>
      </w:pPr>
      <w:r>
        <w:rPr>
          <w:rFonts w:ascii="Calibri" w:hAnsi="Calibri" w:cs="Calibri"/>
          <w:szCs w:val="24"/>
          <w:lang w:val="en-CA"/>
        </w:rPr>
        <w:tab/>
      </w:r>
      <w:r w:rsidR="00EE4003" w:rsidRPr="00DA4D4A">
        <w:rPr>
          <w:rFonts w:ascii="Calibri" w:hAnsi="Calibri" w:cs="Calibri"/>
          <w:szCs w:val="24"/>
          <w:lang w:val="en-CA"/>
        </w:rPr>
        <w:t>CWG on Strategic Plan: June 2021 – March 2022</w:t>
      </w:r>
    </w:p>
    <w:p w14:paraId="3B34E854" w14:textId="77777777" w:rsidR="00EE4003" w:rsidRPr="00DA4D4A" w:rsidRDefault="00EE4003" w:rsidP="00DA4D4A">
      <w:pPr>
        <w:pStyle w:val="ListParagraph"/>
        <w:spacing w:after="120"/>
        <w:contextualSpacing w:val="0"/>
        <w:jc w:val="both"/>
        <w:rPr>
          <w:rFonts w:ascii="Calibri" w:hAnsi="Calibri" w:cs="Calibri"/>
          <w:szCs w:val="24"/>
          <w:lang w:val="en-CA"/>
        </w:rPr>
      </w:pPr>
      <w:r w:rsidRPr="00DA4D4A">
        <w:rPr>
          <w:rFonts w:ascii="Calibri" w:hAnsi="Calibri" w:cs="Calibri"/>
          <w:szCs w:val="24"/>
          <w:lang w:val="en-CA"/>
        </w:rPr>
        <w:t xml:space="preserve">The proposal will be incorporated and presented to Council 2022 (21-31 March) for submission to PP22. </w:t>
      </w:r>
    </w:p>
    <w:p w14:paraId="38BC439A" w14:textId="52EB8D1E" w:rsidR="00EE4003" w:rsidRPr="00DA4D4A" w:rsidRDefault="00DA4D4A" w:rsidP="00DA4D4A">
      <w:pPr>
        <w:pStyle w:val="ListParagraph"/>
        <w:numPr>
          <w:ilvl w:val="0"/>
          <w:numId w:val="2"/>
        </w:numPr>
        <w:tabs>
          <w:tab w:val="clear" w:pos="1134"/>
          <w:tab w:val="clear" w:pos="1871"/>
          <w:tab w:val="clear" w:pos="2268"/>
        </w:tabs>
        <w:overflowPunct/>
        <w:autoSpaceDE/>
        <w:autoSpaceDN/>
        <w:adjustRightInd/>
        <w:spacing w:after="120"/>
        <w:contextualSpacing w:val="0"/>
        <w:jc w:val="both"/>
        <w:textAlignment w:val="auto"/>
        <w:rPr>
          <w:rFonts w:ascii="Calibri" w:hAnsi="Calibri" w:cs="Calibri"/>
          <w:color w:val="FF0000"/>
          <w:szCs w:val="24"/>
          <w:lang w:val="en-CA"/>
        </w:rPr>
      </w:pPr>
      <w:r>
        <w:rPr>
          <w:rFonts w:ascii="Calibri" w:hAnsi="Calibri" w:cs="Calibri"/>
          <w:szCs w:val="24"/>
          <w:lang w:val="en-CA"/>
        </w:rPr>
        <w:tab/>
      </w:r>
      <w:bookmarkStart w:id="5" w:name="_GoBack"/>
      <w:bookmarkEnd w:id="5"/>
      <w:r w:rsidR="00EE4003" w:rsidRPr="00DA4D4A">
        <w:rPr>
          <w:rFonts w:ascii="Calibri" w:hAnsi="Calibri" w:cs="Calibri"/>
          <w:szCs w:val="24"/>
          <w:lang w:val="en-CA"/>
        </w:rPr>
        <w:t xml:space="preserve">Plenipotentiary 2022 (PP22) contributions: </w:t>
      </w:r>
      <w:r w:rsidR="00EE4003" w:rsidRPr="00DA4D4A">
        <w:rPr>
          <w:rFonts w:ascii="Calibri" w:hAnsi="Calibri" w:cs="Calibri"/>
          <w:color w:val="FF0000"/>
          <w:szCs w:val="24"/>
          <w:lang w:val="en-CA"/>
        </w:rPr>
        <w:t>deadline August 2022</w:t>
      </w:r>
    </w:p>
    <w:p w14:paraId="297A3BB8" w14:textId="77777777" w:rsidR="00EE4003" w:rsidRPr="00DA4D4A" w:rsidRDefault="00EE4003" w:rsidP="00DA4D4A">
      <w:pPr>
        <w:spacing w:after="120"/>
        <w:ind w:left="720"/>
        <w:jc w:val="both"/>
        <w:rPr>
          <w:rFonts w:ascii="Calibri" w:hAnsi="Calibri" w:cs="Calibri"/>
          <w:szCs w:val="24"/>
          <w:lang w:val="en-CA"/>
        </w:rPr>
      </w:pPr>
      <w:r w:rsidRPr="00DA4D4A">
        <w:rPr>
          <w:rFonts w:ascii="Calibri" w:hAnsi="Calibri" w:cs="Calibri"/>
          <w:szCs w:val="24"/>
          <w:lang w:val="en-CA"/>
        </w:rPr>
        <w:t>The Strategic Plan will be approved in the PP22 Conference.</w:t>
      </w:r>
    </w:p>
    <w:p w14:paraId="355A6D33" w14:textId="77777777" w:rsidR="00DA4D4A" w:rsidRDefault="00DA4D4A">
      <w:pPr>
        <w:tabs>
          <w:tab w:val="clear" w:pos="794"/>
          <w:tab w:val="clear" w:pos="1191"/>
          <w:tab w:val="clear" w:pos="1588"/>
          <w:tab w:val="clear" w:pos="1985"/>
        </w:tabs>
        <w:overflowPunct/>
        <w:autoSpaceDE/>
        <w:autoSpaceDN/>
        <w:adjustRightInd/>
        <w:spacing w:before="0"/>
        <w:textAlignment w:val="auto"/>
        <w:rPr>
          <w:rFonts w:ascii="Calibri" w:hAnsi="Calibri" w:cs="Calibri"/>
          <w:b/>
          <w:bCs/>
          <w:szCs w:val="24"/>
          <w:lang w:val="en-CA"/>
        </w:rPr>
      </w:pPr>
      <w:r>
        <w:rPr>
          <w:rFonts w:ascii="Calibri" w:hAnsi="Calibri" w:cs="Calibri"/>
          <w:b/>
          <w:bCs/>
          <w:szCs w:val="24"/>
          <w:lang w:val="en-CA"/>
        </w:rPr>
        <w:br w:type="page"/>
      </w:r>
    </w:p>
    <w:p w14:paraId="17491D34" w14:textId="52482904" w:rsidR="00EE4003" w:rsidRPr="00DA4D4A" w:rsidRDefault="00EE4003" w:rsidP="00DA4D4A">
      <w:pPr>
        <w:spacing w:after="120"/>
        <w:rPr>
          <w:rFonts w:ascii="Calibri" w:hAnsi="Calibri" w:cs="Calibri"/>
          <w:b/>
          <w:bCs/>
          <w:szCs w:val="24"/>
          <w:lang w:val="en-CA"/>
        </w:rPr>
      </w:pPr>
      <w:r w:rsidRPr="00DA4D4A">
        <w:rPr>
          <w:rFonts w:ascii="Calibri" w:hAnsi="Calibri" w:cs="Calibri"/>
          <w:b/>
          <w:bCs/>
          <w:szCs w:val="24"/>
          <w:lang w:val="en-CA"/>
        </w:rPr>
        <w:lastRenderedPageBreak/>
        <w:t>Annex 1: Timeline of key deadlines and events</w:t>
      </w:r>
    </w:p>
    <w:p w14:paraId="2CFCF2CA" w14:textId="691C02D5" w:rsidR="00EC6FED" w:rsidRPr="00DA4D4A" w:rsidRDefault="00EE4003" w:rsidP="00DA4D4A">
      <w:pPr>
        <w:spacing w:after="120"/>
        <w:rPr>
          <w:rFonts w:ascii="Calibri" w:hAnsi="Calibri" w:cs="Calibri"/>
          <w:szCs w:val="24"/>
        </w:rPr>
      </w:pPr>
      <w:r w:rsidRPr="00DA4D4A">
        <w:rPr>
          <w:rFonts w:ascii="Calibri" w:hAnsi="Calibri" w:cs="Calibri"/>
          <w:noProof/>
          <w:szCs w:val="24"/>
        </w:rPr>
        <w:drawing>
          <wp:inline distT="0" distB="0" distL="0" distR="0" wp14:anchorId="6E273A9B" wp14:editId="72004FE1">
            <wp:extent cx="5731510" cy="34220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422015"/>
                    </a:xfrm>
                    <a:prstGeom prst="rect">
                      <a:avLst/>
                    </a:prstGeom>
                  </pic:spPr>
                </pic:pic>
              </a:graphicData>
            </a:graphic>
          </wp:inline>
        </w:drawing>
      </w:r>
    </w:p>
    <w:p w14:paraId="7BAF8EA4" w14:textId="1F61E7B1" w:rsidR="00821996" w:rsidRDefault="003C58BF" w:rsidP="00643042">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6E802" w14:textId="77777777" w:rsidR="00C711DD" w:rsidRDefault="00C711DD">
      <w:r>
        <w:separator/>
      </w:r>
    </w:p>
  </w:endnote>
  <w:endnote w:type="continuationSeparator" w:id="0">
    <w:p w14:paraId="3D787516" w14:textId="77777777" w:rsidR="00C711DD" w:rsidRDefault="00C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3047DE" w14:paraId="136E4C84" w14:textId="77777777" w:rsidTr="003047DE">
      <w:tc>
        <w:tcPr>
          <w:tcW w:w="1526" w:type="dxa"/>
          <w:tcBorders>
            <w:top w:val="single" w:sz="4" w:space="0" w:color="000000"/>
            <w:left w:val="nil"/>
            <w:bottom w:val="nil"/>
            <w:right w:val="nil"/>
          </w:tcBorders>
          <w:hideMark/>
        </w:tcPr>
        <w:p w14:paraId="220D5EC2" w14:textId="77777777" w:rsidR="003047DE" w:rsidRDefault="003047DE" w:rsidP="003047D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14:paraId="75F8EA90" w14:textId="77777777" w:rsidR="003047DE" w:rsidRDefault="003047DE" w:rsidP="003047DE">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14:paraId="694B93B4" w14:textId="6C23A24C" w:rsidR="003047DE" w:rsidRDefault="00624945" w:rsidP="003047DE">
          <w:pPr>
            <w:pStyle w:val="FirstFooter"/>
            <w:tabs>
              <w:tab w:val="left" w:pos="2302"/>
            </w:tabs>
            <w:rPr>
              <w:sz w:val="18"/>
              <w:szCs w:val="18"/>
              <w:lang w:val="en-US"/>
            </w:rPr>
          </w:pPr>
          <w:bookmarkStart w:id="7" w:name="OrgName"/>
          <w:bookmarkEnd w:id="7"/>
          <w:r>
            <w:rPr>
              <w:sz w:val="18"/>
              <w:szCs w:val="18"/>
              <w:lang w:val="en-US"/>
            </w:rPr>
            <w:t>Mr Jeremy Barnes, Senior Evaluation Planning &amp; Reporting Officer, Telecommunication Development Bureau</w:t>
          </w:r>
        </w:p>
      </w:tc>
    </w:tr>
    <w:tr w:rsidR="003047DE" w14:paraId="14ECDBE7" w14:textId="77777777" w:rsidTr="003047DE">
      <w:tc>
        <w:tcPr>
          <w:tcW w:w="1526" w:type="dxa"/>
        </w:tcPr>
        <w:p w14:paraId="097A1B8E" w14:textId="77777777" w:rsidR="003047DE" w:rsidRDefault="003047DE" w:rsidP="003047DE">
          <w:pPr>
            <w:pStyle w:val="FirstFooter"/>
            <w:tabs>
              <w:tab w:val="left" w:pos="1559"/>
              <w:tab w:val="left" w:pos="3828"/>
            </w:tabs>
            <w:rPr>
              <w:sz w:val="20"/>
              <w:lang w:val="en-US"/>
            </w:rPr>
          </w:pPr>
        </w:p>
      </w:tc>
      <w:tc>
        <w:tcPr>
          <w:tcW w:w="2410" w:type="dxa"/>
          <w:hideMark/>
        </w:tcPr>
        <w:p w14:paraId="2C7FC185" w14:textId="77777777" w:rsidR="003047DE" w:rsidRDefault="003047DE" w:rsidP="003047DE">
          <w:pPr>
            <w:pStyle w:val="FirstFooter"/>
            <w:tabs>
              <w:tab w:val="left" w:pos="2302"/>
            </w:tabs>
            <w:rPr>
              <w:sz w:val="18"/>
              <w:szCs w:val="18"/>
              <w:lang w:val="en-US"/>
            </w:rPr>
          </w:pPr>
          <w:r>
            <w:rPr>
              <w:sz w:val="18"/>
              <w:szCs w:val="18"/>
              <w:lang w:val="en-US"/>
            </w:rPr>
            <w:t>Phone number:</w:t>
          </w:r>
        </w:p>
      </w:tc>
      <w:tc>
        <w:tcPr>
          <w:tcW w:w="5987" w:type="dxa"/>
          <w:hideMark/>
        </w:tcPr>
        <w:p w14:paraId="3C2FE83A" w14:textId="75DD2821" w:rsidR="003047DE" w:rsidRDefault="00624945" w:rsidP="003047DE">
          <w:pPr>
            <w:pStyle w:val="FirstFooter"/>
            <w:tabs>
              <w:tab w:val="left" w:pos="2302"/>
            </w:tabs>
            <w:rPr>
              <w:sz w:val="18"/>
              <w:szCs w:val="18"/>
              <w:lang w:val="en-US"/>
            </w:rPr>
          </w:pPr>
          <w:bookmarkStart w:id="8" w:name="PhoneNo"/>
          <w:bookmarkEnd w:id="8"/>
          <w:r>
            <w:rPr>
              <w:sz w:val="18"/>
              <w:szCs w:val="18"/>
              <w:lang w:val="en-US"/>
            </w:rPr>
            <w:t>+41 22 730 5489</w:t>
          </w:r>
        </w:p>
      </w:tc>
    </w:tr>
    <w:tr w:rsidR="003047DE" w14:paraId="438D3233" w14:textId="77777777" w:rsidTr="003047DE">
      <w:tc>
        <w:tcPr>
          <w:tcW w:w="1526" w:type="dxa"/>
        </w:tcPr>
        <w:p w14:paraId="5DBCF6CC" w14:textId="77777777" w:rsidR="003047DE" w:rsidRDefault="003047DE" w:rsidP="003047DE">
          <w:pPr>
            <w:pStyle w:val="FirstFooter"/>
            <w:tabs>
              <w:tab w:val="left" w:pos="1559"/>
              <w:tab w:val="left" w:pos="3828"/>
            </w:tabs>
            <w:rPr>
              <w:sz w:val="20"/>
              <w:lang w:val="en-US"/>
            </w:rPr>
          </w:pPr>
        </w:p>
      </w:tc>
      <w:tc>
        <w:tcPr>
          <w:tcW w:w="2410" w:type="dxa"/>
          <w:hideMark/>
        </w:tcPr>
        <w:p w14:paraId="3554CDB2" w14:textId="77777777" w:rsidR="003047DE" w:rsidRDefault="003047DE" w:rsidP="003047DE">
          <w:pPr>
            <w:pStyle w:val="FirstFooter"/>
            <w:tabs>
              <w:tab w:val="left" w:pos="2302"/>
            </w:tabs>
            <w:rPr>
              <w:sz w:val="18"/>
              <w:szCs w:val="18"/>
              <w:lang w:val="en-US"/>
            </w:rPr>
          </w:pPr>
          <w:r>
            <w:rPr>
              <w:sz w:val="18"/>
              <w:szCs w:val="18"/>
              <w:lang w:val="en-US"/>
            </w:rPr>
            <w:t>E-mail:</w:t>
          </w:r>
        </w:p>
      </w:tc>
      <w:bookmarkStart w:id="9" w:name="Email"/>
      <w:bookmarkEnd w:id="9"/>
      <w:tc>
        <w:tcPr>
          <w:tcW w:w="5987" w:type="dxa"/>
          <w:hideMark/>
        </w:tcPr>
        <w:p w14:paraId="1163FA7C" w14:textId="2285A31B" w:rsidR="003047DE" w:rsidRDefault="00624945" w:rsidP="003047DE">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"mailto:Jeremy.barnes@itu.int" </w:instrText>
          </w:r>
          <w:r>
            <w:rPr>
              <w:sz w:val="18"/>
              <w:szCs w:val="18"/>
              <w:lang w:val="en-US"/>
            </w:rPr>
            <w:fldChar w:fldCharType="separate"/>
          </w:r>
          <w:r w:rsidRPr="003D2588">
            <w:rPr>
              <w:rStyle w:val="Hyperlink"/>
              <w:sz w:val="18"/>
              <w:szCs w:val="18"/>
              <w:lang w:val="en-US"/>
            </w:rPr>
            <w:t>Jeremy.barnes@itu.int</w:t>
          </w:r>
          <w:r>
            <w:rPr>
              <w:sz w:val="18"/>
              <w:szCs w:val="18"/>
              <w:lang w:val="en-US"/>
            </w:rPr>
            <w:fldChar w:fldCharType="end"/>
          </w:r>
        </w:p>
      </w:tc>
    </w:tr>
  </w:tbl>
  <w:p w14:paraId="264F1D72" w14:textId="2079D10F" w:rsidR="00DA4D4A" w:rsidRDefault="00DA4D4A" w:rsidP="00DA4D4A">
    <w:pPr>
      <w:pStyle w:val="Footer"/>
      <w:jc w:val="center"/>
      <w:rPr>
        <w:lang w:val="en-GB"/>
      </w:rPr>
    </w:pPr>
  </w:p>
  <w:p w14:paraId="03C3F5D9" w14:textId="1B3D79E4" w:rsidR="00721657" w:rsidRPr="00DA4D4A" w:rsidRDefault="00DA4D4A" w:rsidP="00DA4D4A">
    <w:pPr>
      <w:pStyle w:val="Footer"/>
      <w:jc w:val="center"/>
      <w:rPr>
        <w:lang w:val="en-GB"/>
      </w:rPr>
    </w:pPr>
    <w:hyperlink r:id="rId1" w:history="1">
      <w:r>
        <w:rPr>
          <w:rStyle w:val="Hyperlink"/>
          <w:caps w:val="0"/>
          <w:noProof w:val="0"/>
          <w:sz w:val="18"/>
          <w:szCs w:val="18"/>
          <w:lang w:val="en-US"/>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3D959" w14:textId="77777777" w:rsidR="00C711DD" w:rsidRDefault="00C711DD">
      <w:r>
        <w:t>____________________</w:t>
      </w:r>
    </w:p>
  </w:footnote>
  <w:footnote w:type="continuationSeparator" w:id="0">
    <w:p w14:paraId="5E028B62" w14:textId="77777777" w:rsidR="00C711DD" w:rsidRDefault="00C7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2666632C" w:rsidR="00721657" w:rsidRPr="00DA4D4A" w:rsidRDefault="00DA4D4A" w:rsidP="00DA4D4A">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Pr>
        <w:sz w:val="22"/>
        <w:szCs w:val="22"/>
        <w:lang w:val="de-CH"/>
      </w:rPr>
      <w:t>-20/3</w:t>
    </w:r>
    <w:r w:rsidRPr="00A54E72">
      <w:rPr>
        <w:sz w:val="22"/>
        <w:szCs w:val="22"/>
        <w:lang w:val="de-CH"/>
      </w:rPr>
      <w:t>/</w:t>
    </w:r>
    <w:r>
      <w:rPr>
        <w:sz w:val="22"/>
        <w:szCs w:val="22"/>
        <w:lang w:val="de-CH"/>
      </w:rPr>
      <w:t>INF/</w:t>
    </w:r>
    <w:r>
      <w:rPr>
        <w:sz w:val="22"/>
        <w:szCs w:val="22"/>
        <w:lang w:val="de-CH"/>
      </w:rPr>
      <w:t>5</w:t>
    </w:r>
    <w:r>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C54"/>
    <w:multiLevelType w:val="hybridMultilevel"/>
    <w:tmpl w:val="037863B8"/>
    <w:lvl w:ilvl="0" w:tplc="E4B0E760">
      <w:start w:val="1"/>
      <w:numFmt w:val="decimal"/>
      <w:lvlText w:val="%1."/>
      <w:lvlJc w:val="left"/>
      <w:pPr>
        <w:ind w:left="284" w:hanging="227"/>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0A48F3"/>
    <w:multiLevelType w:val="hybridMultilevel"/>
    <w:tmpl w:val="A986E5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EF6"/>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D66"/>
    <w:rsid w:val="002715FD"/>
    <w:rsid w:val="002770B1"/>
    <w:rsid w:val="00285B33"/>
    <w:rsid w:val="00287A3C"/>
    <w:rsid w:val="002A2FC6"/>
    <w:rsid w:val="002C1EC7"/>
    <w:rsid w:val="002C3015"/>
    <w:rsid w:val="002C4342"/>
    <w:rsid w:val="002C7EA3"/>
    <w:rsid w:val="002D20AE"/>
    <w:rsid w:val="002D6C61"/>
    <w:rsid w:val="002E2104"/>
    <w:rsid w:val="002E2DAC"/>
    <w:rsid w:val="002E35AA"/>
    <w:rsid w:val="002E6963"/>
    <w:rsid w:val="002E6F8F"/>
    <w:rsid w:val="002F05D8"/>
    <w:rsid w:val="002F2DE0"/>
    <w:rsid w:val="002F5E25"/>
    <w:rsid w:val="0030353C"/>
    <w:rsid w:val="003047DE"/>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28C6"/>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19F8"/>
    <w:rsid w:val="00493B49"/>
    <w:rsid w:val="0049435F"/>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4945"/>
    <w:rsid w:val="00625FB8"/>
    <w:rsid w:val="006261BD"/>
    <w:rsid w:val="00635EDB"/>
    <w:rsid w:val="00643042"/>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670"/>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1B3B"/>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419AA"/>
    <w:rsid w:val="00A50CA0"/>
    <w:rsid w:val="00A525CC"/>
    <w:rsid w:val="00A53E7C"/>
    <w:rsid w:val="00A60087"/>
    <w:rsid w:val="00A705E8"/>
    <w:rsid w:val="00A721F4"/>
    <w:rsid w:val="00A736E4"/>
    <w:rsid w:val="00A80E0B"/>
    <w:rsid w:val="00A86D97"/>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070B1"/>
    <w:rsid w:val="00B310F9"/>
    <w:rsid w:val="00B37866"/>
    <w:rsid w:val="00B412FB"/>
    <w:rsid w:val="00B4576B"/>
    <w:rsid w:val="00B46350"/>
    <w:rsid w:val="00B46DF3"/>
    <w:rsid w:val="00B47F9F"/>
    <w:rsid w:val="00B5079B"/>
    <w:rsid w:val="00B648C7"/>
    <w:rsid w:val="00B66E8F"/>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4038C"/>
    <w:rsid w:val="00C41882"/>
    <w:rsid w:val="00C42BA2"/>
    <w:rsid w:val="00C44066"/>
    <w:rsid w:val="00C44E13"/>
    <w:rsid w:val="00C60A41"/>
    <w:rsid w:val="00C62DE8"/>
    <w:rsid w:val="00C62DFB"/>
    <w:rsid w:val="00C630E6"/>
    <w:rsid w:val="00C63812"/>
    <w:rsid w:val="00C64AF3"/>
    <w:rsid w:val="00C66F4D"/>
    <w:rsid w:val="00C67BB5"/>
    <w:rsid w:val="00C711DD"/>
    <w:rsid w:val="00C72713"/>
    <w:rsid w:val="00C848EF"/>
    <w:rsid w:val="00C86600"/>
    <w:rsid w:val="00C87BCA"/>
    <w:rsid w:val="00C87EED"/>
    <w:rsid w:val="00C93E1A"/>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4D4A"/>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4003"/>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UnresolvedMention">
    <w:name w:val="Unresolved Mention"/>
    <w:basedOn w:val="DefaultParagraphFont"/>
    <w:uiPriority w:val="99"/>
    <w:semiHidden/>
    <w:unhideWhenUsed/>
    <w:rsid w:val="00BE53BF"/>
    <w:rPr>
      <w:color w:val="605E5C"/>
      <w:shd w:val="clear" w:color="auto" w:fill="E1DFDD"/>
    </w:rPr>
  </w:style>
  <w:style w:type="character" w:customStyle="1" w:styleId="ListParagraphChar">
    <w:name w:val="List Paragraph Char"/>
    <w:basedOn w:val="DefaultParagraphFont"/>
    <w:link w:val="ListParagraph"/>
    <w:uiPriority w:val="34"/>
    <w:rsid w:val="00EE400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B88F8B5ADD64F997622A3285924A1" ma:contentTypeVersion="11" ma:contentTypeDescription="Create a new document." ma:contentTypeScope="" ma:versionID="8a0b7e25b8df3962ac1faba5695e4356">
  <xsd:schema xmlns:xsd="http://www.w3.org/2001/XMLSchema" xmlns:xs="http://www.w3.org/2001/XMLSchema" xmlns:p="http://schemas.microsoft.com/office/2006/metadata/properties" xmlns:ns3="1bba60ce-7ee0-45e0-94b9-a9eb6abae2eb" xmlns:ns4="787e4341-acdb-4c47-8095-7864f82334df" targetNamespace="http://schemas.microsoft.com/office/2006/metadata/properties" ma:root="true" ma:fieldsID="0d3dd693c6514c81dcdc88d1342241c8" ns3:_="" ns4:_="">
    <xsd:import namespace="1bba60ce-7ee0-45e0-94b9-a9eb6abae2eb"/>
    <xsd:import namespace="787e4341-acdb-4c47-8095-7864f82334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60ce-7ee0-45e0-94b9-a9eb6abae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e4341-acdb-4c47-8095-7864f82334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7C97-4E3E-4249-B358-E1558F09E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16EA3-34D5-420A-A719-BA50829D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60ce-7ee0-45e0-94b9-a9eb6abae2eb"/>
    <ds:schemaRef ds:uri="787e4341-acdb-4c47-8095-7864f8233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F5669-C42B-406F-AD43-0D9039163E7A}">
  <ds:schemaRefs>
    <ds:schemaRef ds:uri="http://schemas.microsoft.com/sharepoint/v3/contenttype/forms"/>
  </ds:schemaRefs>
</ds:datastoreItem>
</file>

<file path=customXml/itemProps4.xml><?xml version="1.0" encoding="utf-8"?>
<ds:datastoreItem xmlns:ds="http://schemas.openxmlformats.org/officeDocument/2006/customXml" ds:itemID="{51B01735-A169-47AA-B1FC-3BF6805D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383</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3</cp:revision>
  <cp:lastPrinted>2014-11-04T09:22:00Z</cp:lastPrinted>
  <dcterms:created xsi:type="dcterms:W3CDTF">2020-11-23T12:17:00Z</dcterms:created>
  <dcterms:modified xsi:type="dcterms:W3CDTF">2020-11-23T12:22:00Z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0x010100A11B88F8B5ADD64F997622A3285924A1</vt:lpwstr>
  </property>
</Properties>
</file>