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6C2DCB" w14:paraId="47569BAA" w14:textId="77777777" w:rsidTr="006C2DCB">
        <w:trPr>
          <w:cantSplit/>
          <w:trHeight w:val="1134"/>
        </w:trPr>
        <w:tc>
          <w:tcPr>
            <w:tcW w:w="6379" w:type="dxa"/>
          </w:tcPr>
          <w:p w14:paraId="7C48EFA3" w14:textId="77777777" w:rsidR="006C2DCB" w:rsidRDefault="006C2DCB" w:rsidP="006C2DCB">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51E45F7" w14:textId="77777777" w:rsidR="006C2DCB" w:rsidRPr="00844A56" w:rsidRDefault="006C2DCB" w:rsidP="006C2DCB">
            <w:pPr>
              <w:spacing w:before="100" w:after="120"/>
              <w:ind w:left="34"/>
              <w:rPr>
                <w:rFonts w:ascii="Verdana" w:hAnsi="Verdana"/>
                <w:sz w:val="28"/>
                <w:szCs w:val="28"/>
              </w:rPr>
            </w:pPr>
            <w:r>
              <w:rPr>
                <w:b/>
                <w:bCs/>
                <w:sz w:val="26"/>
                <w:szCs w:val="26"/>
              </w:rPr>
              <w:t>27th Meeting, Virtual, 23 November 2020</w:t>
            </w:r>
          </w:p>
        </w:tc>
        <w:tc>
          <w:tcPr>
            <w:tcW w:w="3509" w:type="dxa"/>
          </w:tcPr>
          <w:p w14:paraId="456ED10C" w14:textId="77777777" w:rsidR="006C2DCB" w:rsidRPr="00683C32" w:rsidRDefault="006C2DCB" w:rsidP="006C2DCB">
            <w:pPr>
              <w:spacing w:before="0"/>
              <w:ind w:right="142"/>
              <w:jc w:val="right"/>
            </w:pPr>
            <w:r w:rsidRPr="008E52B1">
              <w:rPr>
                <w:noProof/>
                <w:color w:val="3399FF"/>
                <w:lang w:val="en-US"/>
              </w:rPr>
              <w:drawing>
                <wp:inline distT="0" distB="0" distL="0" distR="0" wp14:anchorId="5DF0E1F4" wp14:editId="7D19313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C2DCB" w:rsidRPr="00997358" w14:paraId="09965A83" w14:textId="77777777" w:rsidTr="006C2DCB">
        <w:trPr>
          <w:cantSplit/>
        </w:trPr>
        <w:tc>
          <w:tcPr>
            <w:tcW w:w="6379" w:type="dxa"/>
            <w:tcBorders>
              <w:top w:val="single" w:sz="12" w:space="0" w:color="auto"/>
            </w:tcBorders>
          </w:tcPr>
          <w:p w14:paraId="609EAE95" w14:textId="77777777" w:rsidR="006C2DCB" w:rsidRPr="00997358" w:rsidRDefault="006C2DCB" w:rsidP="006C2DCB">
            <w:pPr>
              <w:spacing w:before="0"/>
              <w:rPr>
                <w:rFonts w:cs="Arial"/>
                <w:b/>
                <w:bCs/>
                <w:sz w:val="20"/>
              </w:rPr>
            </w:pPr>
          </w:p>
        </w:tc>
        <w:tc>
          <w:tcPr>
            <w:tcW w:w="3509" w:type="dxa"/>
            <w:tcBorders>
              <w:top w:val="single" w:sz="12" w:space="0" w:color="auto"/>
            </w:tcBorders>
          </w:tcPr>
          <w:p w14:paraId="429C8490" w14:textId="77777777" w:rsidR="006C2DCB" w:rsidRPr="00997358" w:rsidRDefault="006C2DCB" w:rsidP="006C2DCB">
            <w:pPr>
              <w:spacing w:before="0"/>
              <w:rPr>
                <w:b/>
                <w:bCs/>
                <w:sz w:val="20"/>
              </w:rPr>
            </w:pPr>
          </w:p>
        </w:tc>
      </w:tr>
      <w:tr w:rsidR="004703A1" w:rsidRPr="003F3DAF" w14:paraId="6C88A9AD" w14:textId="77777777" w:rsidTr="006C2DCB">
        <w:trPr>
          <w:cantSplit/>
        </w:trPr>
        <w:tc>
          <w:tcPr>
            <w:tcW w:w="6379" w:type="dxa"/>
          </w:tcPr>
          <w:p w14:paraId="681B1107" w14:textId="77777777" w:rsidR="004703A1" w:rsidRPr="007F1CC7" w:rsidRDefault="004703A1" w:rsidP="004703A1">
            <w:pPr>
              <w:pStyle w:val="Committee"/>
              <w:framePr w:hSpace="0" w:wrap="auto" w:hAnchor="text" w:yAlign="inline"/>
              <w:rPr>
                <w:b w:val="0"/>
              </w:rPr>
            </w:pPr>
          </w:p>
        </w:tc>
        <w:tc>
          <w:tcPr>
            <w:tcW w:w="3509" w:type="dxa"/>
          </w:tcPr>
          <w:p w14:paraId="716937A5" w14:textId="20A7408F" w:rsidR="004703A1" w:rsidRPr="00FD31A4" w:rsidRDefault="004703A1" w:rsidP="004703A1">
            <w:pPr>
              <w:spacing w:before="0"/>
              <w:jc w:val="both"/>
              <w:rPr>
                <w:bCs/>
                <w:szCs w:val="24"/>
                <w:lang w:val="fr-FR"/>
              </w:rPr>
            </w:pPr>
            <w:r w:rsidRPr="00666069">
              <w:rPr>
                <w:b/>
                <w:bCs/>
                <w:lang w:val="fr-FR"/>
              </w:rPr>
              <w:t xml:space="preserve">Document </w:t>
            </w:r>
            <w:bookmarkStart w:id="0" w:name="DocRef1"/>
            <w:bookmarkEnd w:id="0"/>
            <w:r w:rsidRPr="00666069">
              <w:rPr>
                <w:b/>
                <w:bCs/>
                <w:lang w:val="fr-FR"/>
              </w:rPr>
              <w:t>TDAG-20</w:t>
            </w:r>
            <w:bookmarkStart w:id="1" w:name="DocNo1"/>
            <w:bookmarkEnd w:id="1"/>
            <w:r w:rsidRPr="00666069">
              <w:rPr>
                <w:b/>
                <w:bCs/>
                <w:lang w:val="fr-FR"/>
              </w:rPr>
              <w:t>/3/INF/1-E</w:t>
            </w:r>
          </w:p>
        </w:tc>
      </w:tr>
      <w:tr w:rsidR="004703A1" w14:paraId="2FD071F4" w14:textId="77777777" w:rsidTr="006C2DCB">
        <w:trPr>
          <w:cantSplit/>
        </w:trPr>
        <w:tc>
          <w:tcPr>
            <w:tcW w:w="6379" w:type="dxa"/>
          </w:tcPr>
          <w:p w14:paraId="51E2520D" w14:textId="77777777" w:rsidR="004703A1" w:rsidRPr="00FD31A4" w:rsidRDefault="004703A1" w:rsidP="004703A1">
            <w:pPr>
              <w:spacing w:before="0"/>
              <w:rPr>
                <w:b/>
                <w:bCs/>
                <w:smallCaps/>
                <w:szCs w:val="24"/>
                <w:lang w:val="fr-FR"/>
              </w:rPr>
            </w:pPr>
          </w:p>
        </w:tc>
        <w:tc>
          <w:tcPr>
            <w:tcW w:w="3509" w:type="dxa"/>
          </w:tcPr>
          <w:p w14:paraId="72728E77" w14:textId="67B4E4D7" w:rsidR="004703A1" w:rsidRPr="007F1CC7" w:rsidRDefault="004703A1" w:rsidP="004703A1">
            <w:pPr>
              <w:spacing w:before="0"/>
              <w:rPr>
                <w:b/>
                <w:szCs w:val="24"/>
              </w:rPr>
            </w:pPr>
            <w:bookmarkStart w:id="2" w:name="CreationDate"/>
            <w:bookmarkEnd w:id="2"/>
            <w:r w:rsidRPr="00666069">
              <w:rPr>
                <w:b/>
                <w:bCs/>
                <w:szCs w:val="28"/>
              </w:rPr>
              <w:t>1</w:t>
            </w:r>
            <w:r>
              <w:rPr>
                <w:b/>
                <w:bCs/>
                <w:szCs w:val="28"/>
              </w:rPr>
              <w:t>9</w:t>
            </w:r>
            <w:r w:rsidRPr="00666069">
              <w:rPr>
                <w:b/>
                <w:bCs/>
                <w:szCs w:val="28"/>
              </w:rPr>
              <w:t xml:space="preserve"> October 2020</w:t>
            </w:r>
          </w:p>
        </w:tc>
      </w:tr>
      <w:tr w:rsidR="006C2DCB" w14:paraId="55272230" w14:textId="77777777" w:rsidTr="006C2DCB">
        <w:trPr>
          <w:cantSplit/>
        </w:trPr>
        <w:tc>
          <w:tcPr>
            <w:tcW w:w="6379" w:type="dxa"/>
          </w:tcPr>
          <w:p w14:paraId="6AB067E4" w14:textId="77777777" w:rsidR="006C2DCB" w:rsidRPr="007F1CC7" w:rsidRDefault="006C2DCB" w:rsidP="006C2DCB">
            <w:pPr>
              <w:spacing w:before="0"/>
              <w:rPr>
                <w:b/>
                <w:bCs/>
                <w:smallCaps/>
                <w:szCs w:val="24"/>
              </w:rPr>
            </w:pPr>
          </w:p>
        </w:tc>
        <w:tc>
          <w:tcPr>
            <w:tcW w:w="3509" w:type="dxa"/>
          </w:tcPr>
          <w:p w14:paraId="0C8E9642" w14:textId="2AD047AC" w:rsidR="006C2DCB" w:rsidRPr="007F1CC7" w:rsidRDefault="006C2DCB" w:rsidP="006C2DCB">
            <w:pPr>
              <w:spacing w:before="0"/>
              <w:rPr>
                <w:szCs w:val="24"/>
              </w:rPr>
            </w:pPr>
            <w:r>
              <w:rPr>
                <w:b/>
              </w:rPr>
              <w:t>Original:</w:t>
            </w:r>
            <w:bookmarkStart w:id="3" w:name="Original"/>
            <w:bookmarkEnd w:id="3"/>
            <w:r>
              <w:rPr>
                <w:b/>
              </w:rPr>
              <w:t xml:space="preserve"> </w:t>
            </w:r>
            <w:r w:rsidR="005E6AD3">
              <w:rPr>
                <w:b/>
              </w:rPr>
              <w:t>English</w:t>
            </w:r>
          </w:p>
        </w:tc>
      </w:tr>
      <w:tr w:rsidR="006C2DCB" w14:paraId="0CA95A5E" w14:textId="77777777" w:rsidTr="006C2DCB">
        <w:trPr>
          <w:cantSplit/>
          <w:trHeight w:val="852"/>
        </w:trPr>
        <w:tc>
          <w:tcPr>
            <w:tcW w:w="9888" w:type="dxa"/>
            <w:gridSpan w:val="2"/>
          </w:tcPr>
          <w:p w14:paraId="59577ED3" w14:textId="50C5E8D3" w:rsidR="006C2DCB" w:rsidRPr="0030353C" w:rsidRDefault="005E6AD3" w:rsidP="005E6AD3">
            <w:pPr>
              <w:pStyle w:val="Source"/>
              <w:spacing w:before="240" w:after="240"/>
            </w:pPr>
            <w:bookmarkStart w:id="4" w:name="Source"/>
            <w:bookmarkEnd w:id="4"/>
            <w:r w:rsidRPr="005E6AD3">
              <w:t>Director, Telecommunication Developme</w:t>
            </w:r>
            <w:bookmarkStart w:id="5" w:name="_GoBack"/>
            <w:bookmarkEnd w:id="5"/>
            <w:r w:rsidRPr="005E6AD3">
              <w:t>nt Bureau</w:t>
            </w:r>
          </w:p>
        </w:tc>
      </w:tr>
      <w:tr w:rsidR="006C2DCB" w:rsidRPr="002E6963" w14:paraId="0E2D8322" w14:textId="77777777" w:rsidTr="006C2DCB">
        <w:trPr>
          <w:cantSplit/>
        </w:trPr>
        <w:tc>
          <w:tcPr>
            <w:tcW w:w="9888" w:type="dxa"/>
            <w:gridSpan w:val="2"/>
          </w:tcPr>
          <w:p w14:paraId="57FC8956" w14:textId="7CE9C29C" w:rsidR="006C2DCB" w:rsidRPr="0030353C" w:rsidRDefault="00123126" w:rsidP="00123126">
            <w:pPr>
              <w:pStyle w:val="Title1"/>
              <w:spacing w:before="120" w:after="120"/>
            </w:pPr>
            <w:bookmarkStart w:id="6" w:name="Title"/>
            <w:bookmarkEnd w:id="6"/>
            <w:r>
              <w:t xml:space="preserve">Follow-up to the </w:t>
            </w:r>
            <w:r w:rsidR="005E6AD3" w:rsidRPr="005E6AD3">
              <w:t xml:space="preserve">ACTION POINTS BY BDT </w:t>
            </w:r>
            <w:r>
              <w:t xml:space="preserve">further to </w:t>
            </w:r>
            <w:r>
              <w:br/>
              <w:t xml:space="preserve">the </w:t>
            </w:r>
            <w:r w:rsidR="005E6AD3" w:rsidRPr="005E6AD3">
              <w:t xml:space="preserve">TDAG-20 and TDAG-20/2 MEETINGS (Virtual, 2-5 </w:t>
            </w:r>
            <w:r w:rsidR="005E6AD3">
              <w:t>and</w:t>
            </w:r>
            <w:r w:rsidR="005E6AD3" w:rsidRPr="005E6AD3">
              <w:t xml:space="preserve"> 16 June 2020)</w:t>
            </w:r>
          </w:p>
        </w:tc>
      </w:tr>
      <w:tr w:rsidR="006C2DCB" w:rsidRPr="002E6963" w14:paraId="0F1DFAD6" w14:textId="77777777" w:rsidTr="006C2DCB">
        <w:trPr>
          <w:cantSplit/>
        </w:trPr>
        <w:tc>
          <w:tcPr>
            <w:tcW w:w="9888" w:type="dxa"/>
            <w:gridSpan w:val="2"/>
            <w:tcBorders>
              <w:bottom w:val="single" w:sz="4" w:space="0" w:color="auto"/>
            </w:tcBorders>
          </w:tcPr>
          <w:p w14:paraId="030C6F7F" w14:textId="77777777" w:rsidR="006C2DCB" w:rsidRPr="00A721F4" w:rsidRDefault="006C2DCB" w:rsidP="006C2DCB"/>
        </w:tc>
      </w:tr>
      <w:tr w:rsidR="006C2DCB" w:rsidRPr="002E6963" w14:paraId="3BE1BBDD" w14:textId="77777777" w:rsidTr="006C2DCB">
        <w:trPr>
          <w:cantSplit/>
        </w:trPr>
        <w:tc>
          <w:tcPr>
            <w:tcW w:w="9888" w:type="dxa"/>
            <w:gridSpan w:val="2"/>
            <w:tcBorders>
              <w:top w:val="single" w:sz="4" w:space="0" w:color="auto"/>
              <w:left w:val="single" w:sz="4" w:space="0" w:color="auto"/>
              <w:bottom w:val="single" w:sz="4" w:space="0" w:color="auto"/>
              <w:right w:val="single" w:sz="4" w:space="0" w:color="auto"/>
            </w:tcBorders>
          </w:tcPr>
          <w:p w14:paraId="0C2C90DB" w14:textId="77777777" w:rsidR="006C2DCB" w:rsidRPr="00D9621A" w:rsidRDefault="006C2DCB" w:rsidP="006C2DCB">
            <w:pPr>
              <w:spacing w:after="120"/>
              <w:rPr>
                <w:b/>
                <w:bCs/>
                <w:szCs w:val="24"/>
              </w:rPr>
            </w:pPr>
            <w:r w:rsidRPr="00D9621A">
              <w:rPr>
                <w:b/>
                <w:bCs/>
                <w:szCs w:val="24"/>
              </w:rPr>
              <w:t>Summary:</w:t>
            </w:r>
          </w:p>
          <w:p w14:paraId="24BDD303" w14:textId="1DC2F839" w:rsidR="006C2DCB" w:rsidRPr="00D9621A" w:rsidRDefault="00123126" w:rsidP="00123126">
            <w:pPr>
              <w:spacing w:after="120"/>
              <w:rPr>
                <w:szCs w:val="24"/>
              </w:rPr>
            </w:pPr>
            <w:r>
              <w:rPr>
                <w:szCs w:val="24"/>
              </w:rPr>
              <w:t>This document contains the status of the BDT follow-up to the action points identified during the TDAG-20 and TDAG-20/2 virtual meetings that took place last June.</w:t>
            </w:r>
          </w:p>
          <w:p w14:paraId="2154EF6F" w14:textId="77777777" w:rsidR="006C2DCB" w:rsidRPr="00D9621A" w:rsidRDefault="006C2DCB" w:rsidP="006C2DCB">
            <w:pPr>
              <w:spacing w:after="120"/>
              <w:rPr>
                <w:b/>
                <w:bCs/>
                <w:szCs w:val="24"/>
              </w:rPr>
            </w:pPr>
            <w:r w:rsidRPr="005E090D">
              <w:rPr>
                <w:b/>
                <w:bCs/>
              </w:rPr>
              <w:t>Action required:</w:t>
            </w:r>
          </w:p>
          <w:p w14:paraId="52724AE4" w14:textId="3E05383A" w:rsidR="006C2DCB" w:rsidRPr="00D9621A" w:rsidRDefault="00123126" w:rsidP="006C2DCB">
            <w:pPr>
              <w:spacing w:after="120"/>
              <w:rPr>
                <w:szCs w:val="24"/>
              </w:rPr>
            </w:pPr>
            <w:r>
              <w:rPr>
                <w:szCs w:val="24"/>
              </w:rPr>
              <w:t>For information.</w:t>
            </w:r>
          </w:p>
          <w:p w14:paraId="05AFF74E" w14:textId="77777777" w:rsidR="006C2DCB" w:rsidRPr="00D9621A" w:rsidRDefault="006C2DCB" w:rsidP="006C2DCB">
            <w:pPr>
              <w:spacing w:after="120"/>
              <w:rPr>
                <w:b/>
                <w:bCs/>
                <w:szCs w:val="24"/>
              </w:rPr>
            </w:pPr>
            <w:r w:rsidRPr="00D9621A">
              <w:rPr>
                <w:b/>
                <w:bCs/>
                <w:szCs w:val="24"/>
              </w:rPr>
              <w:t>References:</w:t>
            </w:r>
          </w:p>
          <w:p w14:paraId="4AAF2315" w14:textId="6180BC0A" w:rsidR="006C2DCB" w:rsidRPr="00D9621A" w:rsidRDefault="00123126" w:rsidP="006C2DCB">
            <w:pPr>
              <w:spacing w:after="120"/>
            </w:pPr>
            <w:r>
              <w:t>n/a</w:t>
            </w:r>
          </w:p>
        </w:tc>
      </w:tr>
    </w:tbl>
    <w:p w14:paraId="5FA26048" w14:textId="77777777" w:rsidR="006C2DCB" w:rsidRDefault="006C2DCB" w:rsidP="006C2DCB"/>
    <w:p w14:paraId="6D29711F" w14:textId="77777777" w:rsidR="006C2DCB" w:rsidRDefault="006C2DCB" w:rsidP="006C2DCB">
      <w:pPr>
        <w:spacing w:after="120"/>
      </w:pPr>
    </w:p>
    <w:p w14:paraId="533DF6D8" w14:textId="77777777" w:rsidR="006C2DCB" w:rsidRDefault="006C2DCB" w:rsidP="006C2DCB"/>
    <w:p w14:paraId="30F8CE0C" w14:textId="7411357D" w:rsidR="006C2DCB" w:rsidRPr="006C2DCB" w:rsidRDefault="006C2DCB" w:rsidP="006C2DCB">
      <w:pPr>
        <w:sectPr w:rsidR="006C2DCB" w:rsidRPr="006C2DCB" w:rsidSect="006C2DCB">
          <w:footerReference w:type="default" r:id="rId12"/>
          <w:footerReference w:type="first" r:id="rId13"/>
          <w:pgSz w:w="11907" w:h="16840" w:code="9"/>
          <w:pgMar w:top="454" w:right="851" w:bottom="454" w:left="1134" w:header="720" w:footer="720" w:gutter="0"/>
          <w:paperSrc w:first="15" w:other="15"/>
          <w:pgNumType w:start="1"/>
          <w:cols w:space="720"/>
          <w:titlePg/>
          <w:docGrid w:linePitch="326"/>
        </w:sectPr>
      </w:pPr>
    </w:p>
    <w:p w14:paraId="5A72014C" w14:textId="4EA32D6E" w:rsidR="0081537F" w:rsidRPr="004C061A" w:rsidRDefault="008232F1" w:rsidP="00E86C31">
      <w:pPr>
        <w:pStyle w:val="CEOHeading1"/>
        <w:keepNext/>
        <w:spacing w:after="360"/>
        <w:jc w:val="center"/>
        <w:rPr>
          <w:rFonts w:asciiTheme="minorHAnsi" w:hAnsiTheme="minorHAnsi"/>
          <w:sz w:val="24"/>
          <w:szCs w:val="24"/>
          <w:lang w:val="en-GB"/>
        </w:rPr>
      </w:pPr>
      <w:r>
        <w:rPr>
          <w:rFonts w:asciiTheme="minorHAnsi" w:hAnsiTheme="minorHAnsi"/>
          <w:sz w:val="24"/>
          <w:szCs w:val="24"/>
          <w:lang w:val="en-GB"/>
        </w:rPr>
        <w:lastRenderedPageBreak/>
        <w:t xml:space="preserve">ACTION </w:t>
      </w:r>
      <w:r w:rsidR="000C366E">
        <w:rPr>
          <w:rFonts w:asciiTheme="minorHAnsi" w:hAnsiTheme="minorHAnsi"/>
          <w:sz w:val="24"/>
          <w:szCs w:val="24"/>
          <w:lang w:val="en-GB"/>
        </w:rPr>
        <w:t>POINTS</w:t>
      </w:r>
      <w:r>
        <w:rPr>
          <w:rFonts w:asciiTheme="minorHAnsi" w:hAnsiTheme="minorHAnsi"/>
          <w:sz w:val="24"/>
          <w:szCs w:val="24"/>
          <w:lang w:val="en-GB"/>
        </w:rPr>
        <w:t xml:space="preserve"> BY BDT</w:t>
      </w:r>
      <w:r w:rsidR="26CCE950" w:rsidRPr="26CCE950">
        <w:rPr>
          <w:rFonts w:asciiTheme="minorHAnsi" w:hAnsiTheme="minorHAnsi"/>
          <w:sz w:val="24"/>
          <w:szCs w:val="24"/>
          <w:lang w:val="en-GB"/>
        </w:rPr>
        <w:t xml:space="preserve"> – </w:t>
      </w:r>
      <w:r w:rsidR="00E86C31">
        <w:rPr>
          <w:rFonts w:asciiTheme="minorHAnsi" w:hAnsiTheme="minorHAnsi"/>
          <w:sz w:val="24"/>
          <w:szCs w:val="24"/>
          <w:lang w:val="en-GB"/>
        </w:rPr>
        <w:t>TDAG-</w:t>
      </w:r>
      <w:r w:rsidR="004C29B7">
        <w:rPr>
          <w:rFonts w:asciiTheme="minorHAnsi" w:hAnsiTheme="minorHAnsi"/>
          <w:sz w:val="24"/>
          <w:szCs w:val="24"/>
          <w:lang w:val="en-GB"/>
        </w:rPr>
        <w:t>20</w:t>
      </w:r>
      <w:r w:rsidR="00C150C3">
        <w:rPr>
          <w:rFonts w:asciiTheme="minorHAnsi" w:hAnsiTheme="minorHAnsi"/>
          <w:sz w:val="24"/>
          <w:szCs w:val="24"/>
          <w:lang w:val="en-GB"/>
        </w:rPr>
        <w:t xml:space="preserve"> and TDAG-20/2</w:t>
      </w:r>
      <w:r w:rsidR="007B0880">
        <w:rPr>
          <w:rFonts w:asciiTheme="minorHAnsi" w:hAnsiTheme="minorHAnsi"/>
          <w:sz w:val="24"/>
          <w:szCs w:val="24"/>
          <w:lang w:val="en-GB"/>
        </w:rPr>
        <w:t xml:space="preserve"> MEETING</w:t>
      </w:r>
      <w:r w:rsidR="00C150C3">
        <w:rPr>
          <w:rFonts w:asciiTheme="minorHAnsi" w:hAnsiTheme="minorHAnsi"/>
          <w:sz w:val="24"/>
          <w:szCs w:val="24"/>
          <w:lang w:val="en-GB"/>
        </w:rPr>
        <w:t>S</w:t>
      </w:r>
      <w:r w:rsidR="00E86C31">
        <w:rPr>
          <w:rFonts w:asciiTheme="minorHAnsi" w:hAnsiTheme="minorHAnsi"/>
          <w:sz w:val="24"/>
          <w:szCs w:val="24"/>
          <w:lang w:val="en-GB"/>
        </w:rPr>
        <w:t xml:space="preserve"> </w:t>
      </w:r>
      <w:r w:rsidR="26CCE950" w:rsidRPr="26CCE950">
        <w:rPr>
          <w:rFonts w:asciiTheme="minorHAnsi" w:hAnsiTheme="minorHAnsi"/>
          <w:sz w:val="24"/>
          <w:szCs w:val="24"/>
          <w:lang w:val="en-GB"/>
        </w:rPr>
        <w:t>(</w:t>
      </w:r>
      <w:r w:rsidR="004C29B7">
        <w:rPr>
          <w:rFonts w:asciiTheme="minorHAnsi" w:hAnsiTheme="minorHAnsi"/>
          <w:sz w:val="24"/>
          <w:szCs w:val="24"/>
          <w:lang w:val="en-GB"/>
        </w:rPr>
        <w:t>Virtual</w:t>
      </w:r>
      <w:r w:rsidR="007B0880">
        <w:rPr>
          <w:rFonts w:asciiTheme="minorHAnsi" w:hAnsiTheme="minorHAnsi"/>
          <w:sz w:val="24"/>
          <w:szCs w:val="24"/>
          <w:lang w:val="en-GB"/>
        </w:rPr>
        <w:t xml:space="preserve">, </w:t>
      </w:r>
      <w:r w:rsidR="004C29B7">
        <w:rPr>
          <w:rFonts w:asciiTheme="minorHAnsi" w:hAnsiTheme="minorHAnsi"/>
          <w:sz w:val="24"/>
          <w:szCs w:val="24"/>
          <w:lang w:val="en-GB"/>
        </w:rPr>
        <w:t>2</w:t>
      </w:r>
      <w:r w:rsidR="00E86C31">
        <w:rPr>
          <w:rFonts w:asciiTheme="minorHAnsi" w:hAnsiTheme="minorHAnsi"/>
          <w:sz w:val="24"/>
          <w:szCs w:val="24"/>
          <w:lang w:val="en-GB"/>
        </w:rPr>
        <w:t>-5</w:t>
      </w:r>
      <w:r w:rsidR="00C150C3">
        <w:rPr>
          <w:rFonts w:asciiTheme="minorHAnsi" w:hAnsiTheme="minorHAnsi"/>
          <w:sz w:val="24"/>
          <w:szCs w:val="24"/>
          <w:lang w:val="en-GB"/>
        </w:rPr>
        <w:t xml:space="preserve"> </w:t>
      </w:r>
      <w:r w:rsidR="005E6AD3">
        <w:rPr>
          <w:rFonts w:asciiTheme="minorHAnsi" w:hAnsiTheme="minorHAnsi"/>
          <w:sz w:val="24"/>
          <w:szCs w:val="24"/>
          <w:lang w:val="en-GB"/>
        </w:rPr>
        <w:t>and</w:t>
      </w:r>
      <w:r w:rsidR="00C150C3">
        <w:rPr>
          <w:rFonts w:asciiTheme="minorHAnsi" w:hAnsiTheme="minorHAnsi"/>
          <w:sz w:val="24"/>
          <w:szCs w:val="24"/>
          <w:lang w:val="en-GB"/>
        </w:rPr>
        <w:t xml:space="preserve"> 16 June</w:t>
      </w:r>
      <w:r w:rsidR="004C29B7">
        <w:rPr>
          <w:rFonts w:asciiTheme="minorHAnsi" w:hAnsiTheme="minorHAnsi"/>
          <w:sz w:val="24"/>
          <w:szCs w:val="24"/>
          <w:lang w:val="en-GB"/>
        </w:rPr>
        <w:t xml:space="preserve"> 2020</w:t>
      </w:r>
      <w:r w:rsidR="26CCE950" w:rsidRPr="26CCE950">
        <w:rPr>
          <w:rFonts w:asciiTheme="minorHAnsi" w:hAnsiTheme="minorHAnsi"/>
          <w:sz w:val="24"/>
          <w:szCs w:val="24"/>
          <w:lang w:val="en-GB"/>
        </w:rPr>
        <w:t>)</w:t>
      </w: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51"/>
        <w:gridCol w:w="1984"/>
        <w:gridCol w:w="4111"/>
        <w:gridCol w:w="2835"/>
        <w:gridCol w:w="1134"/>
        <w:gridCol w:w="3119"/>
      </w:tblGrid>
      <w:tr w:rsidR="00FD31A4" w:rsidRPr="004C061A" w14:paraId="226D3AB0" w14:textId="4E39D519" w:rsidTr="00FD31A4">
        <w:trPr>
          <w:tblHeader/>
        </w:trPr>
        <w:tc>
          <w:tcPr>
            <w:tcW w:w="1559" w:type="dxa"/>
            <w:shd w:val="clear" w:color="auto" w:fill="365F91" w:themeFill="accent1" w:themeFillShade="BF"/>
            <w:vAlign w:val="center"/>
          </w:tcPr>
          <w:p w14:paraId="62A8A40A" w14:textId="77777777" w:rsidR="00FD31A4" w:rsidRPr="004A0398" w:rsidRDefault="00FD31A4" w:rsidP="00C90073">
            <w:pPr>
              <w:keepNext/>
              <w:spacing w:before="40" w:after="40"/>
              <w:ind w:left="-57" w:right="-57"/>
              <w:rPr>
                <w:rFonts w:cstheme="minorHAnsi"/>
                <w:b/>
                <w:bCs/>
                <w:color w:val="FFFFFF" w:themeColor="background1"/>
                <w:sz w:val="20"/>
              </w:rPr>
            </w:pPr>
            <w:r w:rsidRPr="004A0398">
              <w:rPr>
                <w:rFonts w:cstheme="minorHAnsi"/>
                <w:b/>
                <w:bCs/>
                <w:color w:val="FFFFFF" w:themeColor="background1"/>
                <w:sz w:val="20"/>
              </w:rPr>
              <w:t>AGENDA ITEM</w:t>
            </w:r>
          </w:p>
        </w:tc>
        <w:tc>
          <w:tcPr>
            <w:tcW w:w="851" w:type="dxa"/>
            <w:shd w:val="clear" w:color="auto" w:fill="365F91" w:themeFill="accent1" w:themeFillShade="BF"/>
            <w:vAlign w:val="center"/>
          </w:tcPr>
          <w:p w14:paraId="7AA9EEE4" w14:textId="64F73568" w:rsidR="00FD31A4" w:rsidRPr="004A0398" w:rsidRDefault="00FD31A4" w:rsidP="00C90073">
            <w:pPr>
              <w:keepNext/>
              <w:tabs>
                <w:tab w:val="left" w:pos="599"/>
              </w:tabs>
              <w:spacing w:before="40" w:after="40"/>
              <w:ind w:left="-57" w:right="-57"/>
              <w:jc w:val="center"/>
              <w:rPr>
                <w:rFonts w:cstheme="minorHAnsi"/>
                <w:b/>
                <w:bCs/>
                <w:color w:val="FFFFFF" w:themeColor="background1"/>
                <w:sz w:val="20"/>
              </w:rPr>
            </w:pPr>
            <w:r w:rsidRPr="004A0398">
              <w:rPr>
                <w:rFonts w:cstheme="minorHAnsi"/>
                <w:b/>
                <w:bCs/>
                <w:color w:val="FFFFFF" w:themeColor="background1"/>
                <w:sz w:val="20"/>
              </w:rPr>
              <w:t>DOC. #</w:t>
            </w:r>
          </w:p>
        </w:tc>
        <w:tc>
          <w:tcPr>
            <w:tcW w:w="1984" w:type="dxa"/>
            <w:shd w:val="clear" w:color="auto" w:fill="365F91" w:themeFill="accent1" w:themeFillShade="BF"/>
            <w:vAlign w:val="center"/>
          </w:tcPr>
          <w:p w14:paraId="643EAA2B" w14:textId="77777777" w:rsidR="00FD31A4" w:rsidRPr="004A0398" w:rsidRDefault="00FD31A4" w:rsidP="00C90073">
            <w:pPr>
              <w:keepNext/>
              <w:spacing w:before="40" w:after="40"/>
              <w:rPr>
                <w:rFonts w:cstheme="minorHAnsi"/>
                <w:b/>
                <w:bCs/>
                <w:caps/>
                <w:color w:val="FFFFFF" w:themeColor="background1"/>
                <w:sz w:val="20"/>
              </w:rPr>
            </w:pPr>
            <w:r w:rsidRPr="004A0398">
              <w:rPr>
                <w:rFonts w:cstheme="minorHAnsi"/>
                <w:b/>
                <w:bCs/>
                <w:caps/>
                <w:color w:val="FFFFFF" w:themeColor="background1"/>
                <w:sz w:val="20"/>
              </w:rPr>
              <w:t>Document title</w:t>
            </w:r>
          </w:p>
        </w:tc>
        <w:tc>
          <w:tcPr>
            <w:tcW w:w="4111" w:type="dxa"/>
            <w:shd w:val="clear" w:color="auto" w:fill="365F91" w:themeFill="accent1" w:themeFillShade="BF"/>
            <w:vAlign w:val="center"/>
          </w:tcPr>
          <w:p w14:paraId="531331E0" w14:textId="77777777" w:rsidR="00FD31A4" w:rsidRPr="004A0398" w:rsidRDefault="00FD31A4" w:rsidP="00C90073">
            <w:pPr>
              <w:keepNext/>
              <w:spacing w:before="40" w:after="40"/>
              <w:rPr>
                <w:rFonts w:cstheme="minorHAnsi"/>
                <w:color w:val="FFFFFF" w:themeColor="background1"/>
                <w:sz w:val="20"/>
              </w:rPr>
            </w:pPr>
            <w:r w:rsidRPr="004A0398">
              <w:rPr>
                <w:rFonts w:cstheme="minorHAnsi"/>
                <w:b/>
                <w:bCs/>
                <w:color w:val="FFFFFF" w:themeColor="background1"/>
                <w:sz w:val="20"/>
              </w:rPr>
              <w:t>MAIN CONCLUSION</w:t>
            </w:r>
            <w:r w:rsidRPr="004A0398">
              <w:rPr>
                <w:rFonts w:cstheme="minorHAnsi"/>
                <w:color w:val="FFFFFF" w:themeColor="background1"/>
                <w:sz w:val="20"/>
              </w:rPr>
              <w:t>:</w:t>
            </w:r>
          </w:p>
        </w:tc>
        <w:tc>
          <w:tcPr>
            <w:tcW w:w="2835" w:type="dxa"/>
            <w:shd w:val="clear" w:color="auto" w:fill="365F91" w:themeFill="accent1" w:themeFillShade="BF"/>
            <w:vAlign w:val="center"/>
          </w:tcPr>
          <w:p w14:paraId="1DBD197D" w14:textId="7A209C7C" w:rsidR="00FD31A4" w:rsidRPr="004A0398" w:rsidRDefault="00FD31A4" w:rsidP="00C90073">
            <w:pPr>
              <w:keepNext/>
              <w:tabs>
                <w:tab w:val="left" w:pos="292"/>
              </w:tabs>
              <w:spacing w:before="40" w:after="40"/>
              <w:rPr>
                <w:rFonts w:cstheme="minorHAnsi"/>
                <w:b/>
                <w:bCs/>
                <w:color w:val="FFFFFF" w:themeColor="background1"/>
                <w:sz w:val="20"/>
              </w:rPr>
            </w:pPr>
            <w:r w:rsidRPr="004A0398">
              <w:rPr>
                <w:rFonts w:cstheme="minorHAnsi"/>
                <w:b/>
                <w:bCs/>
                <w:color w:val="FFFFFF" w:themeColor="background1"/>
                <w:sz w:val="20"/>
              </w:rPr>
              <w:t>ACTION POINTS BY BDT</w:t>
            </w:r>
          </w:p>
        </w:tc>
        <w:tc>
          <w:tcPr>
            <w:tcW w:w="1134" w:type="dxa"/>
            <w:shd w:val="clear" w:color="auto" w:fill="365F91" w:themeFill="accent1" w:themeFillShade="BF"/>
            <w:vAlign w:val="center"/>
          </w:tcPr>
          <w:p w14:paraId="351E6CBB" w14:textId="7318C965" w:rsidR="00FD31A4" w:rsidRPr="00E011A8" w:rsidRDefault="00FD31A4" w:rsidP="00C90073">
            <w:pPr>
              <w:keepNext/>
              <w:tabs>
                <w:tab w:val="left" w:pos="292"/>
              </w:tabs>
              <w:spacing w:before="40" w:after="40"/>
              <w:jc w:val="center"/>
              <w:rPr>
                <w:rFonts w:cstheme="minorHAnsi"/>
                <w:b/>
                <w:bCs/>
                <w:color w:val="FFFFFF" w:themeColor="background1"/>
                <w:sz w:val="20"/>
              </w:rPr>
            </w:pPr>
            <w:r w:rsidRPr="00E011A8">
              <w:rPr>
                <w:rFonts w:cstheme="minorHAnsi"/>
                <w:b/>
                <w:bCs/>
                <w:color w:val="FFFFFF" w:themeColor="background1"/>
                <w:sz w:val="20"/>
              </w:rPr>
              <w:t>Deadline</w:t>
            </w:r>
          </w:p>
        </w:tc>
        <w:tc>
          <w:tcPr>
            <w:tcW w:w="3119" w:type="dxa"/>
            <w:shd w:val="clear" w:color="auto" w:fill="365F91" w:themeFill="accent1" w:themeFillShade="BF"/>
            <w:vAlign w:val="center"/>
          </w:tcPr>
          <w:p w14:paraId="1BB10BC2" w14:textId="2DB2882A" w:rsidR="00FD31A4" w:rsidRPr="004A0398" w:rsidRDefault="00FD31A4" w:rsidP="00C90073">
            <w:pPr>
              <w:keepNext/>
              <w:tabs>
                <w:tab w:val="left" w:pos="292"/>
              </w:tabs>
              <w:spacing w:before="40" w:after="40"/>
              <w:jc w:val="center"/>
              <w:rPr>
                <w:rFonts w:cstheme="minorHAnsi"/>
                <w:b/>
                <w:bCs/>
                <w:color w:val="FFFFFF" w:themeColor="background1"/>
                <w:sz w:val="20"/>
              </w:rPr>
            </w:pPr>
            <w:r w:rsidRPr="004A0398">
              <w:rPr>
                <w:rFonts w:cstheme="minorHAnsi"/>
                <w:b/>
                <w:bCs/>
                <w:color w:val="FFFFFF" w:themeColor="background1"/>
                <w:sz w:val="20"/>
              </w:rPr>
              <w:t>Status</w:t>
            </w:r>
          </w:p>
        </w:tc>
      </w:tr>
      <w:tr w:rsidR="00FD31A4" w:rsidRPr="004C061A" w14:paraId="735203D5" w14:textId="721CC5A0" w:rsidTr="00FD31A4">
        <w:tc>
          <w:tcPr>
            <w:tcW w:w="1559" w:type="dxa"/>
          </w:tcPr>
          <w:p w14:paraId="53714362" w14:textId="77777777" w:rsidR="00FD31A4" w:rsidRPr="004A0398" w:rsidRDefault="00FD31A4" w:rsidP="00427123">
            <w:pPr>
              <w:tabs>
                <w:tab w:val="left" w:pos="567"/>
              </w:tabs>
              <w:spacing w:before="0" w:after="60"/>
              <w:ind w:left="-57" w:right="-57"/>
              <w:rPr>
                <w:rFonts w:cstheme="minorHAnsi"/>
                <w:b/>
                <w:bCs/>
                <w:sz w:val="20"/>
              </w:rPr>
            </w:pPr>
            <w:r w:rsidRPr="004A0398">
              <w:rPr>
                <w:rFonts w:cstheme="minorHAnsi"/>
                <w:b/>
                <w:bCs/>
                <w:sz w:val="20"/>
              </w:rPr>
              <w:t>1. Address by the Secretary-General</w:t>
            </w:r>
          </w:p>
        </w:tc>
        <w:tc>
          <w:tcPr>
            <w:tcW w:w="851" w:type="dxa"/>
          </w:tcPr>
          <w:p w14:paraId="3B32F173" w14:textId="0D99C5D4" w:rsidR="00FD31A4" w:rsidRPr="004A0398" w:rsidRDefault="00FD31A4" w:rsidP="007B0880">
            <w:pPr>
              <w:widowControl w:val="0"/>
              <w:ind w:left="-57" w:right="-57"/>
              <w:rPr>
                <w:rFonts w:cstheme="minorHAnsi"/>
                <w:sz w:val="20"/>
              </w:rPr>
            </w:pPr>
            <w:r w:rsidRPr="004A0398">
              <w:rPr>
                <w:rFonts w:cstheme="minorHAnsi"/>
                <w:sz w:val="20"/>
              </w:rPr>
              <w:t>--</w:t>
            </w:r>
          </w:p>
        </w:tc>
        <w:tc>
          <w:tcPr>
            <w:tcW w:w="1984" w:type="dxa"/>
          </w:tcPr>
          <w:p w14:paraId="2C65A35E" w14:textId="77777777" w:rsidR="00FD31A4" w:rsidRPr="004A0398" w:rsidRDefault="00FD31A4" w:rsidP="00620EB0">
            <w:pPr>
              <w:widowControl w:val="0"/>
              <w:ind w:left="-57" w:right="-57"/>
              <w:rPr>
                <w:rFonts w:cstheme="minorHAnsi"/>
                <w:sz w:val="20"/>
              </w:rPr>
            </w:pPr>
          </w:p>
        </w:tc>
        <w:tc>
          <w:tcPr>
            <w:tcW w:w="4111" w:type="dxa"/>
          </w:tcPr>
          <w:p w14:paraId="523917C7" w14:textId="796E4235" w:rsidR="00FD31A4" w:rsidRPr="004A0398" w:rsidRDefault="00FD31A4" w:rsidP="00427123">
            <w:pPr>
              <w:spacing w:before="0"/>
              <w:rPr>
                <w:rFonts w:eastAsia="Calibri" w:cstheme="minorHAnsi"/>
                <w:sz w:val="20"/>
              </w:rPr>
            </w:pPr>
          </w:p>
        </w:tc>
        <w:tc>
          <w:tcPr>
            <w:tcW w:w="2835" w:type="dxa"/>
          </w:tcPr>
          <w:p w14:paraId="3D2BBE02" w14:textId="06A18FE0" w:rsidR="00FD31A4" w:rsidRPr="004A0398" w:rsidRDefault="00FD31A4" w:rsidP="00427123">
            <w:pPr>
              <w:tabs>
                <w:tab w:val="left" w:pos="292"/>
              </w:tabs>
              <w:spacing w:before="0"/>
              <w:rPr>
                <w:rFonts w:eastAsia="Calibri" w:cstheme="minorHAnsi"/>
                <w:sz w:val="20"/>
              </w:rPr>
            </w:pPr>
            <w:r w:rsidRPr="004A0398">
              <w:rPr>
                <w:rFonts w:eastAsia="Calibri" w:cstheme="minorHAnsi"/>
                <w:sz w:val="20"/>
              </w:rPr>
              <w:t>-</w:t>
            </w:r>
          </w:p>
        </w:tc>
        <w:tc>
          <w:tcPr>
            <w:tcW w:w="1134" w:type="dxa"/>
          </w:tcPr>
          <w:p w14:paraId="2141FF93" w14:textId="77777777" w:rsidR="00FD31A4" w:rsidRPr="004A0398" w:rsidRDefault="00FD31A4" w:rsidP="00427123">
            <w:pPr>
              <w:tabs>
                <w:tab w:val="left" w:pos="292"/>
              </w:tabs>
              <w:spacing w:before="0"/>
              <w:rPr>
                <w:rFonts w:eastAsia="Calibri" w:cstheme="minorHAnsi"/>
                <w:sz w:val="20"/>
              </w:rPr>
            </w:pPr>
          </w:p>
        </w:tc>
        <w:tc>
          <w:tcPr>
            <w:tcW w:w="3119" w:type="dxa"/>
          </w:tcPr>
          <w:p w14:paraId="54D67526" w14:textId="5058EBE0" w:rsidR="00FD31A4" w:rsidRPr="004A0398" w:rsidRDefault="00FD31A4" w:rsidP="00427123">
            <w:pPr>
              <w:tabs>
                <w:tab w:val="left" w:pos="292"/>
              </w:tabs>
              <w:spacing w:before="0"/>
              <w:rPr>
                <w:rFonts w:eastAsia="Calibri" w:cstheme="minorHAnsi"/>
                <w:sz w:val="20"/>
              </w:rPr>
            </w:pPr>
          </w:p>
        </w:tc>
      </w:tr>
      <w:tr w:rsidR="00FD31A4" w:rsidRPr="004C061A" w14:paraId="6DB067BE" w14:textId="42590D8B" w:rsidTr="00FD31A4">
        <w:tc>
          <w:tcPr>
            <w:tcW w:w="1559" w:type="dxa"/>
          </w:tcPr>
          <w:p w14:paraId="2C69FAB7" w14:textId="4AB32473" w:rsidR="00FD31A4" w:rsidRPr="004A0398" w:rsidRDefault="00FD31A4" w:rsidP="00427123">
            <w:pPr>
              <w:tabs>
                <w:tab w:val="left" w:pos="567"/>
              </w:tabs>
              <w:spacing w:before="0" w:after="60"/>
              <w:ind w:left="-57" w:right="-57"/>
              <w:rPr>
                <w:rFonts w:cstheme="minorHAnsi"/>
                <w:b/>
                <w:bCs/>
                <w:sz w:val="20"/>
              </w:rPr>
            </w:pPr>
            <w:r w:rsidRPr="004A0398">
              <w:rPr>
                <w:rFonts w:cstheme="minorHAnsi"/>
                <w:b/>
                <w:bCs/>
                <w:sz w:val="20"/>
              </w:rPr>
              <w:t>2. Address by the Director of BDT</w:t>
            </w:r>
          </w:p>
        </w:tc>
        <w:tc>
          <w:tcPr>
            <w:tcW w:w="851" w:type="dxa"/>
          </w:tcPr>
          <w:p w14:paraId="78C40D87" w14:textId="2F968FB0" w:rsidR="00FD31A4" w:rsidRPr="004A0398" w:rsidRDefault="00FD31A4" w:rsidP="007B0880">
            <w:pPr>
              <w:widowControl w:val="0"/>
              <w:ind w:left="-57" w:right="-57"/>
              <w:rPr>
                <w:rFonts w:cstheme="minorHAnsi"/>
                <w:sz w:val="20"/>
              </w:rPr>
            </w:pPr>
            <w:r w:rsidRPr="004A0398">
              <w:rPr>
                <w:rFonts w:cstheme="minorHAnsi"/>
                <w:sz w:val="20"/>
              </w:rPr>
              <w:t>--</w:t>
            </w:r>
          </w:p>
        </w:tc>
        <w:tc>
          <w:tcPr>
            <w:tcW w:w="1984" w:type="dxa"/>
          </w:tcPr>
          <w:p w14:paraId="1447E616" w14:textId="77777777" w:rsidR="00FD31A4" w:rsidRPr="004A0398" w:rsidRDefault="00FD31A4" w:rsidP="00620EB0">
            <w:pPr>
              <w:widowControl w:val="0"/>
              <w:ind w:left="-57" w:right="-57"/>
              <w:rPr>
                <w:rFonts w:cstheme="minorHAnsi"/>
                <w:sz w:val="20"/>
              </w:rPr>
            </w:pPr>
          </w:p>
        </w:tc>
        <w:tc>
          <w:tcPr>
            <w:tcW w:w="4111" w:type="dxa"/>
          </w:tcPr>
          <w:p w14:paraId="25529F27" w14:textId="15EED13C" w:rsidR="00FD31A4" w:rsidRPr="004A0398" w:rsidRDefault="00FD31A4" w:rsidP="00427123">
            <w:pPr>
              <w:spacing w:before="0"/>
              <w:rPr>
                <w:rFonts w:eastAsia="Calibri" w:cstheme="minorHAnsi"/>
                <w:sz w:val="20"/>
              </w:rPr>
            </w:pPr>
          </w:p>
        </w:tc>
        <w:tc>
          <w:tcPr>
            <w:tcW w:w="2835" w:type="dxa"/>
          </w:tcPr>
          <w:p w14:paraId="73D8AEA0" w14:textId="0A3AA390" w:rsidR="00FD31A4" w:rsidRPr="004A0398" w:rsidRDefault="00FD31A4" w:rsidP="00427123">
            <w:pPr>
              <w:tabs>
                <w:tab w:val="left" w:pos="292"/>
              </w:tabs>
              <w:spacing w:before="0"/>
              <w:rPr>
                <w:rFonts w:eastAsia="Calibri" w:cstheme="minorHAnsi"/>
                <w:sz w:val="20"/>
              </w:rPr>
            </w:pPr>
            <w:r w:rsidRPr="004A0398">
              <w:rPr>
                <w:rFonts w:eastAsia="Calibri" w:cstheme="minorHAnsi"/>
                <w:sz w:val="20"/>
              </w:rPr>
              <w:t>-</w:t>
            </w:r>
          </w:p>
        </w:tc>
        <w:tc>
          <w:tcPr>
            <w:tcW w:w="1134" w:type="dxa"/>
          </w:tcPr>
          <w:p w14:paraId="5DA7D322" w14:textId="77777777" w:rsidR="00FD31A4" w:rsidRPr="004A0398" w:rsidRDefault="00FD31A4" w:rsidP="00427123">
            <w:pPr>
              <w:tabs>
                <w:tab w:val="left" w:pos="292"/>
              </w:tabs>
              <w:spacing w:before="0"/>
              <w:rPr>
                <w:rFonts w:eastAsia="Calibri" w:cstheme="minorHAnsi"/>
                <w:sz w:val="20"/>
              </w:rPr>
            </w:pPr>
          </w:p>
        </w:tc>
        <w:tc>
          <w:tcPr>
            <w:tcW w:w="3119" w:type="dxa"/>
          </w:tcPr>
          <w:p w14:paraId="6D69660F" w14:textId="0CA98033" w:rsidR="00FD31A4" w:rsidRPr="004A0398" w:rsidRDefault="00FD31A4" w:rsidP="00427123">
            <w:pPr>
              <w:tabs>
                <w:tab w:val="left" w:pos="292"/>
              </w:tabs>
              <w:spacing w:before="0"/>
              <w:rPr>
                <w:rFonts w:eastAsia="Calibri" w:cstheme="minorHAnsi"/>
                <w:sz w:val="20"/>
              </w:rPr>
            </w:pPr>
            <w:r w:rsidRPr="004A0398">
              <w:rPr>
                <w:rFonts w:eastAsia="Calibri" w:cstheme="minorHAnsi"/>
                <w:sz w:val="20"/>
              </w:rPr>
              <w:t>-</w:t>
            </w:r>
          </w:p>
        </w:tc>
      </w:tr>
      <w:tr w:rsidR="00FD31A4" w:rsidRPr="004C061A" w14:paraId="7D99CD9E" w14:textId="7F7D421C" w:rsidTr="00FD31A4">
        <w:tc>
          <w:tcPr>
            <w:tcW w:w="1559" w:type="dxa"/>
            <w:tcBorders>
              <w:bottom w:val="single" w:sz="4" w:space="0" w:color="auto"/>
            </w:tcBorders>
          </w:tcPr>
          <w:p w14:paraId="2388D64B" w14:textId="77777777" w:rsidR="00FD31A4" w:rsidRPr="004A0398" w:rsidRDefault="00FD31A4" w:rsidP="00427123">
            <w:pPr>
              <w:tabs>
                <w:tab w:val="left" w:pos="567"/>
              </w:tabs>
              <w:spacing w:before="0" w:after="60"/>
              <w:ind w:left="-57" w:right="-57"/>
              <w:rPr>
                <w:rFonts w:cstheme="minorHAnsi"/>
                <w:b/>
                <w:bCs/>
                <w:sz w:val="20"/>
              </w:rPr>
            </w:pPr>
            <w:r w:rsidRPr="004A0398">
              <w:rPr>
                <w:rFonts w:cstheme="minorHAnsi"/>
                <w:b/>
                <w:bCs/>
                <w:sz w:val="20"/>
              </w:rPr>
              <w:t>3. Opening remarks by the Chairman of TDAG</w:t>
            </w:r>
          </w:p>
        </w:tc>
        <w:tc>
          <w:tcPr>
            <w:tcW w:w="851" w:type="dxa"/>
          </w:tcPr>
          <w:p w14:paraId="5391AEDF" w14:textId="71B9F653" w:rsidR="00FD31A4" w:rsidRPr="004A0398" w:rsidRDefault="00FD31A4" w:rsidP="007B0880">
            <w:pPr>
              <w:widowControl w:val="0"/>
              <w:ind w:left="-57" w:right="-57"/>
              <w:rPr>
                <w:rFonts w:cstheme="minorHAnsi"/>
                <w:sz w:val="20"/>
              </w:rPr>
            </w:pPr>
            <w:r w:rsidRPr="004A0398">
              <w:rPr>
                <w:rFonts w:cstheme="minorHAnsi"/>
                <w:sz w:val="20"/>
              </w:rPr>
              <w:t>--</w:t>
            </w:r>
          </w:p>
        </w:tc>
        <w:tc>
          <w:tcPr>
            <w:tcW w:w="1984" w:type="dxa"/>
          </w:tcPr>
          <w:p w14:paraId="16EE80A0" w14:textId="77777777" w:rsidR="00FD31A4" w:rsidRPr="004A0398" w:rsidRDefault="00FD31A4" w:rsidP="00620EB0">
            <w:pPr>
              <w:widowControl w:val="0"/>
              <w:ind w:left="-57" w:right="-57"/>
              <w:rPr>
                <w:rFonts w:cstheme="minorHAnsi"/>
                <w:sz w:val="20"/>
              </w:rPr>
            </w:pPr>
          </w:p>
        </w:tc>
        <w:tc>
          <w:tcPr>
            <w:tcW w:w="4111" w:type="dxa"/>
          </w:tcPr>
          <w:p w14:paraId="56C924E8" w14:textId="05DDA685" w:rsidR="00FD31A4" w:rsidRPr="004A0398" w:rsidRDefault="00FD31A4" w:rsidP="00427123">
            <w:pPr>
              <w:spacing w:before="0"/>
              <w:rPr>
                <w:rFonts w:eastAsia="Calibri" w:cstheme="minorHAnsi"/>
                <w:sz w:val="20"/>
              </w:rPr>
            </w:pPr>
          </w:p>
        </w:tc>
        <w:tc>
          <w:tcPr>
            <w:tcW w:w="2835" w:type="dxa"/>
          </w:tcPr>
          <w:p w14:paraId="32FEA67D" w14:textId="2AE40FB0" w:rsidR="00FD31A4" w:rsidRPr="004A0398" w:rsidRDefault="00FD31A4" w:rsidP="00427123">
            <w:pPr>
              <w:tabs>
                <w:tab w:val="left" w:pos="292"/>
              </w:tabs>
              <w:spacing w:before="0"/>
              <w:rPr>
                <w:rFonts w:eastAsia="Calibri" w:cstheme="minorHAnsi"/>
                <w:sz w:val="20"/>
              </w:rPr>
            </w:pPr>
            <w:r w:rsidRPr="004A0398">
              <w:rPr>
                <w:rFonts w:eastAsia="Calibri" w:cstheme="minorHAnsi"/>
                <w:sz w:val="20"/>
              </w:rPr>
              <w:t>-</w:t>
            </w:r>
          </w:p>
        </w:tc>
        <w:tc>
          <w:tcPr>
            <w:tcW w:w="1134" w:type="dxa"/>
          </w:tcPr>
          <w:p w14:paraId="080D5F9C" w14:textId="77777777" w:rsidR="00FD31A4" w:rsidRPr="004A0398" w:rsidRDefault="00FD31A4" w:rsidP="00427123">
            <w:pPr>
              <w:tabs>
                <w:tab w:val="left" w:pos="292"/>
              </w:tabs>
              <w:spacing w:before="0"/>
              <w:rPr>
                <w:rFonts w:eastAsia="Calibri" w:cstheme="minorHAnsi"/>
                <w:sz w:val="20"/>
              </w:rPr>
            </w:pPr>
          </w:p>
        </w:tc>
        <w:tc>
          <w:tcPr>
            <w:tcW w:w="3119" w:type="dxa"/>
          </w:tcPr>
          <w:p w14:paraId="035E2556" w14:textId="09A7DE72" w:rsidR="00FD31A4" w:rsidRPr="004A0398" w:rsidRDefault="00FD31A4" w:rsidP="00427123">
            <w:pPr>
              <w:tabs>
                <w:tab w:val="left" w:pos="292"/>
              </w:tabs>
              <w:spacing w:before="0"/>
              <w:rPr>
                <w:rFonts w:eastAsia="Calibri" w:cstheme="minorHAnsi"/>
                <w:sz w:val="20"/>
              </w:rPr>
            </w:pPr>
            <w:r w:rsidRPr="004A0398">
              <w:rPr>
                <w:rFonts w:eastAsia="Calibri" w:cstheme="minorHAnsi"/>
                <w:sz w:val="20"/>
              </w:rPr>
              <w:t>-</w:t>
            </w:r>
          </w:p>
        </w:tc>
      </w:tr>
      <w:tr w:rsidR="00FD31A4" w:rsidRPr="004C061A" w14:paraId="416CF193" w14:textId="4DCAFCC7" w:rsidTr="00FD31A4">
        <w:tc>
          <w:tcPr>
            <w:tcW w:w="1559" w:type="dxa"/>
            <w:tcBorders>
              <w:bottom w:val="nil"/>
            </w:tcBorders>
          </w:tcPr>
          <w:p w14:paraId="10721179" w14:textId="2653C4A1" w:rsidR="00FD31A4" w:rsidRPr="004A0398" w:rsidRDefault="00FD31A4" w:rsidP="00427123">
            <w:pPr>
              <w:tabs>
                <w:tab w:val="left" w:pos="567"/>
              </w:tabs>
              <w:spacing w:before="0" w:after="60"/>
              <w:ind w:left="-57" w:right="-57"/>
              <w:rPr>
                <w:rFonts w:cstheme="minorHAnsi"/>
                <w:b/>
                <w:bCs/>
                <w:sz w:val="20"/>
              </w:rPr>
            </w:pPr>
            <w:r w:rsidRPr="004A0398">
              <w:rPr>
                <w:rFonts w:cstheme="minorHAnsi"/>
                <w:b/>
                <w:bCs/>
                <w:sz w:val="20"/>
              </w:rPr>
              <w:t xml:space="preserve">4. </w:t>
            </w:r>
            <w:r>
              <w:rPr>
                <w:rFonts w:cstheme="minorHAnsi"/>
                <w:b/>
                <w:bCs/>
                <w:sz w:val="20"/>
              </w:rPr>
              <w:t>Agenda, Time Management Plan and TDAG appointments</w:t>
            </w:r>
          </w:p>
        </w:tc>
        <w:tc>
          <w:tcPr>
            <w:tcW w:w="851" w:type="dxa"/>
            <w:tcBorders>
              <w:bottom w:val="single" w:sz="4" w:space="0" w:color="auto"/>
            </w:tcBorders>
          </w:tcPr>
          <w:p w14:paraId="0315182B" w14:textId="195B6D9E" w:rsidR="00FD31A4" w:rsidRPr="004A0398" w:rsidRDefault="00FD31A4" w:rsidP="007B0880">
            <w:pPr>
              <w:tabs>
                <w:tab w:val="left" w:pos="567"/>
              </w:tabs>
              <w:spacing w:before="0" w:after="60"/>
              <w:ind w:left="-57" w:right="-57"/>
              <w:rPr>
                <w:rFonts w:cstheme="minorHAnsi"/>
                <w:sz w:val="20"/>
              </w:rPr>
            </w:pPr>
            <w:r w:rsidRPr="001A1F5F">
              <w:rPr>
                <w:rFonts w:cstheme="minorHAnsi"/>
                <w:i/>
                <w:iCs/>
                <w:sz w:val="20"/>
              </w:rPr>
              <w:t>1</w:t>
            </w:r>
            <w:r w:rsidRPr="004A0398">
              <w:rPr>
                <w:rFonts w:cstheme="minorHAnsi"/>
                <w:i/>
                <w:iCs/>
                <w:sz w:val="20"/>
              </w:rPr>
              <w:t xml:space="preserve"> </w:t>
            </w:r>
          </w:p>
        </w:tc>
        <w:tc>
          <w:tcPr>
            <w:tcW w:w="1984" w:type="dxa"/>
            <w:tcBorders>
              <w:bottom w:val="single" w:sz="4" w:space="0" w:color="auto"/>
            </w:tcBorders>
          </w:tcPr>
          <w:p w14:paraId="5B4CC87D" w14:textId="77777777" w:rsidR="00FD31A4" w:rsidRPr="004A0398" w:rsidRDefault="00FD31A4" w:rsidP="00620EB0">
            <w:pPr>
              <w:tabs>
                <w:tab w:val="left" w:pos="567"/>
              </w:tabs>
              <w:spacing w:before="0" w:after="60"/>
              <w:ind w:left="-57" w:right="-57"/>
              <w:rPr>
                <w:rFonts w:cstheme="minorHAnsi"/>
                <w:sz w:val="20"/>
              </w:rPr>
            </w:pPr>
            <w:r w:rsidRPr="004A0398">
              <w:rPr>
                <w:rFonts w:cstheme="minorHAnsi"/>
                <w:sz w:val="20"/>
              </w:rPr>
              <w:t>Draft agenda</w:t>
            </w:r>
          </w:p>
        </w:tc>
        <w:tc>
          <w:tcPr>
            <w:tcW w:w="4111" w:type="dxa"/>
            <w:vMerge w:val="restart"/>
          </w:tcPr>
          <w:p w14:paraId="2D36E514" w14:textId="4A0A329B" w:rsidR="00FD31A4" w:rsidRDefault="00FD31A4" w:rsidP="002852C6">
            <w:pPr>
              <w:spacing w:before="0"/>
              <w:rPr>
                <w:rFonts w:eastAsia="Calibri" w:cstheme="minorHAnsi"/>
                <w:sz w:val="20"/>
              </w:rPr>
            </w:pPr>
            <w:r w:rsidRPr="00B212CB">
              <w:rPr>
                <w:rFonts w:eastAsia="Calibri" w:cstheme="minorHAnsi"/>
                <w:sz w:val="20"/>
              </w:rPr>
              <w:t>It was agreed to remove two items from the agenda: “Progress report on the ITU Index” and the “Status report on the Regional Presence Review”, as both items would be discussed at the Council and were within its purview for any decision.</w:t>
            </w:r>
          </w:p>
          <w:p w14:paraId="2BB45D53" w14:textId="1E007BD0" w:rsidR="00FD31A4" w:rsidRPr="004A0398" w:rsidRDefault="00FD31A4" w:rsidP="002852C6">
            <w:pPr>
              <w:spacing w:before="0"/>
              <w:rPr>
                <w:rFonts w:eastAsia="Calibri" w:cstheme="minorHAnsi"/>
                <w:sz w:val="20"/>
              </w:rPr>
            </w:pPr>
            <w:r w:rsidRPr="00057FCD">
              <w:rPr>
                <w:rFonts w:eastAsia="Calibri" w:cstheme="minorHAnsi"/>
                <w:sz w:val="20"/>
              </w:rPr>
              <w:t xml:space="preserve">The agenda was adopted following modification. The time management plan was adopted without modification. </w:t>
            </w:r>
          </w:p>
        </w:tc>
        <w:tc>
          <w:tcPr>
            <w:tcW w:w="2835" w:type="dxa"/>
            <w:vMerge w:val="restart"/>
          </w:tcPr>
          <w:p w14:paraId="0A17C0D5" w14:textId="7CFDE0BD" w:rsidR="00FD31A4" w:rsidRPr="004A0398" w:rsidRDefault="00FD31A4" w:rsidP="00427123">
            <w:pPr>
              <w:tabs>
                <w:tab w:val="left" w:pos="292"/>
              </w:tabs>
              <w:spacing w:before="0"/>
              <w:rPr>
                <w:rFonts w:eastAsia="Calibri" w:cstheme="minorHAnsi"/>
                <w:sz w:val="20"/>
              </w:rPr>
            </w:pPr>
            <w:r w:rsidRPr="004A0398">
              <w:rPr>
                <w:rFonts w:eastAsia="Calibri" w:cstheme="minorHAnsi"/>
                <w:sz w:val="20"/>
              </w:rPr>
              <w:t>-</w:t>
            </w:r>
            <w:r>
              <w:rPr>
                <w:rFonts w:eastAsia="Calibri" w:cstheme="minorHAnsi"/>
                <w:sz w:val="20"/>
              </w:rPr>
              <w:t>-</w:t>
            </w:r>
          </w:p>
        </w:tc>
        <w:tc>
          <w:tcPr>
            <w:tcW w:w="1134" w:type="dxa"/>
            <w:vMerge w:val="restart"/>
          </w:tcPr>
          <w:p w14:paraId="013DF391" w14:textId="77777777" w:rsidR="00FD31A4" w:rsidRPr="004A0398" w:rsidRDefault="00FD31A4" w:rsidP="00427123">
            <w:pPr>
              <w:tabs>
                <w:tab w:val="left" w:pos="292"/>
              </w:tabs>
              <w:spacing w:before="0"/>
              <w:rPr>
                <w:rFonts w:eastAsia="Calibri" w:cstheme="minorHAnsi"/>
                <w:sz w:val="20"/>
              </w:rPr>
            </w:pPr>
          </w:p>
        </w:tc>
        <w:tc>
          <w:tcPr>
            <w:tcW w:w="3119" w:type="dxa"/>
            <w:vMerge w:val="restart"/>
          </w:tcPr>
          <w:p w14:paraId="3BE175BC" w14:textId="77777777" w:rsidR="00FD31A4" w:rsidRPr="004A0398" w:rsidRDefault="00FD31A4" w:rsidP="00427123">
            <w:pPr>
              <w:tabs>
                <w:tab w:val="left" w:pos="292"/>
              </w:tabs>
              <w:spacing w:before="0"/>
              <w:rPr>
                <w:rFonts w:eastAsia="Calibri" w:cstheme="minorHAnsi"/>
                <w:sz w:val="20"/>
              </w:rPr>
            </w:pPr>
            <w:r w:rsidRPr="004A0398">
              <w:rPr>
                <w:rFonts w:eastAsia="Calibri" w:cstheme="minorHAnsi"/>
                <w:sz w:val="20"/>
              </w:rPr>
              <w:t>-</w:t>
            </w:r>
          </w:p>
          <w:p w14:paraId="7F504265" w14:textId="536E838A" w:rsidR="00FD31A4" w:rsidRPr="004A0398" w:rsidRDefault="00FD31A4" w:rsidP="00427123">
            <w:pPr>
              <w:tabs>
                <w:tab w:val="left" w:pos="292"/>
              </w:tabs>
              <w:spacing w:before="0"/>
              <w:rPr>
                <w:rFonts w:eastAsia="Calibri" w:cstheme="minorHAnsi"/>
                <w:sz w:val="20"/>
              </w:rPr>
            </w:pPr>
            <w:r w:rsidRPr="004A0398">
              <w:rPr>
                <w:rFonts w:eastAsia="Calibri" w:cstheme="minorHAnsi"/>
                <w:sz w:val="20"/>
              </w:rPr>
              <w:t>-</w:t>
            </w:r>
          </w:p>
        </w:tc>
      </w:tr>
      <w:tr w:rsidR="00FD31A4" w:rsidRPr="004C061A" w14:paraId="4DC481E1" w14:textId="4510104E" w:rsidTr="00FD31A4">
        <w:tc>
          <w:tcPr>
            <w:tcW w:w="1559" w:type="dxa"/>
            <w:tcBorders>
              <w:top w:val="nil"/>
              <w:bottom w:val="nil"/>
            </w:tcBorders>
          </w:tcPr>
          <w:p w14:paraId="0B7C65A1" w14:textId="77777777" w:rsidR="00FD31A4" w:rsidRPr="004A0398" w:rsidRDefault="00FD31A4" w:rsidP="00427123">
            <w:pPr>
              <w:tabs>
                <w:tab w:val="left" w:pos="567"/>
              </w:tabs>
              <w:spacing w:before="0" w:after="60"/>
              <w:ind w:left="-57" w:right="-57"/>
              <w:rPr>
                <w:rFonts w:cstheme="minorHAnsi"/>
                <w:b/>
                <w:bCs/>
                <w:sz w:val="20"/>
              </w:rPr>
            </w:pPr>
          </w:p>
        </w:tc>
        <w:tc>
          <w:tcPr>
            <w:tcW w:w="851" w:type="dxa"/>
            <w:tcBorders>
              <w:bottom w:val="single" w:sz="4" w:space="0" w:color="auto"/>
            </w:tcBorders>
          </w:tcPr>
          <w:p w14:paraId="3E538111" w14:textId="6B38DFEA" w:rsidR="00FD31A4" w:rsidRPr="004A0398" w:rsidRDefault="00FD31A4" w:rsidP="007B0880">
            <w:pPr>
              <w:tabs>
                <w:tab w:val="left" w:pos="567"/>
              </w:tabs>
              <w:spacing w:before="0" w:after="60"/>
              <w:ind w:left="-57" w:right="-57"/>
              <w:rPr>
                <w:rFonts w:cstheme="minorHAnsi"/>
                <w:i/>
                <w:iCs/>
                <w:sz w:val="20"/>
              </w:rPr>
            </w:pPr>
            <w:r w:rsidRPr="004A0398">
              <w:rPr>
                <w:rStyle w:val="Hyperlink"/>
                <w:rFonts w:cstheme="minorHAnsi"/>
                <w:i/>
                <w:iCs/>
                <w:color w:val="auto"/>
                <w:sz w:val="20"/>
                <w:u w:val="none"/>
              </w:rPr>
              <w:t>DT/1</w:t>
            </w:r>
          </w:p>
        </w:tc>
        <w:tc>
          <w:tcPr>
            <w:tcW w:w="1984" w:type="dxa"/>
            <w:tcBorders>
              <w:bottom w:val="single" w:sz="4" w:space="0" w:color="auto"/>
            </w:tcBorders>
          </w:tcPr>
          <w:p w14:paraId="248B5021" w14:textId="77777777" w:rsidR="00FD31A4" w:rsidRPr="004A0398" w:rsidRDefault="00FD31A4" w:rsidP="00620EB0">
            <w:pPr>
              <w:tabs>
                <w:tab w:val="left" w:pos="567"/>
              </w:tabs>
              <w:spacing w:before="0" w:after="60"/>
              <w:ind w:left="-57" w:right="-57"/>
              <w:rPr>
                <w:rFonts w:cstheme="minorHAnsi"/>
                <w:sz w:val="20"/>
              </w:rPr>
            </w:pPr>
            <w:r w:rsidRPr="004A0398">
              <w:rPr>
                <w:rFonts w:cstheme="minorHAnsi"/>
                <w:sz w:val="20"/>
              </w:rPr>
              <w:t>Draft Time Management Plan</w:t>
            </w:r>
          </w:p>
        </w:tc>
        <w:tc>
          <w:tcPr>
            <w:tcW w:w="4111" w:type="dxa"/>
            <w:vMerge/>
            <w:tcBorders>
              <w:bottom w:val="single" w:sz="4" w:space="0" w:color="auto"/>
            </w:tcBorders>
          </w:tcPr>
          <w:p w14:paraId="0F8DCB7F" w14:textId="77777777" w:rsidR="00FD31A4" w:rsidRPr="004A0398" w:rsidRDefault="00FD31A4" w:rsidP="00427123">
            <w:pPr>
              <w:spacing w:before="0"/>
              <w:rPr>
                <w:rFonts w:eastAsia="Calibri" w:cstheme="minorHAnsi"/>
                <w:sz w:val="20"/>
              </w:rPr>
            </w:pPr>
          </w:p>
        </w:tc>
        <w:tc>
          <w:tcPr>
            <w:tcW w:w="2835" w:type="dxa"/>
            <w:vMerge/>
            <w:tcBorders>
              <w:bottom w:val="single" w:sz="4" w:space="0" w:color="auto"/>
            </w:tcBorders>
          </w:tcPr>
          <w:p w14:paraId="4DC15A4D" w14:textId="77777777" w:rsidR="00FD31A4" w:rsidRPr="004A0398" w:rsidRDefault="00FD31A4" w:rsidP="00427123">
            <w:pPr>
              <w:tabs>
                <w:tab w:val="left" w:pos="292"/>
              </w:tabs>
              <w:spacing w:before="0"/>
              <w:rPr>
                <w:rFonts w:eastAsia="Calibri" w:cstheme="minorHAnsi"/>
                <w:sz w:val="20"/>
              </w:rPr>
            </w:pPr>
          </w:p>
        </w:tc>
        <w:tc>
          <w:tcPr>
            <w:tcW w:w="1134" w:type="dxa"/>
            <w:vMerge/>
            <w:tcBorders>
              <w:bottom w:val="single" w:sz="4" w:space="0" w:color="auto"/>
            </w:tcBorders>
          </w:tcPr>
          <w:p w14:paraId="184EDF7A" w14:textId="77777777" w:rsidR="00FD31A4" w:rsidRPr="004A0398" w:rsidRDefault="00FD31A4" w:rsidP="00427123">
            <w:pPr>
              <w:tabs>
                <w:tab w:val="left" w:pos="292"/>
              </w:tabs>
              <w:spacing w:before="0"/>
              <w:rPr>
                <w:rFonts w:eastAsia="Calibri" w:cstheme="minorHAnsi"/>
                <w:sz w:val="20"/>
              </w:rPr>
            </w:pPr>
          </w:p>
        </w:tc>
        <w:tc>
          <w:tcPr>
            <w:tcW w:w="3119" w:type="dxa"/>
            <w:vMerge/>
            <w:tcBorders>
              <w:bottom w:val="single" w:sz="4" w:space="0" w:color="auto"/>
            </w:tcBorders>
          </w:tcPr>
          <w:p w14:paraId="144E64AB" w14:textId="48C27027" w:rsidR="00FD31A4" w:rsidRPr="004A0398" w:rsidRDefault="00FD31A4" w:rsidP="00427123">
            <w:pPr>
              <w:tabs>
                <w:tab w:val="left" w:pos="292"/>
              </w:tabs>
              <w:spacing w:before="0"/>
              <w:rPr>
                <w:rFonts w:eastAsia="Calibri" w:cstheme="minorHAnsi"/>
                <w:sz w:val="20"/>
              </w:rPr>
            </w:pPr>
          </w:p>
        </w:tc>
      </w:tr>
      <w:tr w:rsidR="00FD31A4" w:rsidRPr="004C061A" w14:paraId="56A0D73E" w14:textId="77777777" w:rsidTr="00FD31A4">
        <w:tc>
          <w:tcPr>
            <w:tcW w:w="1559" w:type="dxa"/>
            <w:tcBorders>
              <w:top w:val="nil"/>
              <w:bottom w:val="nil"/>
            </w:tcBorders>
          </w:tcPr>
          <w:p w14:paraId="02789612" w14:textId="77777777" w:rsidR="00FD31A4" w:rsidRPr="004A0398" w:rsidRDefault="00FD31A4" w:rsidP="00055E1B">
            <w:pPr>
              <w:tabs>
                <w:tab w:val="left" w:pos="567"/>
              </w:tabs>
              <w:spacing w:before="0" w:after="60"/>
              <w:ind w:left="170" w:right="-57"/>
              <w:rPr>
                <w:rFonts w:cstheme="minorHAnsi"/>
                <w:b/>
                <w:bCs/>
                <w:sz w:val="20"/>
              </w:rPr>
            </w:pPr>
          </w:p>
        </w:tc>
        <w:tc>
          <w:tcPr>
            <w:tcW w:w="851" w:type="dxa"/>
          </w:tcPr>
          <w:p w14:paraId="6721E61C" w14:textId="5DBB38E5" w:rsidR="00FD31A4" w:rsidRPr="002064B4" w:rsidRDefault="00FD31A4" w:rsidP="007B0880">
            <w:pPr>
              <w:tabs>
                <w:tab w:val="left" w:pos="567"/>
              </w:tabs>
              <w:spacing w:before="0" w:after="60"/>
              <w:ind w:left="-57" w:right="-57"/>
              <w:rPr>
                <w:rFonts w:cstheme="minorHAnsi"/>
                <w:i/>
                <w:iCs/>
                <w:sz w:val="20"/>
              </w:rPr>
            </w:pPr>
            <w:r w:rsidRPr="002064B4">
              <w:rPr>
                <w:rFonts w:cstheme="minorHAnsi"/>
                <w:i/>
                <w:iCs/>
                <w:sz w:val="20"/>
              </w:rPr>
              <w:t>DT/3</w:t>
            </w:r>
          </w:p>
        </w:tc>
        <w:tc>
          <w:tcPr>
            <w:tcW w:w="1984" w:type="dxa"/>
          </w:tcPr>
          <w:p w14:paraId="1A85BB82" w14:textId="285A5607" w:rsidR="00FD31A4" w:rsidRPr="004A0398" w:rsidRDefault="00FD31A4" w:rsidP="00620EB0">
            <w:pPr>
              <w:pStyle w:val="Default"/>
              <w:ind w:left="-57" w:right="-57"/>
              <w:rPr>
                <w:rFonts w:asciiTheme="minorHAnsi" w:eastAsia="Times New Roman" w:hAnsiTheme="minorHAnsi" w:cstheme="minorHAnsi"/>
                <w:sz w:val="20"/>
                <w:szCs w:val="20"/>
              </w:rPr>
            </w:pPr>
            <w:r w:rsidRPr="0040478F">
              <w:rPr>
                <w:rFonts w:asciiTheme="minorHAnsi" w:eastAsia="Times New Roman" w:hAnsiTheme="minorHAnsi" w:cstheme="minorHAnsi"/>
                <w:sz w:val="20"/>
                <w:szCs w:val="20"/>
                <w:lang w:val="en-GB"/>
              </w:rPr>
              <w:t>Guidance for a virtual TDAG  </w:t>
            </w:r>
          </w:p>
        </w:tc>
        <w:tc>
          <w:tcPr>
            <w:tcW w:w="4111" w:type="dxa"/>
            <w:vMerge w:val="restart"/>
          </w:tcPr>
          <w:p w14:paraId="177733F5" w14:textId="139A8B92" w:rsidR="00FD31A4" w:rsidRPr="004A0398" w:rsidRDefault="00FD31A4" w:rsidP="00247C9B">
            <w:pPr>
              <w:spacing w:before="0"/>
              <w:rPr>
                <w:rFonts w:eastAsia="Calibri" w:cstheme="minorHAnsi"/>
                <w:sz w:val="20"/>
              </w:rPr>
            </w:pPr>
            <w:r w:rsidRPr="00057FCD">
              <w:rPr>
                <w:rFonts w:eastAsia="Calibri" w:cstheme="minorHAnsi"/>
                <w:sz w:val="20"/>
              </w:rPr>
              <w:t>The guidance on a virtual TDAG-20 was noted as an information document for reference, as was DT/4.</w:t>
            </w:r>
          </w:p>
        </w:tc>
        <w:tc>
          <w:tcPr>
            <w:tcW w:w="2835" w:type="dxa"/>
            <w:vMerge w:val="restart"/>
          </w:tcPr>
          <w:p w14:paraId="53110DA7" w14:textId="6630E63F" w:rsidR="00FD31A4" w:rsidRPr="002064B4" w:rsidRDefault="00FD31A4" w:rsidP="002064B4">
            <w:pPr>
              <w:tabs>
                <w:tab w:val="left" w:pos="292"/>
              </w:tabs>
              <w:spacing w:before="0"/>
              <w:ind w:left="-43"/>
              <w:rPr>
                <w:rFonts w:eastAsia="Calibri" w:cstheme="minorHAnsi"/>
                <w:sz w:val="20"/>
              </w:rPr>
            </w:pPr>
            <w:r>
              <w:rPr>
                <w:rFonts w:eastAsia="Calibri" w:cstheme="minorHAnsi"/>
                <w:sz w:val="20"/>
              </w:rPr>
              <w:t>--</w:t>
            </w:r>
          </w:p>
        </w:tc>
        <w:tc>
          <w:tcPr>
            <w:tcW w:w="1134" w:type="dxa"/>
            <w:vMerge w:val="restart"/>
          </w:tcPr>
          <w:p w14:paraId="7DFA02FB" w14:textId="77777777" w:rsidR="00FD31A4" w:rsidRPr="004A0398" w:rsidRDefault="00FD31A4" w:rsidP="00427123">
            <w:pPr>
              <w:tabs>
                <w:tab w:val="left" w:pos="292"/>
              </w:tabs>
              <w:spacing w:before="0"/>
              <w:rPr>
                <w:rFonts w:eastAsia="Calibri" w:cstheme="minorHAnsi"/>
                <w:sz w:val="20"/>
              </w:rPr>
            </w:pPr>
          </w:p>
        </w:tc>
        <w:tc>
          <w:tcPr>
            <w:tcW w:w="3119" w:type="dxa"/>
            <w:vMerge w:val="restart"/>
          </w:tcPr>
          <w:p w14:paraId="199A7C57" w14:textId="34E63131" w:rsidR="00FD31A4" w:rsidRPr="004A0398" w:rsidRDefault="00FD31A4" w:rsidP="00427123">
            <w:pPr>
              <w:tabs>
                <w:tab w:val="left" w:pos="292"/>
              </w:tabs>
              <w:spacing w:before="0"/>
              <w:rPr>
                <w:rFonts w:eastAsia="Calibri" w:cstheme="minorHAnsi"/>
                <w:sz w:val="20"/>
              </w:rPr>
            </w:pPr>
          </w:p>
        </w:tc>
      </w:tr>
      <w:tr w:rsidR="00FD31A4" w:rsidRPr="004C061A" w14:paraId="1CBEB0CE" w14:textId="77777777" w:rsidTr="00FD31A4">
        <w:tc>
          <w:tcPr>
            <w:tcW w:w="1559" w:type="dxa"/>
            <w:tcBorders>
              <w:top w:val="nil"/>
            </w:tcBorders>
          </w:tcPr>
          <w:p w14:paraId="114BF37E" w14:textId="7BF76423" w:rsidR="00FD31A4" w:rsidRPr="00A82DA4" w:rsidRDefault="00FD31A4" w:rsidP="00A82DA4">
            <w:pPr>
              <w:rPr>
                <w:rFonts w:cstheme="minorHAnsi"/>
                <w:sz w:val="20"/>
              </w:rPr>
            </w:pPr>
          </w:p>
        </w:tc>
        <w:tc>
          <w:tcPr>
            <w:tcW w:w="851" w:type="dxa"/>
          </w:tcPr>
          <w:p w14:paraId="29C8EED5" w14:textId="71FA8332" w:rsidR="00FD31A4" w:rsidRPr="002064B4" w:rsidRDefault="00FD31A4" w:rsidP="007B0880">
            <w:pPr>
              <w:tabs>
                <w:tab w:val="left" w:pos="567"/>
              </w:tabs>
              <w:spacing w:before="0" w:after="60"/>
              <w:ind w:left="-57" w:right="-57"/>
              <w:rPr>
                <w:rFonts w:cstheme="minorHAnsi"/>
                <w:i/>
                <w:iCs/>
                <w:sz w:val="20"/>
              </w:rPr>
            </w:pPr>
            <w:r w:rsidRPr="002064B4">
              <w:rPr>
                <w:rFonts w:cstheme="minorHAnsi"/>
                <w:i/>
                <w:iCs/>
                <w:sz w:val="20"/>
              </w:rPr>
              <w:t>DT/4</w:t>
            </w:r>
          </w:p>
        </w:tc>
        <w:tc>
          <w:tcPr>
            <w:tcW w:w="1984" w:type="dxa"/>
          </w:tcPr>
          <w:p w14:paraId="1C7F34DA" w14:textId="31B7569D" w:rsidR="00FD31A4" w:rsidRPr="004A0398" w:rsidRDefault="00FD31A4" w:rsidP="00620EB0">
            <w:pPr>
              <w:pStyle w:val="Default"/>
              <w:ind w:left="-57" w:right="-57"/>
              <w:rPr>
                <w:rFonts w:asciiTheme="minorHAnsi" w:eastAsia="Times New Roman" w:hAnsiTheme="minorHAnsi" w:cstheme="minorHAnsi"/>
                <w:sz w:val="20"/>
                <w:szCs w:val="20"/>
              </w:rPr>
            </w:pPr>
            <w:r w:rsidRPr="00831EC5">
              <w:rPr>
                <w:rFonts w:asciiTheme="minorHAnsi" w:eastAsia="Times New Roman" w:hAnsiTheme="minorHAnsi" w:cstheme="minorHAnsi"/>
                <w:sz w:val="20"/>
                <w:szCs w:val="20"/>
              </w:rPr>
              <w:t xml:space="preserve">TDAG scope and </w:t>
            </w:r>
            <w:r w:rsidR="003F3DAF" w:rsidRPr="00831EC5">
              <w:rPr>
                <w:rFonts w:asciiTheme="minorHAnsi" w:eastAsia="Times New Roman" w:hAnsiTheme="minorHAnsi" w:cstheme="minorHAnsi"/>
                <w:sz w:val="20"/>
                <w:szCs w:val="20"/>
              </w:rPr>
              <w:t>responsibilities</w:t>
            </w:r>
            <w:r w:rsidRPr="00831EC5">
              <w:rPr>
                <w:rFonts w:asciiTheme="minorHAnsi" w:eastAsia="Times New Roman" w:hAnsiTheme="minorHAnsi" w:cstheme="minorHAnsi"/>
                <w:sz w:val="20"/>
                <w:szCs w:val="20"/>
              </w:rPr>
              <w:t>, TDAG Web Dialogues and WTDC reform</w:t>
            </w:r>
          </w:p>
        </w:tc>
        <w:tc>
          <w:tcPr>
            <w:tcW w:w="4111" w:type="dxa"/>
            <w:vMerge/>
          </w:tcPr>
          <w:p w14:paraId="571B5002" w14:textId="77777777" w:rsidR="00FD31A4" w:rsidRPr="004A0398" w:rsidRDefault="00FD31A4" w:rsidP="002852C6">
            <w:pPr>
              <w:spacing w:before="0"/>
              <w:rPr>
                <w:rFonts w:eastAsia="Calibri" w:cstheme="minorHAnsi"/>
                <w:sz w:val="20"/>
              </w:rPr>
            </w:pPr>
          </w:p>
        </w:tc>
        <w:tc>
          <w:tcPr>
            <w:tcW w:w="2835" w:type="dxa"/>
            <w:vMerge/>
          </w:tcPr>
          <w:p w14:paraId="4DD93B23" w14:textId="77777777" w:rsidR="00FD31A4" w:rsidRPr="002064B4" w:rsidRDefault="00FD31A4" w:rsidP="002064B4">
            <w:pPr>
              <w:tabs>
                <w:tab w:val="left" w:pos="292"/>
              </w:tabs>
              <w:spacing w:before="0"/>
              <w:ind w:left="-43"/>
              <w:rPr>
                <w:rFonts w:eastAsia="Calibri" w:cstheme="minorHAnsi"/>
                <w:sz w:val="20"/>
              </w:rPr>
            </w:pPr>
          </w:p>
        </w:tc>
        <w:tc>
          <w:tcPr>
            <w:tcW w:w="1134" w:type="dxa"/>
            <w:vMerge/>
          </w:tcPr>
          <w:p w14:paraId="15D4D9F0" w14:textId="77777777" w:rsidR="00FD31A4" w:rsidRPr="004A0398" w:rsidRDefault="00FD31A4" w:rsidP="00427123">
            <w:pPr>
              <w:tabs>
                <w:tab w:val="left" w:pos="292"/>
              </w:tabs>
              <w:spacing w:before="0"/>
              <w:rPr>
                <w:rFonts w:eastAsia="Calibri" w:cstheme="minorHAnsi"/>
                <w:sz w:val="20"/>
              </w:rPr>
            </w:pPr>
          </w:p>
        </w:tc>
        <w:tc>
          <w:tcPr>
            <w:tcW w:w="3119" w:type="dxa"/>
            <w:vMerge/>
          </w:tcPr>
          <w:p w14:paraId="249FAD0E" w14:textId="6B7580A3" w:rsidR="00FD31A4" w:rsidRPr="004A0398" w:rsidRDefault="00FD31A4" w:rsidP="00427123">
            <w:pPr>
              <w:tabs>
                <w:tab w:val="left" w:pos="292"/>
              </w:tabs>
              <w:spacing w:before="0"/>
              <w:rPr>
                <w:rFonts w:eastAsia="Calibri" w:cstheme="minorHAnsi"/>
                <w:sz w:val="20"/>
              </w:rPr>
            </w:pPr>
          </w:p>
        </w:tc>
      </w:tr>
      <w:tr w:rsidR="00FD31A4" w:rsidRPr="004C061A" w14:paraId="4979B529" w14:textId="77777777" w:rsidTr="00FD31A4">
        <w:tc>
          <w:tcPr>
            <w:tcW w:w="1559" w:type="dxa"/>
          </w:tcPr>
          <w:p w14:paraId="14BCEE7B" w14:textId="70ADC859" w:rsidR="00FD31A4" w:rsidRPr="00A82DA4" w:rsidRDefault="00FD31A4" w:rsidP="00A82DA4">
            <w:pPr>
              <w:tabs>
                <w:tab w:val="left" w:pos="567"/>
              </w:tabs>
              <w:spacing w:before="0" w:after="60"/>
              <w:ind w:left="170" w:right="-57"/>
              <w:rPr>
                <w:rFonts w:cstheme="minorHAnsi"/>
                <w:sz w:val="20"/>
              </w:rPr>
            </w:pPr>
            <w:r w:rsidRPr="004A0398">
              <w:rPr>
                <w:rFonts w:cstheme="minorHAnsi"/>
                <w:b/>
                <w:bCs/>
                <w:sz w:val="20"/>
              </w:rPr>
              <w:t xml:space="preserve">4.1 Appointment of </w:t>
            </w:r>
            <w:r>
              <w:rPr>
                <w:rFonts w:cstheme="minorHAnsi"/>
                <w:b/>
                <w:bCs/>
                <w:sz w:val="20"/>
              </w:rPr>
              <w:t>a</w:t>
            </w:r>
            <w:r w:rsidRPr="004A0398">
              <w:rPr>
                <w:rFonts w:cstheme="minorHAnsi"/>
                <w:b/>
                <w:bCs/>
                <w:sz w:val="20"/>
              </w:rPr>
              <w:t xml:space="preserve"> new TDAG vice-chairm</w:t>
            </w:r>
            <w:r>
              <w:rPr>
                <w:rFonts w:cstheme="minorHAnsi"/>
                <w:b/>
                <w:bCs/>
                <w:sz w:val="20"/>
              </w:rPr>
              <w:t>a</w:t>
            </w:r>
            <w:r w:rsidRPr="004A0398">
              <w:rPr>
                <w:rFonts w:cstheme="minorHAnsi"/>
                <w:b/>
                <w:bCs/>
                <w:sz w:val="20"/>
              </w:rPr>
              <w:t xml:space="preserve">n to </w:t>
            </w:r>
            <w:r>
              <w:rPr>
                <w:rFonts w:cstheme="minorHAnsi"/>
                <w:b/>
                <w:bCs/>
                <w:sz w:val="20"/>
              </w:rPr>
              <w:t xml:space="preserve">a </w:t>
            </w:r>
            <w:r w:rsidRPr="004A0398">
              <w:rPr>
                <w:rFonts w:cstheme="minorHAnsi"/>
                <w:b/>
                <w:bCs/>
                <w:sz w:val="20"/>
              </w:rPr>
              <w:t>vacant position</w:t>
            </w:r>
          </w:p>
        </w:tc>
        <w:tc>
          <w:tcPr>
            <w:tcW w:w="851" w:type="dxa"/>
          </w:tcPr>
          <w:p w14:paraId="2F15AE57" w14:textId="44B85780" w:rsidR="00FD31A4" w:rsidRPr="009E1EFD" w:rsidRDefault="00FD31A4" w:rsidP="007B0880">
            <w:pPr>
              <w:tabs>
                <w:tab w:val="left" w:pos="567"/>
              </w:tabs>
              <w:spacing w:before="0" w:after="60"/>
              <w:ind w:left="-57" w:right="-57"/>
              <w:rPr>
                <w:rFonts w:cstheme="minorHAnsi"/>
                <w:i/>
                <w:iCs/>
                <w:sz w:val="20"/>
              </w:rPr>
            </w:pPr>
            <w:r w:rsidRPr="009E1EFD">
              <w:rPr>
                <w:rFonts w:cstheme="minorHAnsi"/>
                <w:i/>
                <w:iCs/>
                <w:sz w:val="20"/>
              </w:rPr>
              <w:t>38</w:t>
            </w:r>
          </w:p>
        </w:tc>
        <w:tc>
          <w:tcPr>
            <w:tcW w:w="1984" w:type="dxa"/>
          </w:tcPr>
          <w:p w14:paraId="6DCE0849" w14:textId="54073E3F" w:rsidR="00FD31A4" w:rsidRPr="004A0398" w:rsidRDefault="00FD31A4" w:rsidP="00620EB0">
            <w:pPr>
              <w:pStyle w:val="Default"/>
              <w:ind w:left="-57" w:right="-57"/>
              <w:rPr>
                <w:rFonts w:asciiTheme="minorHAnsi" w:eastAsia="Times New Roman" w:hAnsiTheme="minorHAnsi" w:cstheme="minorHAnsi"/>
                <w:sz w:val="20"/>
                <w:szCs w:val="20"/>
              </w:rPr>
            </w:pPr>
            <w:r w:rsidRPr="00B1302D">
              <w:rPr>
                <w:rFonts w:asciiTheme="minorHAnsi" w:eastAsia="Times New Roman" w:hAnsiTheme="minorHAnsi" w:cstheme="minorHAnsi"/>
                <w:sz w:val="20"/>
                <w:szCs w:val="20"/>
                <w:lang w:val="en-GB"/>
              </w:rPr>
              <w:t>Appointment of a Vice-Chairman of TDAG</w:t>
            </w:r>
          </w:p>
        </w:tc>
        <w:tc>
          <w:tcPr>
            <w:tcW w:w="4111" w:type="dxa"/>
          </w:tcPr>
          <w:p w14:paraId="1420B9B4" w14:textId="37B8AC17" w:rsidR="00FD31A4" w:rsidRPr="004A0398" w:rsidRDefault="00FD31A4" w:rsidP="002852C6">
            <w:pPr>
              <w:spacing w:before="0"/>
              <w:rPr>
                <w:rFonts w:eastAsia="Calibri" w:cstheme="minorHAnsi"/>
                <w:sz w:val="20"/>
              </w:rPr>
            </w:pPr>
            <w:r w:rsidRPr="006E523D">
              <w:rPr>
                <w:rFonts w:eastAsia="Calibri" w:cstheme="minorHAnsi"/>
                <w:sz w:val="20"/>
              </w:rPr>
              <w:t xml:space="preserve">TDAG appointed by acclamation </w:t>
            </w:r>
            <w:r w:rsidRPr="006E523D">
              <w:rPr>
                <w:rFonts w:eastAsia="Calibri" w:cstheme="minorHAnsi"/>
                <w:b/>
                <w:sz w:val="20"/>
              </w:rPr>
              <w:t xml:space="preserve">Mr Nicolás </w:t>
            </w:r>
            <w:proofErr w:type="spellStart"/>
            <w:r w:rsidRPr="006E523D">
              <w:rPr>
                <w:rFonts w:eastAsia="Calibri" w:cstheme="minorHAnsi"/>
                <w:b/>
                <w:sz w:val="20"/>
              </w:rPr>
              <w:t>Karavaski</w:t>
            </w:r>
            <w:proofErr w:type="spellEnd"/>
            <w:r w:rsidRPr="006E523D">
              <w:rPr>
                <w:rFonts w:eastAsia="Calibri" w:cstheme="minorHAnsi"/>
                <w:sz w:val="20"/>
              </w:rPr>
              <w:t xml:space="preserve"> as a TDAG Vice</w:t>
            </w:r>
            <w:r w:rsidRPr="006E523D">
              <w:rPr>
                <w:rFonts w:eastAsia="Calibri" w:cstheme="minorHAnsi"/>
                <w:sz w:val="20"/>
              </w:rPr>
              <w:noBreakHyphen/>
              <w:t>Chairman, replacing Mr Hugo Dario Miguel.</w:t>
            </w:r>
          </w:p>
        </w:tc>
        <w:tc>
          <w:tcPr>
            <w:tcW w:w="2835" w:type="dxa"/>
          </w:tcPr>
          <w:p w14:paraId="37D2DCB1" w14:textId="5C04D6BB" w:rsidR="00FD31A4" w:rsidRPr="004A0398" w:rsidRDefault="00FD31A4" w:rsidP="002852C6">
            <w:pPr>
              <w:pStyle w:val="ListParagraph"/>
              <w:numPr>
                <w:ilvl w:val="0"/>
                <w:numId w:val="6"/>
              </w:numPr>
              <w:tabs>
                <w:tab w:val="left" w:pos="292"/>
              </w:tabs>
              <w:spacing w:before="0"/>
              <w:ind w:left="317"/>
              <w:rPr>
                <w:rFonts w:eastAsia="Calibri" w:cstheme="minorHAnsi"/>
                <w:sz w:val="20"/>
              </w:rPr>
            </w:pPr>
            <w:r w:rsidRPr="004A0398">
              <w:rPr>
                <w:rFonts w:eastAsia="Calibri" w:cstheme="minorHAnsi"/>
                <w:sz w:val="20"/>
              </w:rPr>
              <w:t xml:space="preserve">Update TDAG Bureau </w:t>
            </w:r>
            <w:proofErr w:type="gramStart"/>
            <w:r w:rsidRPr="004A0398">
              <w:rPr>
                <w:rFonts w:eastAsia="Calibri" w:cstheme="minorHAnsi"/>
                <w:sz w:val="20"/>
              </w:rPr>
              <w:t>page;</w:t>
            </w:r>
            <w:proofErr w:type="gramEnd"/>
          </w:p>
          <w:p w14:paraId="4680F87F" w14:textId="7BF177ED" w:rsidR="00FD31A4" w:rsidRPr="004A0398" w:rsidRDefault="00FD31A4" w:rsidP="002852C6">
            <w:pPr>
              <w:pStyle w:val="ListParagraph"/>
              <w:numPr>
                <w:ilvl w:val="0"/>
                <w:numId w:val="6"/>
              </w:numPr>
              <w:tabs>
                <w:tab w:val="left" w:pos="292"/>
              </w:tabs>
              <w:spacing w:before="0"/>
              <w:ind w:left="317"/>
              <w:rPr>
                <w:rFonts w:eastAsia="Calibri" w:cstheme="minorHAnsi"/>
                <w:sz w:val="20"/>
              </w:rPr>
            </w:pPr>
            <w:r w:rsidRPr="004A0398">
              <w:rPr>
                <w:rFonts w:eastAsia="Calibri" w:cstheme="minorHAnsi"/>
                <w:sz w:val="20"/>
              </w:rPr>
              <w:t>Update target group in CRM.</w:t>
            </w:r>
          </w:p>
        </w:tc>
        <w:tc>
          <w:tcPr>
            <w:tcW w:w="1134" w:type="dxa"/>
          </w:tcPr>
          <w:p w14:paraId="5181C451" w14:textId="5FFDD1C0" w:rsidR="00FD31A4" w:rsidRDefault="00FD31A4" w:rsidP="00427123">
            <w:pPr>
              <w:tabs>
                <w:tab w:val="left" w:pos="292"/>
              </w:tabs>
              <w:spacing w:before="0"/>
              <w:rPr>
                <w:rFonts w:eastAsia="Calibri" w:cstheme="minorHAnsi"/>
                <w:sz w:val="20"/>
              </w:rPr>
            </w:pPr>
            <w:r>
              <w:rPr>
                <w:rFonts w:eastAsia="Calibri" w:cstheme="minorHAnsi"/>
                <w:sz w:val="20"/>
              </w:rPr>
              <w:t>9 July</w:t>
            </w:r>
          </w:p>
        </w:tc>
        <w:tc>
          <w:tcPr>
            <w:tcW w:w="3119" w:type="dxa"/>
          </w:tcPr>
          <w:p w14:paraId="5CC9EC43" w14:textId="59CF1F05" w:rsidR="00FD31A4" w:rsidRPr="00C52364" w:rsidRDefault="00FD31A4" w:rsidP="00427123">
            <w:pPr>
              <w:tabs>
                <w:tab w:val="left" w:pos="292"/>
              </w:tabs>
              <w:spacing w:before="0"/>
              <w:rPr>
                <w:rFonts w:eastAsia="Calibri" w:cstheme="minorHAnsi"/>
                <w:b/>
                <w:bCs/>
                <w:sz w:val="20"/>
              </w:rPr>
            </w:pPr>
            <w:r>
              <w:rPr>
                <w:rFonts w:eastAsia="Calibri" w:cstheme="minorHAnsi"/>
                <w:b/>
                <w:bCs/>
                <w:sz w:val="20"/>
              </w:rPr>
              <w:t>Completed</w:t>
            </w:r>
          </w:p>
        </w:tc>
      </w:tr>
      <w:tr w:rsidR="00FD31A4" w:rsidRPr="004C061A" w14:paraId="48C21E47" w14:textId="1E78AFEB" w:rsidTr="00FD31A4">
        <w:tc>
          <w:tcPr>
            <w:tcW w:w="1559" w:type="dxa"/>
            <w:tcBorders>
              <w:bottom w:val="single" w:sz="4" w:space="0" w:color="auto"/>
            </w:tcBorders>
          </w:tcPr>
          <w:p w14:paraId="06B77E2B" w14:textId="0B9CADD7" w:rsidR="00FD31A4" w:rsidRPr="004A0398" w:rsidRDefault="00FD31A4" w:rsidP="00427123">
            <w:pPr>
              <w:tabs>
                <w:tab w:val="left" w:pos="567"/>
              </w:tabs>
              <w:spacing w:before="0" w:after="60"/>
              <w:ind w:left="-57" w:right="-57"/>
              <w:rPr>
                <w:rFonts w:cstheme="minorHAnsi"/>
                <w:b/>
                <w:bCs/>
                <w:sz w:val="20"/>
              </w:rPr>
            </w:pPr>
            <w:r w:rsidRPr="004A0398">
              <w:rPr>
                <w:rFonts w:cstheme="minorHAnsi"/>
                <w:b/>
                <w:bCs/>
                <w:sz w:val="20"/>
              </w:rPr>
              <w:t xml:space="preserve">5. </w:t>
            </w:r>
            <w:r w:rsidRPr="00C57C92">
              <w:rPr>
                <w:rFonts w:cstheme="minorHAnsi"/>
                <w:b/>
                <w:bCs/>
                <w:sz w:val="20"/>
              </w:rPr>
              <w:t xml:space="preserve">Outcomes of WRC-19 related </w:t>
            </w:r>
            <w:r w:rsidRPr="00C57C92">
              <w:rPr>
                <w:rFonts w:cstheme="minorHAnsi"/>
                <w:b/>
                <w:bCs/>
                <w:sz w:val="20"/>
              </w:rPr>
              <w:lastRenderedPageBreak/>
              <w:t>to the work of ITU-D</w:t>
            </w:r>
          </w:p>
        </w:tc>
        <w:tc>
          <w:tcPr>
            <w:tcW w:w="851" w:type="dxa"/>
          </w:tcPr>
          <w:p w14:paraId="486FDA8A" w14:textId="6F019074" w:rsidR="00FD31A4" w:rsidRPr="004A0398" w:rsidRDefault="00FD31A4" w:rsidP="007B0880">
            <w:pPr>
              <w:tabs>
                <w:tab w:val="left" w:pos="567"/>
              </w:tabs>
              <w:spacing w:before="0" w:after="60"/>
              <w:ind w:left="-57" w:right="-57"/>
              <w:rPr>
                <w:rFonts w:cstheme="minorHAnsi"/>
                <w:i/>
                <w:iCs/>
                <w:sz w:val="20"/>
              </w:rPr>
            </w:pPr>
            <w:r>
              <w:rPr>
                <w:rFonts w:cstheme="minorHAnsi"/>
                <w:i/>
                <w:iCs/>
                <w:sz w:val="20"/>
              </w:rPr>
              <w:lastRenderedPageBreak/>
              <w:t>4</w:t>
            </w:r>
          </w:p>
        </w:tc>
        <w:tc>
          <w:tcPr>
            <w:tcW w:w="1984" w:type="dxa"/>
          </w:tcPr>
          <w:p w14:paraId="061FAC57" w14:textId="6C4D9609" w:rsidR="00FD31A4" w:rsidRPr="004A0398" w:rsidRDefault="00FD31A4" w:rsidP="00620EB0">
            <w:pPr>
              <w:pStyle w:val="Default"/>
              <w:ind w:left="-57" w:right="-57"/>
              <w:rPr>
                <w:rFonts w:asciiTheme="minorHAnsi" w:eastAsia="Times New Roman" w:hAnsiTheme="minorHAnsi" w:cstheme="minorHAnsi"/>
                <w:sz w:val="20"/>
                <w:szCs w:val="20"/>
              </w:rPr>
            </w:pPr>
            <w:r w:rsidRPr="00B1302D">
              <w:rPr>
                <w:rFonts w:asciiTheme="minorHAnsi" w:eastAsia="Times New Roman" w:hAnsiTheme="minorHAnsi" w:cstheme="minorHAnsi"/>
                <w:sz w:val="20"/>
                <w:szCs w:val="20"/>
                <w:lang w:val="en-GB"/>
              </w:rPr>
              <w:t>Outcomes of WRC-19, RA-19 and CPM23-1 related to ITU-</w:t>
            </w:r>
          </w:p>
        </w:tc>
        <w:tc>
          <w:tcPr>
            <w:tcW w:w="4111" w:type="dxa"/>
          </w:tcPr>
          <w:p w14:paraId="08232EAB" w14:textId="6E1D7409" w:rsidR="00FD31A4" w:rsidRPr="004A0398" w:rsidRDefault="00FD31A4" w:rsidP="003E03AC">
            <w:pPr>
              <w:spacing w:before="0"/>
              <w:rPr>
                <w:rFonts w:eastAsia="Calibri" w:cstheme="minorHAnsi"/>
                <w:sz w:val="20"/>
              </w:rPr>
            </w:pPr>
            <w:r w:rsidRPr="003E03AC">
              <w:rPr>
                <w:rFonts w:eastAsia="Calibri" w:cstheme="minorHAnsi"/>
                <w:iCs/>
                <w:sz w:val="20"/>
              </w:rPr>
              <w:t xml:space="preserve">TDAG expressed appreciation for the document and noted the close cooperation between BDT and BR, especially for the continued capacity </w:t>
            </w:r>
            <w:r w:rsidRPr="003E03AC">
              <w:rPr>
                <w:rFonts w:eastAsia="Calibri" w:cstheme="minorHAnsi"/>
                <w:iCs/>
                <w:sz w:val="20"/>
              </w:rPr>
              <w:lastRenderedPageBreak/>
              <w:t>building efforts and support for developing countries on the implementation of WRC-19 and RA-19 decisions and preparation for WRC-23. TDAG noted that the work on spectrum-related issues continued to be of great interest for developing countries with many regions underlining its importance. In addition, participants noted that careful consideration should be given to EMF issues concerning IMT-2020 (5G).</w:t>
            </w:r>
          </w:p>
        </w:tc>
        <w:tc>
          <w:tcPr>
            <w:tcW w:w="2835" w:type="dxa"/>
          </w:tcPr>
          <w:p w14:paraId="04F2D31E" w14:textId="1212CE03" w:rsidR="00FD31A4" w:rsidRPr="004A0398" w:rsidRDefault="00FD31A4" w:rsidP="002852C6">
            <w:pPr>
              <w:pStyle w:val="ListParagraph"/>
              <w:numPr>
                <w:ilvl w:val="0"/>
                <w:numId w:val="6"/>
              </w:numPr>
              <w:tabs>
                <w:tab w:val="left" w:pos="292"/>
              </w:tabs>
              <w:spacing w:before="0"/>
              <w:ind w:left="317"/>
              <w:rPr>
                <w:rFonts w:eastAsia="Calibri" w:cstheme="minorHAnsi"/>
                <w:sz w:val="20"/>
              </w:rPr>
            </w:pPr>
            <w:r w:rsidRPr="004A0398">
              <w:rPr>
                <w:rFonts w:eastAsia="Calibri" w:cstheme="minorHAnsi"/>
                <w:sz w:val="20"/>
              </w:rPr>
              <w:lastRenderedPageBreak/>
              <w:t xml:space="preserve">Ensure that the work of BDT </w:t>
            </w:r>
            <w:proofErr w:type="gramStart"/>
            <w:r w:rsidRPr="004A0398">
              <w:rPr>
                <w:rFonts w:eastAsia="Calibri" w:cstheme="minorHAnsi"/>
                <w:sz w:val="20"/>
              </w:rPr>
              <w:t>takes into account</w:t>
            </w:r>
            <w:proofErr w:type="gramEnd"/>
            <w:r w:rsidRPr="004A0398">
              <w:rPr>
                <w:rFonts w:eastAsia="Calibri" w:cstheme="minorHAnsi"/>
                <w:sz w:val="20"/>
              </w:rPr>
              <w:t xml:space="preserve"> the </w:t>
            </w:r>
            <w:r w:rsidRPr="004A0398">
              <w:rPr>
                <w:rFonts w:eastAsia="Calibri" w:cstheme="minorHAnsi"/>
                <w:sz w:val="20"/>
              </w:rPr>
              <w:lastRenderedPageBreak/>
              <w:t>content of the said resolutions.</w:t>
            </w:r>
          </w:p>
        </w:tc>
        <w:tc>
          <w:tcPr>
            <w:tcW w:w="1134" w:type="dxa"/>
          </w:tcPr>
          <w:p w14:paraId="5D3565F2" w14:textId="52228153" w:rsidR="00FD31A4" w:rsidRPr="004A0398" w:rsidRDefault="00FD31A4" w:rsidP="00427123">
            <w:pPr>
              <w:tabs>
                <w:tab w:val="left" w:pos="292"/>
              </w:tabs>
              <w:spacing w:before="0"/>
              <w:rPr>
                <w:rFonts w:eastAsia="Calibri" w:cstheme="minorHAnsi"/>
                <w:sz w:val="20"/>
              </w:rPr>
            </w:pPr>
            <w:r>
              <w:rPr>
                <w:rFonts w:eastAsia="Calibri" w:cstheme="minorHAnsi"/>
                <w:sz w:val="20"/>
              </w:rPr>
              <w:lastRenderedPageBreak/>
              <w:t>Ongoing</w:t>
            </w:r>
          </w:p>
        </w:tc>
        <w:tc>
          <w:tcPr>
            <w:tcW w:w="3119" w:type="dxa"/>
          </w:tcPr>
          <w:p w14:paraId="7210B91B" w14:textId="77777777" w:rsidR="00FD31A4" w:rsidRPr="00C52364" w:rsidRDefault="00FD31A4" w:rsidP="000F0FF0">
            <w:pPr>
              <w:tabs>
                <w:tab w:val="left" w:pos="292"/>
              </w:tabs>
              <w:spacing w:before="40"/>
              <w:rPr>
                <w:rFonts w:eastAsia="Calibri" w:cstheme="minorHAnsi"/>
                <w:b/>
                <w:bCs/>
                <w:sz w:val="20"/>
              </w:rPr>
            </w:pPr>
            <w:r w:rsidRPr="00C52364">
              <w:rPr>
                <w:rFonts w:eastAsia="Calibri" w:cstheme="minorHAnsi"/>
                <w:b/>
                <w:bCs/>
                <w:sz w:val="20"/>
              </w:rPr>
              <w:t>Ongoing:</w:t>
            </w:r>
          </w:p>
          <w:p w14:paraId="613C7BCA" w14:textId="5AEE9482" w:rsidR="00FD31A4" w:rsidRDefault="00FD31A4" w:rsidP="000F0FF0">
            <w:pPr>
              <w:tabs>
                <w:tab w:val="left" w:pos="292"/>
              </w:tabs>
              <w:spacing w:before="40"/>
              <w:rPr>
                <w:rFonts w:eastAsia="Calibri" w:cstheme="minorHAnsi"/>
                <w:sz w:val="20"/>
              </w:rPr>
            </w:pPr>
            <w:r w:rsidRPr="001C0296">
              <w:rPr>
                <w:rFonts w:eastAsia="Calibri" w:cstheme="minorHAnsi"/>
                <w:sz w:val="20"/>
              </w:rPr>
              <w:lastRenderedPageBreak/>
              <w:t xml:space="preserve">Continued close collaboration with BR in the area of capacity development, </w:t>
            </w:r>
            <w:proofErr w:type="gramStart"/>
            <w:r w:rsidRPr="001C0296">
              <w:rPr>
                <w:rFonts w:eastAsia="Calibri" w:cstheme="minorHAnsi"/>
                <w:sz w:val="20"/>
              </w:rPr>
              <w:t>in particular the</w:t>
            </w:r>
            <w:proofErr w:type="gramEnd"/>
            <w:r w:rsidRPr="001C0296">
              <w:rPr>
                <w:rFonts w:eastAsia="Calibri" w:cstheme="minorHAnsi"/>
                <w:sz w:val="20"/>
              </w:rPr>
              <w:t xml:space="preserve"> delivery of spectrum-related training to developing countries.</w:t>
            </w:r>
          </w:p>
          <w:p w14:paraId="6865DD21" w14:textId="26583DA7" w:rsidR="00FD31A4" w:rsidRDefault="00FD31A4" w:rsidP="000F0FF0">
            <w:pPr>
              <w:tabs>
                <w:tab w:val="left" w:pos="292"/>
              </w:tabs>
              <w:spacing w:before="40"/>
              <w:rPr>
                <w:rFonts w:eastAsia="Calibri" w:cstheme="minorHAnsi"/>
                <w:sz w:val="20"/>
              </w:rPr>
            </w:pPr>
            <w:r>
              <w:rPr>
                <w:rFonts w:eastAsia="Calibri" w:cstheme="minorHAnsi"/>
                <w:sz w:val="20"/>
              </w:rPr>
              <w:t>Study Groups had already progressed on presenting the relevant issues for some questions.</w:t>
            </w:r>
          </w:p>
          <w:p w14:paraId="42046C1C" w14:textId="77777777" w:rsidR="00FD31A4" w:rsidRDefault="00FD31A4" w:rsidP="000F0FF0">
            <w:pPr>
              <w:tabs>
                <w:tab w:val="left" w:pos="292"/>
              </w:tabs>
              <w:spacing w:before="40"/>
              <w:rPr>
                <w:rFonts w:eastAsia="Calibri" w:cstheme="minorHAnsi"/>
                <w:sz w:val="20"/>
              </w:rPr>
            </w:pPr>
            <w:r>
              <w:rPr>
                <w:rFonts w:eastAsia="Calibri" w:cstheme="minorHAnsi"/>
                <w:sz w:val="20"/>
              </w:rPr>
              <w:t>Spectrum management workshops, conferences and trainings are ongoing in cooperation with BR. A workshop will take place in October for Europe on 5G EMF issues, TP Infrastructure and UKE.</w:t>
            </w:r>
          </w:p>
          <w:p w14:paraId="17017BE7" w14:textId="26F8F8B8" w:rsidR="00FD31A4" w:rsidRPr="004A0398" w:rsidRDefault="00FD31A4" w:rsidP="000F0FF0">
            <w:pPr>
              <w:tabs>
                <w:tab w:val="left" w:pos="292"/>
              </w:tabs>
              <w:spacing w:before="40"/>
              <w:rPr>
                <w:rFonts w:eastAsia="Calibri" w:cstheme="minorHAnsi"/>
                <w:sz w:val="20"/>
              </w:rPr>
            </w:pPr>
            <w:r w:rsidRPr="00B87C4E">
              <w:rPr>
                <w:rFonts w:eastAsia="Calibri" w:cstheme="minorHAnsi"/>
                <w:sz w:val="20"/>
              </w:rPr>
              <w:t>The new Global Network Resiliency Platform (#REG4COVID) is a place where regulators, policy makers and other interested stakeholders can share information, and view what initiatives and measures have been introduced around the world, including  experiences from countries on spectrum management to respond to the pandemic.</w:t>
            </w:r>
          </w:p>
        </w:tc>
      </w:tr>
      <w:tr w:rsidR="00FD31A4" w:rsidRPr="004C061A" w14:paraId="52BCC22C" w14:textId="77777777" w:rsidTr="00FD31A4">
        <w:tc>
          <w:tcPr>
            <w:tcW w:w="1559" w:type="dxa"/>
            <w:tcBorders>
              <w:bottom w:val="nil"/>
            </w:tcBorders>
          </w:tcPr>
          <w:p w14:paraId="076A506F" w14:textId="5C8D78CD" w:rsidR="00FD31A4" w:rsidRPr="004A0398" w:rsidRDefault="00FD31A4" w:rsidP="00427123">
            <w:pPr>
              <w:tabs>
                <w:tab w:val="left" w:pos="567"/>
              </w:tabs>
              <w:spacing w:before="0" w:after="60"/>
              <w:ind w:left="-57" w:right="-57"/>
              <w:rPr>
                <w:rFonts w:cstheme="minorHAnsi"/>
                <w:b/>
                <w:bCs/>
                <w:sz w:val="20"/>
              </w:rPr>
            </w:pPr>
            <w:r w:rsidRPr="004A0398">
              <w:rPr>
                <w:rFonts w:cstheme="minorHAnsi"/>
                <w:b/>
                <w:bCs/>
                <w:sz w:val="20"/>
              </w:rPr>
              <w:lastRenderedPageBreak/>
              <w:t xml:space="preserve">6. </w:t>
            </w:r>
            <w:r w:rsidRPr="00443441">
              <w:rPr>
                <w:rFonts w:cstheme="minorHAnsi"/>
                <w:b/>
                <w:bCs/>
                <w:sz w:val="20"/>
              </w:rPr>
              <w:t>ITU draft Operational Plan for 2021-2024</w:t>
            </w:r>
          </w:p>
        </w:tc>
        <w:tc>
          <w:tcPr>
            <w:tcW w:w="851" w:type="dxa"/>
          </w:tcPr>
          <w:p w14:paraId="149C74B7" w14:textId="7DEB750A" w:rsidR="00FD31A4" w:rsidRPr="004A0398" w:rsidRDefault="00FD31A4" w:rsidP="007B0880">
            <w:pPr>
              <w:tabs>
                <w:tab w:val="left" w:pos="567"/>
              </w:tabs>
              <w:spacing w:before="0" w:after="60"/>
              <w:ind w:left="-57" w:right="-57"/>
              <w:rPr>
                <w:rFonts w:cstheme="minorHAnsi"/>
                <w:i/>
                <w:iCs/>
                <w:sz w:val="20"/>
              </w:rPr>
            </w:pPr>
            <w:r>
              <w:rPr>
                <w:rFonts w:cstheme="minorHAnsi"/>
                <w:i/>
                <w:iCs/>
                <w:sz w:val="20"/>
              </w:rPr>
              <w:t>6</w:t>
            </w:r>
          </w:p>
        </w:tc>
        <w:tc>
          <w:tcPr>
            <w:tcW w:w="1984" w:type="dxa"/>
          </w:tcPr>
          <w:p w14:paraId="51364168" w14:textId="2C0A1F6E" w:rsidR="00FD31A4" w:rsidRPr="004A0398" w:rsidRDefault="00FD31A4" w:rsidP="00620EB0">
            <w:pPr>
              <w:pStyle w:val="Default"/>
              <w:ind w:left="-57" w:right="-57"/>
              <w:rPr>
                <w:rFonts w:asciiTheme="minorHAnsi" w:eastAsia="Times New Roman" w:hAnsiTheme="minorHAnsi" w:cstheme="minorHAnsi"/>
                <w:sz w:val="20"/>
                <w:szCs w:val="20"/>
              </w:rPr>
            </w:pPr>
            <w:r w:rsidRPr="00526247">
              <w:rPr>
                <w:rFonts w:asciiTheme="minorHAnsi" w:eastAsia="Times New Roman" w:hAnsiTheme="minorHAnsi" w:cstheme="minorHAnsi"/>
                <w:sz w:val="20"/>
                <w:szCs w:val="20"/>
                <w:lang w:val="en-GB"/>
              </w:rPr>
              <w:t>ITU Draft Operational Plan 2021-2024</w:t>
            </w:r>
          </w:p>
        </w:tc>
        <w:tc>
          <w:tcPr>
            <w:tcW w:w="4111" w:type="dxa"/>
          </w:tcPr>
          <w:p w14:paraId="070C8C32" w14:textId="77777777" w:rsidR="00FD31A4" w:rsidRPr="002C2EEF" w:rsidRDefault="00FD31A4" w:rsidP="002C2EEF">
            <w:pPr>
              <w:tabs>
                <w:tab w:val="left" w:pos="567"/>
              </w:tabs>
              <w:spacing w:before="0"/>
              <w:rPr>
                <w:rFonts w:eastAsia="Calibri" w:cstheme="minorHAnsi"/>
                <w:sz w:val="20"/>
              </w:rPr>
            </w:pPr>
            <w:r w:rsidRPr="002C2EEF">
              <w:rPr>
                <w:rFonts w:eastAsia="Calibri" w:cstheme="minorHAnsi"/>
                <w:sz w:val="20"/>
              </w:rPr>
              <w:t xml:space="preserve">TDAG noted the draft operational plan for 2021-2024 in its new format and endorsed its contents.  BDT agreed to submit information on risk evaluation to be included in the 2021 plan. </w:t>
            </w:r>
          </w:p>
          <w:p w14:paraId="29782413" w14:textId="076B1BE1" w:rsidR="00FD31A4" w:rsidRPr="004A0398" w:rsidRDefault="00FD31A4" w:rsidP="002C2EEF">
            <w:pPr>
              <w:tabs>
                <w:tab w:val="left" w:pos="567"/>
              </w:tabs>
              <w:spacing w:before="0"/>
              <w:rPr>
                <w:rFonts w:eastAsia="Calibri" w:cstheme="minorHAnsi"/>
                <w:sz w:val="20"/>
              </w:rPr>
            </w:pPr>
            <w:r w:rsidRPr="002C2EEF">
              <w:rPr>
                <w:rFonts w:eastAsia="Calibri" w:cstheme="minorHAnsi"/>
                <w:sz w:val="20"/>
              </w:rPr>
              <w:t>BDT took good note of the comments and agreed to include further references and more details in the 2021 plan.</w:t>
            </w:r>
          </w:p>
        </w:tc>
        <w:tc>
          <w:tcPr>
            <w:tcW w:w="2835" w:type="dxa"/>
          </w:tcPr>
          <w:p w14:paraId="56B06121" w14:textId="77777777" w:rsidR="00FD31A4" w:rsidRDefault="00FD31A4" w:rsidP="00113253">
            <w:pPr>
              <w:pStyle w:val="ListParagraph"/>
              <w:numPr>
                <w:ilvl w:val="0"/>
                <w:numId w:val="6"/>
              </w:numPr>
              <w:tabs>
                <w:tab w:val="left" w:pos="292"/>
              </w:tabs>
              <w:spacing w:before="0"/>
              <w:ind w:left="317"/>
              <w:rPr>
                <w:rFonts w:eastAsia="Calibri" w:cstheme="minorHAnsi"/>
                <w:sz w:val="20"/>
              </w:rPr>
            </w:pPr>
            <w:r>
              <w:rPr>
                <w:rFonts w:eastAsia="Calibri" w:cstheme="minorHAnsi"/>
                <w:sz w:val="20"/>
              </w:rPr>
              <w:t>Include information on risk evaluation in the 2021 OP.</w:t>
            </w:r>
          </w:p>
          <w:p w14:paraId="010CB8F5" w14:textId="3258BEAC" w:rsidR="00FD31A4" w:rsidRPr="004A0398" w:rsidRDefault="00FD31A4" w:rsidP="00113253">
            <w:pPr>
              <w:pStyle w:val="ListParagraph"/>
              <w:numPr>
                <w:ilvl w:val="0"/>
                <w:numId w:val="6"/>
              </w:numPr>
              <w:tabs>
                <w:tab w:val="left" w:pos="292"/>
              </w:tabs>
              <w:spacing w:before="0"/>
              <w:ind w:left="317"/>
              <w:rPr>
                <w:rFonts w:eastAsia="Calibri" w:cstheme="minorHAnsi"/>
                <w:sz w:val="20"/>
              </w:rPr>
            </w:pPr>
            <w:r>
              <w:rPr>
                <w:rFonts w:eastAsia="Calibri" w:cstheme="minorHAnsi"/>
                <w:sz w:val="20"/>
              </w:rPr>
              <w:t>Include further references and more details in the 2021 OP.</w:t>
            </w:r>
          </w:p>
        </w:tc>
        <w:tc>
          <w:tcPr>
            <w:tcW w:w="1134" w:type="dxa"/>
          </w:tcPr>
          <w:p w14:paraId="7944E94B" w14:textId="77777777" w:rsidR="00FD31A4" w:rsidRDefault="00FD31A4" w:rsidP="00427123">
            <w:pPr>
              <w:tabs>
                <w:tab w:val="left" w:pos="292"/>
                <w:tab w:val="left" w:pos="417"/>
              </w:tabs>
              <w:spacing w:before="0"/>
              <w:rPr>
                <w:rFonts w:eastAsia="Calibri" w:cstheme="minorHAnsi"/>
                <w:sz w:val="20"/>
              </w:rPr>
            </w:pPr>
            <w:r>
              <w:rPr>
                <w:rFonts w:eastAsia="Calibri" w:cstheme="minorHAnsi"/>
                <w:sz w:val="20"/>
              </w:rPr>
              <w:t>15 December 2020</w:t>
            </w:r>
          </w:p>
          <w:p w14:paraId="1CA5E684" w14:textId="7B05DCEB" w:rsidR="00FD31A4" w:rsidRPr="004A0398" w:rsidRDefault="00FD31A4" w:rsidP="00427123">
            <w:pPr>
              <w:tabs>
                <w:tab w:val="left" w:pos="292"/>
                <w:tab w:val="left" w:pos="417"/>
              </w:tabs>
              <w:spacing w:before="0"/>
              <w:rPr>
                <w:rFonts w:eastAsia="Calibri" w:cstheme="minorHAnsi"/>
                <w:sz w:val="20"/>
              </w:rPr>
            </w:pPr>
            <w:r>
              <w:rPr>
                <w:rFonts w:eastAsia="Calibri" w:cstheme="minorHAnsi"/>
                <w:sz w:val="20"/>
              </w:rPr>
              <w:t>15 December 2020</w:t>
            </w:r>
          </w:p>
        </w:tc>
        <w:tc>
          <w:tcPr>
            <w:tcW w:w="3119" w:type="dxa"/>
          </w:tcPr>
          <w:p w14:paraId="0B44E442" w14:textId="77777777" w:rsidR="00FD31A4" w:rsidRPr="00C52364" w:rsidRDefault="00FD31A4" w:rsidP="000F0FF0">
            <w:pPr>
              <w:tabs>
                <w:tab w:val="left" w:pos="292"/>
                <w:tab w:val="left" w:pos="417"/>
              </w:tabs>
              <w:spacing w:before="40"/>
              <w:rPr>
                <w:rFonts w:eastAsia="Calibri" w:cstheme="minorHAnsi"/>
                <w:b/>
                <w:bCs/>
                <w:sz w:val="20"/>
              </w:rPr>
            </w:pPr>
            <w:r w:rsidRPr="00C52364">
              <w:rPr>
                <w:rFonts w:eastAsia="Calibri" w:cstheme="minorHAnsi"/>
                <w:b/>
                <w:bCs/>
                <w:sz w:val="20"/>
              </w:rPr>
              <w:t>Completed:</w:t>
            </w:r>
          </w:p>
          <w:p w14:paraId="6020507D" w14:textId="6BDFFEF5" w:rsidR="00FD31A4" w:rsidRPr="00502A3F" w:rsidRDefault="00FD31A4" w:rsidP="000F0FF0">
            <w:pPr>
              <w:tabs>
                <w:tab w:val="left" w:pos="292"/>
                <w:tab w:val="left" w:pos="417"/>
              </w:tabs>
              <w:spacing w:before="40"/>
              <w:rPr>
                <w:rFonts w:eastAsia="Calibri" w:cstheme="minorHAnsi"/>
                <w:sz w:val="20"/>
              </w:rPr>
            </w:pPr>
            <w:r w:rsidRPr="009F4807">
              <w:rPr>
                <w:rFonts w:eastAsia="Calibri" w:cstheme="minorHAnsi"/>
                <w:sz w:val="20"/>
              </w:rPr>
              <w:t>Risk evaluation exercise integrated in 2021 Work Planning exercise and quarterly review format; KPIs for outcome and impact level provide more focused top-level results</w:t>
            </w:r>
          </w:p>
        </w:tc>
      </w:tr>
      <w:tr w:rsidR="00FD31A4" w:rsidRPr="004C061A" w14:paraId="587CB068" w14:textId="77777777" w:rsidTr="00FD31A4">
        <w:tc>
          <w:tcPr>
            <w:tcW w:w="1559" w:type="dxa"/>
            <w:tcBorders>
              <w:top w:val="nil"/>
              <w:bottom w:val="nil"/>
            </w:tcBorders>
          </w:tcPr>
          <w:p w14:paraId="6F7D2D77" w14:textId="77777777" w:rsidR="00FD31A4" w:rsidRPr="004A0398" w:rsidRDefault="00FD31A4" w:rsidP="00427123">
            <w:pPr>
              <w:tabs>
                <w:tab w:val="left" w:pos="567"/>
              </w:tabs>
              <w:spacing w:before="0" w:after="60"/>
              <w:ind w:left="-57" w:right="-57"/>
              <w:rPr>
                <w:rFonts w:cstheme="minorHAnsi"/>
                <w:b/>
                <w:bCs/>
                <w:sz w:val="20"/>
              </w:rPr>
            </w:pPr>
          </w:p>
        </w:tc>
        <w:tc>
          <w:tcPr>
            <w:tcW w:w="851" w:type="dxa"/>
          </w:tcPr>
          <w:p w14:paraId="3046109D" w14:textId="21C07662" w:rsidR="00FD31A4" w:rsidRDefault="00FD31A4" w:rsidP="007B0880">
            <w:pPr>
              <w:tabs>
                <w:tab w:val="left" w:pos="567"/>
              </w:tabs>
              <w:spacing w:before="0" w:after="60"/>
              <w:ind w:left="-57" w:right="-57"/>
              <w:rPr>
                <w:rFonts w:cstheme="minorHAnsi"/>
                <w:i/>
                <w:iCs/>
                <w:sz w:val="20"/>
              </w:rPr>
            </w:pPr>
            <w:r>
              <w:rPr>
                <w:rFonts w:cstheme="minorHAnsi"/>
                <w:i/>
                <w:iCs/>
                <w:sz w:val="20"/>
              </w:rPr>
              <w:t>17</w:t>
            </w:r>
          </w:p>
        </w:tc>
        <w:tc>
          <w:tcPr>
            <w:tcW w:w="1984" w:type="dxa"/>
          </w:tcPr>
          <w:p w14:paraId="0AF81D8C" w14:textId="0DB3CCA9" w:rsidR="00FD31A4" w:rsidRPr="004A0398" w:rsidRDefault="00FD31A4" w:rsidP="00620EB0">
            <w:pPr>
              <w:pStyle w:val="Default"/>
              <w:ind w:left="-57" w:right="-57"/>
              <w:rPr>
                <w:rFonts w:asciiTheme="minorHAnsi" w:eastAsia="Times New Roman" w:hAnsiTheme="minorHAnsi" w:cstheme="minorHAnsi"/>
                <w:sz w:val="20"/>
                <w:szCs w:val="20"/>
              </w:rPr>
            </w:pPr>
            <w:r w:rsidRPr="00526247">
              <w:rPr>
                <w:rFonts w:asciiTheme="minorHAnsi" w:eastAsia="Times New Roman" w:hAnsiTheme="minorHAnsi" w:cstheme="minorHAnsi"/>
                <w:sz w:val="20"/>
                <w:szCs w:val="20"/>
                <w:lang w:val="en-GB"/>
              </w:rPr>
              <w:t>Assistance to developing countries</w:t>
            </w:r>
          </w:p>
        </w:tc>
        <w:tc>
          <w:tcPr>
            <w:tcW w:w="4111" w:type="dxa"/>
            <w:vMerge w:val="restart"/>
          </w:tcPr>
          <w:p w14:paraId="6B923469" w14:textId="4ECBD03A" w:rsidR="00FD31A4" w:rsidRPr="004A0398" w:rsidRDefault="00FD31A4" w:rsidP="00247C9B">
            <w:pPr>
              <w:tabs>
                <w:tab w:val="left" w:pos="567"/>
              </w:tabs>
              <w:spacing w:before="0"/>
              <w:rPr>
                <w:rFonts w:eastAsia="Calibri" w:cstheme="minorHAnsi"/>
                <w:sz w:val="20"/>
              </w:rPr>
            </w:pPr>
            <w:r w:rsidRPr="00DF21F5">
              <w:rPr>
                <w:rFonts w:eastAsia="Calibri" w:cstheme="minorHAnsi"/>
                <w:sz w:val="20"/>
              </w:rPr>
              <w:t xml:space="preserve">This proposal received support from TDAG participants.  TDAG also recognized the need for easily accessible and accurate information from ITU and welcomed innovations by BDT to improve the use and access to that information </w:t>
            </w:r>
            <w:r w:rsidRPr="00DF21F5">
              <w:rPr>
                <w:rFonts w:eastAsia="Calibri" w:cstheme="minorHAnsi"/>
                <w:sz w:val="20"/>
              </w:rPr>
              <w:lastRenderedPageBreak/>
              <w:t>and preserve its longstanding reputation in the field of telecommunication-related statistics.</w:t>
            </w:r>
          </w:p>
        </w:tc>
        <w:tc>
          <w:tcPr>
            <w:tcW w:w="2835" w:type="dxa"/>
            <w:vMerge w:val="restart"/>
          </w:tcPr>
          <w:p w14:paraId="62F194F5" w14:textId="11B4C63E" w:rsidR="00FD31A4" w:rsidRPr="004A0398" w:rsidRDefault="00FD31A4" w:rsidP="00247C9B">
            <w:pPr>
              <w:pStyle w:val="ListParagraph"/>
              <w:numPr>
                <w:ilvl w:val="0"/>
                <w:numId w:val="6"/>
              </w:numPr>
              <w:tabs>
                <w:tab w:val="left" w:pos="292"/>
              </w:tabs>
              <w:spacing w:before="0"/>
              <w:ind w:left="317"/>
              <w:rPr>
                <w:rFonts w:eastAsia="Calibri" w:cstheme="minorHAnsi"/>
                <w:sz w:val="20"/>
              </w:rPr>
            </w:pPr>
            <w:r>
              <w:rPr>
                <w:rFonts w:eastAsia="Calibri" w:cstheme="minorHAnsi"/>
                <w:sz w:val="20"/>
              </w:rPr>
              <w:lastRenderedPageBreak/>
              <w:t>BDT to continue improving the use and access to accurate telecommunication-related statistics.</w:t>
            </w:r>
          </w:p>
        </w:tc>
        <w:tc>
          <w:tcPr>
            <w:tcW w:w="1134" w:type="dxa"/>
            <w:vMerge w:val="restart"/>
          </w:tcPr>
          <w:p w14:paraId="2B0A74B4" w14:textId="00166238" w:rsidR="00FD31A4" w:rsidRDefault="00FD31A4" w:rsidP="00247C9B">
            <w:pPr>
              <w:tabs>
                <w:tab w:val="left" w:pos="292"/>
                <w:tab w:val="left" w:pos="417"/>
              </w:tabs>
              <w:spacing w:before="0"/>
              <w:rPr>
                <w:rFonts w:eastAsia="Calibri" w:cstheme="minorHAnsi"/>
                <w:sz w:val="20"/>
              </w:rPr>
            </w:pPr>
            <w:r>
              <w:rPr>
                <w:rFonts w:eastAsia="Calibri" w:cstheme="minorHAnsi"/>
                <w:sz w:val="20"/>
              </w:rPr>
              <w:t>January 2021</w:t>
            </w:r>
          </w:p>
        </w:tc>
        <w:tc>
          <w:tcPr>
            <w:tcW w:w="3119" w:type="dxa"/>
            <w:vMerge w:val="restart"/>
          </w:tcPr>
          <w:p w14:paraId="22FD3216" w14:textId="77777777" w:rsidR="00FD31A4" w:rsidRPr="00C52364" w:rsidRDefault="00FD31A4" w:rsidP="000F0FF0">
            <w:pPr>
              <w:tabs>
                <w:tab w:val="left" w:pos="292"/>
                <w:tab w:val="left" w:pos="417"/>
              </w:tabs>
              <w:spacing w:before="40"/>
              <w:rPr>
                <w:rFonts w:eastAsia="Calibri" w:cstheme="minorHAnsi"/>
                <w:b/>
                <w:bCs/>
                <w:sz w:val="20"/>
              </w:rPr>
            </w:pPr>
            <w:r w:rsidRPr="00C52364">
              <w:rPr>
                <w:rFonts w:eastAsia="Calibri" w:cstheme="minorHAnsi"/>
                <w:b/>
                <w:bCs/>
                <w:sz w:val="20"/>
              </w:rPr>
              <w:t>Ongoing:</w:t>
            </w:r>
          </w:p>
          <w:p w14:paraId="4E88283E" w14:textId="681EEB30" w:rsidR="00FD31A4" w:rsidRPr="00F240F2" w:rsidRDefault="00FD31A4" w:rsidP="000F0FF0">
            <w:pPr>
              <w:tabs>
                <w:tab w:val="left" w:pos="292"/>
                <w:tab w:val="left" w:pos="417"/>
              </w:tabs>
              <w:spacing w:before="40"/>
              <w:rPr>
                <w:rFonts w:eastAsia="Calibri" w:cstheme="minorHAnsi"/>
                <w:sz w:val="20"/>
              </w:rPr>
            </w:pPr>
            <w:r w:rsidRPr="00F240F2">
              <w:rPr>
                <w:rFonts w:eastAsia="Calibri" w:cstheme="minorHAnsi"/>
                <w:sz w:val="20"/>
              </w:rPr>
              <w:t xml:space="preserve">Development is ongoing to create a new data portal, with many additional features and featuring much more data. Reporting for </w:t>
            </w:r>
            <w:r w:rsidRPr="00F240F2">
              <w:rPr>
                <w:rFonts w:eastAsia="Calibri" w:cstheme="minorHAnsi"/>
                <w:sz w:val="20"/>
              </w:rPr>
              <w:lastRenderedPageBreak/>
              <w:t xml:space="preserve">country groups will be enhanced. Interactive visualizations, topical </w:t>
            </w:r>
            <w:r w:rsidR="003F3DAF" w:rsidRPr="00F240F2">
              <w:rPr>
                <w:rFonts w:eastAsia="Calibri" w:cstheme="minorHAnsi"/>
                <w:sz w:val="20"/>
              </w:rPr>
              <w:t>dashboards</w:t>
            </w:r>
            <w:r w:rsidRPr="00F240F2">
              <w:rPr>
                <w:rFonts w:eastAsia="Calibri" w:cstheme="minorHAnsi"/>
                <w:sz w:val="20"/>
              </w:rPr>
              <w:t xml:space="preserve"> are also being designed, with first sets to be released for Facts and Figures 2020 in No</w:t>
            </w:r>
            <w:r>
              <w:rPr>
                <w:rFonts w:eastAsia="Calibri" w:cstheme="minorHAnsi"/>
                <w:sz w:val="20"/>
              </w:rPr>
              <w:t>v</w:t>
            </w:r>
            <w:r w:rsidRPr="00F240F2">
              <w:rPr>
                <w:rFonts w:eastAsia="Calibri" w:cstheme="minorHAnsi"/>
                <w:sz w:val="20"/>
              </w:rPr>
              <w:t>ember. Progressive roll out until December 2021</w:t>
            </w:r>
          </w:p>
        </w:tc>
      </w:tr>
      <w:tr w:rsidR="00FD31A4" w:rsidRPr="004C061A" w14:paraId="00A26B69" w14:textId="77777777" w:rsidTr="00FD31A4">
        <w:tc>
          <w:tcPr>
            <w:tcW w:w="1559" w:type="dxa"/>
            <w:tcBorders>
              <w:top w:val="nil"/>
              <w:bottom w:val="nil"/>
            </w:tcBorders>
          </w:tcPr>
          <w:p w14:paraId="18CF1BFF" w14:textId="77777777" w:rsidR="00FD31A4" w:rsidRPr="004A0398" w:rsidRDefault="00FD31A4" w:rsidP="00427123">
            <w:pPr>
              <w:tabs>
                <w:tab w:val="left" w:pos="567"/>
              </w:tabs>
              <w:spacing w:before="0" w:after="60"/>
              <w:ind w:left="-57" w:right="-57"/>
              <w:rPr>
                <w:rFonts w:cstheme="minorHAnsi"/>
                <w:b/>
                <w:bCs/>
                <w:sz w:val="20"/>
              </w:rPr>
            </w:pPr>
          </w:p>
        </w:tc>
        <w:tc>
          <w:tcPr>
            <w:tcW w:w="851" w:type="dxa"/>
          </w:tcPr>
          <w:p w14:paraId="5C71D7D5" w14:textId="29F75F83" w:rsidR="00FD31A4" w:rsidRDefault="00FD31A4" w:rsidP="007B0880">
            <w:pPr>
              <w:tabs>
                <w:tab w:val="left" w:pos="567"/>
              </w:tabs>
              <w:spacing w:before="0" w:after="60"/>
              <w:ind w:left="-57" w:right="-57"/>
              <w:rPr>
                <w:rFonts w:cstheme="minorHAnsi"/>
                <w:i/>
                <w:iCs/>
                <w:sz w:val="20"/>
              </w:rPr>
            </w:pPr>
            <w:r>
              <w:rPr>
                <w:rFonts w:cstheme="minorHAnsi"/>
                <w:i/>
                <w:iCs/>
                <w:sz w:val="20"/>
              </w:rPr>
              <w:t>30</w:t>
            </w:r>
          </w:p>
        </w:tc>
        <w:tc>
          <w:tcPr>
            <w:tcW w:w="1984" w:type="dxa"/>
          </w:tcPr>
          <w:p w14:paraId="1671EA30" w14:textId="089D49A0" w:rsidR="00FD31A4" w:rsidRPr="004A0398" w:rsidRDefault="00FD31A4" w:rsidP="00620EB0">
            <w:pPr>
              <w:pStyle w:val="Default"/>
              <w:ind w:left="-57" w:right="-57"/>
              <w:rPr>
                <w:rFonts w:asciiTheme="minorHAnsi" w:eastAsia="Times New Roman" w:hAnsiTheme="minorHAnsi" w:cstheme="minorHAnsi"/>
                <w:sz w:val="20"/>
                <w:szCs w:val="20"/>
              </w:rPr>
            </w:pPr>
            <w:r w:rsidRPr="00526247">
              <w:rPr>
                <w:rFonts w:asciiTheme="minorHAnsi" w:eastAsia="Times New Roman" w:hAnsiTheme="minorHAnsi" w:cstheme="minorHAnsi"/>
                <w:sz w:val="20"/>
                <w:szCs w:val="20"/>
                <w:lang w:val="en-GB"/>
              </w:rPr>
              <w:t xml:space="preserve">Increasing the value of ITU'S statistical products through better visibility of the </w:t>
            </w:r>
            <w:r w:rsidRPr="00526247">
              <w:rPr>
                <w:rFonts w:asciiTheme="minorHAnsi" w:eastAsia="Times New Roman" w:hAnsiTheme="minorHAnsi" w:cstheme="minorHAnsi"/>
                <w:sz w:val="20"/>
                <w:szCs w:val="20"/>
                <w:lang w:val="en-GB"/>
              </w:rPr>
              <w:lastRenderedPageBreak/>
              <w:t>challenges faced by LLDCs and SIDS</w:t>
            </w:r>
            <w:r>
              <w:rPr>
                <w:rFonts w:asciiTheme="minorHAnsi" w:eastAsia="Times New Roman" w:hAnsiTheme="minorHAnsi" w:cstheme="minorHAnsi"/>
                <w:sz w:val="20"/>
                <w:szCs w:val="20"/>
                <w:lang w:val="en-GB"/>
              </w:rPr>
              <w:t>, from UK</w:t>
            </w:r>
          </w:p>
        </w:tc>
        <w:tc>
          <w:tcPr>
            <w:tcW w:w="4111" w:type="dxa"/>
            <w:vMerge/>
          </w:tcPr>
          <w:p w14:paraId="2B31E4D1" w14:textId="77777777" w:rsidR="00FD31A4" w:rsidRPr="004A0398" w:rsidRDefault="00FD31A4" w:rsidP="00070EFE">
            <w:pPr>
              <w:tabs>
                <w:tab w:val="left" w:pos="567"/>
              </w:tabs>
              <w:spacing w:before="0"/>
              <w:rPr>
                <w:rFonts w:eastAsia="Calibri" w:cstheme="minorHAnsi"/>
                <w:sz w:val="20"/>
              </w:rPr>
            </w:pPr>
          </w:p>
        </w:tc>
        <w:tc>
          <w:tcPr>
            <w:tcW w:w="2835" w:type="dxa"/>
            <w:vMerge/>
          </w:tcPr>
          <w:p w14:paraId="3423F44D" w14:textId="77777777" w:rsidR="00FD31A4" w:rsidRPr="004A0398" w:rsidRDefault="00FD31A4" w:rsidP="00113253">
            <w:pPr>
              <w:pStyle w:val="ListParagraph"/>
              <w:numPr>
                <w:ilvl w:val="0"/>
                <w:numId w:val="6"/>
              </w:numPr>
              <w:tabs>
                <w:tab w:val="left" w:pos="292"/>
              </w:tabs>
              <w:spacing w:before="0"/>
              <w:ind w:left="317"/>
              <w:rPr>
                <w:rFonts w:eastAsia="Calibri" w:cstheme="minorHAnsi"/>
                <w:sz w:val="20"/>
              </w:rPr>
            </w:pPr>
          </w:p>
        </w:tc>
        <w:tc>
          <w:tcPr>
            <w:tcW w:w="1134" w:type="dxa"/>
            <w:vMerge/>
          </w:tcPr>
          <w:p w14:paraId="6AED5BA9" w14:textId="77777777" w:rsidR="00FD31A4" w:rsidRPr="004A0398" w:rsidRDefault="00FD31A4" w:rsidP="00427123">
            <w:pPr>
              <w:tabs>
                <w:tab w:val="left" w:pos="292"/>
                <w:tab w:val="left" w:pos="417"/>
              </w:tabs>
              <w:spacing w:before="0"/>
              <w:rPr>
                <w:rFonts w:eastAsia="Calibri" w:cstheme="minorHAnsi"/>
                <w:sz w:val="20"/>
              </w:rPr>
            </w:pPr>
          </w:p>
        </w:tc>
        <w:tc>
          <w:tcPr>
            <w:tcW w:w="3119" w:type="dxa"/>
            <w:vMerge/>
          </w:tcPr>
          <w:p w14:paraId="1912C87F" w14:textId="146467C3" w:rsidR="00FD31A4" w:rsidRPr="004A0398" w:rsidRDefault="00FD31A4" w:rsidP="000F0FF0">
            <w:pPr>
              <w:tabs>
                <w:tab w:val="left" w:pos="292"/>
                <w:tab w:val="left" w:pos="417"/>
              </w:tabs>
              <w:spacing w:before="40"/>
              <w:rPr>
                <w:rFonts w:eastAsia="Calibri" w:cstheme="minorHAnsi"/>
                <w:sz w:val="20"/>
              </w:rPr>
            </w:pPr>
          </w:p>
        </w:tc>
      </w:tr>
      <w:tr w:rsidR="00FD31A4" w:rsidRPr="004C061A" w14:paraId="0ABC90FE" w14:textId="77777777" w:rsidTr="00FD31A4">
        <w:tc>
          <w:tcPr>
            <w:tcW w:w="1559" w:type="dxa"/>
            <w:tcBorders>
              <w:top w:val="nil"/>
              <w:bottom w:val="nil"/>
            </w:tcBorders>
          </w:tcPr>
          <w:p w14:paraId="3874BFA3" w14:textId="77777777" w:rsidR="00FD31A4" w:rsidRPr="004A0398" w:rsidRDefault="00FD31A4" w:rsidP="00427123">
            <w:pPr>
              <w:tabs>
                <w:tab w:val="left" w:pos="567"/>
              </w:tabs>
              <w:spacing w:before="0" w:after="60"/>
              <w:ind w:left="-57" w:right="-57"/>
              <w:rPr>
                <w:rFonts w:cstheme="minorHAnsi"/>
                <w:b/>
                <w:bCs/>
                <w:sz w:val="20"/>
              </w:rPr>
            </w:pPr>
          </w:p>
        </w:tc>
        <w:tc>
          <w:tcPr>
            <w:tcW w:w="851" w:type="dxa"/>
          </w:tcPr>
          <w:p w14:paraId="71E899DE" w14:textId="3A3B79A8" w:rsidR="00FD31A4" w:rsidRDefault="00FD31A4" w:rsidP="007B0880">
            <w:pPr>
              <w:tabs>
                <w:tab w:val="left" w:pos="567"/>
              </w:tabs>
              <w:spacing w:before="0" w:after="60"/>
              <w:ind w:left="-57" w:right="-57"/>
              <w:rPr>
                <w:rFonts w:cstheme="minorHAnsi"/>
                <w:i/>
                <w:iCs/>
                <w:sz w:val="20"/>
              </w:rPr>
            </w:pPr>
            <w:r>
              <w:rPr>
                <w:rFonts w:cstheme="minorHAnsi"/>
                <w:i/>
                <w:iCs/>
                <w:sz w:val="20"/>
              </w:rPr>
              <w:t>31</w:t>
            </w:r>
          </w:p>
        </w:tc>
        <w:tc>
          <w:tcPr>
            <w:tcW w:w="1984" w:type="dxa"/>
          </w:tcPr>
          <w:p w14:paraId="0363C8B2" w14:textId="4D632422" w:rsidR="00FD31A4" w:rsidRPr="004A0398" w:rsidRDefault="00FD31A4" w:rsidP="00620EB0">
            <w:pPr>
              <w:pStyle w:val="Default"/>
              <w:ind w:left="-57" w:right="-57"/>
              <w:rPr>
                <w:rFonts w:asciiTheme="minorHAnsi" w:eastAsia="Times New Roman" w:hAnsiTheme="minorHAnsi" w:cstheme="minorHAnsi"/>
                <w:sz w:val="20"/>
                <w:szCs w:val="20"/>
              </w:rPr>
            </w:pPr>
            <w:r w:rsidRPr="0002149D">
              <w:rPr>
                <w:rFonts w:asciiTheme="minorHAnsi" w:eastAsia="Times New Roman" w:hAnsiTheme="minorHAnsi" w:cstheme="minorHAnsi"/>
                <w:sz w:val="20"/>
                <w:szCs w:val="20"/>
                <w:lang w:val="en-GB"/>
              </w:rPr>
              <w:t>Improving access to ITU resources related to the Digital Divide</w:t>
            </w:r>
            <w:r>
              <w:rPr>
                <w:rFonts w:asciiTheme="minorHAnsi" w:eastAsia="Times New Roman" w:hAnsiTheme="minorHAnsi" w:cstheme="minorHAnsi"/>
                <w:sz w:val="20"/>
                <w:szCs w:val="20"/>
                <w:lang w:val="en-GB"/>
              </w:rPr>
              <w:t>, from UK</w:t>
            </w:r>
          </w:p>
        </w:tc>
        <w:tc>
          <w:tcPr>
            <w:tcW w:w="4111" w:type="dxa"/>
          </w:tcPr>
          <w:p w14:paraId="26170FA2" w14:textId="67C4D8C6" w:rsidR="00FD31A4" w:rsidRPr="004A0398" w:rsidRDefault="00FD31A4" w:rsidP="00070EFE">
            <w:pPr>
              <w:tabs>
                <w:tab w:val="left" w:pos="567"/>
              </w:tabs>
              <w:spacing w:before="0"/>
              <w:rPr>
                <w:rFonts w:eastAsia="Calibri" w:cstheme="minorHAnsi"/>
                <w:sz w:val="20"/>
              </w:rPr>
            </w:pPr>
            <w:r w:rsidRPr="00247C9B">
              <w:rPr>
                <w:rFonts w:eastAsia="Calibri" w:cstheme="minorHAnsi"/>
                <w:sz w:val="20"/>
              </w:rPr>
              <w:t>TDAG noted the document with interest and appreciation, acknowledging the need to highlight the importance of making information and best practice about bridging the digital divide more accessible, contextual and useful, and underlining the need to foster an enabling environment to bridge the digital divide, bringing together all relevant materials, including material from regional organizations and material on policy and regulation as well as on capacity building.</w:t>
            </w:r>
          </w:p>
        </w:tc>
        <w:tc>
          <w:tcPr>
            <w:tcW w:w="2835" w:type="dxa"/>
          </w:tcPr>
          <w:p w14:paraId="5DBF91D1" w14:textId="18A42845" w:rsidR="00FD31A4" w:rsidRPr="004A0398" w:rsidRDefault="00FD31A4" w:rsidP="00113253">
            <w:pPr>
              <w:pStyle w:val="ListParagraph"/>
              <w:numPr>
                <w:ilvl w:val="0"/>
                <w:numId w:val="6"/>
              </w:numPr>
              <w:tabs>
                <w:tab w:val="left" w:pos="292"/>
              </w:tabs>
              <w:spacing w:before="0"/>
              <w:ind w:left="317"/>
              <w:rPr>
                <w:rFonts w:eastAsia="Calibri" w:cstheme="minorHAnsi"/>
                <w:sz w:val="20"/>
              </w:rPr>
            </w:pPr>
            <w:r>
              <w:rPr>
                <w:rFonts w:eastAsia="Calibri" w:cstheme="minorHAnsi"/>
                <w:sz w:val="20"/>
              </w:rPr>
              <w:t xml:space="preserve">Continue compiling and making available to membership all </w:t>
            </w:r>
            <w:r w:rsidRPr="00811549">
              <w:rPr>
                <w:rFonts w:eastAsia="Calibri" w:cstheme="minorHAnsi"/>
                <w:sz w:val="20"/>
              </w:rPr>
              <w:t>relevant materials, including material from regional organizations and material on policy and regulation as well as on capacity building.</w:t>
            </w:r>
          </w:p>
        </w:tc>
        <w:tc>
          <w:tcPr>
            <w:tcW w:w="1134" w:type="dxa"/>
          </w:tcPr>
          <w:p w14:paraId="154AFA3B" w14:textId="0FA248B7" w:rsidR="00FD31A4" w:rsidRDefault="00FD31A4" w:rsidP="00427123">
            <w:pPr>
              <w:tabs>
                <w:tab w:val="left" w:pos="292"/>
                <w:tab w:val="left" w:pos="417"/>
              </w:tabs>
              <w:spacing w:before="0"/>
              <w:rPr>
                <w:rFonts w:eastAsia="Calibri" w:cstheme="minorHAnsi"/>
                <w:sz w:val="20"/>
              </w:rPr>
            </w:pPr>
            <w:r>
              <w:rPr>
                <w:rFonts w:eastAsia="Calibri" w:cstheme="minorHAnsi"/>
                <w:sz w:val="20"/>
              </w:rPr>
              <w:t>January 2021</w:t>
            </w:r>
          </w:p>
        </w:tc>
        <w:tc>
          <w:tcPr>
            <w:tcW w:w="3119" w:type="dxa"/>
          </w:tcPr>
          <w:p w14:paraId="68B49F16" w14:textId="77777777" w:rsidR="00FD31A4" w:rsidRDefault="00FD31A4" w:rsidP="000F0FF0">
            <w:pPr>
              <w:tabs>
                <w:tab w:val="left" w:pos="292"/>
                <w:tab w:val="left" w:pos="417"/>
              </w:tabs>
              <w:spacing w:before="40"/>
              <w:rPr>
                <w:rFonts w:eastAsia="Calibri" w:cstheme="minorHAnsi"/>
                <w:sz w:val="20"/>
              </w:rPr>
            </w:pPr>
            <w:r w:rsidRPr="00C52364">
              <w:rPr>
                <w:rFonts w:eastAsia="Calibri" w:cstheme="minorHAnsi"/>
                <w:b/>
                <w:bCs/>
                <w:sz w:val="20"/>
              </w:rPr>
              <w:t>Ongoing</w:t>
            </w:r>
          </w:p>
          <w:p w14:paraId="3599C1AE" w14:textId="77777777" w:rsidR="00FD31A4" w:rsidRPr="000F0FF0" w:rsidRDefault="00FD31A4" w:rsidP="000F0FF0">
            <w:pPr>
              <w:tabs>
                <w:tab w:val="left" w:pos="292"/>
                <w:tab w:val="left" w:pos="417"/>
              </w:tabs>
              <w:spacing w:before="40"/>
              <w:rPr>
                <w:rFonts w:eastAsia="Calibri" w:cstheme="minorHAnsi"/>
                <w:sz w:val="20"/>
              </w:rPr>
            </w:pPr>
            <w:r w:rsidRPr="000F0FF0">
              <w:rPr>
                <w:rFonts w:eastAsia="Calibri" w:cstheme="minorHAnsi"/>
                <w:sz w:val="20"/>
              </w:rPr>
              <w:t xml:space="preserve">BDT has been compiling, producing and publishing leading research and analysis on ICT policy and regulation to guide ICT regulators from their creation through their journey towards digital transformation. These materials are available </w:t>
            </w:r>
            <w:hyperlink r:id="rId14" w:history="1">
              <w:r w:rsidRPr="000F0FF0">
                <w:rPr>
                  <w:rStyle w:val="Hyperlink"/>
                  <w:rFonts w:eastAsia="Calibri" w:cstheme="minorHAnsi"/>
                  <w:sz w:val="20"/>
                </w:rPr>
                <w:t>here</w:t>
              </w:r>
            </w:hyperlink>
            <w:r w:rsidRPr="000F0FF0">
              <w:rPr>
                <w:rFonts w:eastAsia="Calibri" w:cstheme="minorHAnsi"/>
                <w:sz w:val="20"/>
              </w:rPr>
              <w:t>.</w:t>
            </w:r>
          </w:p>
          <w:p w14:paraId="589BFAA0" w14:textId="77777777" w:rsidR="00FD31A4" w:rsidRPr="000F0FF0" w:rsidRDefault="00FD31A4" w:rsidP="000F0FF0">
            <w:pPr>
              <w:tabs>
                <w:tab w:val="left" w:pos="292"/>
                <w:tab w:val="left" w:pos="417"/>
              </w:tabs>
              <w:spacing w:before="40"/>
              <w:rPr>
                <w:rFonts w:eastAsia="Calibri" w:cstheme="minorHAnsi"/>
                <w:sz w:val="20"/>
              </w:rPr>
            </w:pPr>
            <w:r w:rsidRPr="000F0FF0">
              <w:rPr>
                <w:rFonts w:eastAsia="Calibri" w:cstheme="minorHAnsi"/>
                <w:sz w:val="20"/>
              </w:rPr>
              <w:t xml:space="preserve">In 2020, ITU continued its collaboration with the World Bank to present the </w:t>
            </w:r>
            <w:hyperlink r:id="rId15" w:history="1">
              <w:r w:rsidRPr="000F0FF0">
                <w:rPr>
                  <w:rStyle w:val="Hyperlink"/>
                  <w:rFonts w:eastAsia="Calibri" w:cstheme="minorHAnsi"/>
                  <w:sz w:val="20"/>
                </w:rPr>
                <w:t>Digital Regulation Handbook and online Platform</w:t>
              </w:r>
            </w:hyperlink>
            <w:r w:rsidRPr="000F0FF0">
              <w:rPr>
                <w:rFonts w:eastAsia="Calibri" w:cstheme="minorHAnsi"/>
                <w:sz w:val="20"/>
              </w:rPr>
              <w:t xml:space="preserve">. </w:t>
            </w:r>
          </w:p>
          <w:p w14:paraId="3027184F" w14:textId="77777777" w:rsidR="00FD31A4" w:rsidRPr="000F0FF0" w:rsidRDefault="00FD31A4" w:rsidP="000F0FF0">
            <w:pPr>
              <w:tabs>
                <w:tab w:val="left" w:pos="292"/>
                <w:tab w:val="left" w:pos="417"/>
              </w:tabs>
              <w:spacing w:before="40"/>
              <w:rPr>
                <w:rFonts w:eastAsia="Calibri" w:cstheme="minorHAnsi"/>
                <w:sz w:val="20"/>
              </w:rPr>
            </w:pPr>
            <w:r w:rsidRPr="000F0FF0">
              <w:rPr>
                <w:rFonts w:eastAsia="Calibri" w:cstheme="minorHAnsi"/>
                <w:sz w:val="20"/>
              </w:rPr>
              <w:t xml:space="preserve">In addition, in response to WTDC Resolution 48 (Strengthening cooperation among telecommunication regulators) BDT has created a </w:t>
            </w:r>
            <w:hyperlink r:id="rId16" w:history="1">
              <w:r w:rsidRPr="000F0FF0">
                <w:rPr>
                  <w:rStyle w:val="Hyperlink"/>
                  <w:rFonts w:eastAsia="Calibri" w:cstheme="minorHAnsi"/>
                  <w:sz w:val="20"/>
                </w:rPr>
                <w:t>Regional Regulatory Associations Portal</w:t>
              </w:r>
            </w:hyperlink>
            <w:r w:rsidRPr="000F0FF0">
              <w:rPr>
                <w:rFonts w:eastAsia="Calibri" w:cstheme="minorHAnsi"/>
                <w:sz w:val="20"/>
              </w:rPr>
              <w:t xml:space="preserve"> (RAs sharing information on activities and initiatives implemented by RAs.</w:t>
            </w:r>
          </w:p>
          <w:p w14:paraId="4277D895" w14:textId="2C817766" w:rsidR="00FD31A4" w:rsidRPr="000F0FF0" w:rsidRDefault="00FD31A4" w:rsidP="000F0FF0">
            <w:pPr>
              <w:tabs>
                <w:tab w:val="left" w:pos="292"/>
                <w:tab w:val="left" w:pos="417"/>
              </w:tabs>
              <w:spacing w:before="40"/>
              <w:rPr>
                <w:rFonts w:eastAsia="Calibri" w:cstheme="minorHAnsi"/>
                <w:sz w:val="20"/>
              </w:rPr>
            </w:pPr>
            <w:r w:rsidRPr="000F0FF0">
              <w:rPr>
                <w:rFonts w:eastAsia="Calibri" w:cstheme="minorHAnsi"/>
                <w:sz w:val="20"/>
              </w:rPr>
              <w:t>ITU-D Study Groups provide an opportunity for the membership to share experiences, present ideas, exchange views, and achieve consensus on appropriate strategies to address telecommunication/ICT priorities. For information on the Study Groups and ongoing work, the link is</w:t>
            </w:r>
            <w:hyperlink r:id="rId17" w:history="1">
              <w:r w:rsidRPr="000F0FF0">
                <w:rPr>
                  <w:rStyle w:val="Hyperlink"/>
                  <w:rFonts w:eastAsia="Calibri" w:cstheme="minorHAnsi"/>
                  <w:sz w:val="20"/>
                </w:rPr>
                <w:t xml:space="preserve"> here</w:t>
              </w:r>
            </w:hyperlink>
            <w:r w:rsidRPr="000F0FF0">
              <w:rPr>
                <w:rFonts w:eastAsia="Calibri" w:cstheme="minorHAnsi"/>
                <w:sz w:val="20"/>
              </w:rPr>
              <w:t>.</w:t>
            </w:r>
          </w:p>
        </w:tc>
      </w:tr>
      <w:tr w:rsidR="00FD31A4" w:rsidRPr="004C061A" w14:paraId="53C0515E" w14:textId="77777777" w:rsidTr="00FD31A4">
        <w:tc>
          <w:tcPr>
            <w:tcW w:w="1559" w:type="dxa"/>
            <w:tcBorders>
              <w:top w:val="nil"/>
              <w:bottom w:val="nil"/>
            </w:tcBorders>
          </w:tcPr>
          <w:p w14:paraId="38BB50E9" w14:textId="77777777" w:rsidR="00FD31A4" w:rsidRPr="004A0398" w:rsidRDefault="00FD31A4" w:rsidP="00427123">
            <w:pPr>
              <w:tabs>
                <w:tab w:val="left" w:pos="567"/>
              </w:tabs>
              <w:spacing w:before="0" w:after="60"/>
              <w:ind w:left="-57" w:right="-57"/>
              <w:rPr>
                <w:rFonts w:cstheme="minorHAnsi"/>
                <w:b/>
                <w:bCs/>
                <w:sz w:val="20"/>
              </w:rPr>
            </w:pPr>
          </w:p>
        </w:tc>
        <w:tc>
          <w:tcPr>
            <w:tcW w:w="851" w:type="dxa"/>
          </w:tcPr>
          <w:p w14:paraId="051BB9D0" w14:textId="02710824" w:rsidR="00FD31A4" w:rsidRDefault="00FD31A4" w:rsidP="007B0880">
            <w:pPr>
              <w:tabs>
                <w:tab w:val="left" w:pos="567"/>
              </w:tabs>
              <w:spacing w:before="0" w:after="60"/>
              <w:ind w:left="-57" w:right="-57"/>
              <w:rPr>
                <w:rFonts w:cstheme="minorHAnsi"/>
                <w:i/>
                <w:iCs/>
                <w:sz w:val="20"/>
              </w:rPr>
            </w:pPr>
            <w:r>
              <w:rPr>
                <w:rFonts w:cstheme="minorHAnsi"/>
                <w:i/>
                <w:iCs/>
                <w:sz w:val="20"/>
              </w:rPr>
              <w:t>32</w:t>
            </w:r>
          </w:p>
        </w:tc>
        <w:tc>
          <w:tcPr>
            <w:tcW w:w="1984" w:type="dxa"/>
          </w:tcPr>
          <w:p w14:paraId="13B418C3" w14:textId="65DCF41A" w:rsidR="00FD31A4" w:rsidRPr="004A0398" w:rsidRDefault="00FD31A4" w:rsidP="00620EB0">
            <w:pPr>
              <w:pStyle w:val="Default"/>
              <w:ind w:left="-57" w:right="-57"/>
              <w:rPr>
                <w:rFonts w:asciiTheme="minorHAnsi" w:eastAsia="Times New Roman" w:hAnsiTheme="minorHAnsi" w:cstheme="minorHAnsi"/>
                <w:sz w:val="20"/>
                <w:szCs w:val="20"/>
              </w:rPr>
            </w:pPr>
            <w:r w:rsidRPr="0002149D">
              <w:rPr>
                <w:rFonts w:asciiTheme="minorHAnsi" w:eastAsia="Times New Roman" w:hAnsiTheme="minorHAnsi" w:cstheme="minorHAnsi"/>
                <w:sz w:val="20"/>
                <w:szCs w:val="20"/>
                <w:lang w:val="en-GB"/>
              </w:rPr>
              <w:t>Best practices and accessibility of ICTs</w:t>
            </w:r>
            <w:r>
              <w:rPr>
                <w:rFonts w:asciiTheme="minorHAnsi" w:eastAsia="Times New Roman" w:hAnsiTheme="minorHAnsi" w:cstheme="minorHAnsi"/>
                <w:sz w:val="20"/>
                <w:szCs w:val="20"/>
                <w:lang w:val="en-GB"/>
              </w:rPr>
              <w:t>, from Cuba</w:t>
            </w:r>
          </w:p>
        </w:tc>
        <w:tc>
          <w:tcPr>
            <w:tcW w:w="4111" w:type="dxa"/>
          </w:tcPr>
          <w:p w14:paraId="7F26AD27" w14:textId="17232C7D" w:rsidR="00FD31A4" w:rsidRPr="004A0398" w:rsidRDefault="00FD31A4" w:rsidP="00070EFE">
            <w:pPr>
              <w:tabs>
                <w:tab w:val="left" w:pos="567"/>
              </w:tabs>
              <w:spacing w:before="0"/>
              <w:rPr>
                <w:rFonts w:eastAsia="Calibri" w:cstheme="minorHAnsi"/>
                <w:sz w:val="20"/>
              </w:rPr>
            </w:pPr>
            <w:r w:rsidRPr="00660AC5">
              <w:rPr>
                <w:rFonts w:eastAsia="Calibri" w:cstheme="minorHAnsi"/>
                <w:sz w:val="20"/>
              </w:rPr>
              <w:t>TDAG thanked Cuba for bringing this longstanding work improving digital literacy to the attention of membership, an effort without which the promise of connectivity cannot be reached.</w:t>
            </w:r>
          </w:p>
        </w:tc>
        <w:tc>
          <w:tcPr>
            <w:tcW w:w="2835" w:type="dxa"/>
          </w:tcPr>
          <w:p w14:paraId="09CDB9D7" w14:textId="08B150B0" w:rsidR="00FD31A4" w:rsidRPr="004A0398" w:rsidRDefault="00FD31A4" w:rsidP="00660AC5">
            <w:pPr>
              <w:pStyle w:val="ListParagraph"/>
              <w:tabs>
                <w:tab w:val="left" w:pos="292"/>
              </w:tabs>
              <w:spacing w:before="0"/>
              <w:ind w:left="0"/>
              <w:rPr>
                <w:rFonts w:eastAsia="Calibri" w:cstheme="minorHAnsi"/>
                <w:sz w:val="20"/>
              </w:rPr>
            </w:pPr>
            <w:r>
              <w:rPr>
                <w:rFonts w:eastAsia="Calibri" w:cstheme="minorHAnsi"/>
                <w:sz w:val="20"/>
              </w:rPr>
              <w:t>--</w:t>
            </w:r>
          </w:p>
        </w:tc>
        <w:tc>
          <w:tcPr>
            <w:tcW w:w="1134" w:type="dxa"/>
          </w:tcPr>
          <w:p w14:paraId="1E32F683" w14:textId="77777777" w:rsidR="00FD31A4" w:rsidRPr="004A0398" w:rsidRDefault="00FD31A4" w:rsidP="00427123">
            <w:pPr>
              <w:tabs>
                <w:tab w:val="left" w:pos="292"/>
                <w:tab w:val="left" w:pos="417"/>
              </w:tabs>
              <w:spacing w:before="0"/>
              <w:rPr>
                <w:rFonts w:eastAsia="Calibri" w:cstheme="minorHAnsi"/>
                <w:sz w:val="20"/>
              </w:rPr>
            </w:pPr>
          </w:p>
        </w:tc>
        <w:tc>
          <w:tcPr>
            <w:tcW w:w="3119" w:type="dxa"/>
          </w:tcPr>
          <w:p w14:paraId="423DB11C" w14:textId="006783AB" w:rsidR="00FD31A4" w:rsidRPr="004A0398" w:rsidRDefault="00FD31A4" w:rsidP="000F0FF0">
            <w:pPr>
              <w:tabs>
                <w:tab w:val="left" w:pos="292"/>
                <w:tab w:val="left" w:pos="417"/>
              </w:tabs>
              <w:spacing w:before="40"/>
              <w:rPr>
                <w:rFonts w:eastAsia="Calibri" w:cstheme="minorHAnsi"/>
                <w:sz w:val="20"/>
              </w:rPr>
            </w:pPr>
          </w:p>
        </w:tc>
      </w:tr>
      <w:tr w:rsidR="00FD31A4" w:rsidRPr="004C061A" w14:paraId="4198E167" w14:textId="77777777" w:rsidTr="00FD31A4">
        <w:tc>
          <w:tcPr>
            <w:tcW w:w="1559" w:type="dxa"/>
            <w:tcBorders>
              <w:top w:val="nil"/>
            </w:tcBorders>
          </w:tcPr>
          <w:p w14:paraId="5E253B30" w14:textId="77777777" w:rsidR="00FD31A4" w:rsidRPr="004A0398" w:rsidRDefault="00FD31A4" w:rsidP="00427123">
            <w:pPr>
              <w:tabs>
                <w:tab w:val="left" w:pos="567"/>
              </w:tabs>
              <w:spacing w:before="0" w:after="60"/>
              <w:ind w:left="-57" w:right="-57"/>
              <w:rPr>
                <w:rFonts w:cstheme="minorHAnsi"/>
                <w:b/>
                <w:bCs/>
                <w:sz w:val="20"/>
              </w:rPr>
            </w:pPr>
          </w:p>
        </w:tc>
        <w:tc>
          <w:tcPr>
            <w:tcW w:w="851" w:type="dxa"/>
          </w:tcPr>
          <w:p w14:paraId="555C958D" w14:textId="6425517C" w:rsidR="00FD31A4" w:rsidRDefault="00FD31A4" w:rsidP="007B0880">
            <w:pPr>
              <w:tabs>
                <w:tab w:val="left" w:pos="567"/>
              </w:tabs>
              <w:spacing w:before="0" w:after="60"/>
              <w:ind w:left="-57" w:right="-57"/>
              <w:rPr>
                <w:rFonts w:cstheme="minorHAnsi"/>
                <w:i/>
                <w:iCs/>
                <w:sz w:val="20"/>
              </w:rPr>
            </w:pPr>
            <w:r>
              <w:rPr>
                <w:rFonts w:cstheme="minorHAnsi"/>
                <w:i/>
                <w:iCs/>
                <w:sz w:val="20"/>
              </w:rPr>
              <w:t>39</w:t>
            </w:r>
          </w:p>
        </w:tc>
        <w:tc>
          <w:tcPr>
            <w:tcW w:w="1984" w:type="dxa"/>
          </w:tcPr>
          <w:p w14:paraId="5BE21864" w14:textId="2590F4C4" w:rsidR="00FD31A4" w:rsidRPr="004A0398" w:rsidRDefault="00FD31A4" w:rsidP="00620EB0">
            <w:pPr>
              <w:pStyle w:val="Default"/>
              <w:ind w:left="-57" w:right="-57"/>
              <w:rPr>
                <w:rFonts w:asciiTheme="minorHAnsi" w:eastAsia="Times New Roman" w:hAnsiTheme="minorHAnsi" w:cstheme="minorHAnsi"/>
                <w:sz w:val="20"/>
                <w:szCs w:val="20"/>
              </w:rPr>
            </w:pPr>
            <w:r w:rsidRPr="00723297">
              <w:rPr>
                <w:rFonts w:asciiTheme="minorHAnsi" w:eastAsia="Times New Roman" w:hAnsiTheme="minorHAnsi" w:cstheme="minorHAnsi"/>
                <w:sz w:val="20"/>
                <w:szCs w:val="20"/>
                <w:lang w:val="en-GB"/>
              </w:rPr>
              <w:t>Wide dissemination of ITU-D publications through regional and area offices</w:t>
            </w:r>
            <w:r>
              <w:rPr>
                <w:rFonts w:asciiTheme="minorHAnsi" w:eastAsia="Times New Roman" w:hAnsiTheme="minorHAnsi" w:cstheme="minorHAnsi"/>
                <w:sz w:val="20"/>
                <w:szCs w:val="20"/>
                <w:lang w:val="en-GB"/>
              </w:rPr>
              <w:t>, from Brazil</w:t>
            </w:r>
          </w:p>
        </w:tc>
        <w:tc>
          <w:tcPr>
            <w:tcW w:w="4111" w:type="dxa"/>
          </w:tcPr>
          <w:p w14:paraId="0BCE89D3" w14:textId="486EB898" w:rsidR="00FD31A4" w:rsidRPr="004A0398" w:rsidRDefault="00FD31A4" w:rsidP="00070EFE">
            <w:pPr>
              <w:tabs>
                <w:tab w:val="left" w:pos="567"/>
              </w:tabs>
              <w:spacing w:before="0"/>
              <w:rPr>
                <w:rFonts w:eastAsia="Calibri" w:cstheme="minorHAnsi"/>
                <w:sz w:val="20"/>
              </w:rPr>
            </w:pPr>
            <w:r w:rsidRPr="008D5D87">
              <w:rPr>
                <w:rFonts w:eastAsia="Calibri" w:cstheme="minorHAnsi"/>
                <w:sz w:val="20"/>
              </w:rPr>
              <w:t>TDAG underlined the importance of information sharing and welcomed the proposal to disseminate ITU-D publications through ITU regional and area offices, while also noting the importance of distributing material in the ITU languages used the regions.</w:t>
            </w:r>
          </w:p>
        </w:tc>
        <w:tc>
          <w:tcPr>
            <w:tcW w:w="2835" w:type="dxa"/>
          </w:tcPr>
          <w:p w14:paraId="0D8A20CC" w14:textId="3C4F2100" w:rsidR="00FD31A4" w:rsidRPr="004A0398" w:rsidRDefault="00FD31A4" w:rsidP="00113253">
            <w:pPr>
              <w:pStyle w:val="ListParagraph"/>
              <w:numPr>
                <w:ilvl w:val="0"/>
                <w:numId w:val="6"/>
              </w:numPr>
              <w:tabs>
                <w:tab w:val="left" w:pos="292"/>
              </w:tabs>
              <w:spacing w:before="0"/>
              <w:ind w:left="317"/>
              <w:rPr>
                <w:rFonts w:eastAsia="Calibri" w:cstheme="minorHAnsi"/>
                <w:sz w:val="20"/>
              </w:rPr>
            </w:pPr>
            <w:r>
              <w:rPr>
                <w:rFonts w:eastAsia="Calibri" w:cstheme="minorHAnsi"/>
                <w:sz w:val="20"/>
              </w:rPr>
              <w:t>BDT publications to be disseminated through field offices.</w:t>
            </w:r>
          </w:p>
        </w:tc>
        <w:tc>
          <w:tcPr>
            <w:tcW w:w="1134" w:type="dxa"/>
          </w:tcPr>
          <w:p w14:paraId="0E9E934A" w14:textId="58B65357" w:rsidR="00FD31A4" w:rsidRDefault="00FD31A4" w:rsidP="00427123">
            <w:pPr>
              <w:tabs>
                <w:tab w:val="left" w:pos="292"/>
                <w:tab w:val="left" w:pos="417"/>
              </w:tabs>
              <w:spacing w:before="0"/>
              <w:rPr>
                <w:rFonts w:eastAsia="Calibri" w:cstheme="minorHAnsi"/>
                <w:sz w:val="20"/>
              </w:rPr>
            </w:pPr>
            <w:r>
              <w:rPr>
                <w:rFonts w:eastAsia="Calibri" w:cstheme="minorHAnsi"/>
                <w:sz w:val="20"/>
              </w:rPr>
              <w:t>Ongoing</w:t>
            </w:r>
          </w:p>
        </w:tc>
        <w:tc>
          <w:tcPr>
            <w:tcW w:w="3119" w:type="dxa"/>
          </w:tcPr>
          <w:p w14:paraId="64D51551" w14:textId="4338014B" w:rsidR="00FD31A4" w:rsidRPr="00123126" w:rsidRDefault="00FD31A4" w:rsidP="000F0FF0">
            <w:pPr>
              <w:tabs>
                <w:tab w:val="left" w:pos="292"/>
                <w:tab w:val="left" w:pos="417"/>
              </w:tabs>
              <w:spacing w:before="40"/>
              <w:rPr>
                <w:rFonts w:cs="Calibri"/>
                <w:b/>
                <w:bCs/>
                <w:sz w:val="20"/>
              </w:rPr>
            </w:pPr>
            <w:r w:rsidRPr="00123126">
              <w:rPr>
                <w:rFonts w:cs="Calibri"/>
                <w:b/>
                <w:bCs/>
                <w:sz w:val="20"/>
              </w:rPr>
              <w:t>Ongoing:</w:t>
            </w:r>
          </w:p>
          <w:p w14:paraId="626E6EAE" w14:textId="39EF2EFD" w:rsidR="00FD31A4" w:rsidRPr="00123126" w:rsidRDefault="00FD31A4" w:rsidP="000F0FF0">
            <w:pPr>
              <w:tabs>
                <w:tab w:val="left" w:pos="292"/>
                <w:tab w:val="left" w:pos="417"/>
              </w:tabs>
              <w:spacing w:before="40"/>
              <w:rPr>
                <w:rFonts w:eastAsia="Calibri" w:cstheme="minorHAnsi"/>
                <w:sz w:val="20"/>
              </w:rPr>
            </w:pPr>
            <w:r w:rsidRPr="00123126">
              <w:rPr>
                <w:rFonts w:eastAsia="Calibri" w:cstheme="minorHAnsi"/>
                <w:sz w:val="20"/>
              </w:rPr>
              <w:t>The BDT communications team meets every month with t</w:t>
            </w:r>
            <w:r w:rsidRPr="00123126">
              <w:rPr>
                <w:rFonts w:cs="Calibri"/>
                <w:sz w:val="20"/>
              </w:rPr>
              <w:t>hematic priorities facilitators and regional offices to plan promotional activities and ensure coordination. Regional Offices are kept abreast of global BDT activities to be promoted and receive communications support from BDT HQ to strengthen their communications activities and tailor them to their regions. The BDT Communications team is in constant contact with the regional offices and provides them with advice and support on communications issues. Social media packages are developed and shared with the regional offices and media trainings are offered.</w:t>
            </w:r>
          </w:p>
        </w:tc>
      </w:tr>
      <w:tr w:rsidR="00FD31A4" w:rsidRPr="004C061A" w14:paraId="05425D8A" w14:textId="47EF03AF" w:rsidTr="00FD31A4">
        <w:tc>
          <w:tcPr>
            <w:tcW w:w="1559" w:type="dxa"/>
          </w:tcPr>
          <w:p w14:paraId="4E45323D" w14:textId="65BE3B66" w:rsidR="00FD31A4" w:rsidRPr="004A0398" w:rsidRDefault="00FD31A4" w:rsidP="00427123">
            <w:pPr>
              <w:tabs>
                <w:tab w:val="left" w:pos="567"/>
              </w:tabs>
              <w:spacing w:before="0" w:after="60"/>
              <w:ind w:left="-57" w:right="-57"/>
              <w:rPr>
                <w:rFonts w:cstheme="minorHAnsi"/>
                <w:b/>
                <w:bCs/>
                <w:sz w:val="20"/>
              </w:rPr>
            </w:pPr>
            <w:r w:rsidRPr="004A0398">
              <w:rPr>
                <w:rFonts w:cstheme="minorHAnsi"/>
                <w:b/>
                <w:bCs/>
                <w:sz w:val="20"/>
              </w:rPr>
              <w:t xml:space="preserve">7. </w:t>
            </w:r>
            <w:r w:rsidRPr="001A1F5F">
              <w:rPr>
                <w:rFonts w:cstheme="minorHAnsi"/>
                <w:b/>
                <w:bCs/>
                <w:sz w:val="20"/>
              </w:rPr>
              <w:t>Report on the implementation of the ITU-D Strategic Plan and Operational Plan 2019, including programmes, regional initiatives and major events</w:t>
            </w:r>
          </w:p>
        </w:tc>
        <w:tc>
          <w:tcPr>
            <w:tcW w:w="851" w:type="dxa"/>
          </w:tcPr>
          <w:p w14:paraId="4FA52BAC" w14:textId="06B3EE66" w:rsidR="00FD31A4" w:rsidRPr="004A0398" w:rsidRDefault="00FD31A4" w:rsidP="006F22BE">
            <w:pPr>
              <w:tabs>
                <w:tab w:val="left" w:pos="567"/>
              </w:tabs>
              <w:spacing w:before="0" w:after="60"/>
              <w:ind w:left="-57" w:right="-57"/>
              <w:rPr>
                <w:rFonts w:cstheme="minorHAnsi"/>
                <w:sz w:val="20"/>
              </w:rPr>
            </w:pPr>
            <w:r>
              <w:rPr>
                <w:rFonts w:cstheme="minorHAnsi"/>
                <w:sz w:val="20"/>
              </w:rPr>
              <w:t>2</w:t>
            </w:r>
          </w:p>
        </w:tc>
        <w:tc>
          <w:tcPr>
            <w:tcW w:w="1984" w:type="dxa"/>
          </w:tcPr>
          <w:p w14:paraId="0E893357" w14:textId="4A7967AC" w:rsidR="00FD31A4" w:rsidRPr="004A0398" w:rsidRDefault="00FD31A4" w:rsidP="00620EB0">
            <w:pPr>
              <w:pStyle w:val="Default"/>
              <w:ind w:left="-57" w:right="-57"/>
              <w:rPr>
                <w:rFonts w:asciiTheme="minorHAnsi" w:eastAsia="Times New Roman" w:hAnsiTheme="minorHAnsi" w:cstheme="minorHAnsi"/>
                <w:sz w:val="20"/>
                <w:szCs w:val="20"/>
              </w:rPr>
            </w:pPr>
            <w:r w:rsidRPr="00723297">
              <w:rPr>
                <w:rFonts w:asciiTheme="minorHAnsi" w:eastAsia="Times New Roman" w:hAnsiTheme="minorHAnsi" w:cstheme="minorHAnsi"/>
                <w:sz w:val="20"/>
                <w:szCs w:val="20"/>
                <w:lang w:val="en-GB"/>
              </w:rPr>
              <w:t>2019 Progress Report on the implementation of the Buenos Aires Action Plan</w:t>
            </w:r>
          </w:p>
        </w:tc>
        <w:tc>
          <w:tcPr>
            <w:tcW w:w="4111" w:type="dxa"/>
          </w:tcPr>
          <w:p w14:paraId="40833984" w14:textId="1DBBC03D" w:rsidR="00FD31A4" w:rsidRPr="004A0398" w:rsidRDefault="00FD31A4" w:rsidP="00070EFE">
            <w:pPr>
              <w:spacing w:before="0"/>
              <w:rPr>
                <w:rFonts w:eastAsia="Calibri" w:cstheme="minorHAnsi"/>
                <w:sz w:val="20"/>
              </w:rPr>
            </w:pPr>
            <w:r w:rsidRPr="00D43BDC">
              <w:rPr>
                <w:rFonts w:eastAsia="Calibri" w:cstheme="minorHAnsi"/>
                <w:sz w:val="20"/>
              </w:rPr>
              <w:t>TDAG noted with appreciation the wealth of information presented on thematic priorities and regional initiatives, as well as the high-quality products and publications available to members and called for more promotion and more translation into the six ITU official languages. TDAG welcomed I-</w:t>
            </w:r>
            <w:proofErr w:type="spellStart"/>
            <w:r w:rsidRPr="00D43BDC">
              <w:rPr>
                <w:rFonts w:eastAsia="Calibri" w:cstheme="minorHAnsi"/>
                <w:sz w:val="20"/>
              </w:rPr>
              <w:t>CoDI</w:t>
            </w:r>
            <w:proofErr w:type="spellEnd"/>
            <w:r w:rsidRPr="00D43BDC">
              <w:rPr>
                <w:rFonts w:eastAsia="Calibri" w:cstheme="minorHAnsi"/>
                <w:sz w:val="20"/>
              </w:rPr>
              <w:t xml:space="preserve"> as an important project that will help ITU membership integrate innovation into their national development agendas and activities.</w:t>
            </w:r>
          </w:p>
        </w:tc>
        <w:tc>
          <w:tcPr>
            <w:tcW w:w="2835" w:type="dxa"/>
          </w:tcPr>
          <w:p w14:paraId="3AE82ADC" w14:textId="77777777" w:rsidR="00FD31A4" w:rsidRDefault="00FD31A4" w:rsidP="007A5BAC">
            <w:pPr>
              <w:pStyle w:val="ListParagraph"/>
              <w:numPr>
                <w:ilvl w:val="0"/>
                <w:numId w:val="6"/>
              </w:numPr>
              <w:tabs>
                <w:tab w:val="left" w:pos="292"/>
              </w:tabs>
              <w:spacing w:before="0"/>
              <w:ind w:left="317"/>
              <w:rPr>
                <w:rFonts w:eastAsia="Calibri" w:cstheme="minorHAnsi"/>
                <w:sz w:val="20"/>
              </w:rPr>
            </w:pPr>
            <w:r>
              <w:rPr>
                <w:rFonts w:eastAsia="Calibri" w:cstheme="minorHAnsi"/>
                <w:sz w:val="20"/>
              </w:rPr>
              <w:t xml:space="preserve">Improve promotion of BDT activities and </w:t>
            </w:r>
            <w:proofErr w:type="gramStart"/>
            <w:r>
              <w:rPr>
                <w:rFonts w:eastAsia="Calibri" w:cstheme="minorHAnsi"/>
                <w:sz w:val="20"/>
              </w:rPr>
              <w:t>products;</w:t>
            </w:r>
            <w:proofErr w:type="gramEnd"/>
          </w:p>
          <w:p w14:paraId="3EFE2CB9" w14:textId="39CE4D46" w:rsidR="00FD31A4" w:rsidRPr="007A5BAC" w:rsidRDefault="00FD31A4" w:rsidP="007A5BAC">
            <w:pPr>
              <w:pStyle w:val="ListParagraph"/>
              <w:numPr>
                <w:ilvl w:val="0"/>
                <w:numId w:val="6"/>
              </w:numPr>
              <w:tabs>
                <w:tab w:val="left" w:pos="292"/>
              </w:tabs>
              <w:spacing w:before="0"/>
              <w:ind w:left="317"/>
              <w:rPr>
                <w:rFonts w:eastAsia="Calibri" w:cstheme="minorHAnsi"/>
                <w:sz w:val="20"/>
              </w:rPr>
            </w:pPr>
            <w:r>
              <w:rPr>
                <w:rFonts w:eastAsia="Calibri" w:cstheme="minorHAnsi"/>
                <w:sz w:val="20"/>
              </w:rPr>
              <w:t>Increase translation into the six official languages of BDT products.</w:t>
            </w:r>
          </w:p>
        </w:tc>
        <w:tc>
          <w:tcPr>
            <w:tcW w:w="1134" w:type="dxa"/>
          </w:tcPr>
          <w:p w14:paraId="69753E28" w14:textId="6A12AB08" w:rsidR="00FD31A4" w:rsidRDefault="00FD31A4" w:rsidP="00427123">
            <w:pPr>
              <w:tabs>
                <w:tab w:val="left" w:pos="292"/>
              </w:tabs>
              <w:spacing w:before="0"/>
              <w:rPr>
                <w:rFonts w:eastAsia="Calibri" w:cstheme="minorHAnsi"/>
                <w:sz w:val="20"/>
              </w:rPr>
            </w:pPr>
            <w:r>
              <w:rPr>
                <w:rFonts w:eastAsia="Calibri" w:cstheme="minorHAnsi"/>
                <w:sz w:val="20"/>
              </w:rPr>
              <w:t>Ongoing</w:t>
            </w:r>
          </w:p>
        </w:tc>
        <w:tc>
          <w:tcPr>
            <w:tcW w:w="3119" w:type="dxa"/>
          </w:tcPr>
          <w:p w14:paraId="24577829" w14:textId="77777777" w:rsidR="00FD31A4" w:rsidRPr="00123126" w:rsidRDefault="00FD31A4" w:rsidP="000F0FF0">
            <w:pPr>
              <w:tabs>
                <w:tab w:val="left" w:pos="292"/>
              </w:tabs>
              <w:spacing w:before="40"/>
              <w:rPr>
                <w:rFonts w:eastAsia="Calibri" w:cstheme="minorHAnsi"/>
                <w:b/>
                <w:bCs/>
                <w:sz w:val="20"/>
              </w:rPr>
            </w:pPr>
            <w:r w:rsidRPr="00123126">
              <w:rPr>
                <w:rFonts w:eastAsia="Calibri" w:cstheme="minorHAnsi"/>
                <w:b/>
                <w:bCs/>
                <w:sz w:val="20"/>
              </w:rPr>
              <w:t>Ongoing:</w:t>
            </w:r>
          </w:p>
          <w:p w14:paraId="376D3341" w14:textId="6EBA2710" w:rsidR="00FD31A4" w:rsidRPr="00123126" w:rsidRDefault="00FD31A4" w:rsidP="00123126">
            <w:pPr>
              <w:tabs>
                <w:tab w:val="left" w:pos="292"/>
              </w:tabs>
              <w:spacing w:before="40"/>
              <w:rPr>
                <w:rFonts w:eastAsia="Calibri" w:cstheme="minorHAnsi"/>
                <w:sz w:val="20"/>
              </w:rPr>
            </w:pPr>
            <w:r w:rsidRPr="00123126">
              <w:rPr>
                <w:rFonts w:eastAsia="Calibri" w:cstheme="minorHAnsi"/>
                <w:sz w:val="20"/>
              </w:rPr>
              <w:t>The BDT communications team meets every month with t</w:t>
            </w:r>
            <w:r w:rsidRPr="00123126">
              <w:rPr>
                <w:rFonts w:cs="Calibri"/>
                <w:sz w:val="20"/>
              </w:rPr>
              <w:t xml:space="preserve">hematic priorities facilitators and regional offices to plan promotional activities and ensure coordination. Regional Offices are kept abreast of global BDT activities to be promoted and receive communications support from BDT HQ to strengthen their communications activities and </w:t>
            </w:r>
            <w:r w:rsidRPr="00123126">
              <w:rPr>
                <w:rFonts w:cs="Calibri"/>
                <w:sz w:val="20"/>
              </w:rPr>
              <w:lastRenderedPageBreak/>
              <w:t>tailor them to their regions. Since TDAG</w:t>
            </w:r>
            <w:r>
              <w:rPr>
                <w:rFonts w:cs="Calibri"/>
                <w:sz w:val="20"/>
              </w:rPr>
              <w:t>-20,</w:t>
            </w:r>
            <w:r w:rsidRPr="00123126">
              <w:rPr>
                <w:rFonts w:cs="Calibri"/>
                <w:sz w:val="20"/>
              </w:rPr>
              <w:t xml:space="preserve"> all major BDT reports have been translated into the six languages</w:t>
            </w:r>
            <w:r>
              <w:rPr>
                <w:rFonts w:cs="Calibri"/>
                <w:sz w:val="20"/>
              </w:rPr>
              <w:t xml:space="preserve"> and will continue to be.</w:t>
            </w:r>
            <w:r w:rsidRPr="00123126">
              <w:rPr>
                <w:rFonts w:cs="Calibri"/>
                <w:sz w:val="20"/>
              </w:rPr>
              <w:t xml:space="preserve"> </w:t>
            </w:r>
          </w:p>
        </w:tc>
      </w:tr>
      <w:tr w:rsidR="00FD31A4" w:rsidRPr="004C061A" w14:paraId="7076A855" w14:textId="735426EB" w:rsidTr="00FD31A4">
        <w:tc>
          <w:tcPr>
            <w:tcW w:w="1559" w:type="dxa"/>
          </w:tcPr>
          <w:p w14:paraId="5E0B2FC7" w14:textId="7F5A5A4E" w:rsidR="00FD31A4" w:rsidRPr="004A0398" w:rsidRDefault="00FD31A4" w:rsidP="00427123">
            <w:pPr>
              <w:tabs>
                <w:tab w:val="left" w:pos="567"/>
              </w:tabs>
              <w:spacing w:before="0" w:after="60"/>
              <w:ind w:left="-57" w:right="-57"/>
              <w:rPr>
                <w:rFonts w:cstheme="minorHAnsi"/>
                <w:b/>
                <w:bCs/>
                <w:sz w:val="20"/>
              </w:rPr>
            </w:pPr>
            <w:r w:rsidRPr="004A0398">
              <w:rPr>
                <w:rFonts w:cstheme="minorHAnsi"/>
                <w:b/>
                <w:bCs/>
                <w:sz w:val="20"/>
              </w:rPr>
              <w:lastRenderedPageBreak/>
              <w:t xml:space="preserve">8. </w:t>
            </w:r>
            <w:r w:rsidRPr="002319D1">
              <w:rPr>
                <w:rFonts w:cstheme="minorHAnsi"/>
                <w:b/>
                <w:bCs/>
                <w:sz w:val="20"/>
              </w:rPr>
              <w:t>ITU-D contribution to the implementation of the WSIS Plan of Action and the 2030 Agenda for Sustainable Development</w:t>
            </w:r>
          </w:p>
        </w:tc>
        <w:tc>
          <w:tcPr>
            <w:tcW w:w="851" w:type="dxa"/>
          </w:tcPr>
          <w:p w14:paraId="6E34CB6B" w14:textId="3FCD6532" w:rsidR="00FD31A4" w:rsidRPr="004A0398" w:rsidRDefault="00FD31A4" w:rsidP="007B0880">
            <w:pPr>
              <w:tabs>
                <w:tab w:val="left" w:pos="567"/>
              </w:tabs>
              <w:spacing w:before="0" w:after="60"/>
              <w:ind w:left="-57" w:right="-57"/>
              <w:rPr>
                <w:rFonts w:cstheme="minorHAnsi"/>
                <w:i/>
                <w:iCs/>
                <w:sz w:val="20"/>
              </w:rPr>
            </w:pPr>
            <w:r>
              <w:rPr>
                <w:rFonts w:cstheme="minorHAnsi"/>
                <w:i/>
                <w:iCs/>
                <w:sz w:val="20"/>
              </w:rPr>
              <w:t>3</w:t>
            </w:r>
          </w:p>
        </w:tc>
        <w:tc>
          <w:tcPr>
            <w:tcW w:w="1984" w:type="dxa"/>
          </w:tcPr>
          <w:p w14:paraId="7A6CB7D0" w14:textId="73010E39" w:rsidR="00FD31A4" w:rsidRPr="004A0398" w:rsidRDefault="00FD31A4" w:rsidP="00620EB0">
            <w:pPr>
              <w:pStyle w:val="Default"/>
              <w:ind w:left="-57" w:right="-57"/>
              <w:rPr>
                <w:rFonts w:asciiTheme="minorHAnsi" w:eastAsia="Times New Roman" w:hAnsiTheme="minorHAnsi" w:cstheme="minorHAnsi"/>
                <w:sz w:val="20"/>
                <w:szCs w:val="20"/>
              </w:rPr>
            </w:pPr>
            <w:r w:rsidRPr="00324631">
              <w:rPr>
                <w:rFonts w:asciiTheme="minorHAnsi" w:eastAsia="Times New Roman" w:hAnsiTheme="minorHAnsi" w:cstheme="minorHAnsi"/>
                <w:sz w:val="20"/>
                <w:szCs w:val="20"/>
                <w:lang w:val="en-GB"/>
              </w:rPr>
              <w:t>ITU-D contribution to the implementation of the WSIS Outcomes and the 2030 Agenda for Sustainable Development</w:t>
            </w:r>
          </w:p>
        </w:tc>
        <w:tc>
          <w:tcPr>
            <w:tcW w:w="4111" w:type="dxa"/>
          </w:tcPr>
          <w:p w14:paraId="37D48ECA" w14:textId="1B4E14ED" w:rsidR="00FD31A4" w:rsidRPr="004A0398" w:rsidRDefault="00FD31A4" w:rsidP="00070EFE">
            <w:pPr>
              <w:spacing w:before="0"/>
              <w:rPr>
                <w:rFonts w:eastAsia="Calibri" w:cstheme="minorHAnsi"/>
                <w:sz w:val="20"/>
              </w:rPr>
            </w:pPr>
            <w:r w:rsidRPr="00392898">
              <w:rPr>
                <w:rFonts w:eastAsia="Calibri" w:cstheme="minorHAnsi"/>
                <w:sz w:val="20"/>
              </w:rPr>
              <w:t>TDAG expressed appreciation for the report and encouraged membership to engage actively in BDT activities that contribute to the implementation of the WSIS outcomes and the 2030 Agenda for Sustainable Development in line with WTDC-17.</w:t>
            </w:r>
          </w:p>
        </w:tc>
        <w:tc>
          <w:tcPr>
            <w:tcW w:w="2835" w:type="dxa"/>
          </w:tcPr>
          <w:p w14:paraId="705F7D5F" w14:textId="1878D9B3" w:rsidR="00FD31A4" w:rsidRPr="004A0398" w:rsidRDefault="00FD31A4" w:rsidP="00901862">
            <w:pPr>
              <w:tabs>
                <w:tab w:val="left" w:pos="292"/>
              </w:tabs>
              <w:spacing w:before="0"/>
              <w:rPr>
                <w:rFonts w:eastAsia="Calibri" w:cstheme="minorHAnsi"/>
                <w:sz w:val="20"/>
              </w:rPr>
            </w:pPr>
            <w:r>
              <w:rPr>
                <w:rFonts w:eastAsia="Calibri" w:cstheme="minorHAnsi"/>
                <w:sz w:val="20"/>
              </w:rPr>
              <w:t>--</w:t>
            </w:r>
          </w:p>
        </w:tc>
        <w:tc>
          <w:tcPr>
            <w:tcW w:w="1134" w:type="dxa"/>
          </w:tcPr>
          <w:p w14:paraId="6EA5CB7D" w14:textId="77777777" w:rsidR="00FD31A4" w:rsidRPr="004A0398" w:rsidRDefault="00FD31A4" w:rsidP="00427123">
            <w:pPr>
              <w:tabs>
                <w:tab w:val="left" w:pos="292"/>
              </w:tabs>
              <w:spacing w:before="0"/>
              <w:rPr>
                <w:rFonts w:eastAsia="Calibri" w:cstheme="minorHAnsi"/>
                <w:sz w:val="20"/>
              </w:rPr>
            </w:pPr>
          </w:p>
        </w:tc>
        <w:tc>
          <w:tcPr>
            <w:tcW w:w="3119" w:type="dxa"/>
          </w:tcPr>
          <w:p w14:paraId="7E65EB32" w14:textId="32E8081E" w:rsidR="00FD31A4" w:rsidRPr="004A0398" w:rsidRDefault="00FD31A4" w:rsidP="000F0FF0">
            <w:pPr>
              <w:tabs>
                <w:tab w:val="left" w:pos="292"/>
              </w:tabs>
              <w:spacing w:before="40"/>
              <w:rPr>
                <w:rFonts w:eastAsia="Calibri" w:cstheme="minorHAnsi"/>
                <w:sz w:val="20"/>
              </w:rPr>
            </w:pPr>
            <w:r>
              <w:rPr>
                <w:rFonts w:eastAsia="Calibri" w:cstheme="minorHAnsi"/>
                <w:sz w:val="20"/>
              </w:rPr>
              <w:t>-</w:t>
            </w:r>
          </w:p>
        </w:tc>
      </w:tr>
      <w:tr w:rsidR="00FD31A4" w:rsidRPr="004C061A" w14:paraId="0C091749" w14:textId="26FCD7AC" w:rsidTr="00FD31A4">
        <w:tc>
          <w:tcPr>
            <w:tcW w:w="1559" w:type="dxa"/>
            <w:tcBorders>
              <w:bottom w:val="single" w:sz="4" w:space="0" w:color="auto"/>
            </w:tcBorders>
          </w:tcPr>
          <w:p w14:paraId="1324B3A0" w14:textId="7A2B7F9B" w:rsidR="00FD31A4" w:rsidRPr="004A0398" w:rsidRDefault="00FD31A4" w:rsidP="00427123">
            <w:pPr>
              <w:tabs>
                <w:tab w:val="left" w:pos="567"/>
              </w:tabs>
              <w:spacing w:before="0" w:after="60"/>
              <w:ind w:left="-57" w:right="-57"/>
              <w:rPr>
                <w:rFonts w:cstheme="minorHAnsi"/>
                <w:b/>
                <w:bCs/>
                <w:sz w:val="20"/>
              </w:rPr>
            </w:pPr>
            <w:r w:rsidRPr="004A0398">
              <w:rPr>
                <w:rFonts w:cstheme="minorHAnsi"/>
                <w:b/>
                <w:bCs/>
                <w:sz w:val="20"/>
              </w:rPr>
              <w:t xml:space="preserve">9. ITU-D </w:t>
            </w:r>
            <w:r>
              <w:rPr>
                <w:rFonts w:cstheme="minorHAnsi"/>
                <w:b/>
                <w:bCs/>
                <w:sz w:val="20"/>
              </w:rPr>
              <w:t>projects</w:t>
            </w:r>
          </w:p>
        </w:tc>
        <w:tc>
          <w:tcPr>
            <w:tcW w:w="851" w:type="dxa"/>
          </w:tcPr>
          <w:p w14:paraId="020BC696" w14:textId="56AAE44E" w:rsidR="00FD31A4" w:rsidRPr="004A0398" w:rsidRDefault="00FD31A4" w:rsidP="007B0880">
            <w:pPr>
              <w:tabs>
                <w:tab w:val="left" w:pos="567"/>
              </w:tabs>
              <w:spacing w:before="0" w:after="60"/>
              <w:ind w:left="-57" w:right="-57"/>
              <w:rPr>
                <w:rFonts w:cstheme="minorHAnsi"/>
                <w:i/>
                <w:iCs/>
                <w:sz w:val="20"/>
              </w:rPr>
            </w:pPr>
            <w:r>
              <w:rPr>
                <w:rFonts w:cstheme="minorHAnsi"/>
                <w:i/>
                <w:iCs/>
                <w:sz w:val="20"/>
              </w:rPr>
              <w:t>10</w:t>
            </w:r>
          </w:p>
        </w:tc>
        <w:tc>
          <w:tcPr>
            <w:tcW w:w="1984" w:type="dxa"/>
          </w:tcPr>
          <w:p w14:paraId="3844518D" w14:textId="6181F12A" w:rsidR="00FD31A4" w:rsidRPr="004A0398" w:rsidRDefault="00FD31A4" w:rsidP="00620EB0">
            <w:pPr>
              <w:pStyle w:val="Default"/>
              <w:ind w:left="-57" w:right="-57"/>
              <w:rPr>
                <w:rFonts w:asciiTheme="minorHAnsi" w:eastAsia="Times New Roman" w:hAnsiTheme="minorHAnsi" w:cstheme="minorHAnsi"/>
                <w:sz w:val="20"/>
                <w:szCs w:val="20"/>
              </w:rPr>
            </w:pPr>
            <w:r w:rsidRPr="00324631">
              <w:rPr>
                <w:rFonts w:asciiTheme="minorHAnsi" w:eastAsia="Times New Roman" w:hAnsiTheme="minorHAnsi" w:cstheme="minorHAnsi"/>
                <w:sz w:val="20"/>
                <w:szCs w:val="20"/>
                <w:lang w:val="en-GB"/>
              </w:rPr>
              <w:t>ITU-D Projects</w:t>
            </w:r>
          </w:p>
        </w:tc>
        <w:tc>
          <w:tcPr>
            <w:tcW w:w="4111" w:type="dxa"/>
          </w:tcPr>
          <w:p w14:paraId="2FF95A47" w14:textId="395646EA" w:rsidR="00FD31A4" w:rsidRPr="004A0398" w:rsidRDefault="00FD31A4" w:rsidP="006F22BE">
            <w:pPr>
              <w:spacing w:before="0"/>
              <w:rPr>
                <w:rFonts w:eastAsia="Calibri" w:cstheme="minorHAnsi"/>
                <w:sz w:val="20"/>
              </w:rPr>
            </w:pPr>
            <w:r w:rsidRPr="00553BC8">
              <w:rPr>
                <w:rFonts w:eastAsia="Calibri" w:cstheme="minorHAnsi"/>
                <w:sz w:val="20"/>
              </w:rPr>
              <w:t>TDAG noted the document with appreciation, with one delegation recommending that more information be provided on the criteria used for project partners and beneficiary countries. In this regard, BDT explained that efforts are under way to develop a projects dashboard and further benchmarking.</w:t>
            </w:r>
          </w:p>
        </w:tc>
        <w:tc>
          <w:tcPr>
            <w:tcW w:w="2835" w:type="dxa"/>
          </w:tcPr>
          <w:p w14:paraId="7A4305BA" w14:textId="7112E57D" w:rsidR="00FD31A4" w:rsidRPr="00B42111" w:rsidRDefault="00FD31A4" w:rsidP="00B42111">
            <w:pPr>
              <w:pStyle w:val="ListParagraph"/>
              <w:numPr>
                <w:ilvl w:val="0"/>
                <w:numId w:val="6"/>
              </w:numPr>
              <w:tabs>
                <w:tab w:val="left" w:pos="292"/>
              </w:tabs>
              <w:spacing w:before="0"/>
              <w:ind w:left="317"/>
              <w:rPr>
                <w:rFonts w:eastAsia="Calibri" w:cstheme="minorHAnsi"/>
                <w:sz w:val="20"/>
              </w:rPr>
            </w:pPr>
            <w:r>
              <w:rPr>
                <w:rFonts w:eastAsia="Calibri" w:cstheme="minorHAnsi"/>
                <w:sz w:val="20"/>
              </w:rPr>
              <w:t>Provide additional criteria used for project partners and beneficiary countries =&gt; continue development of projects dashboard and benchmarking.</w:t>
            </w:r>
          </w:p>
        </w:tc>
        <w:tc>
          <w:tcPr>
            <w:tcW w:w="1134" w:type="dxa"/>
          </w:tcPr>
          <w:p w14:paraId="58C05FF0" w14:textId="76941AEC" w:rsidR="00FD31A4" w:rsidRDefault="00FD31A4" w:rsidP="00427123">
            <w:pPr>
              <w:tabs>
                <w:tab w:val="left" w:pos="292"/>
              </w:tabs>
              <w:spacing w:before="0"/>
              <w:rPr>
                <w:rFonts w:eastAsia="Calibri" w:cstheme="minorHAnsi"/>
                <w:sz w:val="20"/>
              </w:rPr>
            </w:pPr>
            <w:r>
              <w:rPr>
                <w:rFonts w:eastAsia="Calibri" w:cstheme="minorHAnsi"/>
                <w:sz w:val="20"/>
              </w:rPr>
              <w:t>October 2020</w:t>
            </w:r>
          </w:p>
        </w:tc>
        <w:tc>
          <w:tcPr>
            <w:tcW w:w="3119" w:type="dxa"/>
          </w:tcPr>
          <w:p w14:paraId="41406878" w14:textId="39447FBB" w:rsidR="00FD31A4" w:rsidRPr="00C21423" w:rsidRDefault="00FD31A4" w:rsidP="000F0FF0">
            <w:pPr>
              <w:tabs>
                <w:tab w:val="left" w:pos="292"/>
              </w:tabs>
              <w:spacing w:before="40"/>
              <w:rPr>
                <w:rFonts w:eastAsia="Calibri" w:cstheme="minorHAnsi"/>
                <w:b/>
                <w:bCs/>
                <w:sz w:val="20"/>
              </w:rPr>
            </w:pPr>
            <w:r w:rsidRPr="00C21423">
              <w:rPr>
                <w:rFonts w:eastAsia="Calibri" w:cstheme="minorHAnsi"/>
                <w:b/>
                <w:bCs/>
                <w:sz w:val="20"/>
              </w:rPr>
              <w:t>Ongoing:</w:t>
            </w:r>
          </w:p>
          <w:p w14:paraId="4CEABAB9" w14:textId="0A8C3E58" w:rsidR="00FD31A4" w:rsidRPr="004A0398" w:rsidRDefault="00FD31A4" w:rsidP="000F0FF0">
            <w:pPr>
              <w:tabs>
                <w:tab w:val="left" w:pos="292"/>
              </w:tabs>
              <w:spacing w:before="40"/>
              <w:rPr>
                <w:rFonts w:eastAsia="Calibri" w:cstheme="minorHAnsi"/>
                <w:sz w:val="20"/>
              </w:rPr>
            </w:pPr>
            <w:r w:rsidRPr="00F240F2">
              <w:rPr>
                <w:rFonts w:eastAsia="Calibri" w:cstheme="minorHAnsi"/>
                <w:sz w:val="20"/>
              </w:rPr>
              <w:t>More robust annual planning for projects integrated in the 2021 work planning exercise (beginning October), including integrated results measurement, risk assessment and milestone tracking; BDT Reporting Dashboard available that integrates project and OP; Revision of ITU-D websites and communication materials to improve available information on partnerships linked to projects.</w:t>
            </w:r>
          </w:p>
        </w:tc>
      </w:tr>
      <w:tr w:rsidR="00FD31A4" w:rsidRPr="004C061A" w14:paraId="5F4248F2" w14:textId="3502C0D5" w:rsidTr="00FD31A4">
        <w:tc>
          <w:tcPr>
            <w:tcW w:w="1559" w:type="dxa"/>
            <w:tcBorders>
              <w:bottom w:val="nil"/>
            </w:tcBorders>
          </w:tcPr>
          <w:p w14:paraId="5B242C98" w14:textId="3EDE4ED5" w:rsidR="00FD31A4" w:rsidRPr="00E50829" w:rsidRDefault="00FD31A4" w:rsidP="00427123">
            <w:pPr>
              <w:tabs>
                <w:tab w:val="left" w:pos="567"/>
              </w:tabs>
              <w:spacing w:before="0" w:after="60"/>
              <w:ind w:left="-57" w:right="-57"/>
              <w:rPr>
                <w:rFonts w:cstheme="minorHAnsi"/>
                <w:b/>
                <w:bCs/>
                <w:sz w:val="20"/>
              </w:rPr>
            </w:pPr>
            <w:r w:rsidRPr="00E50829">
              <w:rPr>
                <w:rFonts w:cstheme="minorHAnsi"/>
                <w:b/>
                <w:bCs/>
                <w:sz w:val="20"/>
              </w:rPr>
              <w:t>10. ITU-D Study Group-related matters</w:t>
            </w:r>
          </w:p>
        </w:tc>
        <w:tc>
          <w:tcPr>
            <w:tcW w:w="851" w:type="dxa"/>
          </w:tcPr>
          <w:p w14:paraId="15CF9E8F" w14:textId="69DB1771" w:rsidR="00FD31A4" w:rsidRPr="00BE75E9" w:rsidRDefault="00FD31A4" w:rsidP="007B0880">
            <w:pPr>
              <w:tabs>
                <w:tab w:val="left" w:pos="567"/>
              </w:tabs>
              <w:spacing w:before="0" w:after="60"/>
              <w:ind w:left="-57" w:right="-57"/>
              <w:rPr>
                <w:rFonts w:cstheme="minorHAnsi"/>
                <w:i/>
                <w:iCs/>
                <w:sz w:val="20"/>
              </w:rPr>
            </w:pPr>
            <w:r w:rsidRPr="00BE75E9">
              <w:rPr>
                <w:rFonts w:cstheme="minorHAnsi"/>
                <w:i/>
                <w:iCs/>
                <w:sz w:val="20"/>
              </w:rPr>
              <w:t>12</w:t>
            </w:r>
          </w:p>
        </w:tc>
        <w:tc>
          <w:tcPr>
            <w:tcW w:w="1984" w:type="dxa"/>
          </w:tcPr>
          <w:p w14:paraId="59029789" w14:textId="65BF71D9" w:rsidR="00FD31A4" w:rsidRPr="00E50829" w:rsidRDefault="00FD31A4" w:rsidP="00620EB0">
            <w:pPr>
              <w:pStyle w:val="Default"/>
              <w:ind w:left="-57" w:right="-57"/>
              <w:rPr>
                <w:rFonts w:asciiTheme="minorHAnsi" w:eastAsia="Times New Roman" w:hAnsiTheme="minorHAnsi" w:cstheme="minorHAnsi"/>
                <w:color w:val="auto"/>
                <w:sz w:val="20"/>
                <w:szCs w:val="20"/>
              </w:rPr>
            </w:pPr>
            <w:r w:rsidRPr="001C1EC7">
              <w:rPr>
                <w:rFonts w:asciiTheme="minorHAnsi" w:eastAsia="Times New Roman" w:hAnsiTheme="minorHAnsi" w:cstheme="minorHAnsi"/>
                <w:color w:val="auto"/>
                <w:sz w:val="20"/>
                <w:szCs w:val="20"/>
                <w:lang w:val="en-GB"/>
              </w:rPr>
              <w:t>ITU-D Study Group 1 - Activities and progress</w:t>
            </w:r>
          </w:p>
        </w:tc>
        <w:tc>
          <w:tcPr>
            <w:tcW w:w="4111" w:type="dxa"/>
            <w:vMerge w:val="restart"/>
          </w:tcPr>
          <w:p w14:paraId="0993D37A" w14:textId="77777777" w:rsidR="00FD31A4" w:rsidRPr="00A34C68" w:rsidRDefault="00FD31A4" w:rsidP="00A34C68">
            <w:pPr>
              <w:spacing w:before="0"/>
              <w:rPr>
                <w:rFonts w:eastAsia="Calibri" w:cstheme="minorHAnsi"/>
                <w:sz w:val="20"/>
              </w:rPr>
            </w:pPr>
            <w:r w:rsidRPr="00A34C68">
              <w:rPr>
                <w:rFonts w:eastAsia="Calibri" w:cstheme="minorHAnsi"/>
                <w:sz w:val="20"/>
              </w:rPr>
              <w:t xml:space="preserve">TDAG noted with interest and appreciation the detailed reports on study group </w:t>
            </w:r>
            <w:proofErr w:type="gramStart"/>
            <w:r w:rsidRPr="00A34C68">
              <w:rPr>
                <w:rFonts w:eastAsia="Calibri" w:cstheme="minorHAnsi"/>
                <w:sz w:val="20"/>
              </w:rPr>
              <w:t>activities, and</w:t>
            </w:r>
            <w:proofErr w:type="gramEnd"/>
            <w:r w:rsidRPr="00A34C68">
              <w:rPr>
                <w:rFonts w:eastAsia="Calibri" w:cstheme="minorHAnsi"/>
                <w:sz w:val="20"/>
              </w:rPr>
              <w:t xml:space="preserve"> observed that both study groups and all 14 Questions were making good progress towards the WTDC expected outputs under the leadership of the study group chairmen.</w:t>
            </w:r>
          </w:p>
          <w:p w14:paraId="537C3677" w14:textId="1959464E" w:rsidR="00FD31A4" w:rsidRPr="00E50829" w:rsidRDefault="00FD31A4" w:rsidP="00A34C68">
            <w:pPr>
              <w:spacing w:before="0"/>
              <w:rPr>
                <w:rFonts w:eastAsia="Calibri" w:cstheme="minorHAnsi"/>
                <w:sz w:val="20"/>
              </w:rPr>
            </w:pPr>
            <w:r w:rsidRPr="00A34C68">
              <w:rPr>
                <w:rFonts w:eastAsia="Calibri" w:cstheme="minorHAnsi"/>
                <w:bCs/>
                <w:sz w:val="20"/>
              </w:rPr>
              <w:t>TDAG agreed on the proposed dates for the ITU-D study group meetings in 2021.</w:t>
            </w:r>
          </w:p>
        </w:tc>
        <w:tc>
          <w:tcPr>
            <w:tcW w:w="2835" w:type="dxa"/>
          </w:tcPr>
          <w:p w14:paraId="2AE6CE0E" w14:textId="77777777" w:rsidR="00FD31A4" w:rsidRDefault="00FD31A4" w:rsidP="00C032A3">
            <w:pPr>
              <w:pStyle w:val="ListParagraph"/>
              <w:numPr>
                <w:ilvl w:val="0"/>
                <w:numId w:val="6"/>
              </w:numPr>
              <w:tabs>
                <w:tab w:val="left" w:pos="292"/>
              </w:tabs>
              <w:spacing w:before="0"/>
              <w:ind w:left="317"/>
              <w:rPr>
                <w:rFonts w:eastAsia="Calibri" w:cstheme="minorHAnsi"/>
                <w:sz w:val="20"/>
              </w:rPr>
            </w:pPr>
            <w:r>
              <w:rPr>
                <w:rFonts w:eastAsia="Calibri" w:cstheme="minorHAnsi"/>
                <w:sz w:val="20"/>
              </w:rPr>
              <w:t>A</w:t>
            </w:r>
            <w:r w:rsidRPr="00A34C68">
              <w:rPr>
                <w:rFonts w:eastAsia="Calibri" w:cstheme="minorHAnsi"/>
                <w:sz w:val="20"/>
              </w:rPr>
              <w:t>dd information on the status of development of the output reports being prepared by the rapporteur groups</w:t>
            </w:r>
            <w:r>
              <w:rPr>
                <w:rFonts w:eastAsia="Calibri" w:cstheme="minorHAnsi"/>
                <w:sz w:val="20"/>
              </w:rPr>
              <w:t>.</w:t>
            </w:r>
          </w:p>
          <w:p w14:paraId="78CF2DB7" w14:textId="3F56ABC7" w:rsidR="00FD31A4" w:rsidRPr="00E50829" w:rsidRDefault="00FD31A4" w:rsidP="00C032A3">
            <w:pPr>
              <w:pStyle w:val="ListParagraph"/>
              <w:numPr>
                <w:ilvl w:val="0"/>
                <w:numId w:val="6"/>
              </w:numPr>
              <w:tabs>
                <w:tab w:val="left" w:pos="292"/>
              </w:tabs>
              <w:spacing w:before="0"/>
              <w:ind w:left="317"/>
              <w:rPr>
                <w:rFonts w:eastAsia="Calibri" w:cstheme="minorHAnsi"/>
                <w:sz w:val="20"/>
              </w:rPr>
            </w:pPr>
            <w:r>
              <w:rPr>
                <w:rFonts w:eastAsia="Calibri" w:cstheme="minorHAnsi"/>
                <w:sz w:val="20"/>
              </w:rPr>
              <w:t>U</w:t>
            </w:r>
            <w:r w:rsidRPr="00A34C68">
              <w:rPr>
                <w:rFonts w:eastAsia="Calibri" w:cstheme="minorHAnsi"/>
                <w:sz w:val="20"/>
              </w:rPr>
              <w:t>se information from Annex 8 of the report, which includes initial proposals on future study Questions, as a background document for future-related discussions in TDAG</w:t>
            </w:r>
            <w:r>
              <w:rPr>
                <w:rFonts w:eastAsia="Calibri" w:cstheme="minorHAnsi"/>
                <w:sz w:val="20"/>
              </w:rPr>
              <w:t>.</w:t>
            </w:r>
          </w:p>
        </w:tc>
        <w:tc>
          <w:tcPr>
            <w:tcW w:w="1134" w:type="dxa"/>
          </w:tcPr>
          <w:p w14:paraId="5E6B14B0" w14:textId="77777777" w:rsidR="00FD31A4" w:rsidRDefault="00FD31A4" w:rsidP="00427123">
            <w:pPr>
              <w:tabs>
                <w:tab w:val="left" w:pos="292"/>
              </w:tabs>
              <w:spacing w:before="0"/>
              <w:rPr>
                <w:rFonts w:eastAsia="Calibri" w:cstheme="minorHAnsi"/>
                <w:sz w:val="20"/>
              </w:rPr>
            </w:pPr>
            <w:r>
              <w:rPr>
                <w:rFonts w:eastAsia="Calibri" w:cstheme="minorHAnsi"/>
                <w:sz w:val="20"/>
              </w:rPr>
              <w:t>January 2021</w:t>
            </w:r>
            <w:r>
              <w:rPr>
                <w:rFonts w:eastAsia="Calibri" w:cstheme="minorHAnsi"/>
                <w:sz w:val="20"/>
              </w:rPr>
              <w:br/>
            </w:r>
            <w:r>
              <w:rPr>
                <w:rFonts w:eastAsia="Calibri" w:cstheme="minorHAnsi"/>
                <w:sz w:val="20"/>
              </w:rPr>
              <w:br/>
            </w:r>
            <w:r>
              <w:rPr>
                <w:rFonts w:eastAsia="Calibri" w:cstheme="minorHAnsi"/>
                <w:sz w:val="20"/>
              </w:rPr>
              <w:br/>
            </w:r>
            <w:r>
              <w:rPr>
                <w:rFonts w:eastAsia="Calibri" w:cstheme="minorHAnsi"/>
                <w:sz w:val="20"/>
              </w:rPr>
              <w:br/>
            </w:r>
          </w:p>
          <w:p w14:paraId="339C045D" w14:textId="4D058DF6" w:rsidR="00FD31A4" w:rsidRDefault="00FD31A4" w:rsidP="00427123">
            <w:pPr>
              <w:tabs>
                <w:tab w:val="left" w:pos="292"/>
              </w:tabs>
              <w:spacing w:before="0"/>
              <w:rPr>
                <w:rFonts w:eastAsia="Calibri" w:cstheme="minorHAnsi"/>
                <w:sz w:val="20"/>
              </w:rPr>
            </w:pPr>
            <w:r>
              <w:rPr>
                <w:rFonts w:eastAsia="Calibri" w:cstheme="minorHAnsi"/>
                <w:sz w:val="20"/>
              </w:rPr>
              <w:t>January 2021</w:t>
            </w:r>
          </w:p>
        </w:tc>
        <w:tc>
          <w:tcPr>
            <w:tcW w:w="3119" w:type="dxa"/>
          </w:tcPr>
          <w:p w14:paraId="34C967B8" w14:textId="77777777" w:rsidR="00FD31A4" w:rsidRDefault="00FD31A4" w:rsidP="00123126">
            <w:pPr>
              <w:tabs>
                <w:tab w:val="left" w:pos="292"/>
              </w:tabs>
              <w:spacing w:before="40"/>
              <w:rPr>
                <w:rFonts w:eastAsia="Calibri" w:cstheme="minorHAnsi"/>
                <w:b/>
                <w:bCs/>
                <w:sz w:val="20"/>
              </w:rPr>
            </w:pPr>
            <w:r w:rsidRPr="00C21423">
              <w:rPr>
                <w:rFonts w:eastAsia="Calibri" w:cstheme="minorHAnsi"/>
                <w:b/>
                <w:bCs/>
                <w:sz w:val="20"/>
              </w:rPr>
              <w:t>Ongoing:</w:t>
            </w:r>
          </w:p>
          <w:p w14:paraId="02E4F2AB" w14:textId="6D6AC9B7" w:rsidR="00FD31A4" w:rsidRDefault="00FD31A4" w:rsidP="00123126">
            <w:pPr>
              <w:tabs>
                <w:tab w:val="left" w:pos="292"/>
              </w:tabs>
              <w:spacing w:before="40"/>
              <w:rPr>
                <w:rFonts w:eastAsia="Calibri" w:cstheme="minorHAnsi"/>
                <w:sz w:val="20"/>
              </w:rPr>
            </w:pPr>
            <w:r w:rsidRPr="00F72CDA">
              <w:rPr>
                <w:rFonts w:eastAsia="Calibri" w:cstheme="minorHAnsi"/>
                <w:sz w:val="20"/>
              </w:rPr>
              <w:t xml:space="preserve">Status of development of output reports </w:t>
            </w:r>
            <w:r>
              <w:rPr>
                <w:rFonts w:eastAsia="Calibri" w:cstheme="minorHAnsi"/>
                <w:sz w:val="20"/>
              </w:rPr>
              <w:t>will be reported to TDAG in 2021.</w:t>
            </w:r>
          </w:p>
          <w:p w14:paraId="45AC6D3E" w14:textId="2A610F9A" w:rsidR="00FD31A4" w:rsidRPr="00E50829" w:rsidRDefault="00FD31A4" w:rsidP="000F0FF0">
            <w:pPr>
              <w:tabs>
                <w:tab w:val="left" w:pos="292"/>
              </w:tabs>
              <w:spacing w:before="40"/>
              <w:rPr>
                <w:rFonts w:eastAsia="Calibri" w:cstheme="minorHAnsi"/>
                <w:sz w:val="20"/>
              </w:rPr>
            </w:pPr>
            <w:r>
              <w:rPr>
                <w:rFonts w:eastAsia="Calibri" w:cstheme="minorHAnsi"/>
                <w:sz w:val="20"/>
              </w:rPr>
              <w:t>Status on future study Questions were submitted to TDAG-WG-RDTP. Further updates will be reported to TDAG in 2021.</w:t>
            </w:r>
          </w:p>
        </w:tc>
      </w:tr>
      <w:tr w:rsidR="00FD31A4" w:rsidRPr="004C061A" w14:paraId="7EBA4703" w14:textId="77777777" w:rsidTr="00FD31A4">
        <w:tc>
          <w:tcPr>
            <w:tcW w:w="1559" w:type="dxa"/>
            <w:tcBorders>
              <w:top w:val="nil"/>
              <w:bottom w:val="nil"/>
            </w:tcBorders>
          </w:tcPr>
          <w:p w14:paraId="55D45249" w14:textId="77777777" w:rsidR="00FD31A4" w:rsidRPr="00E50829" w:rsidRDefault="00FD31A4" w:rsidP="006F22BE">
            <w:pPr>
              <w:tabs>
                <w:tab w:val="left" w:pos="567"/>
              </w:tabs>
              <w:spacing w:before="0" w:after="60"/>
              <w:ind w:left="-57" w:right="-57"/>
              <w:rPr>
                <w:rFonts w:cstheme="minorHAnsi"/>
                <w:b/>
                <w:bCs/>
                <w:sz w:val="20"/>
              </w:rPr>
            </w:pPr>
          </w:p>
        </w:tc>
        <w:tc>
          <w:tcPr>
            <w:tcW w:w="851" w:type="dxa"/>
          </w:tcPr>
          <w:p w14:paraId="4D658FA3" w14:textId="67ADA81E" w:rsidR="00FD31A4" w:rsidRPr="00BE75E9" w:rsidRDefault="00FD31A4" w:rsidP="006F22BE">
            <w:pPr>
              <w:tabs>
                <w:tab w:val="left" w:pos="567"/>
              </w:tabs>
              <w:spacing w:before="0" w:after="60"/>
              <w:ind w:left="-57" w:right="-57"/>
              <w:rPr>
                <w:rStyle w:val="Hyperlink"/>
                <w:rFonts w:cstheme="minorHAnsi"/>
                <w:i/>
                <w:iCs/>
                <w:color w:val="auto"/>
                <w:sz w:val="20"/>
                <w:u w:val="none"/>
              </w:rPr>
            </w:pPr>
            <w:r w:rsidRPr="00BE75E9">
              <w:rPr>
                <w:rStyle w:val="Hyperlink"/>
                <w:rFonts w:cstheme="minorHAnsi"/>
                <w:i/>
                <w:iCs/>
                <w:color w:val="auto"/>
                <w:sz w:val="20"/>
                <w:u w:val="none"/>
              </w:rPr>
              <w:t>13</w:t>
            </w:r>
          </w:p>
        </w:tc>
        <w:tc>
          <w:tcPr>
            <w:tcW w:w="1984" w:type="dxa"/>
          </w:tcPr>
          <w:p w14:paraId="4C44473E" w14:textId="59EA9093" w:rsidR="00FD31A4" w:rsidRPr="00E50829" w:rsidRDefault="00FD31A4" w:rsidP="00620EB0">
            <w:pPr>
              <w:pStyle w:val="Default"/>
              <w:ind w:left="-57" w:right="-57"/>
              <w:rPr>
                <w:rFonts w:asciiTheme="minorHAnsi" w:eastAsia="Times New Roman" w:hAnsiTheme="minorHAnsi" w:cstheme="minorHAnsi"/>
                <w:color w:val="auto"/>
                <w:sz w:val="20"/>
                <w:szCs w:val="20"/>
                <w:lang w:val="en-GB"/>
              </w:rPr>
            </w:pPr>
            <w:r w:rsidRPr="001C1EC7">
              <w:rPr>
                <w:rFonts w:asciiTheme="minorHAnsi" w:eastAsia="Times New Roman" w:hAnsiTheme="minorHAnsi" w:cstheme="minorHAnsi"/>
                <w:color w:val="auto"/>
                <w:sz w:val="20"/>
                <w:szCs w:val="20"/>
                <w:lang w:val="en-GB"/>
              </w:rPr>
              <w:t>ITU-D Study Group 2 - Activities and progress  </w:t>
            </w:r>
          </w:p>
        </w:tc>
        <w:tc>
          <w:tcPr>
            <w:tcW w:w="4111" w:type="dxa"/>
            <w:vMerge/>
          </w:tcPr>
          <w:p w14:paraId="726DE5FE" w14:textId="5C0B7807" w:rsidR="00FD31A4" w:rsidRPr="00E50829" w:rsidRDefault="00FD31A4" w:rsidP="006F22BE">
            <w:pPr>
              <w:spacing w:before="0"/>
              <w:rPr>
                <w:rFonts w:eastAsia="Calibri" w:cstheme="minorHAnsi"/>
                <w:sz w:val="20"/>
              </w:rPr>
            </w:pPr>
          </w:p>
        </w:tc>
        <w:tc>
          <w:tcPr>
            <w:tcW w:w="2835" w:type="dxa"/>
          </w:tcPr>
          <w:p w14:paraId="7D1D449F" w14:textId="4CF7BB9C" w:rsidR="00FD31A4" w:rsidRPr="00E50829" w:rsidRDefault="00FD31A4" w:rsidP="001A3500">
            <w:pPr>
              <w:pStyle w:val="ListParagraph"/>
              <w:numPr>
                <w:ilvl w:val="0"/>
                <w:numId w:val="6"/>
              </w:numPr>
              <w:tabs>
                <w:tab w:val="left" w:pos="292"/>
              </w:tabs>
              <w:spacing w:before="0"/>
              <w:ind w:left="317"/>
              <w:rPr>
                <w:rFonts w:eastAsia="Calibri" w:cstheme="minorHAnsi"/>
                <w:sz w:val="20"/>
              </w:rPr>
            </w:pPr>
            <w:r>
              <w:rPr>
                <w:rFonts w:eastAsia="Calibri" w:cstheme="minorHAnsi"/>
                <w:sz w:val="20"/>
              </w:rPr>
              <w:t>A</w:t>
            </w:r>
            <w:r w:rsidRPr="00A34C68">
              <w:rPr>
                <w:rFonts w:eastAsia="Calibri" w:cstheme="minorHAnsi"/>
                <w:sz w:val="20"/>
              </w:rPr>
              <w:t>dd information on the status of development of output reports, as well as more information on proposals for future study Questions during the next TDAG meeting.</w:t>
            </w:r>
          </w:p>
        </w:tc>
        <w:tc>
          <w:tcPr>
            <w:tcW w:w="1134" w:type="dxa"/>
          </w:tcPr>
          <w:p w14:paraId="1EB18331" w14:textId="4EB64F30" w:rsidR="00FD31A4" w:rsidRDefault="00FD31A4" w:rsidP="006F22BE">
            <w:pPr>
              <w:tabs>
                <w:tab w:val="left" w:pos="292"/>
              </w:tabs>
              <w:spacing w:before="0"/>
              <w:rPr>
                <w:rFonts w:eastAsia="Calibri" w:cstheme="minorHAnsi"/>
                <w:sz w:val="20"/>
              </w:rPr>
            </w:pPr>
            <w:r>
              <w:rPr>
                <w:rFonts w:eastAsia="Calibri" w:cstheme="minorHAnsi"/>
                <w:sz w:val="20"/>
              </w:rPr>
              <w:t>January 2021</w:t>
            </w:r>
          </w:p>
        </w:tc>
        <w:tc>
          <w:tcPr>
            <w:tcW w:w="3119" w:type="dxa"/>
          </w:tcPr>
          <w:p w14:paraId="7CE486D8" w14:textId="77777777" w:rsidR="00FD31A4" w:rsidRDefault="00FD31A4" w:rsidP="000F0FF0">
            <w:pPr>
              <w:tabs>
                <w:tab w:val="left" w:pos="292"/>
              </w:tabs>
              <w:spacing w:before="40"/>
              <w:rPr>
                <w:rFonts w:eastAsia="Calibri" w:cstheme="minorHAnsi"/>
                <w:b/>
                <w:bCs/>
                <w:sz w:val="20"/>
              </w:rPr>
            </w:pPr>
            <w:r w:rsidRPr="00C21423">
              <w:rPr>
                <w:rFonts w:eastAsia="Calibri" w:cstheme="minorHAnsi"/>
                <w:b/>
                <w:bCs/>
                <w:sz w:val="20"/>
              </w:rPr>
              <w:t>Ongoing:</w:t>
            </w:r>
          </w:p>
          <w:p w14:paraId="29BA6E83" w14:textId="045CF30A" w:rsidR="00FD31A4" w:rsidRDefault="00FD31A4" w:rsidP="000F0FF0">
            <w:pPr>
              <w:tabs>
                <w:tab w:val="left" w:pos="292"/>
              </w:tabs>
              <w:spacing w:before="40"/>
              <w:rPr>
                <w:rFonts w:eastAsia="Calibri" w:cstheme="minorHAnsi"/>
                <w:sz w:val="20"/>
              </w:rPr>
            </w:pPr>
            <w:r w:rsidRPr="00F72CDA">
              <w:rPr>
                <w:rFonts w:eastAsia="Calibri" w:cstheme="minorHAnsi"/>
                <w:sz w:val="20"/>
              </w:rPr>
              <w:t xml:space="preserve">Status of development of output reports </w:t>
            </w:r>
            <w:r>
              <w:rPr>
                <w:rFonts w:eastAsia="Calibri" w:cstheme="minorHAnsi"/>
                <w:sz w:val="20"/>
              </w:rPr>
              <w:t>will be reported to TDAG in 2021.</w:t>
            </w:r>
          </w:p>
          <w:p w14:paraId="66DE71A2" w14:textId="702E7313" w:rsidR="00FD31A4" w:rsidRPr="00E50829" w:rsidRDefault="00FD31A4" w:rsidP="000F0FF0">
            <w:pPr>
              <w:tabs>
                <w:tab w:val="left" w:pos="292"/>
              </w:tabs>
              <w:spacing w:before="40"/>
              <w:rPr>
                <w:rFonts w:eastAsia="Calibri" w:cstheme="minorHAnsi"/>
                <w:sz w:val="20"/>
              </w:rPr>
            </w:pPr>
            <w:r>
              <w:rPr>
                <w:rFonts w:eastAsia="Calibri" w:cstheme="minorHAnsi"/>
                <w:sz w:val="20"/>
              </w:rPr>
              <w:t>Status on future study Questions were submitted to TDAG-WG-RDTP. Further updates will be reported to TDAG in 2021.</w:t>
            </w:r>
          </w:p>
        </w:tc>
      </w:tr>
      <w:tr w:rsidR="00FD31A4" w:rsidRPr="004C061A" w14:paraId="1A55875D" w14:textId="77777777" w:rsidTr="00FD31A4">
        <w:tc>
          <w:tcPr>
            <w:tcW w:w="1559" w:type="dxa"/>
            <w:tcBorders>
              <w:top w:val="nil"/>
            </w:tcBorders>
          </w:tcPr>
          <w:p w14:paraId="2A07BFE7" w14:textId="77777777" w:rsidR="00FD31A4" w:rsidRPr="00E50829" w:rsidRDefault="00FD31A4" w:rsidP="006F22BE">
            <w:pPr>
              <w:tabs>
                <w:tab w:val="left" w:pos="567"/>
              </w:tabs>
              <w:spacing w:before="0" w:after="60"/>
              <w:ind w:left="-57" w:right="-57"/>
              <w:rPr>
                <w:rFonts w:cstheme="minorHAnsi"/>
                <w:b/>
                <w:bCs/>
                <w:sz w:val="20"/>
              </w:rPr>
            </w:pPr>
          </w:p>
        </w:tc>
        <w:tc>
          <w:tcPr>
            <w:tcW w:w="851" w:type="dxa"/>
          </w:tcPr>
          <w:p w14:paraId="0659CFBF" w14:textId="02A6CDFE" w:rsidR="00FD31A4" w:rsidRPr="00BE75E9" w:rsidRDefault="00FD31A4" w:rsidP="006F22BE">
            <w:pPr>
              <w:tabs>
                <w:tab w:val="left" w:pos="567"/>
              </w:tabs>
              <w:spacing w:before="0" w:after="60"/>
              <w:ind w:left="-57" w:right="-57"/>
              <w:rPr>
                <w:rStyle w:val="Hyperlink"/>
                <w:rFonts w:cstheme="minorHAnsi"/>
                <w:i/>
                <w:iCs/>
                <w:color w:val="auto"/>
                <w:sz w:val="20"/>
                <w:u w:val="none"/>
              </w:rPr>
            </w:pPr>
            <w:r>
              <w:rPr>
                <w:rStyle w:val="Hyperlink"/>
                <w:rFonts w:cstheme="minorHAnsi"/>
                <w:i/>
                <w:iCs/>
                <w:color w:val="auto"/>
                <w:sz w:val="20"/>
                <w:u w:val="none"/>
              </w:rPr>
              <w:t>55</w:t>
            </w:r>
          </w:p>
        </w:tc>
        <w:tc>
          <w:tcPr>
            <w:tcW w:w="1984" w:type="dxa"/>
          </w:tcPr>
          <w:p w14:paraId="3E838929" w14:textId="01A0F91D" w:rsidR="00FD31A4" w:rsidRPr="00E50829" w:rsidRDefault="00FD31A4" w:rsidP="00620EB0">
            <w:pPr>
              <w:pStyle w:val="Default"/>
              <w:ind w:left="-57" w:right="-57"/>
              <w:rPr>
                <w:rFonts w:asciiTheme="minorHAnsi" w:eastAsia="Times New Roman" w:hAnsiTheme="minorHAnsi" w:cstheme="minorHAnsi"/>
                <w:color w:val="auto"/>
                <w:sz w:val="20"/>
                <w:szCs w:val="20"/>
                <w:lang w:val="en-GB"/>
              </w:rPr>
            </w:pPr>
            <w:r w:rsidRPr="001C1EC7">
              <w:rPr>
                <w:rFonts w:asciiTheme="minorHAnsi" w:eastAsia="Times New Roman" w:hAnsiTheme="minorHAnsi" w:cstheme="minorHAnsi"/>
                <w:color w:val="auto"/>
                <w:sz w:val="20"/>
                <w:szCs w:val="20"/>
                <w:lang w:val="en-GB"/>
              </w:rPr>
              <w:t>Appointment of a new Co-Rapporteur in ITU-D Study Group 2</w:t>
            </w:r>
          </w:p>
        </w:tc>
        <w:tc>
          <w:tcPr>
            <w:tcW w:w="4111" w:type="dxa"/>
          </w:tcPr>
          <w:p w14:paraId="5731BB44" w14:textId="70B02943" w:rsidR="00FD31A4" w:rsidRPr="00E50829" w:rsidRDefault="00FD31A4" w:rsidP="001A3500">
            <w:pPr>
              <w:spacing w:before="0"/>
              <w:rPr>
                <w:rFonts w:eastAsia="Calibri" w:cstheme="minorHAnsi"/>
                <w:sz w:val="20"/>
              </w:rPr>
            </w:pPr>
            <w:r w:rsidRPr="00A34C68">
              <w:rPr>
                <w:rFonts w:eastAsia="Calibri" w:cstheme="minorHAnsi"/>
                <w:bCs/>
                <w:sz w:val="20"/>
              </w:rPr>
              <w:t xml:space="preserve">TDAG appointed </w:t>
            </w:r>
            <w:r w:rsidRPr="00A34C68">
              <w:rPr>
                <w:rFonts w:eastAsia="Calibri" w:cstheme="minorHAnsi"/>
                <w:sz w:val="20"/>
              </w:rPr>
              <w:t>Ms Aimee K. Meacham (United States)</w:t>
            </w:r>
            <w:r w:rsidRPr="00A34C68">
              <w:rPr>
                <w:rFonts w:eastAsia="Calibri" w:cstheme="minorHAnsi"/>
                <w:bCs/>
                <w:sz w:val="20"/>
              </w:rPr>
              <w:t xml:space="preserve"> as a Co-Rapporteur for ITU-D Study Group 2 Question 3/2.</w:t>
            </w:r>
          </w:p>
        </w:tc>
        <w:tc>
          <w:tcPr>
            <w:tcW w:w="2835" w:type="dxa"/>
          </w:tcPr>
          <w:p w14:paraId="29EA0396" w14:textId="307EF7E0" w:rsidR="00FD31A4" w:rsidRPr="00E50829" w:rsidRDefault="00FD31A4" w:rsidP="006F22BE">
            <w:pPr>
              <w:tabs>
                <w:tab w:val="left" w:pos="292"/>
              </w:tabs>
              <w:spacing w:before="0"/>
              <w:rPr>
                <w:rFonts w:eastAsia="Calibri" w:cstheme="minorHAnsi"/>
                <w:sz w:val="20"/>
              </w:rPr>
            </w:pPr>
            <w:r>
              <w:rPr>
                <w:rFonts w:eastAsia="Calibri" w:cstheme="minorHAnsi"/>
                <w:sz w:val="20"/>
              </w:rPr>
              <w:t>--</w:t>
            </w:r>
          </w:p>
        </w:tc>
        <w:tc>
          <w:tcPr>
            <w:tcW w:w="1134" w:type="dxa"/>
          </w:tcPr>
          <w:p w14:paraId="69BA7426" w14:textId="77777777" w:rsidR="00FD31A4" w:rsidRPr="00E50829" w:rsidRDefault="00FD31A4" w:rsidP="006F22BE">
            <w:pPr>
              <w:tabs>
                <w:tab w:val="left" w:pos="292"/>
              </w:tabs>
              <w:spacing w:before="0"/>
              <w:rPr>
                <w:rFonts w:eastAsia="Calibri" w:cstheme="minorHAnsi"/>
                <w:sz w:val="20"/>
              </w:rPr>
            </w:pPr>
          </w:p>
        </w:tc>
        <w:tc>
          <w:tcPr>
            <w:tcW w:w="3119" w:type="dxa"/>
          </w:tcPr>
          <w:p w14:paraId="119849D7" w14:textId="5E331BB2" w:rsidR="00FD31A4" w:rsidRPr="00E50829" w:rsidRDefault="00FD31A4" w:rsidP="000F0FF0">
            <w:pPr>
              <w:tabs>
                <w:tab w:val="left" w:pos="292"/>
              </w:tabs>
              <w:spacing w:before="40"/>
              <w:rPr>
                <w:rFonts w:eastAsia="Calibri" w:cstheme="minorHAnsi"/>
                <w:sz w:val="20"/>
              </w:rPr>
            </w:pPr>
          </w:p>
        </w:tc>
      </w:tr>
      <w:tr w:rsidR="00FD31A4" w:rsidRPr="004C061A" w14:paraId="50881AD2" w14:textId="57974015" w:rsidTr="00FD31A4">
        <w:tc>
          <w:tcPr>
            <w:tcW w:w="1559" w:type="dxa"/>
          </w:tcPr>
          <w:p w14:paraId="5D7AE668" w14:textId="2514C90E" w:rsidR="00FD31A4" w:rsidRPr="00E50829" w:rsidRDefault="00FD31A4" w:rsidP="006F22BE">
            <w:pPr>
              <w:tabs>
                <w:tab w:val="left" w:pos="567"/>
              </w:tabs>
              <w:spacing w:before="0" w:after="60"/>
              <w:ind w:left="-57" w:right="-57"/>
              <w:rPr>
                <w:rFonts w:cstheme="minorHAnsi"/>
                <w:b/>
                <w:bCs/>
                <w:sz w:val="20"/>
              </w:rPr>
            </w:pPr>
            <w:r>
              <w:rPr>
                <w:rFonts w:cstheme="minorHAnsi"/>
                <w:b/>
                <w:bCs/>
                <w:sz w:val="20"/>
              </w:rPr>
              <w:t xml:space="preserve">11. </w:t>
            </w:r>
            <w:r w:rsidRPr="00C93442">
              <w:rPr>
                <w:rFonts w:cstheme="minorHAnsi"/>
                <w:b/>
                <w:bCs/>
                <w:sz w:val="20"/>
              </w:rPr>
              <w:t>Collaboration with the other Sectors</w:t>
            </w:r>
          </w:p>
        </w:tc>
        <w:tc>
          <w:tcPr>
            <w:tcW w:w="851" w:type="dxa"/>
          </w:tcPr>
          <w:p w14:paraId="4EE6166C" w14:textId="10BDDA5B" w:rsidR="00FD31A4" w:rsidRPr="00E50829" w:rsidRDefault="00FD31A4" w:rsidP="006F22BE">
            <w:pPr>
              <w:tabs>
                <w:tab w:val="left" w:pos="567"/>
              </w:tabs>
              <w:spacing w:before="0" w:after="60"/>
              <w:ind w:left="-57" w:right="-57"/>
              <w:rPr>
                <w:rFonts w:cstheme="minorHAnsi"/>
                <w:i/>
                <w:iCs/>
                <w:sz w:val="20"/>
              </w:rPr>
            </w:pPr>
            <w:r>
              <w:rPr>
                <w:rFonts w:cstheme="minorHAnsi"/>
                <w:i/>
                <w:iCs/>
                <w:sz w:val="20"/>
              </w:rPr>
              <w:t>--</w:t>
            </w:r>
          </w:p>
        </w:tc>
        <w:tc>
          <w:tcPr>
            <w:tcW w:w="1984" w:type="dxa"/>
          </w:tcPr>
          <w:p w14:paraId="6BF703A0" w14:textId="21B7A7C0" w:rsidR="00FD31A4" w:rsidRPr="00E50829" w:rsidRDefault="00FD31A4" w:rsidP="00620EB0">
            <w:pPr>
              <w:pStyle w:val="Default"/>
              <w:ind w:left="-57" w:right="-57"/>
              <w:rPr>
                <w:rFonts w:asciiTheme="minorHAnsi" w:eastAsia="Times New Roman" w:hAnsiTheme="minorHAnsi" w:cstheme="minorHAnsi"/>
                <w:color w:val="auto"/>
                <w:sz w:val="20"/>
                <w:szCs w:val="20"/>
              </w:rPr>
            </w:pPr>
          </w:p>
        </w:tc>
        <w:tc>
          <w:tcPr>
            <w:tcW w:w="4111" w:type="dxa"/>
          </w:tcPr>
          <w:p w14:paraId="7E52FB85" w14:textId="4509BD80" w:rsidR="00FD31A4" w:rsidRPr="00E50829" w:rsidRDefault="00FD31A4" w:rsidP="006F22BE">
            <w:pPr>
              <w:spacing w:before="0"/>
              <w:rPr>
                <w:rFonts w:eastAsia="Calibri" w:cstheme="minorHAnsi"/>
                <w:sz w:val="20"/>
              </w:rPr>
            </w:pPr>
          </w:p>
        </w:tc>
        <w:tc>
          <w:tcPr>
            <w:tcW w:w="2835" w:type="dxa"/>
          </w:tcPr>
          <w:p w14:paraId="1658BA0C" w14:textId="7FA70222" w:rsidR="00FD31A4" w:rsidRPr="00E50829" w:rsidRDefault="00FD31A4" w:rsidP="00FE0B65">
            <w:pPr>
              <w:tabs>
                <w:tab w:val="left" w:pos="292"/>
              </w:tabs>
              <w:spacing w:before="0"/>
              <w:ind w:left="289" w:hanging="289"/>
              <w:rPr>
                <w:rFonts w:eastAsia="Calibri" w:cstheme="minorHAnsi"/>
                <w:sz w:val="20"/>
              </w:rPr>
            </w:pPr>
          </w:p>
        </w:tc>
        <w:tc>
          <w:tcPr>
            <w:tcW w:w="1134" w:type="dxa"/>
          </w:tcPr>
          <w:p w14:paraId="097319F0" w14:textId="77777777" w:rsidR="00FD31A4" w:rsidRPr="00E50829" w:rsidRDefault="00FD31A4" w:rsidP="006F22BE">
            <w:pPr>
              <w:tabs>
                <w:tab w:val="left" w:pos="292"/>
              </w:tabs>
              <w:spacing w:before="0"/>
              <w:rPr>
                <w:rFonts w:eastAsia="Calibri" w:cstheme="minorHAnsi"/>
                <w:sz w:val="20"/>
              </w:rPr>
            </w:pPr>
          </w:p>
        </w:tc>
        <w:tc>
          <w:tcPr>
            <w:tcW w:w="3119" w:type="dxa"/>
          </w:tcPr>
          <w:p w14:paraId="608255B8" w14:textId="43DCD20D" w:rsidR="00FD31A4" w:rsidRPr="00E50829" w:rsidRDefault="00FD31A4" w:rsidP="000F0FF0">
            <w:pPr>
              <w:tabs>
                <w:tab w:val="left" w:pos="292"/>
              </w:tabs>
              <w:spacing w:before="40"/>
              <w:rPr>
                <w:rFonts w:eastAsia="Calibri" w:cstheme="minorHAnsi"/>
                <w:sz w:val="20"/>
              </w:rPr>
            </w:pPr>
          </w:p>
        </w:tc>
      </w:tr>
      <w:tr w:rsidR="00FD31A4" w:rsidRPr="004C061A" w14:paraId="0EB263E0" w14:textId="031F69DC" w:rsidTr="00FD31A4">
        <w:tc>
          <w:tcPr>
            <w:tcW w:w="1559" w:type="dxa"/>
            <w:tcBorders>
              <w:bottom w:val="single" w:sz="4" w:space="0" w:color="auto"/>
            </w:tcBorders>
          </w:tcPr>
          <w:p w14:paraId="1079CDB9" w14:textId="51B8964B" w:rsidR="00FD31A4" w:rsidRPr="004A0398" w:rsidRDefault="00FD31A4" w:rsidP="00B240D4">
            <w:pPr>
              <w:spacing w:before="0" w:after="60"/>
              <w:ind w:left="171" w:right="-57"/>
              <w:rPr>
                <w:rFonts w:cstheme="minorHAnsi"/>
                <w:b/>
                <w:bCs/>
                <w:sz w:val="20"/>
              </w:rPr>
            </w:pPr>
            <w:r>
              <w:rPr>
                <w:rFonts w:cstheme="minorHAnsi"/>
                <w:b/>
                <w:bCs/>
                <w:sz w:val="20"/>
              </w:rPr>
              <w:t xml:space="preserve">11.1 </w:t>
            </w:r>
            <w:r w:rsidRPr="0059779B">
              <w:rPr>
                <w:rFonts w:cstheme="minorHAnsi"/>
                <w:b/>
                <w:bCs/>
                <w:sz w:val="20"/>
              </w:rPr>
              <w:t>Inter-Sector Coordination Group (ISCG) on issues of mutual interest</w:t>
            </w:r>
          </w:p>
        </w:tc>
        <w:tc>
          <w:tcPr>
            <w:tcW w:w="851" w:type="dxa"/>
          </w:tcPr>
          <w:p w14:paraId="2BD5E71C" w14:textId="26A42374"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5</w:t>
            </w:r>
          </w:p>
        </w:tc>
        <w:tc>
          <w:tcPr>
            <w:tcW w:w="1984" w:type="dxa"/>
          </w:tcPr>
          <w:p w14:paraId="480FD9CA" w14:textId="01BCBF95" w:rsidR="00FD31A4" w:rsidRPr="004A0398" w:rsidRDefault="00FD31A4" w:rsidP="00620EB0">
            <w:pPr>
              <w:pStyle w:val="Default"/>
              <w:ind w:left="-57" w:right="-57"/>
              <w:rPr>
                <w:rFonts w:asciiTheme="minorHAnsi" w:eastAsia="Times New Roman" w:hAnsiTheme="minorHAnsi" w:cstheme="minorHAnsi"/>
                <w:sz w:val="20"/>
                <w:szCs w:val="20"/>
              </w:rPr>
            </w:pPr>
            <w:r w:rsidRPr="00D23DF3">
              <w:rPr>
                <w:rFonts w:asciiTheme="minorHAnsi" w:eastAsia="Times New Roman" w:hAnsiTheme="minorHAnsi" w:cstheme="minorHAnsi"/>
                <w:sz w:val="20"/>
                <w:szCs w:val="20"/>
                <w:lang w:val="en-GB"/>
              </w:rPr>
              <w:t>Progress Report of the inter-Sector Coordination Group (ISCG) on issues of mutual interest</w:t>
            </w:r>
          </w:p>
        </w:tc>
        <w:tc>
          <w:tcPr>
            <w:tcW w:w="4111" w:type="dxa"/>
          </w:tcPr>
          <w:p w14:paraId="2322F233" w14:textId="3019F3C6" w:rsidR="00FD31A4" w:rsidRPr="00B46419" w:rsidRDefault="00FD31A4" w:rsidP="006F22BE">
            <w:pPr>
              <w:spacing w:before="0"/>
              <w:rPr>
                <w:rFonts w:eastAsia="Calibri" w:cstheme="minorHAnsi"/>
                <w:sz w:val="20"/>
                <w:lang w:val="en-US"/>
              </w:rPr>
            </w:pPr>
            <w:r w:rsidRPr="00D326B1">
              <w:rPr>
                <w:rFonts w:eastAsia="Calibri" w:cstheme="minorHAnsi"/>
                <w:sz w:val="20"/>
              </w:rPr>
              <w:t>TDAG noted with appreciation the progress report from the Chairman of the Inter-Sector Coordination Group on issues of mutual interest and welcomed the group’s decision to pursue “climate change” as a pilot theme, where all Sectors could be involved and could collaborate; and “accessibility” as the next suggested pilot theme.</w:t>
            </w:r>
          </w:p>
        </w:tc>
        <w:tc>
          <w:tcPr>
            <w:tcW w:w="2835" w:type="dxa"/>
          </w:tcPr>
          <w:p w14:paraId="6B8316AD" w14:textId="7FF1FB65" w:rsidR="00FD31A4" w:rsidRPr="000523DB" w:rsidRDefault="00FD31A4" w:rsidP="000523DB">
            <w:pPr>
              <w:pStyle w:val="ListParagraph"/>
              <w:numPr>
                <w:ilvl w:val="0"/>
                <w:numId w:val="6"/>
              </w:numPr>
              <w:tabs>
                <w:tab w:val="left" w:pos="292"/>
              </w:tabs>
              <w:spacing w:before="0"/>
              <w:ind w:left="317"/>
              <w:rPr>
                <w:rFonts w:eastAsia="Calibri" w:cstheme="minorHAnsi"/>
                <w:sz w:val="20"/>
                <w:lang w:val="en-US"/>
              </w:rPr>
            </w:pPr>
            <w:r>
              <w:rPr>
                <w:rFonts w:eastAsia="Calibri" w:cstheme="minorHAnsi"/>
                <w:sz w:val="20"/>
                <w:lang w:val="en-US"/>
              </w:rPr>
              <w:t>Coordinate with other Sectors all work on climate change.</w:t>
            </w:r>
          </w:p>
        </w:tc>
        <w:tc>
          <w:tcPr>
            <w:tcW w:w="1134" w:type="dxa"/>
          </w:tcPr>
          <w:p w14:paraId="69A385DD" w14:textId="7BBDC969" w:rsidR="00FD31A4" w:rsidRDefault="00FD31A4" w:rsidP="006F22BE">
            <w:pPr>
              <w:tabs>
                <w:tab w:val="left" w:pos="292"/>
              </w:tabs>
              <w:spacing w:before="0"/>
              <w:rPr>
                <w:rFonts w:eastAsia="Calibri" w:cstheme="minorHAnsi"/>
                <w:sz w:val="20"/>
              </w:rPr>
            </w:pPr>
            <w:r>
              <w:rPr>
                <w:rFonts w:eastAsia="Calibri" w:cstheme="minorHAnsi"/>
                <w:sz w:val="20"/>
              </w:rPr>
              <w:t>January 2021</w:t>
            </w:r>
          </w:p>
        </w:tc>
        <w:tc>
          <w:tcPr>
            <w:tcW w:w="3119" w:type="dxa"/>
          </w:tcPr>
          <w:p w14:paraId="63DC4E14" w14:textId="5220062F" w:rsidR="00FD31A4" w:rsidRPr="00C21423" w:rsidRDefault="00FD31A4" w:rsidP="000F0FF0">
            <w:pPr>
              <w:spacing w:before="40"/>
              <w:rPr>
                <w:b/>
                <w:sz w:val="20"/>
              </w:rPr>
            </w:pPr>
            <w:r>
              <w:rPr>
                <w:b/>
                <w:sz w:val="20"/>
              </w:rPr>
              <w:t>Ongoing:</w:t>
            </w:r>
          </w:p>
          <w:p w14:paraId="672CD39E" w14:textId="56966CE4" w:rsidR="00FD31A4" w:rsidRPr="004A0398" w:rsidRDefault="00FD31A4" w:rsidP="000F0FF0">
            <w:pPr>
              <w:spacing w:before="40"/>
              <w:rPr>
                <w:rFonts w:eastAsia="Calibri" w:cstheme="minorHAnsi"/>
                <w:sz w:val="20"/>
              </w:rPr>
            </w:pPr>
            <w:r w:rsidRPr="00967219">
              <w:rPr>
                <w:sz w:val="20"/>
              </w:rPr>
              <w:t xml:space="preserve">ISCG met on 1 June 2020 and ISC-TF Focal Point on “Environment and Smart and Sustainable Cities and Communities” presented the new corporate website on Environment and climate change: </w:t>
            </w:r>
            <w:hyperlink r:id="rId18" w:history="1">
              <w:r w:rsidRPr="00967219">
                <w:rPr>
                  <w:rStyle w:val="Hyperlink"/>
                  <w:sz w:val="20"/>
                </w:rPr>
                <w:t>www.itu.int/climate</w:t>
              </w:r>
            </w:hyperlink>
            <w:r>
              <w:rPr>
                <w:rStyle w:val="Hyperlink"/>
                <w:sz w:val="20"/>
              </w:rPr>
              <w:t>.</w:t>
            </w:r>
          </w:p>
        </w:tc>
      </w:tr>
      <w:tr w:rsidR="00FD31A4" w:rsidRPr="004C061A" w14:paraId="510DA300" w14:textId="77777777" w:rsidTr="00FD31A4">
        <w:tc>
          <w:tcPr>
            <w:tcW w:w="1559" w:type="dxa"/>
            <w:tcBorders>
              <w:bottom w:val="nil"/>
            </w:tcBorders>
          </w:tcPr>
          <w:p w14:paraId="1D28EE87" w14:textId="52026AFB" w:rsidR="00FD31A4" w:rsidRPr="004A0398" w:rsidRDefault="00FD31A4" w:rsidP="00A62CA9">
            <w:pPr>
              <w:spacing w:before="0" w:after="60"/>
              <w:ind w:left="171" w:right="-57"/>
              <w:rPr>
                <w:rFonts w:cstheme="minorHAnsi"/>
                <w:b/>
                <w:bCs/>
                <w:sz w:val="20"/>
              </w:rPr>
            </w:pPr>
            <w:r>
              <w:rPr>
                <w:rFonts w:cstheme="minorHAnsi"/>
                <w:b/>
                <w:bCs/>
                <w:sz w:val="20"/>
              </w:rPr>
              <w:t xml:space="preserve">11.2 </w:t>
            </w:r>
            <w:r w:rsidRPr="000C0757">
              <w:rPr>
                <w:rFonts w:cstheme="minorHAnsi"/>
                <w:b/>
                <w:bCs/>
                <w:sz w:val="20"/>
              </w:rPr>
              <w:t>Mapping between ITU-D, ITU-T, and ITU-R Study Group Activities</w:t>
            </w:r>
          </w:p>
        </w:tc>
        <w:tc>
          <w:tcPr>
            <w:tcW w:w="851" w:type="dxa"/>
          </w:tcPr>
          <w:p w14:paraId="4653808B" w14:textId="506204FD" w:rsidR="00FD31A4" w:rsidRPr="004A0398" w:rsidRDefault="00FD31A4" w:rsidP="00A62CA9">
            <w:pPr>
              <w:tabs>
                <w:tab w:val="left" w:pos="567"/>
              </w:tabs>
              <w:spacing w:before="0" w:after="60"/>
              <w:ind w:left="-57" w:right="-57"/>
              <w:rPr>
                <w:rFonts w:cstheme="minorHAnsi"/>
                <w:i/>
                <w:iCs/>
                <w:sz w:val="20"/>
              </w:rPr>
            </w:pPr>
            <w:r>
              <w:rPr>
                <w:rFonts w:cstheme="minorHAnsi"/>
                <w:i/>
                <w:iCs/>
                <w:sz w:val="20"/>
              </w:rPr>
              <w:t>18</w:t>
            </w:r>
          </w:p>
        </w:tc>
        <w:tc>
          <w:tcPr>
            <w:tcW w:w="1984" w:type="dxa"/>
          </w:tcPr>
          <w:p w14:paraId="0C7723A0" w14:textId="67CCAA59" w:rsidR="00FD31A4" w:rsidRPr="004A0398" w:rsidRDefault="00FD31A4" w:rsidP="00620EB0">
            <w:pPr>
              <w:pStyle w:val="Default"/>
              <w:ind w:left="-57" w:right="-57"/>
              <w:rPr>
                <w:rFonts w:asciiTheme="minorHAnsi" w:eastAsia="Times New Roman" w:hAnsiTheme="minorHAnsi" w:cstheme="minorHAnsi"/>
                <w:sz w:val="20"/>
                <w:szCs w:val="20"/>
              </w:rPr>
            </w:pPr>
            <w:r w:rsidRPr="00D23DF3">
              <w:rPr>
                <w:rFonts w:asciiTheme="minorHAnsi" w:eastAsia="Times New Roman" w:hAnsiTheme="minorHAnsi" w:cstheme="minorHAnsi"/>
                <w:sz w:val="20"/>
                <w:szCs w:val="20"/>
                <w:lang w:val="en-GB"/>
              </w:rPr>
              <w:t>Incoming LS - LS/r on ITU inter-Sector coordination (reply to TSAG LS13)</w:t>
            </w:r>
            <w:r>
              <w:rPr>
                <w:rFonts w:asciiTheme="minorHAnsi" w:eastAsia="Times New Roman" w:hAnsiTheme="minorHAnsi" w:cstheme="minorHAnsi"/>
                <w:sz w:val="20"/>
                <w:szCs w:val="20"/>
                <w:lang w:val="en-GB"/>
              </w:rPr>
              <w:t>, from ITU-T SG5</w:t>
            </w:r>
          </w:p>
        </w:tc>
        <w:tc>
          <w:tcPr>
            <w:tcW w:w="4111" w:type="dxa"/>
            <w:vMerge w:val="restart"/>
          </w:tcPr>
          <w:p w14:paraId="519E5D68" w14:textId="156D5BDF" w:rsidR="00FD31A4" w:rsidRPr="004A0398" w:rsidRDefault="00FD31A4" w:rsidP="00A62CA9">
            <w:pPr>
              <w:spacing w:before="0"/>
              <w:rPr>
                <w:rFonts w:eastAsia="Calibri" w:cstheme="minorHAnsi"/>
                <w:sz w:val="20"/>
              </w:rPr>
            </w:pPr>
            <w:r w:rsidRPr="00BC34F3">
              <w:rPr>
                <w:rFonts w:eastAsia="Calibri" w:cstheme="minorHAnsi"/>
                <w:sz w:val="20"/>
              </w:rPr>
              <w:t xml:space="preserve">TDAG noted the liaison statements on inter-Sector coordination. TDAG further noted that the most up-to-date </w:t>
            </w:r>
            <w:hyperlink r:id="rId19" w:history="1">
              <w:r w:rsidRPr="00BC34F3">
                <w:rPr>
                  <w:rStyle w:val="Hyperlink"/>
                  <w:rFonts w:eastAsia="Calibri" w:cstheme="minorHAnsi"/>
                  <w:sz w:val="20"/>
                </w:rPr>
                <w:t>mapping tables</w:t>
              </w:r>
            </w:hyperlink>
            <w:r w:rsidRPr="00BC34F3">
              <w:rPr>
                <w:rFonts w:eastAsia="Calibri" w:cstheme="minorHAnsi"/>
                <w:sz w:val="20"/>
              </w:rPr>
              <w:t xml:space="preserve"> on inter-Sector coordination are maintained by the ISCG on its website.</w:t>
            </w:r>
          </w:p>
        </w:tc>
        <w:tc>
          <w:tcPr>
            <w:tcW w:w="2835" w:type="dxa"/>
            <w:vMerge w:val="restart"/>
          </w:tcPr>
          <w:p w14:paraId="43724608" w14:textId="0A2BFD67" w:rsidR="00FD31A4" w:rsidRPr="004A369C" w:rsidRDefault="00FD31A4" w:rsidP="004A369C">
            <w:pPr>
              <w:pStyle w:val="ListParagraph"/>
              <w:numPr>
                <w:ilvl w:val="0"/>
                <w:numId w:val="6"/>
              </w:numPr>
              <w:tabs>
                <w:tab w:val="left" w:pos="292"/>
              </w:tabs>
              <w:spacing w:before="0"/>
              <w:ind w:left="322"/>
              <w:rPr>
                <w:rFonts w:eastAsia="Calibri" w:cstheme="minorHAnsi"/>
                <w:sz w:val="20"/>
              </w:rPr>
            </w:pPr>
            <w:r>
              <w:rPr>
                <w:rFonts w:eastAsia="Calibri" w:cstheme="minorHAnsi"/>
                <w:sz w:val="20"/>
              </w:rPr>
              <w:t>Ensure that any further work on mapping is based on the up-to-date tables available on the ISCG website.</w:t>
            </w:r>
          </w:p>
        </w:tc>
        <w:tc>
          <w:tcPr>
            <w:tcW w:w="1134" w:type="dxa"/>
            <w:vMerge w:val="restart"/>
          </w:tcPr>
          <w:p w14:paraId="0AD9D9E5" w14:textId="44CF5D42" w:rsidR="00FD31A4" w:rsidRDefault="00FD31A4" w:rsidP="00A62CA9">
            <w:pPr>
              <w:tabs>
                <w:tab w:val="left" w:pos="292"/>
              </w:tabs>
              <w:spacing w:before="0"/>
              <w:rPr>
                <w:rFonts w:eastAsia="Calibri" w:cstheme="minorHAnsi"/>
                <w:sz w:val="20"/>
              </w:rPr>
            </w:pPr>
            <w:r>
              <w:rPr>
                <w:rFonts w:eastAsia="Calibri" w:cstheme="minorHAnsi"/>
                <w:sz w:val="20"/>
              </w:rPr>
              <w:t>September 2020</w:t>
            </w:r>
          </w:p>
        </w:tc>
        <w:tc>
          <w:tcPr>
            <w:tcW w:w="3119" w:type="dxa"/>
            <w:vMerge w:val="restart"/>
          </w:tcPr>
          <w:p w14:paraId="3C8244A0" w14:textId="77777777" w:rsidR="00FD31A4" w:rsidRPr="00C21423" w:rsidRDefault="00FD31A4" w:rsidP="000F0FF0">
            <w:pPr>
              <w:tabs>
                <w:tab w:val="left" w:pos="292"/>
              </w:tabs>
              <w:spacing w:before="40"/>
              <w:rPr>
                <w:rFonts w:eastAsia="Calibri" w:cstheme="minorHAnsi"/>
                <w:b/>
                <w:bCs/>
                <w:sz w:val="20"/>
              </w:rPr>
            </w:pPr>
            <w:r w:rsidRPr="00C21423">
              <w:rPr>
                <w:rFonts w:eastAsia="Calibri" w:cstheme="minorHAnsi"/>
                <w:b/>
                <w:bCs/>
                <w:sz w:val="20"/>
              </w:rPr>
              <w:t>Completed:</w:t>
            </w:r>
          </w:p>
          <w:p w14:paraId="1DAC52EE" w14:textId="77777777" w:rsidR="00FD31A4" w:rsidRDefault="00FD31A4" w:rsidP="000F0FF0">
            <w:pPr>
              <w:tabs>
                <w:tab w:val="left" w:pos="292"/>
              </w:tabs>
              <w:spacing w:before="40"/>
              <w:rPr>
                <w:rFonts w:eastAsia="Calibri" w:cstheme="minorHAnsi"/>
                <w:sz w:val="20"/>
              </w:rPr>
            </w:pPr>
            <w:r>
              <w:rPr>
                <w:rFonts w:eastAsia="Calibri" w:cstheme="minorHAnsi"/>
                <w:sz w:val="20"/>
              </w:rPr>
              <w:t>The latest mappings were reflected in the ISCG mapping tables through a proposal made by BDT.</w:t>
            </w:r>
          </w:p>
          <w:p w14:paraId="132D6F25" w14:textId="78E32D37" w:rsidR="00FD31A4" w:rsidRPr="004A0398" w:rsidRDefault="00FD31A4" w:rsidP="000F0FF0">
            <w:pPr>
              <w:tabs>
                <w:tab w:val="left" w:pos="292"/>
              </w:tabs>
              <w:spacing w:before="40"/>
              <w:rPr>
                <w:rFonts w:eastAsia="Calibri" w:cstheme="minorHAnsi"/>
                <w:sz w:val="20"/>
              </w:rPr>
            </w:pPr>
            <w:r>
              <w:rPr>
                <w:rFonts w:eastAsia="Calibri" w:cstheme="minorHAnsi"/>
                <w:sz w:val="20"/>
              </w:rPr>
              <w:t>Future updates on mappings will be continuously maintained through proposals and coordination between the three bureaux.</w:t>
            </w:r>
          </w:p>
        </w:tc>
      </w:tr>
      <w:tr w:rsidR="00FD31A4" w:rsidRPr="004C061A" w14:paraId="41613767" w14:textId="3DBF452B" w:rsidTr="00FD31A4">
        <w:tc>
          <w:tcPr>
            <w:tcW w:w="1559" w:type="dxa"/>
            <w:tcBorders>
              <w:top w:val="nil"/>
              <w:bottom w:val="nil"/>
            </w:tcBorders>
          </w:tcPr>
          <w:p w14:paraId="6CAE3794" w14:textId="1848A78A" w:rsidR="00FD31A4" w:rsidRPr="004A0398" w:rsidRDefault="00FD31A4" w:rsidP="006F22BE">
            <w:pPr>
              <w:tabs>
                <w:tab w:val="left" w:pos="567"/>
              </w:tabs>
              <w:spacing w:before="0" w:after="60"/>
              <w:ind w:left="-57" w:right="-57"/>
              <w:rPr>
                <w:rFonts w:cstheme="minorHAnsi"/>
                <w:b/>
                <w:bCs/>
                <w:sz w:val="20"/>
              </w:rPr>
            </w:pPr>
          </w:p>
        </w:tc>
        <w:tc>
          <w:tcPr>
            <w:tcW w:w="851" w:type="dxa"/>
          </w:tcPr>
          <w:p w14:paraId="7297133C" w14:textId="7E2A6E72"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19</w:t>
            </w:r>
          </w:p>
        </w:tc>
        <w:tc>
          <w:tcPr>
            <w:tcW w:w="1984" w:type="dxa"/>
          </w:tcPr>
          <w:p w14:paraId="28C9E959" w14:textId="66912516" w:rsidR="00FD31A4" w:rsidRPr="004A0398" w:rsidRDefault="00FD31A4" w:rsidP="00620EB0">
            <w:pPr>
              <w:pStyle w:val="Default"/>
              <w:ind w:left="-57" w:right="-57"/>
              <w:rPr>
                <w:rFonts w:asciiTheme="minorHAnsi" w:eastAsia="Times New Roman" w:hAnsiTheme="minorHAnsi" w:cstheme="minorHAnsi"/>
                <w:sz w:val="20"/>
                <w:szCs w:val="20"/>
              </w:rPr>
            </w:pPr>
            <w:r w:rsidRPr="00D23DF3">
              <w:rPr>
                <w:rFonts w:asciiTheme="minorHAnsi" w:eastAsia="Times New Roman" w:hAnsiTheme="minorHAnsi" w:cstheme="minorHAnsi"/>
                <w:sz w:val="20"/>
                <w:szCs w:val="20"/>
                <w:lang w:val="en-GB"/>
              </w:rPr>
              <w:t>Incoming LS - LS/r on ITU inter-Sector coordination (reply to TSAG LS13)</w:t>
            </w:r>
            <w:r>
              <w:rPr>
                <w:rFonts w:asciiTheme="minorHAnsi" w:eastAsia="Times New Roman" w:hAnsiTheme="minorHAnsi" w:cstheme="minorHAnsi"/>
                <w:sz w:val="20"/>
                <w:szCs w:val="20"/>
                <w:lang w:val="en-GB"/>
              </w:rPr>
              <w:t>, from ITU-T SG11</w:t>
            </w:r>
          </w:p>
        </w:tc>
        <w:tc>
          <w:tcPr>
            <w:tcW w:w="4111" w:type="dxa"/>
            <w:vMerge/>
          </w:tcPr>
          <w:p w14:paraId="6509BB3E" w14:textId="62238622" w:rsidR="00FD31A4" w:rsidRPr="004A0398" w:rsidRDefault="00FD31A4" w:rsidP="006F22BE">
            <w:pPr>
              <w:spacing w:before="0"/>
              <w:rPr>
                <w:rFonts w:eastAsia="Calibri" w:cstheme="minorHAnsi"/>
                <w:sz w:val="20"/>
              </w:rPr>
            </w:pPr>
          </w:p>
        </w:tc>
        <w:tc>
          <w:tcPr>
            <w:tcW w:w="2835" w:type="dxa"/>
            <w:vMerge/>
          </w:tcPr>
          <w:p w14:paraId="584F1D21" w14:textId="2194BD01" w:rsidR="00FD31A4" w:rsidRPr="004A0398" w:rsidRDefault="00FD31A4" w:rsidP="006F22BE">
            <w:pPr>
              <w:tabs>
                <w:tab w:val="left" w:pos="292"/>
              </w:tabs>
              <w:spacing w:before="0"/>
              <w:rPr>
                <w:rFonts w:eastAsia="Calibri" w:cstheme="minorHAnsi"/>
                <w:sz w:val="20"/>
              </w:rPr>
            </w:pPr>
          </w:p>
        </w:tc>
        <w:tc>
          <w:tcPr>
            <w:tcW w:w="1134" w:type="dxa"/>
            <w:vMerge/>
          </w:tcPr>
          <w:p w14:paraId="78082A93" w14:textId="77777777" w:rsidR="00FD31A4" w:rsidRPr="004A0398" w:rsidRDefault="00FD31A4" w:rsidP="006F22BE">
            <w:pPr>
              <w:tabs>
                <w:tab w:val="left" w:pos="292"/>
              </w:tabs>
              <w:spacing w:before="0"/>
              <w:rPr>
                <w:rFonts w:eastAsia="Calibri" w:cstheme="minorHAnsi"/>
                <w:sz w:val="20"/>
              </w:rPr>
            </w:pPr>
          </w:p>
        </w:tc>
        <w:tc>
          <w:tcPr>
            <w:tcW w:w="3119" w:type="dxa"/>
            <w:vMerge/>
          </w:tcPr>
          <w:p w14:paraId="6DCD5B42" w14:textId="19735171" w:rsidR="00FD31A4" w:rsidRPr="004A0398" w:rsidRDefault="00FD31A4" w:rsidP="000F0FF0">
            <w:pPr>
              <w:tabs>
                <w:tab w:val="left" w:pos="292"/>
              </w:tabs>
              <w:spacing w:before="40"/>
              <w:rPr>
                <w:rFonts w:eastAsia="Calibri" w:cstheme="minorHAnsi"/>
                <w:sz w:val="20"/>
              </w:rPr>
            </w:pPr>
          </w:p>
        </w:tc>
      </w:tr>
      <w:tr w:rsidR="00FD31A4" w:rsidRPr="004C061A" w14:paraId="7B205F56" w14:textId="73EEF679" w:rsidTr="00FD31A4">
        <w:tc>
          <w:tcPr>
            <w:tcW w:w="1559" w:type="dxa"/>
            <w:tcBorders>
              <w:top w:val="nil"/>
              <w:bottom w:val="nil"/>
            </w:tcBorders>
          </w:tcPr>
          <w:p w14:paraId="5B57869F" w14:textId="3814AD70" w:rsidR="00FD31A4" w:rsidRPr="004A0398" w:rsidRDefault="00FD31A4" w:rsidP="006F22BE">
            <w:pPr>
              <w:tabs>
                <w:tab w:val="left" w:pos="567"/>
              </w:tabs>
              <w:spacing w:before="0" w:after="60"/>
              <w:ind w:left="-57" w:right="-57"/>
              <w:rPr>
                <w:rFonts w:cstheme="minorHAnsi"/>
                <w:b/>
                <w:bCs/>
                <w:sz w:val="20"/>
              </w:rPr>
            </w:pPr>
          </w:p>
        </w:tc>
        <w:tc>
          <w:tcPr>
            <w:tcW w:w="851" w:type="dxa"/>
          </w:tcPr>
          <w:p w14:paraId="47D45F32" w14:textId="6299686B"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20</w:t>
            </w:r>
          </w:p>
        </w:tc>
        <w:tc>
          <w:tcPr>
            <w:tcW w:w="1984" w:type="dxa"/>
          </w:tcPr>
          <w:p w14:paraId="3954EE69" w14:textId="0ADC6B09" w:rsidR="00FD31A4" w:rsidRPr="004A0398" w:rsidRDefault="00FD31A4" w:rsidP="00620EB0">
            <w:pPr>
              <w:pStyle w:val="Default"/>
              <w:ind w:left="-57" w:right="-57"/>
              <w:rPr>
                <w:rFonts w:asciiTheme="minorHAnsi" w:eastAsia="Times New Roman" w:hAnsiTheme="minorHAnsi" w:cstheme="minorHAnsi"/>
                <w:sz w:val="20"/>
                <w:szCs w:val="20"/>
              </w:rPr>
            </w:pPr>
            <w:r w:rsidRPr="006A68FD">
              <w:rPr>
                <w:rFonts w:asciiTheme="minorHAnsi" w:eastAsia="Times New Roman" w:hAnsiTheme="minorHAnsi" w:cstheme="minorHAnsi"/>
                <w:sz w:val="20"/>
                <w:szCs w:val="20"/>
                <w:lang w:val="en-GB"/>
              </w:rPr>
              <w:t>Incoming LS - LS/r on ITU inter-Sector coordination</w:t>
            </w:r>
            <w:r>
              <w:rPr>
                <w:rFonts w:asciiTheme="minorHAnsi" w:eastAsia="Times New Roman" w:hAnsiTheme="minorHAnsi" w:cstheme="minorHAnsi"/>
                <w:sz w:val="20"/>
                <w:szCs w:val="20"/>
                <w:lang w:val="en-GB"/>
              </w:rPr>
              <w:t>, from ITU-T SG17</w:t>
            </w:r>
          </w:p>
        </w:tc>
        <w:tc>
          <w:tcPr>
            <w:tcW w:w="4111" w:type="dxa"/>
            <w:vMerge/>
          </w:tcPr>
          <w:p w14:paraId="0A4B058B" w14:textId="1AFBA577" w:rsidR="00FD31A4" w:rsidRPr="004A0398" w:rsidRDefault="00FD31A4" w:rsidP="006F22BE">
            <w:pPr>
              <w:pStyle w:val="Default"/>
              <w:rPr>
                <w:rFonts w:asciiTheme="minorHAnsi" w:eastAsia="Calibri" w:hAnsiTheme="minorHAnsi" w:cstheme="minorHAnsi"/>
                <w:color w:val="auto"/>
                <w:sz w:val="20"/>
                <w:szCs w:val="20"/>
                <w:lang w:val="en-GB" w:eastAsia="en-US"/>
              </w:rPr>
            </w:pPr>
          </w:p>
        </w:tc>
        <w:tc>
          <w:tcPr>
            <w:tcW w:w="2835" w:type="dxa"/>
            <w:vMerge/>
          </w:tcPr>
          <w:p w14:paraId="2A82F99B" w14:textId="7B698AB8" w:rsidR="00FD31A4" w:rsidRPr="004A0398" w:rsidRDefault="00FD31A4" w:rsidP="006F22BE">
            <w:pPr>
              <w:tabs>
                <w:tab w:val="left" w:pos="292"/>
              </w:tabs>
              <w:spacing w:before="0"/>
              <w:rPr>
                <w:rFonts w:eastAsia="Calibri" w:cstheme="minorHAnsi"/>
                <w:sz w:val="20"/>
              </w:rPr>
            </w:pPr>
          </w:p>
        </w:tc>
        <w:tc>
          <w:tcPr>
            <w:tcW w:w="1134" w:type="dxa"/>
            <w:vMerge/>
          </w:tcPr>
          <w:p w14:paraId="00A14AE3" w14:textId="77777777" w:rsidR="00FD31A4" w:rsidRPr="004A0398" w:rsidRDefault="00FD31A4" w:rsidP="006F22BE">
            <w:pPr>
              <w:tabs>
                <w:tab w:val="left" w:pos="292"/>
              </w:tabs>
              <w:spacing w:before="0"/>
              <w:rPr>
                <w:rFonts w:eastAsia="Calibri" w:cstheme="minorHAnsi"/>
                <w:sz w:val="20"/>
              </w:rPr>
            </w:pPr>
          </w:p>
        </w:tc>
        <w:tc>
          <w:tcPr>
            <w:tcW w:w="3119" w:type="dxa"/>
            <w:vMerge/>
          </w:tcPr>
          <w:p w14:paraId="317282C8" w14:textId="415BFA62" w:rsidR="00FD31A4" w:rsidRPr="004A0398" w:rsidRDefault="00FD31A4" w:rsidP="000F0FF0">
            <w:pPr>
              <w:tabs>
                <w:tab w:val="left" w:pos="292"/>
              </w:tabs>
              <w:spacing w:before="40"/>
              <w:rPr>
                <w:rFonts w:eastAsia="Calibri" w:cstheme="minorHAnsi"/>
                <w:sz w:val="20"/>
              </w:rPr>
            </w:pPr>
          </w:p>
        </w:tc>
      </w:tr>
      <w:tr w:rsidR="00FD31A4" w:rsidRPr="004C061A" w14:paraId="5B23B6C6" w14:textId="11101231" w:rsidTr="00FD31A4">
        <w:tc>
          <w:tcPr>
            <w:tcW w:w="1559" w:type="dxa"/>
            <w:tcBorders>
              <w:top w:val="nil"/>
              <w:bottom w:val="nil"/>
            </w:tcBorders>
          </w:tcPr>
          <w:p w14:paraId="23F66F23" w14:textId="0C4E8499" w:rsidR="00FD31A4" w:rsidRPr="004A0398" w:rsidRDefault="00FD31A4" w:rsidP="006F22BE">
            <w:pPr>
              <w:tabs>
                <w:tab w:val="left" w:pos="567"/>
              </w:tabs>
              <w:spacing w:before="0" w:after="60"/>
              <w:ind w:left="-57" w:right="-57"/>
              <w:rPr>
                <w:rFonts w:cstheme="minorHAnsi"/>
                <w:b/>
                <w:bCs/>
                <w:sz w:val="20"/>
              </w:rPr>
            </w:pPr>
          </w:p>
        </w:tc>
        <w:tc>
          <w:tcPr>
            <w:tcW w:w="851" w:type="dxa"/>
          </w:tcPr>
          <w:p w14:paraId="40126629" w14:textId="0321F1A5"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21</w:t>
            </w:r>
          </w:p>
        </w:tc>
        <w:tc>
          <w:tcPr>
            <w:tcW w:w="1984" w:type="dxa"/>
          </w:tcPr>
          <w:p w14:paraId="1CE60192" w14:textId="35F739C8" w:rsidR="00FD31A4" w:rsidRPr="004A0398" w:rsidRDefault="00FD31A4" w:rsidP="00620EB0">
            <w:pPr>
              <w:pStyle w:val="Default"/>
              <w:ind w:left="-57" w:right="-57"/>
              <w:rPr>
                <w:rFonts w:asciiTheme="minorHAnsi" w:eastAsia="Times New Roman" w:hAnsiTheme="minorHAnsi" w:cstheme="minorHAnsi"/>
                <w:sz w:val="20"/>
                <w:szCs w:val="20"/>
              </w:rPr>
            </w:pPr>
            <w:r w:rsidRPr="00683AA1">
              <w:rPr>
                <w:rFonts w:asciiTheme="minorHAnsi" w:eastAsia="Times New Roman" w:hAnsiTheme="minorHAnsi" w:cstheme="minorHAnsi"/>
                <w:sz w:val="20"/>
                <w:szCs w:val="20"/>
                <w:lang w:val="en-GB"/>
              </w:rPr>
              <w:t>Incoming LS - LS/r on ITU inter-Sector coordination (reply to TSAG LS13)</w:t>
            </w:r>
            <w:r>
              <w:rPr>
                <w:rFonts w:asciiTheme="minorHAnsi" w:eastAsia="Times New Roman" w:hAnsiTheme="minorHAnsi" w:cstheme="minorHAnsi"/>
                <w:sz w:val="20"/>
                <w:szCs w:val="20"/>
                <w:lang w:val="en-GB"/>
              </w:rPr>
              <w:t>, from ITU-T SG20</w:t>
            </w:r>
          </w:p>
        </w:tc>
        <w:tc>
          <w:tcPr>
            <w:tcW w:w="4111" w:type="dxa"/>
            <w:vMerge/>
          </w:tcPr>
          <w:p w14:paraId="3ED70D3D" w14:textId="55C844F2" w:rsidR="00FD31A4" w:rsidRPr="004A0398" w:rsidRDefault="00FD31A4" w:rsidP="006F22BE">
            <w:pPr>
              <w:spacing w:before="0"/>
              <w:rPr>
                <w:rFonts w:eastAsia="Calibri" w:cstheme="minorHAnsi"/>
                <w:sz w:val="20"/>
              </w:rPr>
            </w:pPr>
          </w:p>
        </w:tc>
        <w:tc>
          <w:tcPr>
            <w:tcW w:w="2835" w:type="dxa"/>
            <w:vMerge/>
          </w:tcPr>
          <w:p w14:paraId="292FA6BE" w14:textId="0BB2648E" w:rsidR="00FD31A4" w:rsidRPr="004A0398" w:rsidRDefault="00FD31A4" w:rsidP="006F22BE">
            <w:pPr>
              <w:tabs>
                <w:tab w:val="left" w:pos="292"/>
              </w:tabs>
              <w:spacing w:before="0"/>
              <w:rPr>
                <w:rFonts w:eastAsia="Calibri" w:cstheme="minorHAnsi"/>
                <w:sz w:val="20"/>
              </w:rPr>
            </w:pPr>
          </w:p>
        </w:tc>
        <w:tc>
          <w:tcPr>
            <w:tcW w:w="1134" w:type="dxa"/>
            <w:vMerge/>
          </w:tcPr>
          <w:p w14:paraId="17584C9F" w14:textId="77777777" w:rsidR="00FD31A4" w:rsidRPr="004A0398" w:rsidRDefault="00FD31A4" w:rsidP="006F22BE">
            <w:pPr>
              <w:tabs>
                <w:tab w:val="left" w:pos="292"/>
              </w:tabs>
              <w:spacing w:before="0"/>
              <w:rPr>
                <w:rFonts w:eastAsia="Calibri" w:cstheme="minorHAnsi"/>
                <w:sz w:val="20"/>
              </w:rPr>
            </w:pPr>
          </w:p>
        </w:tc>
        <w:tc>
          <w:tcPr>
            <w:tcW w:w="3119" w:type="dxa"/>
            <w:vMerge/>
          </w:tcPr>
          <w:p w14:paraId="3096ABFB" w14:textId="3A061B76" w:rsidR="00FD31A4" w:rsidRPr="004A0398" w:rsidRDefault="00FD31A4" w:rsidP="000F0FF0">
            <w:pPr>
              <w:tabs>
                <w:tab w:val="left" w:pos="292"/>
              </w:tabs>
              <w:spacing w:before="40"/>
              <w:rPr>
                <w:rFonts w:eastAsia="Calibri" w:cstheme="minorHAnsi"/>
                <w:sz w:val="20"/>
              </w:rPr>
            </w:pPr>
          </w:p>
        </w:tc>
      </w:tr>
      <w:tr w:rsidR="00FD31A4" w:rsidRPr="004C061A" w14:paraId="049794C7" w14:textId="32958B6D" w:rsidTr="00FD31A4">
        <w:tc>
          <w:tcPr>
            <w:tcW w:w="1559" w:type="dxa"/>
            <w:tcBorders>
              <w:top w:val="nil"/>
              <w:bottom w:val="nil"/>
            </w:tcBorders>
          </w:tcPr>
          <w:p w14:paraId="3A7972FF" w14:textId="3937FE18" w:rsidR="00FD31A4" w:rsidRPr="004A0398" w:rsidRDefault="00FD31A4" w:rsidP="006F22BE">
            <w:pPr>
              <w:tabs>
                <w:tab w:val="left" w:pos="567"/>
              </w:tabs>
              <w:spacing w:before="0" w:after="60"/>
              <w:ind w:left="-57" w:right="-57"/>
              <w:rPr>
                <w:rFonts w:cstheme="minorHAnsi"/>
                <w:b/>
                <w:bCs/>
                <w:sz w:val="20"/>
              </w:rPr>
            </w:pPr>
          </w:p>
        </w:tc>
        <w:tc>
          <w:tcPr>
            <w:tcW w:w="851" w:type="dxa"/>
          </w:tcPr>
          <w:p w14:paraId="603D72E8" w14:textId="5ABB7DEE"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23</w:t>
            </w:r>
          </w:p>
        </w:tc>
        <w:tc>
          <w:tcPr>
            <w:tcW w:w="1984" w:type="dxa"/>
          </w:tcPr>
          <w:p w14:paraId="306E2485" w14:textId="259750C0" w:rsidR="00FD31A4" w:rsidRPr="004A0398" w:rsidRDefault="00FD31A4" w:rsidP="00620EB0">
            <w:pPr>
              <w:pStyle w:val="Default"/>
              <w:ind w:left="-57" w:right="-57"/>
              <w:rPr>
                <w:rFonts w:asciiTheme="minorHAnsi" w:eastAsia="Times New Roman" w:hAnsiTheme="minorHAnsi" w:cstheme="minorHAnsi"/>
                <w:sz w:val="20"/>
                <w:szCs w:val="20"/>
              </w:rPr>
            </w:pPr>
            <w:r w:rsidRPr="00683AA1">
              <w:rPr>
                <w:rFonts w:asciiTheme="minorHAnsi" w:eastAsia="Times New Roman" w:hAnsiTheme="minorHAnsi" w:cstheme="minorHAnsi"/>
                <w:sz w:val="20"/>
                <w:szCs w:val="20"/>
                <w:lang w:val="en-GB"/>
              </w:rPr>
              <w:t>Incoming LS - LS/r on ITU inter-Sector coordination</w:t>
            </w:r>
            <w:r>
              <w:rPr>
                <w:rFonts w:asciiTheme="minorHAnsi" w:eastAsia="Times New Roman" w:hAnsiTheme="minorHAnsi" w:cstheme="minorHAnsi"/>
                <w:sz w:val="20"/>
                <w:szCs w:val="20"/>
                <w:lang w:val="en-GB"/>
              </w:rPr>
              <w:t>, from TSAG</w:t>
            </w:r>
          </w:p>
        </w:tc>
        <w:tc>
          <w:tcPr>
            <w:tcW w:w="4111" w:type="dxa"/>
            <w:vMerge/>
          </w:tcPr>
          <w:p w14:paraId="0C7BCDEC" w14:textId="18010BCC" w:rsidR="00FD31A4" w:rsidRPr="004A0398" w:rsidRDefault="00FD31A4" w:rsidP="00513473">
            <w:pPr>
              <w:spacing w:before="0"/>
              <w:rPr>
                <w:rFonts w:eastAsia="Calibri" w:cstheme="minorHAnsi"/>
                <w:sz w:val="20"/>
              </w:rPr>
            </w:pPr>
          </w:p>
        </w:tc>
        <w:tc>
          <w:tcPr>
            <w:tcW w:w="2835" w:type="dxa"/>
            <w:vMerge/>
          </w:tcPr>
          <w:p w14:paraId="1503AD28" w14:textId="70982645" w:rsidR="00FD31A4" w:rsidRPr="004A0398" w:rsidRDefault="00FD31A4" w:rsidP="006F22BE">
            <w:pPr>
              <w:tabs>
                <w:tab w:val="left" w:pos="292"/>
              </w:tabs>
              <w:spacing w:before="0"/>
              <w:rPr>
                <w:rFonts w:eastAsia="Calibri" w:cstheme="minorHAnsi"/>
                <w:i/>
                <w:iCs/>
                <w:sz w:val="20"/>
              </w:rPr>
            </w:pPr>
          </w:p>
        </w:tc>
        <w:tc>
          <w:tcPr>
            <w:tcW w:w="1134" w:type="dxa"/>
            <w:vMerge/>
          </w:tcPr>
          <w:p w14:paraId="2EE139DB" w14:textId="77777777" w:rsidR="00FD31A4" w:rsidRPr="004A0398" w:rsidRDefault="00FD31A4" w:rsidP="006F22BE">
            <w:pPr>
              <w:tabs>
                <w:tab w:val="left" w:pos="292"/>
              </w:tabs>
              <w:spacing w:before="0"/>
              <w:rPr>
                <w:rFonts w:eastAsia="Calibri" w:cstheme="minorHAnsi"/>
                <w:sz w:val="20"/>
              </w:rPr>
            </w:pPr>
          </w:p>
        </w:tc>
        <w:tc>
          <w:tcPr>
            <w:tcW w:w="3119" w:type="dxa"/>
            <w:vMerge/>
          </w:tcPr>
          <w:p w14:paraId="2E12A78B" w14:textId="2D7CFC21" w:rsidR="00FD31A4" w:rsidRPr="004A0398" w:rsidRDefault="00FD31A4" w:rsidP="000F0FF0">
            <w:pPr>
              <w:tabs>
                <w:tab w:val="left" w:pos="292"/>
              </w:tabs>
              <w:spacing w:before="40"/>
              <w:rPr>
                <w:rFonts w:eastAsia="Calibri" w:cstheme="minorHAnsi"/>
                <w:sz w:val="20"/>
              </w:rPr>
            </w:pPr>
          </w:p>
        </w:tc>
      </w:tr>
      <w:tr w:rsidR="00FD31A4" w:rsidRPr="004C061A" w14:paraId="6E2D6ACD" w14:textId="1CB25C43" w:rsidTr="00FD31A4">
        <w:tc>
          <w:tcPr>
            <w:tcW w:w="1559" w:type="dxa"/>
            <w:tcBorders>
              <w:top w:val="nil"/>
              <w:bottom w:val="nil"/>
            </w:tcBorders>
          </w:tcPr>
          <w:p w14:paraId="4633590E" w14:textId="5CA741A4" w:rsidR="00FD31A4" w:rsidRPr="004A0398" w:rsidRDefault="00FD31A4" w:rsidP="006F22BE">
            <w:pPr>
              <w:tabs>
                <w:tab w:val="left" w:pos="567"/>
              </w:tabs>
              <w:spacing w:before="0" w:after="60"/>
              <w:ind w:left="-57" w:right="-57"/>
              <w:rPr>
                <w:rFonts w:cstheme="minorHAnsi"/>
                <w:b/>
                <w:bCs/>
                <w:sz w:val="20"/>
              </w:rPr>
            </w:pPr>
          </w:p>
        </w:tc>
        <w:tc>
          <w:tcPr>
            <w:tcW w:w="851" w:type="dxa"/>
          </w:tcPr>
          <w:p w14:paraId="3AEC41DB" w14:textId="1D6396E7"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35</w:t>
            </w:r>
          </w:p>
        </w:tc>
        <w:tc>
          <w:tcPr>
            <w:tcW w:w="1984" w:type="dxa"/>
          </w:tcPr>
          <w:p w14:paraId="14A74B3F" w14:textId="47D7C54B" w:rsidR="00FD31A4" w:rsidRPr="004A0398" w:rsidRDefault="00FD31A4" w:rsidP="00620EB0">
            <w:pPr>
              <w:pStyle w:val="Default"/>
              <w:ind w:left="-57" w:right="-57"/>
              <w:rPr>
                <w:rFonts w:asciiTheme="minorHAnsi" w:eastAsia="Times New Roman" w:hAnsiTheme="minorHAnsi" w:cstheme="minorHAnsi"/>
                <w:sz w:val="20"/>
                <w:szCs w:val="20"/>
                <w:lang w:val="en-GB"/>
              </w:rPr>
            </w:pPr>
            <w:r w:rsidRPr="00F76E50">
              <w:rPr>
                <w:rFonts w:asciiTheme="minorHAnsi" w:eastAsia="Times New Roman" w:hAnsiTheme="minorHAnsi" w:cstheme="minorHAnsi"/>
                <w:sz w:val="20"/>
                <w:szCs w:val="20"/>
                <w:lang w:val="en-GB"/>
              </w:rPr>
              <w:t>Incoming LS - LS on ITU inter-Sector coordination</w:t>
            </w:r>
            <w:r>
              <w:rPr>
                <w:rFonts w:asciiTheme="minorHAnsi" w:eastAsia="Times New Roman" w:hAnsiTheme="minorHAnsi" w:cstheme="minorHAnsi"/>
                <w:sz w:val="20"/>
                <w:szCs w:val="20"/>
                <w:lang w:val="en-GB"/>
              </w:rPr>
              <w:t>, from TSAG</w:t>
            </w:r>
          </w:p>
        </w:tc>
        <w:tc>
          <w:tcPr>
            <w:tcW w:w="4111" w:type="dxa"/>
            <w:vMerge/>
          </w:tcPr>
          <w:p w14:paraId="70FE7DCF" w14:textId="301D4963" w:rsidR="00FD31A4" w:rsidRPr="004A0398" w:rsidRDefault="00FD31A4" w:rsidP="00983A76">
            <w:pPr>
              <w:spacing w:before="0"/>
              <w:rPr>
                <w:rFonts w:eastAsia="Calibri" w:cstheme="minorHAnsi"/>
                <w:sz w:val="20"/>
              </w:rPr>
            </w:pPr>
          </w:p>
        </w:tc>
        <w:tc>
          <w:tcPr>
            <w:tcW w:w="2835" w:type="dxa"/>
            <w:vMerge/>
          </w:tcPr>
          <w:p w14:paraId="00868169" w14:textId="14B99F34" w:rsidR="00FD31A4" w:rsidRPr="004A0398" w:rsidRDefault="00FD31A4" w:rsidP="006F22BE">
            <w:pPr>
              <w:tabs>
                <w:tab w:val="left" w:pos="292"/>
              </w:tabs>
              <w:spacing w:before="0"/>
              <w:rPr>
                <w:rFonts w:eastAsia="Calibri" w:cstheme="minorHAnsi"/>
                <w:sz w:val="20"/>
                <w:lang w:val="en-US"/>
              </w:rPr>
            </w:pPr>
          </w:p>
        </w:tc>
        <w:tc>
          <w:tcPr>
            <w:tcW w:w="1134" w:type="dxa"/>
            <w:vMerge/>
          </w:tcPr>
          <w:p w14:paraId="79D2CB2D" w14:textId="77777777" w:rsidR="00FD31A4" w:rsidRPr="004A0398" w:rsidRDefault="00FD31A4" w:rsidP="006F22BE">
            <w:pPr>
              <w:tabs>
                <w:tab w:val="left" w:pos="292"/>
              </w:tabs>
              <w:spacing w:before="0"/>
              <w:rPr>
                <w:rFonts w:eastAsia="Calibri" w:cstheme="minorHAnsi"/>
                <w:sz w:val="20"/>
                <w:lang w:val="en-US"/>
              </w:rPr>
            </w:pPr>
          </w:p>
        </w:tc>
        <w:tc>
          <w:tcPr>
            <w:tcW w:w="3119" w:type="dxa"/>
            <w:vMerge/>
          </w:tcPr>
          <w:p w14:paraId="018A24E0" w14:textId="79B041A2" w:rsidR="00FD31A4" w:rsidRPr="004A0398" w:rsidRDefault="00FD31A4" w:rsidP="000F0FF0">
            <w:pPr>
              <w:tabs>
                <w:tab w:val="left" w:pos="292"/>
              </w:tabs>
              <w:spacing w:before="40"/>
              <w:rPr>
                <w:rFonts w:eastAsia="Calibri" w:cstheme="minorHAnsi"/>
                <w:sz w:val="20"/>
                <w:lang w:val="en-US"/>
              </w:rPr>
            </w:pPr>
          </w:p>
        </w:tc>
      </w:tr>
      <w:tr w:rsidR="00FD31A4" w:rsidRPr="004C061A" w14:paraId="62416A6C" w14:textId="2BB55122" w:rsidTr="00FD31A4">
        <w:tc>
          <w:tcPr>
            <w:tcW w:w="1559" w:type="dxa"/>
            <w:tcBorders>
              <w:top w:val="nil"/>
              <w:bottom w:val="nil"/>
            </w:tcBorders>
          </w:tcPr>
          <w:p w14:paraId="5F673D5F" w14:textId="178E05C6" w:rsidR="00FD31A4" w:rsidRPr="004A0398" w:rsidRDefault="00FD31A4" w:rsidP="006F22BE">
            <w:pPr>
              <w:tabs>
                <w:tab w:val="left" w:pos="567"/>
              </w:tabs>
              <w:spacing w:before="0" w:after="60"/>
              <w:ind w:left="-57" w:right="-57"/>
              <w:rPr>
                <w:rFonts w:cstheme="minorHAnsi"/>
                <w:b/>
                <w:bCs/>
                <w:sz w:val="20"/>
              </w:rPr>
            </w:pPr>
          </w:p>
        </w:tc>
        <w:tc>
          <w:tcPr>
            <w:tcW w:w="851" w:type="dxa"/>
          </w:tcPr>
          <w:p w14:paraId="16AA4BF1" w14:textId="05DF14BF"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56</w:t>
            </w:r>
          </w:p>
        </w:tc>
        <w:tc>
          <w:tcPr>
            <w:tcW w:w="1984" w:type="dxa"/>
          </w:tcPr>
          <w:p w14:paraId="1E301BA5" w14:textId="4CCC9005" w:rsidR="00FD31A4" w:rsidRPr="004A0398" w:rsidRDefault="00FD31A4" w:rsidP="00620EB0">
            <w:pPr>
              <w:pStyle w:val="Default"/>
              <w:ind w:left="-57" w:right="-57"/>
              <w:rPr>
                <w:rFonts w:asciiTheme="minorHAnsi" w:eastAsia="Times New Roman" w:hAnsiTheme="minorHAnsi" w:cstheme="minorHAnsi"/>
                <w:sz w:val="20"/>
                <w:szCs w:val="20"/>
              </w:rPr>
            </w:pPr>
            <w:r w:rsidRPr="00F76E50">
              <w:rPr>
                <w:rFonts w:asciiTheme="minorHAnsi" w:eastAsia="Times New Roman" w:hAnsiTheme="minorHAnsi" w:cstheme="minorHAnsi"/>
                <w:sz w:val="20"/>
                <w:szCs w:val="20"/>
                <w:lang w:val="en-GB"/>
              </w:rPr>
              <w:t>Incoming LS - LS/r on ITU inter-Sector coordination (TSAG-LS22R1)</w:t>
            </w:r>
            <w:r>
              <w:rPr>
                <w:rFonts w:asciiTheme="minorHAnsi" w:eastAsia="Times New Roman" w:hAnsiTheme="minorHAnsi" w:cstheme="minorHAnsi"/>
                <w:sz w:val="20"/>
                <w:szCs w:val="20"/>
                <w:lang w:val="en-GB"/>
              </w:rPr>
              <w:t>, from ITU-T SG9</w:t>
            </w:r>
          </w:p>
        </w:tc>
        <w:tc>
          <w:tcPr>
            <w:tcW w:w="4111" w:type="dxa"/>
            <w:vMerge/>
          </w:tcPr>
          <w:p w14:paraId="36A13A2C" w14:textId="4B307822" w:rsidR="00FD31A4" w:rsidRPr="004A0398" w:rsidRDefault="00FD31A4" w:rsidP="00983A76">
            <w:pPr>
              <w:spacing w:before="0"/>
              <w:rPr>
                <w:rFonts w:eastAsia="Calibri" w:cstheme="minorHAnsi"/>
                <w:sz w:val="20"/>
              </w:rPr>
            </w:pPr>
          </w:p>
        </w:tc>
        <w:tc>
          <w:tcPr>
            <w:tcW w:w="2835" w:type="dxa"/>
            <w:vMerge/>
          </w:tcPr>
          <w:p w14:paraId="249FCC5B" w14:textId="689F87FA" w:rsidR="00FD31A4" w:rsidRPr="004A0398" w:rsidRDefault="00FD31A4" w:rsidP="006F22BE">
            <w:pPr>
              <w:tabs>
                <w:tab w:val="left" w:pos="292"/>
              </w:tabs>
              <w:spacing w:before="0"/>
              <w:rPr>
                <w:rFonts w:cstheme="minorHAnsi"/>
                <w:i/>
                <w:iCs/>
                <w:color w:val="000000" w:themeColor="text1"/>
                <w:sz w:val="20"/>
                <w:lang w:val="en-US"/>
              </w:rPr>
            </w:pPr>
          </w:p>
        </w:tc>
        <w:tc>
          <w:tcPr>
            <w:tcW w:w="1134" w:type="dxa"/>
            <w:vMerge/>
          </w:tcPr>
          <w:p w14:paraId="20FD8BB7" w14:textId="77777777" w:rsidR="00FD31A4" w:rsidRPr="004A0398" w:rsidRDefault="00FD31A4" w:rsidP="006F22BE">
            <w:pPr>
              <w:tabs>
                <w:tab w:val="left" w:pos="292"/>
              </w:tabs>
              <w:spacing w:before="0"/>
              <w:rPr>
                <w:rFonts w:cstheme="minorHAnsi"/>
                <w:color w:val="000000" w:themeColor="text1"/>
                <w:sz w:val="20"/>
                <w:lang w:val="en-US"/>
              </w:rPr>
            </w:pPr>
          </w:p>
        </w:tc>
        <w:tc>
          <w:tcPr>
            <w:tcW w:w="3119" w:type="dxa"/>
            <w:vMerge/>
          </w:tcPr>
          <w:p w14:paraId="65F66230" w14:textId="4051E651" w:rsidR="00FD31A4" w:rsidRPr="004A0398" w:rsidRDefault="00FD31A4" w:rsidP="000F0FF0">
            <w:pPr>
              <w:tabs>
                <w:tab w:val="left" w:pos="292"/>
              </w:tabs>
              <w:spacing w:before="40"/>
              <w:rPr>
                <w:rFonts w:cstheme="minorHAnsi"/>
                <w:color w:val="000000" w:themeColor="text1"/>
                <w:sz w:val="20"/>
                <w:lang w:val="en-US"/>
              </w:rPr>
            </w:pPr>
          </w:p>
        </w:tc>
      </w:tr>
      <w:tr w:rsidR="00FD31A4" w:rsidRPr="004C061A" w14:paraId="3988F383" w14:textId="77777777" w:rsidTr="00FD31A4">
        <w:tc>
          <w:tcPr>
            <w:tcW w:w="1559" w:type="dxa"/>
            <w:tcBorders>
              <w:top w:val="nil"/>
            </w:tcBorders>
          </w:tcPr>
          <w:p w14:paraId="3CDD5866" w14:textId="77777777" w:rsidR="00FD31A4" w:rsidRPr="004A0398" w:rsidRDefault="00FD31A4" w:rsidP="006F22BE">
            <w:pPr>
              <w:tabs>
                <w:tab w:val="left" w:pos="567"/>
              </w:tabs>
              <w:spacing w:before="0" w:after="60"/>
              <w:ind w:left="-57" w:right="-57"/>
              <w:rPr>
                <w:rFonts w:cstheme="minorHAnsi"/>
                <w:b/>
                <w:bCs/>
                <w:sz w:val="20"/>
              </w:rPr>
            </w:pPr>
          </w:p>
        </w:tc>
        <w:tc>
          <w:tcPr>
            <w:tcW w:w="851" w:type="dxa"/>
          </w:tcPr>
          <w:p w14:paraId="1295186D" w14:textId="52844DC5"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36</w:t>
            </w:r>
          </w:p>
        </w:tc>
        <w:tc>
          <w:tcPr>
            <w:tcW w:w="1984" w:type="dxa"/>
          </w:tcPr>
          <w:p w14:paraId="7CD6B921" w14:textId="53448858" w:rsidR="00FD31A4" w:rsidRPr="004A0398" w:rsidRDefault="00FD31A4" w:rsidP="00620EB0">
            <w:pPr>
              <w:pStyle w:val="Default"/>
              <w:ind w:left="-57" w:right="-57"/>
              <w:rPr>
                <w:rFonts w:asciiTheme="minorHAnsi" w:eastAsia="Times New Roman" w:hAnsiTheme="minorHAnsi" w:cstheme="minorHAnsi"/>
                <w:sz w:val="20"/>
                <w:szCs w:val="20"/>
              </w:rPr>
            </w:pPr>
            <w:r w:rsidRPr="000E18E8">
              <w:rPr>
                <w:rFonts w:asciiTheme="minorHAnsi" w:eastAsia="Times New Roman" w:hAnsiTheme="minorHAnsi" w:cstheme="minorHAnsi"/>
                <w:sz w:val="20"/>
                <w:szCs w:val="20"/>
                <w:lang w:val="en-GB"/>
              </w:rPr>
              <w:t>Incoming LS - LS on ITU inter-Sector coordination</w:t>
            </w:r>
            <w:r>
              <w:rPr>
                <w:rFonts w:asciiTheme="minorHAnsi" w:eastAsia="Times New Roman" w:hAnsiTheme="minorHAnsi" w:cstheme="minorHAnsi"/>
                <w:sz w:val="20"/>
                <w:szCs w:val="20"/>
                <w:lang w:val="en-GB"/>
              </w:rPr>
              <w:t>, from ITU-R SG6</w:t>
            </w:r>
          </w:p>
        </w:tc>
        <w:tc>
          <w:tcPr>
            <w:tcW w:w="4111" w:type="dxa"/>
            <w:vMerge/>
          </w:tcPr>
          <w:p w14:paraId="54891548" w14:textId="77777777" w:rsidR="00FD31A4" w:rsidRPr="004A0398" w:rsidRDefault="00FD31A4" w:rsidP="006F22BE">
            <w:pPr>
              <w:spacing w:before="0"/>
              <w:rPr>
                <w:rFonts w:eastAsia="Calibri" w:cstheme="minorHAnsi"/>
                <w:sz w:val="20"/>
              </w:rPr>
            </w:pPr>
          </w:p>
        </w:tc>
        <w:tc>
          <w:tcPr>
            <w:tcW w:w="2835" w:type="dxa"/>
            <w:vMerge/>
          </w:tcPr>
          <w:p w14:paraId="2A025362" w14:textId="77777777" w:rsidR="00FD31A4" w:rsidRPr="004A0398" w:rsidRDefault="00FD31A4" w:rsidP="006F22BE">
            <w:pPr>
              <w:tabs>
                <w:tab w:val="left" w:pos="292"/>
              </w:tabs>
              <w:spacing w:before="0"/>
              <w:rPr>
                <w:rFonts w:cstheme="minorHAnsi"/>
                <w:color w:val="000000" w:themeColor="text1"/>
                <w:sz w:val="20"/>
                <w:lang w:val="en-US"/>
              </w:rPr>
            </w:pPr>
          </w:p>
        </w:tc>
        <w:tc>
          <w:tcPr>
            <w:tcW w:w="1134" w:type="dxa"/>
            <w:vMerge/>
          </w:tcPr>
          <w:p w14:paraId="24A0696E" w14:textId="77777777" w:rsidR="00FD31A4" w:rsidRPr="004A0398" w:rsidRDefault="00FD31A4" w:rsidP="006F22BE">
            <w:pPr>
              <w:tabs>
                <w:tab w:val="left" w:pos="292"/>
              </w:tabs>
              <w:spacing w:before="0"/>
              <w:rPr>
                <w:rFonts w:cstheme="minorHAnsi"/>
                <w:color w:val="000000" w:themeColor="text1"/>
                <w:sz w:val="20"/>
                <w:lang w:val="en-US"/>
              </w:rPr>
            </w:pPr>
          </w:p>
        </w:tc>
        <w:tc>
          <w:tcPr>
            <w:tcW w:w="3119" w:type="dxa"/>
            <w:vMerge/>
          </w:tcPr>
          <w:p w14:paraId="289D6719" w14:textId="1CC3F526" w:rsidR="00FD31A4" w:rsidRPr="004A0398" w:rsidRDefault="00FD31A4" w:rsidP="000F0FF0">
            <w:pPr>
              <w:tabs>
                <w:tab w:val="left" w:pos="292"/>
              </w:tabs>
              <w:spacing w:before="40"/>
              <w:rPr>
                <w:rFonts w:cstheme="minorHAnsi"/>
                <w:color w:val="000000" w:themeColor="text1"/>
                <w:sz w:val="20"/>
                <w:lang w:val="en-US"/>
              </w:rPr>
            </w:pPr>
          </w:p>
        </w:tc>
      </w:tr>
      <w:tr w:rsidR="00FD31A4" w:rsidRPr="004C061A" w14:paraId="3B1C9408" w14:textId="77777777" w:rsidTr="00FD31A4">
        <w:tc>
          <w:tcPr>
            <w:tcW w:w="1559" w:type="dxa"/>
            <w:tcBorders>
              <w:bottom w:val="single" w:sz="4" w:space="0" w:color="auto"/>
            </w:tcBorders>
          </w:tcPr>
          <w:p w14:paraId="1EC7066F" w14:textId="732706BB" w:rsidR="00FD31A4" w:rsidRPr="004A0398" w:rsidRDefault="00FD31A4" w:rsidP="006F22BE">
            <w:pPr>
              <w:tabs>
                <w:tab w:val="left" w:pos="567"/>
              </w:tabs>
              <w:spacing w:before="0" w:after="60"/>
              <w:ind w:left="-57" w:right="-57"/>
              <w:rPr>
                <w:rFonts w:cstheme="minorHAnsi"/>
                <w:b/>
                <w:bCs/>
                <w:sz w:val="20"/>
              </w:rPr>
            </w:pPr>
            <w:r w:rsidRPr="004A0398">
              <w:rPr>
                <w:rFonts w:cstheme="minorHAnsi"/>
                <w:b/>
                <w:bCs/>
                <w:sz w:val="20"/>
              </w:rPr>
              <w:t xml:space="preserve">12. </w:t>
            </w:r>
            <w:r>
              <w:rPr>
                <w:rFonts w:cstheme="minorHAnsi"/>
                <w:b/>
                <w:bCs/>
                <w:sz w:val="20"/>
              </w:rPr>
              <w:t>Preparations for WTDC-21</w:t>
            </w:r>
          </w:p>
        </w:tc>
        <w:tc>
          <w:tcPr>
            <w:tcW w:w="851" w:type="dxa"/>
          </w:tcPr>
          <w:p w14:paraId="544E8C6A" w14:textId="7888A836"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8</w:t>
            </w:r>
          </w:p>
        </w:tc>
        <w:tc>
          <w:tcPr>
            <w:tcW w:w="1984" w:type="dxa"/>
          </w:tcPr>
          <w:p w14:paraId="646DB245" w14:textId="093A9360" w:rsidR="00FD31A4" w:rsidRPr="004A0398" w:rsidRDefault="00FD31A4" w:rsidP="00620EB0">
            <w:pPr>
              <w:pStyle w:val="Default"/>
              <w:ind w:left="-57" w:right="-57"/>
              <w:rPr>
                <w:rFonts w:asciiTheme="minorHAnsi" w:eastAsia="Times New Roman" w:hAnsiTheme="minorHAnsi" w:cstheme="minorHAnsi"/>
                <w:sz w:val="20"/>
                <w:szCs w:val="20"/>
              </w:rPr>
            </w:pPr>
            <w:r w:rsidRPr="00121413">
              <w:rPr>
                <w:rFonts w:asciiTheme="minorHAnsi" w:eastAsia="Times New Roman" w:hAnsiTheme="minorHAnsi" w:cstheme="minorHAnsi"/>
                <w:sz w:val="20"/>
                <w:szCs w:val="20"/>
                <w:lang w:val="en-GB"/>
              </w:rPr>
              <w:t>Preparations for WTDC-21  </w:t>
            </w:r>
          </w:p>
        </w:tc>
        <w:tc>
          <w:tcPr>
            <w:tcW w:w="4111" w:type="dxa"/>
          </w:tcPr>
          <w:p w14:paraId="5F5CF341" w14:textId="6724D4BB" w:rsidR="00FD31A4" w:rsidRPr="004A0398" w:rsidRDefault="00FD31A4" w:rsidP="006F22BE">
            <w:pPr>
              <w:pStyle w:val="Default"/>
              <w:rPr>
                <w:rFonts w:asciiTheme="minorHAnsi" w:eastAsia="Calibri" w:hAnsiTheme="minorHAnsi" w:cstheme="minorHAnsi"/>
                <w:color w:val="auto"/>
                <w:sz w:val="20"/>
                <w:szCs w:val="20"/>
                <w:lang w:val="en-GB" w:eastAsia="en-US"/>
              </w:rPr>
            </w:pPr>
          </w:p>
        </w:tc>
        <w:tc>
          <w:tcPr>
            <w:tcW w:w="2835" w:type="dxa"/>
          </w:tcPr>
          <w:p w14:paraId="0BECFDED" w14:textId="77777777" w:rsidR="00FD31A4" w:rsidRPr="004A0398" w:rsidRDefault="00FD31A4" w:rsidP="006F22BE">
            <w:pPr>
              <w:tabs>
                <w:tab w:val="left" w:pos="292"/>
              </w:tabs>
              <w:spacing w:before="0"/>
              <w:rPr>
                <w:rFonts w:eastAsia="Calibri" w:cstheme="minorHAnsi"/>
                <w:sz w:val="20"/>
              </w:rPr>
            </w:pPr>
          </w:p>
        </w:tc>
        <w:tc>
          <w:tcPr>
            <w:tcW w:w="1134" w:type="dxa"/>
          </w:tcPr>
          <w:p w14:paraId="53D21CFA" w14:textId="77777777" w:rsidR="00FD31A4" w:rsidRPr="004A0398" w:rsidRDefault="00FD31A4" w:rsidP="006F22BE">
            <w:pPr>
              <w:tabs>
                <w:tab w:val="left" w:pos="292"/>
              </w:tabs>
              <w:spacing w:before="0"/>
              <w:rPr>
                <w:rFonts w:eastAsia="Calibri" w:cstheme="minorHAnsi"/>
                <w:sz w:val="20"/>
              </w:rPr>
            </w:pPr>
          </w:p>
        </w:tc>
        <w:tc>
          <w:tcPr>
            <w:tcW w:w="3119" w:type="dxa"/>
          </w:tcPr>
          <w:p w14:paraId="1DD6237F" w14:textId="1514A387" w:rsidR="00FD31A4" w:rsidRPr="004A0398" w:rsidRDefault="00FD31A4" w:rsidP="000F0FF0">
            <w:pPr>
              <w:tabs>
                <w:tab w:val="left" w:pos="292"/>
              </w:tabs>
              <w:spacing w:before="40"/>
              <w:rPr>
                <w:rFonts w:eastAsia="Calibri" w:cstheme="minorHAnsi"/>
                <w:sz w:val="20"/>
              </w:rPr>
            </w:pPr>
          </w:p>
        </w:tc>
      </w:tr>
      <w:tr w:rsidR="00FD31A4" w:rsidRPr="004C061A" w14:paraId="3A0BEB65" w14:textId="77777777" w:rsidTr="00FD31A4">
        <w:tc>
          <w:tcPr>
            <w:tcW w:w="1559" w:type="dxa"/>
            <w:tcBorders>
              <w:bottom w:val="nil"/>
            </w:tcBorders>
          </w:tcPr>
          <w:p w14:paraId="5267C907" w14:textId="3F57C3CE" w:rsidR="00FD31A4" w:rsidRPr="004A0398" w:rsidRDefault="00FD31A4" w:rsidP="006F22BE">
            <w:pPr>
              <w:tabs>
                <w:tab w:val="left" w:pos="567"/>
              </w:tabs>
              <w:spacing w:before="0" w:after="60"/>
              <w:ind w:left="170" w:right="-57"/>
              <w:rPr>
                <w:rFonts w:cstheme="minorHAnsi"/>
                <w:b/>
                <w:bCs/>
                <w:sz w:val="20"/>
              </w:rPr>
            </w:pPr>
            <w:r w:rsidRPr="004A0398">
              <w:rPr>
                <w:rFonts w:cstheme="minorHAnsi"/>
                <w:b/>
                <w:bCs/>
                <w:sz w:val="20"/>
              </w:rPr>
              <w:t xml:space="preserve">12.1. </w:t>
            </w:r>
            <w:r>
              <w:rPr>
                <w:rFonts w:cstheme="minorHAnsi"/>
                <w:b/>
                <w:bCs/>
                <w:sz w:val="20"/>
              </w:rPr>
              <w:t>Proposals on improving WTDC</w:t>
            </w:r>
          </w:p>
        </w:tc>
        <w:tc>
          <w:tcPr>
            <w:tcW w:w="851" w:type="dxa"/>
          </w:tcPr>
          <w:p w14:paraId="7297EE60" w14:textId="6FF2EB4C"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40</w:t>
            </w:r>
          </w:p>
        </w:tc>
        <w:tc>
          <w:tcPr>
            <w:tcW w:w="1984" w:type="dxa"/>
          </w:tcPr>
          <w:p w14:paraId="49A0DB1A" w14:textId="1D018220" w:rsidR="00FD31A4" w:rsidRPr="004A0398" w:rsidRDefault="00FD31A4" w:rsidP="00620EB0">
            <w:pPr>
              <w:pStyle w:val="Default"/>
              <w:ind w:left="-57" w:right="-57"/>
              <w:rPr>
                <w:rFonts w:asciiTheme="minorHAnsi" w:eastAsia="Times New Roman" w:hAnsiTheme="minorHAnsi" w:cstheme="minorHAnsi"/>
                <w:sz w:val="20"/>
                <w:szCs w:val="20"/>
              </w:rPr>
            </w:pPr>
            <w:r w:rsidRPr="00D01121">
              <w:rPr>
                <w:rFonts w:asciiTheme="minorHAnsi" w:eastAsia="Times New Roman" w:hAnsiTheme="minorHAnsi" w:cstheme="minorHAnsi"/>
                <w:sz w:val="20"/>
                <w:szCs w:val="20"/>
                <w:lang w:val="en-GB"/>
              </w:rPr>
              <w:t>ITU-D Study Group and Question deliverables</w:t>
            </w:r>
            <w:r>
              <w:rPr>
                <w:rFonts w:asciiTheme="minorHAnsi" w:eastAsia="Times New Roman" w:hAnsiTheme="minorHAnsi" w:cstheme="minorHAnsi"/>
                <w:sz w:val="20"/>
                <w:szCs w:val="20"/>
                <w:lang w:val="en-GB"/>
              </w:rPr>
              <w:t>, from Brazil</w:t>
            </w:r>
          </w:p>
        </w:tc>
        <w:tc>
          <w:tcPr>
            <w:tcW w:w="4111" w:type="dxa"/>
            <w:vMerge w:val="restart"/>
          </w:tcPr>
          <w:p w14:paraId="0B01ED4B" w14:textId="77777777" w:rsidR="00FD31A4" w:rsidRDefault="00FD31A4" w:rsidP="007A6316">
            <w:pPr>
              <w:pStyle w:val="Default"/>
              <w:rPr>
                <w:rFonts w:asciiTheme="minorHAnsi" w:eastAsia="Calibri" w:hAnsiTheme="minorHAnsi" w:cstheme="minorHAnsi"/>
                <w:color w:val="auto"/>
                <w:sz w:val="20"/>
                <w:szCs w:val="20"/>
                <w:lang w:val="en-GB" w:eastAsia="en-US"/>
              </w:rPr>
            </w:pPr>
            <w:r w:rsidRPr="00A617F2">
              <w:rPr>
                <w:rFonts w:asciiTheme="minorHAnsi" w:eastAsia="Calibri" w:hAnsiTheme="minorHAnsi" w:cstheme="minorHAnsi"/>
                <w:color w:val="auto"/>
                <w:sz w:val="20"/>
                <w:szCs w:val="20"/>
                <w:lang w:val="en-GB" w:eastAsia="en-US"/>
              </w:rPr>
              <w:t xml:space="preserve">TDAG thanked all contributors for their constructive proposals, recognizing that all aim to make WTDC more efficient and impactful. TDAG agreed to set up a working group that would review the ITU-D contribution to the ITU strategic plan, to be led by Blanca Gonzalez </w:t>
            </w:r>
            <w:r w:rsidRPr="00A617F2">
              <w:rPr>
                <w:rFonts w:asciiTheme="minorHAnsi" w:eastAsia="Calibri" w:hAnsiTheme="minorHAnsi" w:cstheme="minorHAnsi"/>
                <w:b/>
                <w:color w:val="auto"/>
                <w:sz w:val="20"/>
                <w:szCs w:val="20"/>
                <w:lang w:val="en-GB" w:eastAsia="en-US"/>
              </w:rPr>
              <w:t>(Spain)</w:t>
            </w:r>
            <w:r w:rsidRPr="00A617F2">
              <w:rPr>
                <w:rFonts w:asciiTheme="minorHAnsi" w:eastAsia="Calibri" w:hAnsiTheme="minorHAnsi" w:cstheme="minorHAnsi"/>
                <w:color w:val="auto"/>
                <w:sz w:val="20"/>
                <w:szCs w:val="20"/>
                <w:lang w:val="en-GB" w:eastAsia="en-US"/>
              </w:rPr>
              <w:t xml:space="preserve"> and Christopher Kemei (</w:t>
            </w:r>
            <w:r w:rsidRPr="00A617F2">
              <w:rPr>
                <w:rFonts w:asciiTheme="minorHAnsi" w:eastAsia="Calibri" w:hAnsiTheme="minorHAnsi" w:cstheme="minorHAnsi"/>
                <w:b/>
                <w:color w:val="auto"/>
                <w:sz w:val="20"/>
                <w:szCs w:val="20"/>
                <w:lang w:val="en-GB" w:eastAsia="en-US"/>
              </w:rPr>
              <w:t>Kenya</w:t>
            </w:r>
            <w:r w:rsidRPr="00A617F2">
              <w:rPr>
                <w:rFonts w:asciiTheme="minorHAnsi" w:eastAsia="Calibri" w:hAnsiTheme="minorHAnsi" w:cstheme="minorHAnsi"/>
                <w:color w:val="auto"/>
                <w:sz w:val="20"/>
                <w:szCs w:val="20"/>
                <w:lang w:val="en-GB" w:eastAsia="en-US"/>
              </w:rPr>
              <w:t xml:space="preserve">). The terms of reference for this group, found in </w:t>
            </w:r>
            <w:hyperlink r:id="rId20" w:history="1">
              <w:r w:rsidRPr="00A617F2">
                <w:rPr>
                  <w:rStyle w:val="Hyperlink"/>
                  <w:rFonts w:asciiTheme="minorHAnsi" w:eastAsia="Calibri" w:hAnsiTheme="minorHAnsi" w:cstheme="minorHAnsi"/>
                  <w:sz w:val="20"/>
                  <w:szCs w:val="20"/>
                  <w:lang w:val="en-GB" w:eastAsia="en-US"/>
                </w:rPr>
                <w:t>DT/7</w:t>
              </w:r>
            </w:hyperlink>
            <w:r w:rsidRPr="00A617F2">
              <w:rPr>
                <w:rFonts w:asciiTheme="minorHAnsi" w:eastAsia="Calibri" w:hAnsiTheme="minorHAnsi" w:cstheme="minorHAnsi"/>
                <w:color w:val="auto"/>
                <w:sz w:val="20"/>
                <w:szCs w:val="20"/>
                <w:lang w:val="en-GB" w:eastAsia="en-US"/>
              </w:rPr>
              <w:t xml:space="preserve">, were approved.  </w:t>
            </w:r>
          </w:p>
          <w:p w14:paraId="63F9042D" w14:textId="77777777" w:rsidR="00FD31A4" w:rsidRDefault="00FD31A4" w:rsidP="007A6316">
            <w:pPr>
              <w:pStyle w:val="Default"/>
              <w:rPr>
                <w:rFonts w:asciiTheme="minorHAnsi" w:eastAsia="Calibri" w:hAnsiTheme="minorHAnsi" w:cstheme="minorHAnsi"/>
                <w:color w:val="auto"/>
                <w:sz w:val="20"/>
                <w:szCs w:val="20"/>
                <w:lang w:val="en-GB" w:eastAsia="en-US"/>
              </w:rPr>
            </w:pPr>
            <w:r w:rsidRPr="00A617F2">
              <w:rPr>
                <w:rFonts w:asciiTheme="minorHAnsi" w:eastAsia="Calibri" w:hAnsiTheme="minorHAnsi" w:cstheme="minorHAnsi"/>
                <w:color w:val="auto"/>
                <w:sz w:val="20"/>
                <w:szCs w:val="20"/>
                <w:lang w:val="en-GB" w:eastAsia="en-US"/>
              </w:rPr>
              <w:t xml:space="preserve">TDAG also agreed to create two working groups to prepare for WTDC-21: a group to work on WTDC preparations and a group to work on </w:t>
            </w:r>
            <w:r w:rsidRPr="00A617F2">
              <w:rPr>
                <w:rFonts w:asciiTheme="minorHAnsi" w:eastAsia="Calibri" w:hAnsiTheme="minorHAnsi" w:cstheme="minorHAnsi"/>
                <w:color w:val="auto"/>
                <w:sz w:val="20"/>
                <w:szCs w:val="20"/>
                <w:lang w:val="en-GB" w:eastAsia="en-US"/>
              </w:rPr>
              <w:lastRenderedPageBreak/>
              <w:t xml:space="preserve">administrative outputs such as resolutions and the Declaration. </w:t>
            </w:r>
          </w:p>
          <w:p w14:paraId="63221972" w14:textId="77777777" w:rsidR="00FD31A4" w:rsidRDefault="00FD31A4" w:rsidP="007A6316">
            <w:pPr>
              <w:pStyle w:val="Default"/>
              <w:rPr>
                <w:rFonts w:asciiTheme="minorHAnsi" w:eastAsia="Calibri" w:hAnsiTheme="minorHAnsi" w:cstheme="minorHAnsi"/>
                <w:color w:val="auto"/>
                <w:sz w:val="20"/>
                <w:szCs w:val="20"/>
                <w:lang w:val="en-GB" w:eastAsia="en-US"/>
              </w:rPr>
            </w:pPr>
            <w:r w:rsidRPr="00A617F2">
              <w:rPr>
                <w:rFonts w:asciiTheme="minorHAnsi" w:eastAsia="Calibri" w:hAnsiTheme="minorHAnsi" w:cstheme="minorHAnsi"/>
                <w:color w:val="auto"/>
                <w:sz w:val="20"/>
                <w:szCs w:val="20"/>
                <w:lang w:val="en-GB" w:eastAsia="en-US"/>
              </w:rPr>
              <w:t xml:space="preserve">TDAG discussed using the proposals in the Director’s Document 51 as a basis for a way forward and agreed that an extraordinary session of TDAG would be held on June 16 or 17 to establish high-level terms of reference for both groups. </w:t>
            </w:r>
          </w:p>
          <w:p w14:paraId="2E372838" w14:textId="77777777" w:rsidR="00FD31A4" w:rsidRDefault="00FD31A4" w:rsidP="007A6316">
            <w:pPr>
              <w:pStyle w:val="Default"/>
              <w:rPr>
                <w:rFonts w:asciiTheme="minorHAnsi" w:eastAsia="Calibri" w:hAnsiTheme="minorHAnsi" w:cstheme="minorHAnsi"/>
                <w:color w:val="auto"/>
                <w:sz w:val="20"/>
                <w:szCs w:val="20"/>
                <w:lang w:val="en-GB" w:eastAsia="en-US"/>
              </w:rPr>
            </w:pPr>
            <w:r w:rsidRPr="00A617F2">
              <w:rPr>
                <w:rFonts w:asciiTheme="minorHAnsi" w:eastAsia="Calibri" w:hAnsiTheme="minorHAnsi" w:cstheme="minorHAnsi"/>
                <w:color w:val="auto"/>
                <w:sz w:val="20"/>
                <w:szCs w:val="20"/>
                <w:lang w:val="en-GB" w:eastAsia="en-US"/>
              </w:rPr>
              <w:t xml:space="preserve">TDAG agreed that the group on WTDC Preparations would be led by Santiago Reyes-Borda of </w:t>
            </w:r>
            <w:r w:rsidRPr="00A617F2">
              <w:rPr>
                <w:rFonts w:asciiTheme="minorHAnsi" w:eastAsia="Calibri" w:hAnsiTheme="minorHAnsi" w:cstheme="minorHAnsi"/>
                <w:b/>
                <w:color w:val="auto"/>
                <w:sz w:val="20"/>
                <w:szCs w:val="20"/>
                <w:lang w:val="en-GB" w:eastAsia="en-US"/>
              </w:rPr>
              <w:t>Canada</w:t>
            </w:r>
            <w:r w:rsidRPr="00A617F2">
              <w:rPr>
                <w:rFonts w:asciiTheme="minorHAnsi" w:eastAsia="Calibri" w:hAnsiTheme="minorHAnsi" w:cstheme="minorHAnsi"/>
                <w:color w:val="auto"/>
                <w:sz w:val="20"/>
                <w:szCs w:val="20"/>
                <w:lang w:val="en-GB" w:eastAsia="en-US"/>
              </w:rPr>
              <w:t xml:space="preserve">.  </w:t>
            </w:r>
          </w:p>
          <w:p w14:paraId="3B024299" w14:textId="150EC536" w:rsidR="00FD31A4" w:rsidRPr="004A0398" w:rsidRDefault="00FD31A4" w:rsidP="007A6316">
            <w:pPr>
              <w:pStyle w:val="Default"/>
              <w:rPr>
                <w:rFonts w:asciiTheme="minorHAnsi" w:eastAsia="Calibri" w:hAnsiTheme="minorHAnsi" w:cstheme="minorHAnsi"/>
                <w:color w:val="auto"/>
                <w:sz w:val="20"/>
                <w:szCs w:val="20"/>
                <w:lang w:val="en-GB" w:eastAsia="en-US"/>
              </w:rPr>
            </w:pPr>
            <w:r w:rsidRPr="00A617F2">
              <w:rPr>
                <w:rFonts w:asciiTheme="minorHAnsi" w:eastAsia="Calibri" w:hAnsiTheme="minorHAnsi" w:cstheme="minorHAnsi"/>
                <w:color w:val="auto"/>
                <w:sz w:val="20"/>
                <w:szCs w:val="20"/>
                <w:lang w:val="en-GB" w:eastAsia="en-US"/>
              </w:rPr>
              <w:t>The date for the meeting was subsequently fixed as 16 June 2020.</w:t>
            </w:r>
          </w:p>
        </w:tc>
        <w:tc>
          <w:tcPr>
            <w:tcW w:w="2835" w:type="dxa"/>
            <w:vMerge w:val="restart"/>
          </w:tcPr>
          <w:p w14:paraId="7D35C665" w14:textId="77777777" w:rsidR="00FD31A4" w:rsidRDefault="00FD31A4" w:rsidP="00001589">
            <w:pPr>
              <w:pStyle w:val="ListParagraph"/>
              <w:numPr>
                <w:ilvl w:val="0"/>
                <w:numId w:val="6"/>
              </w:numPr>
              <w:tabs>
                <w:tab w:val="left" w:pos="292"/>
              </w:tabs>
              <w:spacing w:before="0"/>
              <w:ind w:left="322"/>
              <w:rPr>
                <w:rFonts w:eastAsia="Calibri" w:cstheme="minorHAnsi"/>
                <w:sz w:val="20"/>
              </w:rPr>
            </w:pPr>
            <w:r>
              <w:rPr>
                <w:rFonts w:eastAsia="Calibri" w:cstheme="minorHAnsi"/>
                <w:sz w:val="20"/>
              </w:rPr>
              <w:lastRenderedPageBreak/>
              <w:t xml:space="preserve">Follow-up on creation of working group on Strategic and Operational Plans (TDAG-WG-SOP) to start off its </w:t>
            </w:r>
            <w:proofErr w:type="gramStart"/>
            <w:r>
              <w:rPr>
                <w:rFonts w:eastAsia="Calibri" w:cstheme="minorHAnsi"/>
                <w:sz w:val="20"/>
              </w:rPr>
              <w:t>work;</w:t>
            </w:r>
            <w:proofErr w:type="gramEnd"/>
          </w:p>
          <w:p w14:paraId="60C1AC5D" w14:textId="198D485D" w:rsidR="00FD31A4" w:rsidRPr="00001589" w:rsidRDefault="00FD31A4" w:rsidP="00001589">
            <w:pPr>
              <w:pStyle w:val="ListParagraph"/>
              <w:numPr>
                <w:ilvl w:val="0"/>
                <w:numId w:val="6"/>
              </w:numPr>
              <w:tabs>
                <w:tab w:val="left" w:pos="292"/>
              </w:tabs>
              <w:spacing w:before="0"/>
              <w:ind w:left="322"/>
              <w:rPr>
                <w:rFonts w:eastAsia="Calibri" w:cstheme="minorHAnsi"/>
                <w:sz w:val="20"/>
              </w:rPr>
            </w:pPr>
            <w:r>
              <w:rPr>
                <w:rFonts w:eastAsia="Calibri" w:cstheme="minorHAnsi"/>
                <w:sz w:val="20"/>
              </w:rPr>
              <w:t>Follow up on creation of working groups on WTDC preparations and organise an extraordinary TDAG meeting on 16 June 2020.</w:t>
            </w:r>
          </w:p>
        </w:tc>
        <w:tc>
          <w:tcPr>
            <w:tcW w:w="1134" w:type="dxa"/>
            <w:vMerge w:val="restart"/>
          </w:tcPr>
          <w:p w14:paraId="73B217F7" w14:textId="77777777" w:rsidR="00FD31A4" w:rsidRDefault="00FD31A4" w:rsidP="006F22BE">
            <w:pPr>
              <w:tabs>
                <w:tab w:val="left" w:pos="292"/>
              </w:tabs>
              <w:spacing w:before="0"/>
              <w:rPr>
                <w:rFonts w:eastAsia="Calibri" w:cstheme="minorHAnsi"/>
                <w:sz w:val="20"/>
              </w:rPr>
            </w:pPr>
            <w:r>
              <w:rPr>
                <w:rFonts w:eastAsia="Calibri" w:cstheme="minorHAnsi"/>
                <w:sz w:val="20"/>
              </w:rPr>
              <w:t>17 July 2020</w:t>
            </w:r>
            <w:r>
              <w:rPr>
                <w:rFonts w:eastAsia="Calibri" w:cstheme="minorHAnsi"/>
                <w:sz w:val="20"/>
              </w:rPr>
              <w:br/>
            </w:r>
            <w:r>
              <w:rPr>
                <w:rFonts w:eastAsia="Calibri" w:cstheme="minorHAnsi"/>
                <w:sz w:val="20"/>
              </w:rPr>
              <w:br/>
            </w:r>
            <w:r>
              <w:rPr>
                <w:rFonts w:eastAsia="Calibri" w:cstheme="minorHAnsi"/>
                <w:sz w:val="20"/>
              </w:rPr>
              <w:br/>
            </w:r>
            <w:r>
              <w:rPr>
                <w:rFonts w:eastAsia="Calibri" w:cstheme="minorHAnsi"/>
                <w:sz w:val="20"/>
              </w:rPr>
              <w:br/>
            </w:r>
          </w:p>
          <w:p w14:paraId="137D8B38" w14:textId="7773599B" w:rsidR="00FD31A4" w:rsidRDefault="00FD31A4" w:rsidP="006F22BE">
            <w:pPr>
              <w:tabs>
                <w:tab w:val="left" w:pos="292"/>
              </w:tabs>
              <w:spacing w:before="0"/>
              <w:rPr>
                <w:rFonts w:eastAsia="Calibri" w:cstheme="minorHAnsi"/>
                <w:sz w:val="20"/>
              </w:rPr>
            </w:pPr>
            <w:r>
              <w:rPr>
                <w:rFonts w:eastAsia="Calibri" w:cstheme="minorHAnsi"/>
                <w:sz w:val="20"/>
              </w:rPr>
              <w:t>16 June 2020</w:t>
            </w:r>
          </w:p>
        </w:tc>
        <w:tc>
          <w:tcPr>
            <w:tcW w:w="3119" w:type="dxa"/>
            <w:vMerge w:val="restart"/>
          </w:tcPr>
          <w:p w14:paraId="0C119BAB" w14:textId="0AA401E0" w:rsidR="00FD31A4" w:rsidRPr="00C21423" w:rsidRDefault="00FD31A4" w:rsidP="000F0FF0">
            <w:pPr>
              <w:tabs>
                <w:tab w:val="left" w:pos="292"/>
              </w:tabs>
              <w:spacing w:before="40"/>
              <w:rPr>
                <w:rFonts w:eastAsia="Calibri" w:cstheme="minorHAnsi"/>
                <w:sz w:val="20"/>
              </w:rPr>
            </w:pPr>
            <w:r>
              <w:rPr>
                <w:rFonts w:eastAsia="Calibri" w:cstheme="minorHAnsi"/>
                <w:b/>
                <w:bCs/>
                <w:sz w:val="20"/>
              </w:rPr>
              <w:t>Completed:</w:t>
            </w:r>
          </w:p>
          <w:p w14:paraId="00FE6240" w14:textId="7765BB67" w:rsidR="00FD31A4" w:rsidRPr="00441464" w:rsidRDefault="00FD31A4" w:rsidP="000F0FF0">
            <w:pPr>
              <w:tabs>
                <w:tab w:val="left" w:pos="292"/>
              </w:tabs>
              <w:spacing w:before="40"/>
              <w:rPr>
                <w:rFonts w:eastAsia="Calibri" w:cstheme="minorHAnsi"/>
                <w:sz w:val="20"/>
              </w:rPr>
            </w:pPr>
            <w:r>
              <w:rPr>
                <w:rFonts w:eastAsia="Calibri" w:cstheme="minorHAnsi"/>
                <w:sz w:val="20"/>
              </w:rPr>
              <w:t>The TDAG extraordinary meeting took place on 16 June, during which Terms of Reference for the Working Groups were approved. The three Working Groups have been meeting since July.  All three groups will submit a report to the extraordinary TDAG meeting to be held on 23 November.</w:t>
            </w:r>
          </w:p>
        </w:tc>
      </w:tr>
      <w:tr w:rsidR="00FD31A4" w:rsidRPr="00B46419" w14:paraId="0CBBA001" w14:textId="77777777" w:rsidTr="00FD31A4">
        <w:tc>
          <w:tcPr>
            <w:tcW w:w="1559" w:type="dxa"/>
            <w:tcBorders>
              <w:top w:val="nil"/>
              <w:bottom w:val="nil"/>
            </w:tcBorders>
          </w:tcPr>
          <w:p w14:paraId="433B2F41" w14:textId="77777777" w:rsidR="00FD31A4" w:rsidRPr="004A0398" w:rsidRDefault="00FD31A4" w:rsidP="006F22BE">
            <w:pPr>
              <w:tabs>
                <w:tab w:val="left" w:pos="567"/>
              </w:tabs>
              <w:spacing w:before="0" w:after="60"/>
              <w:ind w:left="-57" w:right="-57"/>
              <w:rPr>
                <w:rFonts w:cstheme="minorHAnsi"/>
                <w:b/>
                <w:bCs/>
                <w:sz w:val="20"/>
              </w:rPr>
            </w:pPr>
          </w:p>
        </w:tc>
        <w:tc>
          <w:tcPr>
            <w:tcW w:w="851" w:type="dxa"/>
          </w:tcPr>
          <w:p w14:paraId="595530E6" w14:textId="1FF70526" w:rsidR="00FD31A4" w:rsidRPr="009C4066" w:rsidRDefault="00FD31A4" w:rsidP="006F22BE">
            <w:pPr>
              <w:tabs>
                <w:tab w:val="left" w:pos="567"/>
              </w:tabs>
              <w:spacing w:before="0" w:after="60"/>
              <w:ind w:left="-57" w:right="-57"/>
              <w:rPr>
                <w:rFonts w:cstheme="minorHAnsi"/>
                <w:i/>
                <w:iCs/>
                <w:sz w:val="20"/>
              </w:rPr>
            </w:pPr>
            <w:r w:rsidRPr="009C4066">
              <w:rPr>
                <w:rFonts w:cstheme="minorHAnsi"/>
                <w:i/>
                <w:iCs/>
                <w:sz w:val="20"/>
              </w:rPr>
              <w:t>41</w:t>
            </w:r>
          </w:p>
        </w:tc>
        <w:tc>
          <w:tcPr>
            <w:tcW w:w="1984" w:type="dxa"/>
          </w:tcPr>
          <w:p w14:paraId="3441BDCC" w14:textId="1248AB5E" w:rsidR="00FD31A4" w:rsidRPr="00D01121" w:rsidRDefault="00FD31A4" w:rsidP="00620EB0">
            <w:pPr>
              <w:tabs>
                <w:tab w:val="left" w:pos="567"/>
              </w:tabs>
              <w:spacing w:before="0" w:after="60"/>
              <w:ind w:left="-57" w:right="-57"/>
              <w:rPr>
                <w:rFonts w:cstheme="minorHAnsi"/>
                <w:sz w:val="20"/>
              </w:rPr>
            </w:pPr>
            <w:r w:rsidRPr="00D01121">
              <w:rPr>
                <w:rFonts w:cstheme="minorHAnsi"/>
                <w:sz w:val="20"/>
              </w:rPr>
              <w:t>The BDT new cluster-based approach</w:t>
            </w:r>
            <w:r>
              <w:rPr>
                <w:rFonts w:cstheme="minorHAnsi"/>
                <w:sz w:val="20"/>
              </w:rPr>
              <w:t>, from Brazil</w:t>
            </w:r>
          </w:p>
        </w:tc>
        <w:tc>
          <w:tcPr>
            <w:tcW w:w="4111" w:type="dxa"/>
            <w:vMerge/>
          </w:tcPr>
          <w:p w14:paraId="591B1792" w14:textId="77777777" w:rsidR="00FD31A4" w:rsidRPr="00B46419" w:rsidRDefault="00FD31A4" w:rsidP="00B46419">
            <w:pPr>
              <w:tabs>
                <w:tab w:val="left" w:pos="567"/>
              </w:tabs>
              <w:spacing w:before="0" w:after="60"/>
              <w:ind w:left="-57" w:right="-57"/>
              <w:rPr>
                <w:rFonts w:cstheme="minorHAnsi"/>
                <w:b/>
                <w:bCs/>
                <w:sz w:val="20"/>
              </w:rPr>
            </w:pPr>
          </w:p>
        </w:tc>
        <w:tc>
          <w:tcPr>
            <w:tcW w:w="2835" w:type="dxa"/>
            <w:vMerge/>
          </w:tcPr>
          <w:p w14:paraId="7F641B6B" w14:textId="77777777" w:rsidR="00FD31A4" w:rsidRPr="007A6316" w:rsidRDefault="00FD31A4" w:rsidP="00B46419">
            <w:pPr>
              <w:tabs>
                <w:tab w:val="left" w:pos="567"/>
              </w:tabs>
              <w:spacing w:before="0" w:after="60"/>
              <w:ind w:left="-57" w:right="-57"/>
              <w:rPr>
                <w:rFonts w:cstheme="minorHAnsi"/>
                <w:sz w:val="20"/>
              </w:rPr>
            </w:pPr>
          </w:p>
        </w:tc>
        <w:tc>
          <w:tcPr>
            <w:tcW w:w="1134" w:type="dxa"/>
            <w:vMerge/>
          </w:tcPr>
          <w:p w14:paraId="41BB401E" w14:textId="77777777" w:rsidR="00FD31A4" w:rsidRPr="007A6316" w:rsidRDefault="00FD31A4" w:rsidP="00B46419">
            <w:pPr>
              <w:tabs>
                <w:tab w:val="left" w:pos="567"/>
              </w:tabs>
              <w:spacing w:before="0" w:after="60"/>
              <w:ind w:left="-57" w:right="-57"/>
              <w:rPr>
                <w:rFonts w:cstheme="minorHAnsi"/>
                <w:sz w:val="20"/>
              </w:rPr>
            </w:pPr>
          </w:p>
        </w:tc>
        <w:tc>
          <w:tcPr>
            <w:tcW w:w="3119" w:type="dxa"/>
            <w:vMerge/>
          </w:tcPr>
          <w:p w14:paraId="57CA7371" w14:textId="36464B15" w:rsidR="00FD31A4" w:rsidRPr="007A6316" w:rsidRDefault="00FD31A4" w:rsidP="000F0FF0">
            <w:pPr>
              <w:tabs>
                <w:tab w:val="left" w:pos="567"/>
              </w:tabs>
              <w:spacing w:before="40"/>
              <w:ind w:left="-57" w:right="-57"/>
              <w:rPr>
                <w:rFonts w:cstheme="minorHAnsi"/>
                <w:sz w:val="20"/>
              </w:rPr>
            </w:pPr>
          </w:p>
        </w:tc>
      </w:tr>
      <w:tr w:rsidR="00FD31A4" w:rsidRPr="00B46419" w14:paraId="4973E442" w14:textId="77777777" w:rsidTr="00FD31A4">
        <w:tc>
          <w:tcPr>
            <w:tcW w:w="1559" w:type="dxa"/>
            <w:tcBorders>
              <w:top w:val="nil"/>
              <w:bottom w:val="nil"/>
            </w:tcBorders>
          </w:tcPr>
          <w:p w14:paraId="1F29AFA8" w14:textId="77777777" w:rsidR="00FD31A4" w:rsidRPr="004A0398" w:rsidRDefault="00FD31A4" w:rsidP="006F22BE">
            <w:pPr>
              <w:tabs>
                <w:tab w:val="left" w:pos="567"/>
              </w:tabs>
              <w:spacing w:before="0" w:after="60"/>
              <w:ind w:left="-57" w:right="-57"/>
              <w:rPr>
                <w:rFonts w:cstheme="minorHAnsi"/>
                <w:b/>
                <w:bCs/>
                <w:sz w:val="20"/>
              </w:rPr>
            </w:pPr>
          </w:p>
        </w:tc>
        <w:tc>
          <w:tcPr>
            <w:tcW w:w="851" w:type="dxa"/>
          </w:tcPr>
          <w:p w14:paraId="6657F0AA" w14:textId="711807F7" w:rsidR="00FD31A4" w:rsidRPr="00967FDF" w:rsidRDefault="00FD31A4" w:rsidP="006F22BE">
            <w:pPr>
              <w:tabs>
                <w:tab w:val="left" w:pos="567"/>
              </w:tabs>
              <w:spacing w:before="0" w:after="60"/>
              <w:ind w:left="-57" w:right="-57"/>
              <w:rPr>
                <w:rFonts w:cstheme="minorHAnsi"/>
                <w:i/>
                <w:iCs/>
                <w:sz w:val="16"/>
                <w:szCs w:val="16"/>
              </w:rPr>
            </w:pPr>
            <w:r w:rsidRPr="00967FDF">
              <w:rPr>
                <w:rFonts w:cstheme="minorHAnsi"/>
                <w:i/>
                <w:iCs/>
                <w:sz w:val="16"/>
                <w:szCs w:val="16"/>
              </w:rPr>
              <w:t>37(Rev2)</w:t>
            </w:r>
          </w:p>
        </w:tc>
        <w:tc>
          <w:tcPr>
            <w:tcW w:w="1984" w:type="dxa"/>
          </w:tcPr>
          <w:p w14:paraId="56B88F36" w14:textId="2C8E151E" w:rsidR="00FD31A4" w:rsidRPr="00D01121" w:rsidRDefault="00FD31A4" w:rsidP="00620EB0">
            <w:pPr>
              <w:tabs>
                <w:tab w:val="left" w:pos="567"/>
              </w:tabs>
              <w:spacing w:before="0" w:after="60"/>
              <w:ind w:left="-57" w:right="-57"/>
              <w:rPr>
                <w:rFonts w:cstheme="minorHAnsi"/>
                <w:sz w:val="20"/>
              </w:rPr>
            </w:pPr>
            <w:r w:rsidRPr="00D01121">
              <w:rPr>
                <w:rFonts w:cstheme="minorHAnsi"/>
                <w:sz w:val="20"/>
              </w:rPr>
              <w:t>Achieving organizational and operational efficiencies at WTDC-21</w:t>
            </w:r>
            <w:r>
              <w:rPr>
                <w:rFonts w:cstheme="minorHAnsi"/>
                <w:sz w:val="20"/>
              </w:rPr>
              <w:t>, from Canada</w:t>
            </w:r>
          </w:p>
        </w:tc>
        <w:tc>
          <w:tcPr>
            <w:tcW w:w="4111" w:type="dxa"/>
            <w:vMerge/>
          </w:tcPr>
          <w:p w14:paraId="015AE236" w14:textId="77777777" w:rsidR="00FD31A4" w:rsidRPr="00B46419" w:rsidRDefault="00FD31A4" w:rsidP="00B46419">
            <w:pPr>
              <w:tabs>
                <w:tab w:val="left" w:pos="567"/>
              </w:tabs>
              <w:spacing w:before="0" w:after="60"/>
              <w:ind w:left="-57" w:right="-57"/>
              <w:rPr>
                <w:rFonts w:cstheme="minorHAnsi"/>
                <w:b/>
                <w:bCs/>
                <w:sz w:val="20"/>
              </w:rPr>
            </w:pPr>
          </w:p>
        </w:tc>
        <w:tc>
          <w:tcPr>
            <w:tcW w:w="2835" w:type="dxa"/>
            <w:vMerge/>
          </w:tcPr>
          <w:p w14:paraId="16A4F20F" w14:textId="77777777" w:rsidR="00FD31A4" w:rsidRPr="007A6316" w:rsidRDefault="00FD31A4" w:rsidP="00B46419">
            <w:pPr>
              <w:tabs>
                <w:tab w:val="left" w:pos="567"/>
              </w:tabs>
              <w:spacing w:before="0" w:after="60"/>
              <w:ind w:left="-57" w:right="-57"/>
              <w:rPr>
                <w:rFonts w:cstheme="minorHAnsi"/>
                <w:sz w:val="20"/>
              </w:rPr>
            </w:pPr>
          </w:p>
        </w:tc>
        <w:tc>
          <w:tcPr>
            <w:tcW w:w="1134" w:type="dxa"/>
            <w:vMerge/>
          </w:tcPr>
          <w:p w14:paraId="7D2718C8" w14:textId="77777777" w:rsidR="00FD31A4" w:rsidRPr="007A6316" w:rsidRDefault="00FD31A4" w:rsidP="00B46419">
            <w:pPr>
              <w:tabs>
                <w:tab w:val="left" w:pos="567"/>
              </w:tabs>
              <w:spacing w:before="0" w:after="60"/>
              <w:ind w:left="-57" w:right="-57"/>
              <w:rPr>
                <w:rFonts w:cstheme="minorHAnsi"/>
                <w:sz w:val="20"/>
              </w:rPr>
            </w:pPr>
          </w:p>
        </w:tc>
        <w:tc>
          <w:tcPr>
            <w:tcW w:w="3119" w:type="dxa"/>
            <w:vMerge/>
          </w:tcPr>
          <w:p w14:paraId="44ECBF4E" w14:textId="4D1A1867" w:rsidR="00FD31A4" w:rsidRPr="007A6316" w:rsidRDefault="00FD31A4" w:rsidP="000F0FF0">
            <w:pPr>
              <w:tabs>
                <w:tab w:val="left" w:pos="567"/>
              </w:tabs>
              <w:spacing w:before="40"/>
              <w:ind w:left="-57" w:right="-57"/>
              <w:rPr>
                <w:rFonts w:cstheme="minorHAnsi"/>
                <w:sz w:val="20"/>
              </w:rPr>
            </w:pPr>
          </w:p>
        </w:tc>
      </w:tr>
      <w:tr w:rsidR="00FD31A4" w:rsidRPr="00B46419" w14:paraId="23DD2B3C" w14:textId="77777777" w:rsidTr="00FD31A4">
        <w:tc>
          <w:tcPr>
            <w:tcW w:w="1559" w:type="dxa"/>
            <w:tcBorders>
              <w:top w:val="nil"/>
              <w:bottom w:val="nil"/>
            </w:tcBorders>
          </w:tcPr>
          <w:p w14:paraId="41FD6534" w14:textId="77777777" w:rsidR="00FD31A4" w:rsidRPr="004A0398" w:rsidRDefault="00FD31A4" w:rsidP="006F22BE">
            <w:pPr>
              <w:tabs>
                <w:tab w:val="left" w:pos="567"/>
              </w:tabs>
              <w:spacing w:before="0" w:after="60"/>
              <w:ind w:left="-57" w:right="-57"/>
              <w:rPr>
                <w:rFonts w:cstheme="minorHAnsi"/>
                <w:b/>
                <w:bCs/>
                <w:sz w:val="20"/>
              </w:rPr>
            </w:pPr>
          </w:p>
        </w:tc>
        <w:tc>
          <w:tcPr>
            <w:tcW w:w="851" w:type="dxa"/>
          </w:tcPr>
          <w:p w14:paraId="409417F6" w14:textId="525B4836" w:rsidR="00FD31A4" w:rsidRPr="009C4066" w:rsidRDefault="00FD31A4" w:rsidP="006F22BE">
            <w:pPr>
              <w:tabs>
                <w:tab w:val="left" w:pos="567"/>
              </w:tabs>
              <w:spacing w:before="0" w:after="60"/>
              <w:ind w:left="-57" w:right="-57"/>
              <w:rPr>
                <w:rFonts w:cstheme="minorHAnsi"/>
                <w:i/>
                <w:iCs/>
                <w:sz w:val="20"/>
              </w:rPr>
            </w:pPr>
            <w:r w:rsidRPr="009C4066">
              <w:rPr>
                <w:rFonts w:cstheme="minorHAnsi"/>
                <w:i/>
                <w:iCs/>
                <w:sz w:val="20"/>
              </w:rPr>
              <w:t>43</w:t>
            </w:r>
          </w:p>
        </w:tc>
        <w:tc>
          <w:tcPr>
            <w:tcW w:w="1984" w:type="dxa"/>
          </w:tcPr>
          <w:p w14:paraId="0C67FD28" w14:textId="5C173005" w:rsidR="00FD31A4" w:rsidRPr="00D01121" w:rsidRDefault="00FD31A4" w:rsidP="00620EB0">
            <w:pPr>
              <w:tabs>
                <w:tab w:val="left" w:pos="567"/>
              </w:tabs>
              <w:spacing w:before="0" w:after="60"/>
              <w:ind w:left="-57" w:right="-57"/>
              <w:rPr>
                <w:rFonts w:cstheme="minorHAnsi"/>
                <w:sz w:val="20"/>
              </w:rPr>
            </w:pPr>
            <w:r w:rsidRPr="00170035">
              <w:rPr>
                <w:rFonts w:cstheme="minorHAnsi"/>
                <w:sz w:val="20"/>
              </w:rPr>
              <w:t>Preparation for the World Telecommunication Development Conference 2021</w:t>
            </w:r>
            <w:r>
              <w:rPr>
                <w:rFonts w:cstheme="minorHAnsi"/>
                <w:sz w:val="20"/>
              </w:rPr>
              <w:t>, from Russia</w:t>
            </w:r>
          </w:p>
        </w:tc>
        <w:tc>
          <w:tcPr>
            <w:tcW w:w="4111" w:type="dxa"/>
            <w:vMerge/>
          </w:tcPr>
          <w:p w14:paraId="0C679145" w14:textId="77777777" w:rsidR="00FD31A4" w:rsidRPr="00B46419" w:rsidRDefault="00FD31A4" w:rsidP="00B46419">
            <w:pPr>
              <w:tabs>
                <w:tab w:val="left" w:pos="567"/>
              </w:tabs>
              <w:spacing w:before="0" w:after="60"/>
              <w:ind w:left="-57" w:right="-57"/>
              <w:rPr>
                <w:rFonts w:cstheme="minorHAnsi"/>
                <w:b/>
                <w:bCs/>
                <w:sz w:val="20"/>
              </w:rPr>
            </w:pPr>
          </w:p>
        </w:tc>
        <w:tc>
          <w:tcPr>
            <w:tcW w:w="2835" w:type="dxa"/>
            <w:vMerge/>
          </w:tcPr>
          <w:p w14:paraId="7C3CBE35" w14:textId="77777777" w:rsidR="00FD31A4" w:rsidRPr="007A6316" w:rsidRDefault="00FD31A4" w:rsidP="00B46419">
            <w:pPr>
              <w:tabs>
                <w:tab w:val="left" w:pos="567"/>
              </w:tabs>
              <w:spacing w:before="0" w:after="60"/>
              <w:ind w:left="-57" w:right="-57"/>
              <w:rPr>
                <w:rFonts w:cstheme="minorHAnsi"/>
                <w:sz w:val="20"/>
              </w:rPr>
            </w:pPr>
          </w:p>
        </w:tc>
        <w:tc>
          <w:tcPr>
            <w:tcW w:w="1134" w:type="dxa"/>
            <w:vMerge/>
          </w:tcPr>
          <w:p w14:paraId="19360D73" w14:textId="77777777" w:rsidR="00FD31A4" w:rsidRPr="007A6316" w:rsidRDefault="00FD31A4" w:rsidP="00B46419">
            <w:pPr>
              <w:tabs>
                <w:tab w:val="left" w:pos="567"/>
              </w:tabs>
              <w:spacing w:before="0" w:after="60"/>
              <w:ind w:left="-57" w:right="-57"/>
              <w:rPr>
                <w:rFonts w:cstheme="minorHAnsi"/>
                <w:sz w:val="20"/>
              </w:rPr>
            </w:pPr>
          </w:p>
        </w:tc>
        <w:tc>
          <w:tcPr>
            <w:tcW w:w="3119" w:type="dxa"/>
            <w:vMerge/>
          </w:tcPr>
          <w:p w14:paraId="3332185B" w14:textId="6DEC318E" w:rsidR="00FD31A4" w:rsidRPr="007A6316" w:rsidRDefault="00FD31A4" w:rsidP="000F0FF0">
            <w:pPr>
              <w:tabs>
                <w:tab w:val="left" w:pos="567"/>
              </w:tabs>
              <w:spacing w:before="40"/>
              <w:ind w:left="-57" w:right="-57"/>
              <w:rPr>
                <w:rFonts w:cstheme="minorHAnsi"/>
                <w:sz w:val="20"/>
              </w:rPr>
            </w:pPr>
          </w:p>
        </w:tc>
      </w:tr>
      <w:tr w:rsidR="00FD31A4" w:rsidRPr="00B46419" w14:paraId="11920BB6" w14:textId="77777777" w:rsidTr="00FD31A4">
        <w:tc>
          <w:tcPr>
            <w:tcW w:w="1559" w:type="dxa"/>
            <w:tcBorders>
              <w:top w:val="nil"/>
              <w:bottom w:val="nil"/>
            </w:tcBorders>
          </w:tcPr>
          <w:p w14:paraId="75342AA4" w14:textId="77777777" w:rsidR="00FD31A4" w:rsidRPr="004A0398" w:rsidRDefault="00FD31A4" w:rsidP="006F22BE">
            <w:pPr>
              <w:tabs>
                <w:tab w:val="left" w:pos="567"/>
              </w:tabs>
              <w:spacing w:before="0" w:after="60"/>
              <w:ind w:left="-57" w:right="-57"/>
              <w:rPr>
                <w:rFonts w:cstheme="minorHAnsi"/>
                <w:b/>
                <w:bCs/>
                <w:sz w:val="20"/>
              </w:rPr>
            </w:pPr>
          </w:p>
        </w:tc>
        <w:tc>
          <w:tcPr>
            <w:tcW w:w="851" w:type="dxa"/>
          </w:tcPr>
          <w:p w14:paraId="6BFE9B5D" w14:textId="519BA2F6" w:rsidR="00FD31A4" w:rsidRPr="009C4066" w:rsidRDefault="00FD31A4" w:rsidP="006F22BE">
            <w:pPr>
              <w:tabs>
                <w:tab w:val="left" w:pos="567"/>
              </w:tabs>
              <w:spacing w:before="0" w:after="60"/>
              <w:ind w:left="-57" w:right="-57"/>
              <w:rPr>
                <w:rFonts w:cstheme="minorHAnsi"/>
                <w:i/>
                <w:iCs/>
                <w:sz w:val="20"/>
              </w:rPr>
            </w:pPr>
            <w:r w:rsidRPr="009C4066">
              <w:rPr>
                <w:rFonts w:cstheme="minorHAnsi"/>
                <w:i/>
                <w:iCs/>
                <w:sz w:val="20"/>
              </w:rPr>
              <w:t>44</w:t>
            </w:r>
          </w:p>
        </w:tc>
        <w:tc>
          <w:tcPr>
            <w:tcW w:w="1984" w:type="dxa"/>
          </w:tcPr>
          <w:p w14:paraId="219B394C" w14:textId="14470EB7" w:rsidR="00FD31A4" w:rsidRPr="00D01121" w:rsidRDefault="00FD31A4" w:rsidP="00620EB0">
            <w:pPr>
              <w:tabs>
                <w:tab w:val="left" w:pos="567"/>
              </w:tabs>
              <w:spacing w:before="0" w:after="60"/>
              <w:ind w:left="-57" w:right="-57"/>
              <w:rPr>
                <w:rFonts w:cstheme="minorHAnsi"/>
                <w:sz w:val="20"/>
              </w:rPr>
            </w:pPr>
            <w:r w:rsidRPr="00170035">
              <w:rPr>
                <w:rFonts w:cstheme="minorHAnsi"/>
                <w:sz w:val="20"/>
              </w:rPr>
              <w:t>Revision of ITU-D Study Group Questions</w:t>
            </w:r>
            <w:r>
              <w:rPr>
                <w:rFonts w:cstheme="minorHAnsi"/>
                <w:sz w:val="20"/>
              </w:rPr>
              <w:t>, from Russia</w:t>
            </w:r>
          </w:p>
        </w:tc>
        <w:tc>
          <w:tcPr>
            <w:tcW w:w="4111" w:type="dxa"/>
            <w:vMerge/>
          </w:tcPr>
          <w:p w14:paraId="5AF1CB7C" w14:textId="77777777" w:rsidR="00FD31A4" w:rsidRPr="00B46419" w:rsidRDefault="00FD31A4" w:rsidP="00B46419">
            <w:pPr>
              <w:tabs>
                <w:tab w:val="left" w:pos="567"/>
              </w:tabs>
              <w:spacing w:before="0" w:after="60"/>
              <w:ind w:left="-57" w:right="-57"/>
              <w:rPr>
                <w:rFonts w:cstheme="minorHAnsi"/>
                <w:b/>
                <w:bCs/>
                <w:sz w:val="20"/>
              </w:rPr>
            </w:pPr>
          </w:p>
        </w:tc>
        <w:tc>
          <w:tcPr>
            <w:tcW w:w="2835" w:type="dxa"/>
            <w:vMerge/>
          </w:tcPr>
          <w:p w14:paraId="09183AB4" w14:textId="77777777" w:rsidR="00FD31A4" w:rsidRPr="007A6316" w:rsidRDefault="00FD31A4" w:rsidP="00B46419">
            <w:pPr>
              <w:tabs>
                <w:tab w:val="left" w:pos="567"/>
              </w:tabs>
              <w:spacing w:before="0" w:after="60"/>
              <w:ind w:left="-57" w:right="-57"/>
              <w:rPr>
                <w:rFonts w:cstheme="minorHAnsi"/>
                <w:sz w:val="20"/>
              </w:rPr>
            </w:pPr>
          </w:p>
        </w:tc>
        <w:tc>
          <w:tcPr>
            <w:tcW w:w="1134" w:type="dxa"/>
            <w:vMerge/>
          </w:tcPr>
          <w:p w14:paraId="5FD26BA7" w14:textId="77777777" w:rsidR="00FD31A4" w:rsidRPr="007A6316" w:rsidRDefault="00FD31A4" w:rsidP="00B46419">
            <w:pPr>
              <w:tabs>
                <w:tab w:val="left" w:pos="567"/>
              </w:tabs>
              <w:spacing w:before="0" w:after="60"/>
              <w:ind w:left="-57" w:right="-57"/>
              <w:rPr>
                <w:rFonts w:cstheme="minorHAnsi"/>
                <w:sz w:val="20"/>
              </w:rPr>
            </w:pPr>
          </w:p>
        </w:tc>
        <w:tc>
          <w:tcPr>
            <w:tcW w:w="3119" w:type="dxa"/>
            <w:vMerge/>
          </w:tcPr>
          <w:p w14:paraId="2816E669" w14:textId="5A072990" w:rsidR="00FD31A4" w:rsidRPr="007A6316" w:rsidRDefault="00FD31A4" w:rsidP="000F0FF0">
            <w:pPr>
              <w:tabs>
                <w:tab w:val="left" w:pos="567"/>
              </w:tabs>
              <w:spacing w:before="40"/>
              <w:ind w:left="-57" w:right="-57"/>
              <w:rPr>
                <w:rFonts w:cstheme="minorHAnsi"/>
                <w:sz w:val="20"/>
              </w:rPr>
            </w:pPr>
          </w:p>
        </w:tc>
      </w:tr>
      <w:tr w:rsidR="00FD31A4" w:rsidRPr="00B46419" w14:paraId="7CED97CC" w14:textId="77777777" w:rsidTr="00FD31A4">
        <w:tc>
          <w:tcPr>
            <w:tcW w:w="1559" w:type="dxa"/>
            <w:tcBorders>
              <w:top w:val="nil"/>
              <w:bottom w:val="nil"/>
            </w:tcBorders>
          </w:tcPr>
          <w:p w14:paraId="10300706" w14:textId="77777777" w:rsidR="00FD31A4" w:rsidRPr="004A0398" w:rsidRDefault="00FD31A4" w:rsidP="006F22BE">
            <w:pPr>
              <w:tabs>
                <w:tab w:val="left" w:pos="567"/>
              </w:tabs>
              <w:spacing w:before="0" w:after="60"/>
              <w:ind w:left="-57" w:right="-57"/>
              <w:rPr>
                <w:rFonts w:cstheme="minorHAnsi"/>
                <w:b/>
                <w:bCs/>
                <w:sz w:val="20"/>
              </w:rPr>
            </w:pPr>
          </w:p>
        </w:tc>
        <w:tc>
          <w:tcPr>
            <w:tcW w:w="851" w:type="dxa"/>
          </w:tcPr>
          <w:p w14:paraId="5645C2DE" w14:textId="378A33DD" w:rsidR="00FD31A4" w:rsidRPr="009C4066" w:rsidRDefault="00FD31A4" w:rsidP="006F22BE">
            <w:pPr>
              <w:tabs>
                <w:tab w:val="left" w:pos="567"/>
              </w:tabs>
              <w:spacing w:before="0" w:after="60"/>
              <w:ind w:left="-57" w:right="-57"/>
              <w:rPr>
                <w:rFonts w:cstheme="minorHAnsi"/>
                <w:i/>
                <w:iCs/>
                <w:sz w:val="20"/>
              </w:rPr>
            </w:pPr>
            <w:r w:rsidRPr="009C4066">
              <w:rPr>
                <w:rFonts w:cstheme="minorHAnsi"/>
                <w:i/>
                <w:iCs/>
                <w:sz w:val="20"/>
              </w:rPr>
              <w:t>51</w:t>
            </w:r>
          </w:p>
        </w:tc>
        <w:tc>
          <w:tcPr>
            <w:tcW w:w="1984" w:type="dxa"/>
          </w:tcPr>
          <w:p w14:paraId="4D51A872" w14:textId="758245E0" w:rsidR="00FD31A4" w:rsidRPr="00D01121" w:rsidRDefault="00FD31A4" w:rsidP="00620EB0">
            <w:pPr>
              <w:tabs>
                <w:tab w:val="left" w:pos="567"/>
              </w:tabs>
              <w:spacing w:before="0" w:after="60"/>
              <w:ind w:left="-57" w:right="-57"/>
              <w:rPr>
                <w:rFonts w:cstheme="minorHAnsi"/>
                <w:sz w:val="20"/>
              </w:rPr>
            </w:pPr>
            <w:r w:rsidRPr="00170035">
              <w:rPr>
                <w:rFonts w:cstheme="minorHAnsi"/>
                <w:sz w:val="20"/>
              </w:rPr>
              <w:t>Web Dialogues on WTDC reform</w:t>
            </w:r>
          </w:p>
        </w:tc>
        <w:tc>
          <w:tcPr>
            <w:tcW w:w="4111" w:type="dxa"/>
            <w:vMerge/>
          </w:tcPr>
          <w:p w14:paraId="50B80989" w14:textId="77777777" w:rsidR="00FD31A4" w:rsidRPr="00B46419" w:rsidRDefault="00FD31A4" w:rsidP="00B46419">
            <w:pPr>
              <w:tabs>
                <w:tab w:val="left" w:pos="567"/>
              </w:tabs>
              <w:spacing w:before="0" w:after="60"/>
              <w:ind w:left="-57" w:right="-57"/>
              <w:rPr>
                <w:rFonts w:cstheme="minorHAnsi"/>
                <w:b/>
                <w:bCs/>
                <w:sz w:val="20"/>
              </w:rPr>
            </w:pPr>
          </w:p>
        </w:tc>
        <w:tc>
          <w:tcPr>
            <w:tcW w:w="2835" w:type="dxa"/>
            <w:vMerge/>
          </w:tcPr>
          <w:p w14:paraId="3F52AABB" w14:textId="77777777" w:rsidR="00FD31A4" w:rsidRPr="007A6316" w:rsidRDefault="00FD31A4" w:rsidP="00B46419">
            <w:pPr>
              <w:tabs>
                <w:tab w:val="left" w:pos="567"/>
              </w:tabs>
              <w:spacing w:before="0" w:after="60"/>
              <w:ind w:left="-57" w:right="-57"/>
              <w:rPr>
                <w:rFonts w:cstheme="minorHAnsi"/>
                <w:sz w:val="20"/>
              </w:rPr>
            </w:pPr>
          </w:p>
        </w:tc>
        <w:tc>
          <w:tcPr>
            <w:tcW w:w="1134" w:type="dxa"/>
            <w:vMerge/>
          </w:tcPr>
          <w:p w14:paraId="1251FC34" w14:textId="77777777" w:rsidR="00FD31A4" w:rsidRPr="007A6316" w:rsidRDefault="00FD31A4" w:rsidP="00B46419">
            <w:pPr>
              <w:tabs>
                <w:tab w:val="left" w:pos="567"/>
              </w:tabs>
              <w:spacing w:before="0" w:after="60"/>
              <w:ind w:left="-57" w:right="-57"/>
              <w:rPr>
                <w:rFonts w:cstheme="minorHAnsi"/>
                <w:sz w:val="20"/>
              </w:rPr>
            </w:pPr>
          </w:p>
        </w:tc>
        <w:tc>
          <w:tcPr>
            <w:tcW w:w="3119" w:type="dxa"/>
            <w:vMerge/>
          </w:tcPr>
          <w:p w14:paraId="1E3F4959" w14:textId="19DEC5AB" w:rsidR="00FD31A4" w:rsidRPr="007A6316" w:rsidRDefault="00FD31A4" w:rsidP="000F0FF0">
            <w:pPr>
              <w:tabs>
                <w:tab w:val="left" w:pos="567"/>
              </w:tabs>
              <w:spacing w:before="40"/>
              <w:ind w:left="-57" w:right="-57"/>
              <w:rPr>
                <w:rFonts w:cstheme="minorHAnsi"/>
                <w:sz w:val="20"/>
              </w:rPr>
            </w:pPr>
          </w:p>
        </w:tc>
      </w:tr>
      <w:tr w:rsidR="00FD31A4" w:rsidRPr="00B46419" w14:paraId="332757D3" w14:textId="77777777" w:rsidTr="00FD31A4">
        <w:tc>
          <w:tcPr>
            <w:tcW w:w="1559" w:type="dxa"/>
            <w:tcBorders>
              <w:top w:val="nil"/>
              <w:bottom w:val="nil"/>
            </w:tcBorders>
          </w:tcPr>
          <w:p w14:paraId="1CA7D6DA" w14:textId="77777777" w:rsidR="00FD31A4" w:rsidRPr="004A0398" w:rsidRDefault="00FD31A4" w:rsidP="006F22BE">
            <w:pPr>
              <w:tabs>
                <w:tab w:val="left" w:pos="567"/>
              </w:tabs>
              <w:spacing w:before="0" w:after="60"/>
              <w:ind w:left="-57" w:right="-57"/>
              <w:rPr>
                <w:rFonts w:cstheme="minorHAnsi"/>
                <w:b/>
                <w:bCs/>
                <w:sz w:val="20"/>
              </w:rPr>
            </w:pPr>
          </w:p>
        </w:tc>
        <w:tc>
          <w:tcPr>
            <w:tcW w:w="851" w:type="dxa"/>
          </w:tcPr>
          <w:p w14:paraId="49048809" w14:textId="7BE375A2" w:rsidR="00FD31A4" w:rsidRPr="009C4066" w:rsidRDefault="00FD31A4" w:rsidP="006F22BE">
            <w:pPr>
              <w:tabs>
                <w:tab w:val="left" w:pos="567"/>
              </w:tabs>
              <w:spacing w:before="0" w:after="60"/>
              <w:ind w:left="-57" w:right="-57"/>
              <w:rPr>
                <w:rFonts w:cstheme="minorHAnsi"/>
                <w:i/>
                <w:iCs/>
                <w:sz w:val="20"/>
              </w:rPr>
            </w:pPr>
            <w:r w:rsidRPr="009C4066">
              <w:rPr>
                <w:rFonts w:cstheme="minorHAnsi"/>
                <w:i/>
                <w:iCs/>
                <w:sz w:val="20"/>
              </w:rPr>
              <w:t>52</w:t>
            </w:r>
          </w:p>
        </w:tc>
        <w:tc>
          <w:tcPr>
            <w:tcW w:w="1984" w:type="dxa"/>
          </w:tcPr>
          <w:p w14:paraId="4DE3A333" w14:textId="2ECD7C41" w:rsidR="00FD31A4" w:rsidRPr="00D01121" w:rsidRDefault="00FD31A4" w:rsidP="00620EB0">
            <w:pPr>
              <w:tabs>
                <w:tab w:val="left" w:pos="567"/>
              </w:tabs>
              <w:spacing w:before="0" w:after="60"/>
              <w:ind w:left="-57" w:right="-57"/>
              <w:rPr>
                <w:rFonts w:cstheme="minorHAnsi"/>
                <w:sz w:val="20"/>
              </w:rPr>
            </w:pPr>
            <w:r w:rsidRPr="005F350E">
              <w:rPr>
                <w:rFonts w:cstheme="minorHAnsi"/>
                <w:sz w:val="20"/>
              </w:rPr>
              <w:t>WTDC reform and innovation</w:t>
            </w:r>
            <w:r>
              <w:rPr>
                <w:rFonts w:cstheme="minorHAnsi"/>
                <w:sz w:val="20"/>
              </w:rPr>
              <w:t>, from USA</w:t>
            </w:r>
          </w:p>
        </w:tc>
        <w:tc>
          <w:tcPr>
            <w:tcW w:w="4111" w:type="dxa"/>
            <w:vMerge/>
          </w:tcPr>
          <w:p w14:paraId="30F8C4E1" w14:textId="77777777" w:rsidR="00FD31A4" w:rsidRPr="00B46419" w:rsidRDefault="00FD31A4" w:rsidP="00B46419">
            <w:pPr>
              <w:tabs>
                <w:tab w:val="left" w:pos="567"/>
              </w:tabs>
              <w:spacing w:before="0" w:after="60"/>
              <w:ind w:left="-57" w:right="-57"/>
              <w:rPr>
                <w:rFonts w:cstheme="minorHAnsi"/>
                <w:b/>
                <w:bCs/>
                <w:sz w:val="20"/>
              </w:rPr>
            </w:pPr>
          </w:p>
        </w:tc>
        <w:tc>
          <w:tcPr>
            <w:tcW w:w="2835" w:type="dxa"/>
            <w:vMerge/>
          </w:tcPr>
          <w:p w14:paraId="52A5AE0D" w14:textId="77777777" w:rsidR="00FD31A4" w:rsidRPr="007A6316" w:rsidRDefault="00FD31A4" w:rsidP="00B46419">
            <w:pPr>
              <w:tabs>
                <w:tab w:val="left" w:pos="567"/>
              </w:tabs>
              <w:spacing w:before="0" w:after="60"/>
              <w:ind w:left="-57" w:right="-57"/>
              <w:rPr>
                <w:rFonts w:cstheme="minorHAnsi"/>
                <w:sz w:val="20"/>
              </w:rPr>
            </w:pPr>
          </w:p>
        </w:tc>
        <w:tc>
          <w:tcPr>
            <w:tcW w:w="1134" w:type="dxa"/>
            <w:vMerge/>
          </w:tcPr>
          <w:p w14:paraId="5C398E09" w14:textId="77777777" w:rsidR="00FD31A4" w:rsidRPr="007A6316" w:rsidRDefault="00FD31A4" w:rsidP="00B46419">
            <w:pPr>
              <w:tabs>
                <w:tab w:val="left" w:pos="567"/>
              </w:tabs>
              <w:spacing w:before="0" w:after="60"/>
              <w:ind w:left="-57" w:right="-57"/>
              <w:rPr>
                <w:rFonts w:cstheme="minorHAnsi"/>
                <w:sz w:val="20"/>
              </w:rPr>
            </w:pPr>
          </w:p>
        </w:tc>
        <w:tc>
          <w:tcPr>
            <w:tcW w:w="3119" w:type="dxa"/>
            <w:vMerge/>
          </w:tcPr>
          <w:p w14:paraId="27E91069" w14:textId="0FD0E6F9" w:rsidR="00FD31A4" w:rsidRPr="007A6316" w:rsidRDefault="00FD31A4" w:rsidP="000F0FF0">
            <w:pPr>
              <w:tabs>
                <w:tab w:val="left" w:pos="567"/>
              </w:tabs>
              <w:spacing w:before="40"/>
              <w:ind w:left="-57" w:right="-57"/>
              <w:rPr>
                <w:rFonts w:cstheme="minorHAnsi"/>
                <w:sz w:val="20"/>
              </w:rPr>
            </w:pPr>
          </w:p>
        </w:tc>
      </w:tr>
      <w:tr w:rsidR="00FD31A4" w:rsidRPr="00B46419" w14:paraId="3476DA0E" w14:textId="77777777" w:rsidTr="00FD31A4">
        <w:tc>
          <w:tcPr>
            <w:tcW w:w="1559" w:type="dxa"/>
            <w:tcBorders>
              <w:top w:val="nil"/>
              <w:bottom w:val="single" w:sz="4" w:space="0" w:color="auto"/>
            </w:tcBorders>
          </w:tcPr>
          <w:p w14:paraId="1302CFC6" w14:textId="77777777" w:rsidR="00FD31A4" w:rsidRPr="004A0398" w:rsidRDefault="00FD31A4" w:rsidP="006F22BE">
            <w:pPr>
              <w:tabs>
                <w:tab w:val="left" w:pos="567"/>
              </w:tabs>
              <w:spacing w:before="0" w:after="60"/>
              <w:ind w:left="-57" w:right="-57"/>
              <w:rPr>
                <w:rFonts w:cstheme="minorHAnsi"/>
                <w:b/>
                <w:bCs/>
                <w:sz w:val="20"/>
              </w:rPr>
            </w:pPr>
          </w:p>
        </w:tc>
        <w:tc>
          <w:tcPr>
            <w:tcW w:w="851" w:type="dxa"/>
          </w:tcPr>
          <w:p w14:paraId="336BFF6C" w14:textId="7C7505C4" w:rsidR="00FD31A4" w:rsidRPr="009C4066" w:rsidRDefault="00FD31A4" w:rsidP="006F22BE">
            <w:pPr>
              <w:tabs>
                <w:tab w:val="left" w:pos="567"/>
              </w:tabs>
              <w:spacing w:before="0" w:after="60"/>
              <w:ind w:left="-57" w:right="-57"/>
              <w:rPr>
                <w:rFonts w:cstheme="minorHAnsi"/>
                <w:i/>
                <w:iCs/>
                <w:sz w:val="20"/>
              </w:rPr>
            </w:pPr>
            <w:r w:rsidRPr="009C4066">
              <w:rPr>
                <w:rFonts w:cstheme="minorHAnsi"/>
                <w:i/>
                <w:iCs/>
                <w:sz w:val="20"/>
              </w:rPr>
              <w:t>53</w:t>
            </w:r>
          </w:p>
        </w:tc>
        <w:tc>
          <w:tcPr>
            <w:tcW w:w="1984" w:type="dxa"/>
          </w:tcPr>
          <w:p w14:paraId="51329C7D" w14:textId="7FB91599" w:rsidR="00FD31A4" w:rsidRPr="00D01121" w:rsidRDefault="00FD31A4" w:rsidP="00620EB0">
            <w:pPr>
              <w:tabs>
                <w:tab w:val="left" w:pos="567"/>
              </w:tabs>
              <w:spacing w:before="0" w:after="60"/>
              <w:ind w:left="-57" w:right="-57"/>
              <w:rPr>
                <w:rFonts w:cstheme="minorHAnsi"/>
                <w:sz w:val="20"/>
              </w:rPr>
            </w:pPr>
            <w:r w:rsidRPr="005F350E">
              <w:rPr>
                <w:rFonts w:cstheme="minorHAnsi"/>
                <w:sz w:val="20"/>
              </w:rPr>
              <w:t>ITU-D Study Group innovation</w:t>
            </w:r>
            <w:r>
              <w:rPr>
                <w:rFonts w:cstheme="minorHAnsi"/>
                <w:sz w:val="20"/>
              </w:rPr>
              <w:t>, from USA</w:t>
            </w:r>
          </w:p>
        </w:tc>
        <w:tc>
          <w:tcPr>
            <w:tcW w:w="4111" w:type="dxa"/>
            <w:vMerge/>
          </w:tcPr>
          <w:p w14:paraId="1DAA417A" w14:textId="77777777" w:rsidR="00FD31A4" w:rsidRPr="00B46419" w:rsidRDefault="00FD31A4" w:rsidP="00B46419">
            <w:pPr>
              <w:tabs>
                <w:tab w:val="left" w:pos="567"/>
              </w:tabs>
              <w:spacing w:before="0" w:after="60"/>
              <w:ind w:left="-57" w:right="-57"/>
              <w:rPr>
                <w:rFonts w:cstheme="minorHAnsi"/>
                <w:b/>
                <w:bCs/>
                <w:sz w:val="20"/>
              </w:rPr>
            </w:pPr>
          </w:p>
        </w:tc>
        <w:tc>
          <w:tcPr>
            <w:tcW w:w="2835" w:type="dxa"/>
            <w:vMerge/>
          </w:tcPr>
          <w:p w14:paraId="279EA589" w14:textId="77777777" w:rsidR="00FD31A4" w:rsidRPr="007A6316" w:rsidRDefault="00FD31A4" w:rsidP="00B46419">
            <w:pPr>
              <w:tabs>
                <w:tab w:val="left" w:pos="567"/>
              </w:tabs>
              <w:spacing w:before="0" w:after="60"/>
              <w:ind w:left="-57" w:right="-57"/>
              <w:rPr>
                <w:rFonts w:cstheme="minorHAnsi"/>
                <w:sz w:val="20"/>
              </w:rPr>
            </w:pPr>
          </w:p>
        </w:tc>
        <w:tc>
          <w:tcPr>
            <w:tcW w:w="1134" w:type="dxa"/>
            <w:vMerge/>
          </w:tcPr>
          <w:p w14:paraId="59BFDCA1" w14:textId="77777777" w:rsidR="00FD31A4" w:rsidRPr="007A6316" w:rsidRDefault="00FD31A4" w:rsidP="00B46419">
            <w:pPr>
              <w:tabs>
                <w:tab w:val="left" w:pos="567"/>
              </w:tabs>
              <w:spacing w:before="0" w:after="60"/>
              <w:ind w:left="-57" w:right="-57"/>
              <w:rPr>
                <w:rFonts w:cstheme="minorHAnsi"/>
                <w:sz w:val="20"/>
              </w:rPr>
            </w:pPr>
          </w:p>
        </w:tc>
        <w:tc>
          <w:tcPr>
            <w:tcW w:w="3119" w:type="dxa"/>
            <w:vMerge/>
          </w:tcPr>
          <w:p w14:paraId="3F1F7275" w14:textId="6DCC82B9" w:rsidR="00FD31A4" w:rsidRPr="007A6316" w:rsidRDefault="00FD31A4" w:rsidP="000F0FF0">
            <w:pPr>
              <w:tabs>
                <w:tab w:val="left" w:pos="567"/>
              </w:tabs>
              <w:spacing w:before="40"/>
              <w:ind w:left="-57" w:right="-57"/>
              <w:rPr>
                <w:rFonts w:cstheme="minorHAnsi"/>
                <w:sz w:val="20"/>
              </w:rPr>
            </w:pPr>
          </w:p>
        </w:tc>
      </w:tr>
      <w:tr w:rsidR="00FD31A4" w:rsidRPr="00B46419" w14:paraId="3602341A" w14:textId="77777777" w:rsidTr="00FD31A4">
        <w:tc>
          <w:tcPr>
            <w:tcW w:w="1559" w:type="dxa"/>
            <w:tcBorders>
              <w:bottom w:val="nil"/>
            </w:tcBorders>
          </w:tcPr>
          <w:p w14:paraId="66DC0953" w14:textId="0F46E5E7" w:rsidR="00FD31A4" w:rsidRPr="004A0398" w:rsidRDefault="00FD31A4" w:rsidP="007C51FF">
            <w:pPr>
              <w:tabs>
                <w:tab w:val="left" w:pos="567"/>
              </w:tabs>
              <w:spacing w:before="0" w:after="60"/>
              <w:ind w:left="170" w:right="-57"/>
              <w:rPr>
                <w:rFonts w:cstheme="minorHAnsi"/>
                <w:b/>
                <w:bCs/>
                <w:sz w:val="20"/>
              </w:rPr>
            </w:pPr>
            <w:r w:rsidRPr="004A0398">
              <w:rPr>
                <w:rFonts w:cstheme="minorHAnsi"/>
                <w:b/>
                <w:bCs/>
                <w:sz w:val="20"/>
              </w:rPr>
              <w:t>12.</w:t>
            </w:r>
            <w:r>
              <w:rPr>
                <w:rFonts w:cstheme="minorHAnsi"/>
                <w:b/>
                <w:bCs/>
                <w:sz w:val="20"/>
              </w:rPr>
              <w:t>2</w:t>
            </w:r>
            <w:r w:rsidRPr="004A0398">
              <w:rPr>
                <w:rFonts w:cstheme="minorHAnsi"/>
                <w:b/>
                <w:bCs/>
                <w:sz w:val="20"/>
              </w:rPr>
              <w:t xml:space="preserve">. </w:t>
            </w:r>
            <w:r>
              <w:rPr>
                <w:rFonts w:cstheme="minorHAnsi"/>
                <w:b/>
                <w:bCs/>
                <w:sz w:val="20"/>
              </w:rPr>
              <w:t>Streamlining resolutions</w:t>
            </w:r>
          </w:p>
        </w:tc>
        <w:tc>
          <w:tcPr>
            <w:tcW w:w="851" w:type="dxa"/>
          </w:tcPr>
          <w:p w14:paraId="259CBE87" w14:textId="51B7CAF7" w:rsidR="00FD31A4" w:rsidRPr="00967FDF" w:rsidRDefault="00FD31A4" w:rsidP="006F22BE">
            <w:pPr>
              <w:tabs>
                <w:tab w:val="left" w:pos="567"/>
              </w:tabs>
              <w:spacing w:before="0" w:after="60"/>
              <w:ind w:left="-57" w:right="-57"/>
              <w:rPr>
                <w:rFonts w:cstheme="minorHAnsi"/>
                <w:i/>
                <w:iCs/>
                <w:sz w:val="20"/>
              </w:rPr>
            </w:pPr>
            <w:r>
              <w:rPr>
                <w:rFonts w:cstheme="minorHAnsi"/>
                <w:i/>
                <w:iCs/>
                <w:sz w:val="20"/>
              </w:rPr>
              <w:t>22</w:t>
            </w:r>
          </w:p>
        </w:tc>
        <w:tc>
          <w:tcPr>
            <w:tcW w:w="1984" w:type="dxa"/>
          </w:tcPr>
          <w:p w14:paraId="0945FFC3" w14:textId="0F775A54" w:rsidR="00FD31A4" w:rsidRPr="00D01121" w:rsidRDefault="00FD31A4" w:rsidP="00620EB0">
            <w:pPr>
              <w:tabs>
                <w:tab w:val="left" w:pos="567"/>
              </w:tabs>
              <w:spacing w:before="0" w:after="60"/>
              <w:ind w:left="-57" w:right="-57"/>
              <w:rPr>
                <w:rFonts w:cstheme="minorHAnsi"/>
                <w:sz w:val="20"/>
              </w:rPr>
            </w:pPr>
            <w:r w:rsidRPr="00A01AB8">
              <w:rPr>
                <w:rFonts w:cstheme="minorHAnsi"/>
                <w:sz w:val="20"/>
              </w:rPr>
              <w:t>Incoming LS - LS/r on streamlining Resolutions</w:t>
            </w:r>
            <w:r>
              <w:rPr>
                <w:rFonts w:cstheme="minorHAnsi"/>
                <w:sz w:val="20"/>
              </w:rPr>
              <w:t>, from TSAG</w:t>
            </w:r>
          </w:p>
        </w:tc>
        <w:tc>
          <w:tcPr>
            <w:tcW w:w="4111" w:type="dxa"/>
            <w:vMerge w:val="restart"/>
          </w:tcPr>
          <w:p w14:paraId="5D719097" w14:textId="24E65EB5" w:rsidR="00FD31A4" w:rsidRPr="00F079C9" w:rsidRDefault="00FD31A4" w:rsidP="00B46419">
            <w:pPr>
              <w:tabs>
                <w:tab w:val="left" w:pos="567"/>
              </w:tabs>
              <w:spacing w:before="0" w:after="60"/>
              <w:ind w:left="-57" w:right="-57"/>
              <w:rPr>
                <w:rFonts w:cstheme="minorHAnsi"/>
                <w:sz w:val="20"/>
              </w:rPr>
            </w:pPr>
            <w:r w:rsidRPr="00B743EF">
              <w:rPr>
                <w:rFonts w:cstheme="minorHAnsi"/>
                <w:sz w:val="20"/>
              </w:rPr>
              <w:t>TDAG noted the documents and recognized the importance of early work on resolutions, which would help free up conference time to discuss ICT development issues.</w:t>
            </w:r>
          </w:p>
        </w:tc>
        <w:tc>
          <w:tcPr>
            <w:tcW w:w="2835" w:type="dxa"/>
            <w:vMerge w:val="restart"/>
          </w:tcPr>
          <w:p w14:paraId="68C4C5E6" w14:textId="65A03EF9" w:rsidR="00FD31A4" w:rsidRPr="004A369C" w:rsidRDefault="00FD31A4" w:rsidP="00B46419">
            <w:pPr>
              <w:tabs>
                <w:tab w:val="left" w:pos="567"/>
              </w:tabs>
              <w:spacing w:before="0" w:after="60"/>
              <w:ind w:left="-57" w:right="-57"/>
              <w:rPr>
                <w:rFonts w:cstheme="minorHAnsi"/>
                <w:sz w:val="20"/>
              </w:rPr>
            </w:pPr>
            <w:r>
              <w:rPr>
                <w:rFonts w:cstheme="minorHAnsi"/>
                <w:sz w:val="20"/>
              </w:rPr>
              <w:t>--</w:t>
            </w:r>
          </w:p>
        </w:tc>
        <w:tc>
          <w:tcPr>
            <w:tcW w:w="1134" w:type="dxa"/>
            <w:vMerge w:val="restart"/>
          </w:tcPr>
          <w:p w14:paraId="3EE5D673" w14:textId="38FE4ADD" w:rsidR="00FD31A4" w:rsidRPr="00B46419" w:rsidRDefault="00FD31A4" w:rsidP="00B46419">
            <w:pPr>
              <w:tabs>
                <w:tab w:val="left" w:pos="567"/>
              </w:tabs>
              <w:spacing w:before="0" w:after="60"/>
              <w:ind w:left="-57" w:right="-57"/>
              <w:rPr>
                <w:rFonts w:cstheme="minorHAnsi"/>
                <w:b/>
                <w:bCs/>
                <w:sz w:val="20"/>
              </w:rPr>
            </w:pPr>
          </w:p>
        </w:tc>
        <w:tc>
          <w:tcPr>
            <w:tcW w:w="3119" w:type="dxa"/>
            <w:vMerge w:val="restart"/>
          </w:tcPr>
          <w:p w14:paraId="0530A3A2" w14:textId="1C4930E7" w:rsidR="00FD31A4" w:rsidRPr="00B46419" w:rsidRDefault="00FD31A4" w:rsidP="000F0FF0">
            <w:pPr>
              <w:tabs>
                <w:tab w:val="left" w:pos="567"/>
              </w:tabs>
              <w:spacing w:before="40"/>
              <w:ind w:left="-57" w:right="-57"/>
              <w:rPr>
                <w:rFonts w:cstheme="minorHAnsi"/>
                <w:b/>
                <w:bCs/>
                <w:sz w:val="20"/>
              </w:rPr>
            </w:pPr>
          </w:p>
        </w:tc>
      </w:tr>
      <w:tr w:rsidR="00FD31A4" w:rsidRPr="00B46419" w14:paraId="53B148E0" w14:textId="77777777" w:rsidTr="00FD31A4">
        <w:tc>
          <w:tcPr>
            <w:tcW w:w="1559" w:type="dxa"/>
            <w:tcBorders>
              <w:top w:val="nil"/>
              <w:bottom w:val="nil"/>
            </w:tcBorders>
          </w:tcPr>
          <w:p w14:paraId="765259BB" w14:textId="77777777" w:rsidR="00FD31A4" w:rsidRPr="004A0398" w:rsidRDefault="00FD31A4" w:rsidP="006F22BE">
            <w:pPr>
              <w:tabs>
                <w:tab w:val="left" w:pos="567"/>
              </w:tabs>
              <w:spacing w:before="0" w:after="60"/>
              <w:ind w:left="-57" w:right="-57"/>
              <w:rPr>
                <w:rFonts w:cstheme="minorHAnsi"/>
                <w:b/>
                <w:bCs/>
                <w:sz w:val="20"/>
              </w:rPr>
            </w:pPr>
          </w:p>
        </w:tc>
        <w:tc>
          <w:tcPr>
            <w:tcW w:w="851" w:type="dxa"/>
          </w:tcPr>
          <w:p w14:paraId="504950A5" w14:textId="72B43340" w:rsidR="00FD31A4" w:rsidRPr="00967FDF" w:rsidRDefault="00FD31A4" w:rsidP="006F22BE">
            <w:pPr>
              <w:tabs>
                <w:tab w:val="left" w:pos="567"/>
              </w:tabs>
              <w:spacing w:before="0" w:after="60"/>
              <w:ind w:left="-57" w:right="-57"/>
              <w:rPr>
                <w:rFonts w:cstheme="minorHAnsi"/>
                <w:i/>
                <w:iCs/>
                <w:sz w:val="20"/>
              </w:rPr>
            </w:pPr>
            <w:r>
              <w:rPr>
                <w:rFonts w:cstheme="minorHAnsi"/>
                <w:i/>
                <w:iCs/>
                <w:sz w:val="20"/>
              </w:rPr>
              <w:t>34</w:t>
            </w:r>
          </w:p>
        </w:tc>
        <w:tc>
          <w:tcPr>
            <w:tcW w:w="1984" w:type="dxa"/>
          </w:tcPr>
          <w:p w14:paraId="27A7B192" w14:textId="0424A6FC" w:rsidR="00FD31A4" w:rsidRPr="00D01121" w:rsidRDefault="00FD31A4" w:rsidP="00620EB0">
            <w:pPr>
              <w:tabs>
                <w:tab w:val="left" w:pos="567"/>
              </w:tabs>
              <w:spacing w:before="0" w:after="60"/>
              <w:ind w:left="-57" w:right="-57"/>
              <w:rPr>
                <w:rFonts w:cstheme="minorHAnsi"/>
                <w:sz w:val="20"/>
              </w:rPr>
            </w:pPr>
            <w:r w:rsidRPr="0037775A">
              <w:rPr>
                <w:rFonts w:cstheme="minorHAnsi"/>
                <w:sz w:val="20"/>
              </w:rPr>
              <w:t>Incoming LS - LS on Streamlining Resolutions</w:t>
            </w:r>
            <w:r>
              <w:rPr>
                <w:rFonts w:cstheme="minorHAnsi"/>
                <w:sz w:val="20"/>
              </w:rPr>
              <w:t>, from TSAG</w:t>
            </w:r>
          </w:p>
        </w:tc>
        <w:tc>
          <w:tcPr>
            <w:tcW w:w="4111" w:type="dxa"/>
            <w:vMerge/>
          </w:tcPr>
          <w:p w14:paraId="6753E988" w14:textId="1D052F68" w:rsidR="00FD31A4" w:rsidRPr="00B46419" w:rsidRDefault="00FD31A4" w:rsidP="00B46419">
            <w:pPr>
              <w:tabs>
                <w:tab w:val="left" w:pos="567"/>
              </w:tabs>
              <w:spacing w:before="0" w:after="60"/>
              <w:ind w:left="-57" w:right="-57"/>
              <w:rPr>
                <w:rFonts w:cstheme="minorHAnsi"/>
                <w:b/>
                <w:bCs/>
                <w:sz w:val="20"/>
              </w:rPr>
            </w:pPr>
          </w:p>
        </w:tc>
        <w:tc>
          <w:tcPr>
            <w:tcW w:w="2835" w:type="dxa"/>
            <w:vMerge/>
          </w:tcPr>
          <w:p w14:paraId="1932E8CA" w14:textId="3F7F985E" w:rsidR="00FD31A4" w:rsidRPr="00B46419" w:rsidRDefault="00FD31A4" w:rsidP="00B46419">
            <w:pPr>
              <w:tabs>
                <w:tab w:val="left" w:pos="567"/>
              </w:tabs>
              <w:spacing w:before="0" w:after="60"/>
              <w:ind w:left="-57" w:right="-57"/>
              <w:rPr>
                <w:rFonts w:cstheme="minorHAnsi"/>
                <w:b/>
                <w:bCs/>
                <w:sz w:val="20"/>
              </w:rPr>
            </w:pPr>
          </w:p>
        </w:tc>
        <w:tc>
          <w:tcPr>
            <w:tcW w:w="1134" w:type="dxa"/>
            <w:vMerge/>
          </w:tcPr>
          <w:p w14:paraId="08633BD9" w14:textId="77777777" w:rsidR="00FD31A4" w:rsidRPr="00B46419" w:rsidRDefault="00FD31A4" w:rsidP="00B46419">
            <w:pPr>
              <w:tabs>
                <w:tab w:val="left" w:pos="567"/>
              </w:tabs>
              <w:spacing w:before="0" w:after="60"/>
              <w:ind w:left="-57" w:right="-57"/>
              <w:rPr>
                <w:rFonts w:cstheme="minorHAnsi"/>
                <w:b/>
                <w:bCs/>
                <w:sz w:val="20"/>
              </w:rPr>
            </w:pPr>
          </w:p>
        </w:tc>
        <w:tc>
          <w:tcPr>
            <w:tcW w:w="3119" w:type="dxa"/>
            <w:vMerge/>
          </w:tcPr>
          <w:p w14:paraId="511953D1" w14:textId="50C3F38D" w:rsidR="00FD31A4" w:rsidRPr="00B46419" w:rsidRDefault="00FD31A4" w:rsidP="000F0FF0">
            <w:pPr>
              <w:tabs>
                <w:tab w:val="left" w:pos="567"/>
              </w:tabs>
              <w:spacing w:before="40"/>
              <w:ind w:left="-57" w:right="-57"/>
              <w:rPr>
                <w:rFonts w:cstheme="minorHAnsi"/>
                <w:b/>
                <w:bCs/>
                <w:sz w:val="20"/>
              </w:rPr>
            </w:pPr>
          </w:p>
        </w:tc>
      </w:tr>
      <w:tr w:rsidR="00FD31A4" w:rsidRPr="004C061A" w14:paraId="63055137" w14:textId="77777777" w:rsidTr="00FD31A4">
        <w:tc>
          <w:tcPr>
            <w:tcW w:w="1559" w:type="dxa"/>
            <w:tcBorders>
              <w:top w:val="nil"/>
              <w:bottom w:val="nil"/>
            </w:tcBorders>
          </w:tcPr>
          <w:p w14:paraId="60851C2B" w14:textId="77777777" w:rsidR="00FD31A4" w:rsidRPr="004A0398" w:rsidRDefault="00FD31A4" w:rsidP="006F22BE">
            <w:pPr>
              <w:tabs>
                <w:tab w:val="left" w:pos="567"/>
              </w:tabs>
              <w:spacing w:before="0" w:after="60"/>
              <w:ind w:left="-57" w:right="-57"/>
              <w:rPr>
                <w:rFonts w:cstheme="minorHAnsi"/>
                <w:b/>
                <w:bCs/>
                <w:sz w:val="20"/>
              </w:rPr>
            </w:pPr>
          </w:p>
        </w:tc>
        <w:tc>
          <w:tcPr>
            <w:tcW w:w="851" w:type="dxa"/>
          </w:tcPr>
          <w:p w14:paraId="6D968A6A" w14:textId="75674C70" w:rsidR="00FD31A4" w:rsidRDefault="00FD31A4" w:rsidP="006F22BE">
            <w:pPr>
              <w:tabs>
                <w:tab w:val="left" w:pos="567"/>
              </w:tabs>
              <w:spacing w:before="0" w:after="60"/>
              <w:ind w:left="-57" w:right="-57"/>
              <w:rPr>
                <w:rFonts w:cstheme="minorHAnsi"/>
                <w:i/>
                <w:iCs/>
                <w:sz w:val="20"/>
              </w:rPr>
            </w:pPr>
            <w:r>
              <w:rPr>
                <w:rFonts w:cstheme="minorHAnsi"/>
                <w:i/>
                <w:iCs/>
                <w:sz w:val="20"/>
              </w:rPr>
              <w:t>45</w:t>
            </w:r>
          </w:p>
        </w:tc>
        <w:tc>
          <w:tcPr>
            <w:tcW w:w="1984" w:type="dxa"/>
          </w:tcPr>
          <w:p w14:paraId="4348FAD2" w14:textId="77777777" w:rsidR="00FD31A4" w:rsidRPr="0037775A" w:rsidRDefault="00FD31A4" w:rsidP="00620EB0">
            <w:pPr>
              <w:pStyle w:val="Default"/>
              <w:ind w:left="-57" w:right="-57"/>
              <w:rPr>
                <w:rFonts w:asciiTheme="minorHAnsi" w:eastAsia="Times New Roman" w:hAnsiTheme="minorHAnsi" w:cstheme="minorHAnsi"/>
                <w:sz w:val="20"/>
                <w:szCs w:val="20"/>
                <w:lang w:val="en-GB"/>
              </w:rPr>
            </w:pPr>
          </w:p>
        </w:tc>
        <w:tc>
          <w:tcPr>
            <w:tcW w:w="4111" w:type="dxa"/>
            <w:vMerge/>
          </w:tcPr>
          <w:p w14:paraId="61CB1CEF" w14:textId="77777777" w:rsidR="00FD31A4" w:rsidRPr="004A0398" w:rsidRDefault="00FD31A4" w:rsidP="006F22BE">
            <w:pPr>
              <w:pStyle w:val="Default"/>
              <w:rPr>
                <w:rFonts w:asciiTheme="minorHAnsi" w:eastAsia="Calibri" w:hAnsiTheme="minorHAnsi" w:cstheme="minorHAnsi"/>
                <w:color w:val="auto"/>
                <w:sz w:val="20"/>
                <w:szCs w:val="20"/>
                <w:lang w:val="en-GB" w:eastAsia="en-US"/>
              </w:rPr>
            </w:pPr>
          </w:p>
        </w:tc>
        <w:tc>
          <w:tcPr>
            <w:tcW w:w="2835" w:type="dxa"/>
            <w:vMerge/>
          </w:tcPr>
          <w:p w14:paraId="4821E413" w14:textId="77777777" w:rsidR="00FD31A4" w:rsidRPr="004A0398" w:rsidRDefault="00FD31A4" w:rsidP="006F22BE">
            <w:pPr>
              <w:tabs>
                <w:tab w:val="left" w:pos="292"/>
              </w:tabs>
              <w:spacing w:before="0"/>
              <w:rPr>
                <w:rFonts w:eastAsia="Calibri" w:cstheme="minorHAnsi"/>
                <w:sz w:val="20"/>
              </w:rPr>
            </w:pPr>
          </w:p>
        </w:tc>
        <w:tc>
          <w:tcPr>
            <w:tcW w:w="1134" w:type="dxa"/>
            <w:vMerge/>
          </w:tcPr>
          <w:p w14:paraId="0CCBDA23" w14:textId="77777777" w:rsidR="00FD31A4" w:rsidRPr="004A0398" w:rsidRDefault="00FD31A4" w:rsidP="006F22BE">
            <w:pPr>
              <w:tabs>
                <w:tab w:val="left" w:pos="292"/>
              </w:tabs>
              <w:spacing w:before="0"/>
              <w:rPr>
                <w:rFonts w:eastAsia="Calibri" w:cstheme="minorHAnsi"/>
                <w:sz w:val="20"/>
              </w:rPr>
            </w:pPr>
          </w:p>
        </w:tc>
        <w:tc>
          <w:tcPr>
            <w:tcW w:w="3119" w:type="dxa"/>
            <w:vMerge/>
          </w:tcPr>
          <w:p w14:paraId="09F3A4C8" w14:textId="2D2C0516" w:rsidR="00FD31A4" w:rsidRPr="004A0398" w:rsidRDefault="00FD31A4" w:rsidP="000F0FF0">
            <w:pPr>
              <w:tabs>
                <w:tab w:val="left" w:pos="292"/>
              </w:tabs>
              <w:spacing w:before="40"/>
              <w:rPr>
                <w:rFonts w:eastAsia="Calibri" w:cstheme="minorHAnsi"/>
                <w:sz w:val="20"/>
              </w:rPr>
            </w:pPr>
          </w:p>
        </w:tc>
      </w:tr>
      <w:tr w:rsidR="00FD31A4" w:rsidRPr="004C061A" w14:paraId="68C098FD" w14:textId="77777777" w:rsidTr="00FD31A4">
        <w:tc>
          <w:tcPr>
            <w:tcW w:w="1559" w:type="dxa"/>
            <w:tcBorders>
              <w:top w:val="nil"/>
              <w:bottom w:val="single" w:sz="4" w:space="0" w:color="auto"/>
            </w:tcBorders>
          </w:tcPr>
          <w:p w14:paraId="2E625293" w14:textId="77777777" w:rsidR="00FD31A4" w:rsidRPr="004A0398" w:rsidRDefault="00FD31A4" w:rsidP="006F22BE">
            <w:pPr>
              <w:tabs>
                <w:tab w:val="left" w:pos="567"/>
              </w:tabs>
              <w:spacing w:before="0" w:after="60"/>
              <w:ind w:left="-57" w:right="-57"/>
              <w:rPr>
                <w:rFonts w:cstheme="minorHAnsi"/>
                <w:b/>
                <w:bCs/>
                <w:sz w:val="20"/>
              </w:rPr>
            </w:pPr>
          </w:p>
        </w:tc>
        <w:tc>
          <w:tcPr>
            <w:tcW w:w="851" w:type="dxa"/>
          </w:tcPr>
          <w:p w14:paraId="0D0692E5" w14:textId="0412C596" w:rsidR="00FD31A4" w:rsidRDefault="00FD31A4" w:rsidP="006F22BE">
            <w:pPr>
              <w:tabs>
                <w:tab w:val="left" w:pos="567"/>
              </w:tabs>
              <w:spacing w:before="0" w:after="60"/>
              <w:ind w:left="-57" w:right="-57"/>
              <w:rPr>
                <w:rFonts w:cstheme="minorHAnsi"/>
                <w:i/>
                <w:iCs/>
                <w:sz w:val="20"/>
              </w:rPr>
            </w:pPr>
            <w:r>
              <w:rPr>
                <w:rFonts w:cstheme="minorHAnsi"/>
                <w:i/>
                <w:iCs/>
                <w:sz w:val="20"/>
              </w:rPr>
              <w:t>46</w:t>
            </w:r>
          </w:p>
        </w:tc>
        <w:tc>
          <w:tcPr>
            <w:tcW w:w="1984" w:type="dxa"/>
          </w:tcPr>
          <w:p w14:paraId="503E053A" w14:textId="77777777" w:rsidR="00FD31A4" w:rsidRPr="0037775A" w:rsidRDefault="00FD31A4" w:rsidP="00620EB0">
            <w:pPr>
              <w:pStyle w:val="Default"/>
              <w:ind w:left="-57" w:right="-57"/>
              <w:rPr>
                <w:rFonts w:asciiTheme="minorHAnsi" w:eastAsia="Times New Roman" w:hAnsiTheme="minorHAnsi" w:cstheme="minorHAnsi"/>
                <w:sz w:val="20"/>
                <w:szCs w:val="20"/>
                <w:lang w:val="en-GB"/>
              </w:rPr>
            </w:pPr>
          </w:p>
        </w:tc>
        <w:tc>
          <w:tcPr>
            <w:tcW w:w="4111" w:type="dxa"/>
            <w:vMerge/>
          </w:tcPr>
          <w:p w14:paraId="765B5816" w14:textId="29BDCAA8" w:rsidR="00FD31A4" w:rsidRPr="004A0398" w:rsidRDefault="00FD31A4" w:rsidP="00F079C9">
            <w:pPr>
              <w:pStyle w:val="Default"/>
              <w:tabs>
                <w:tab w:val="left" w:pos="1365"/>
              </w:tabs>
              <w:rPr>
                <w:rFonts w:asciiTheme="minorHAnsi" w:eastAsia="Calibri" w:hAnsiTheme="minorHAnsi" w:cstheme="minorHAnsi"/>
                <w:color w:val="auto"/>
                <w:sz w:val="20"/>
                <w:szCs w:val="20"/>
                <w:lang w:val="en-GB" w:eastAsia="en-US"/>
              </w:rPr>
            </w:pPr>
          </w:p>
        </w:tc>
        <w:tc>
          <w:tcPr>
            <w:tcW w:w="2835" w:type="dxa"/>
            <w:vMerge/>
          </w:tcPr>
          <w:p w14:paraId="294F31EA" w14:textId="77777777" w:rsidR="00FD31A4" w:rsidRPr="004A0398" w:rsidRDefault="00FD31A4" w:rsidP="006F22BE">
            <w:pPr>
              <w:tabs>
                <w:tab w:val="left" w:pos="292"/>
              </w:tabs>
              <w:spacing w:before="0"/>
              <w:rPr>
                <w:rFonts w:eastAsia="Calibri" w:cstheme="minorHAnsi"/>
                <w:sz w:val="20"/>
              </w:rPr>
            </w:pPr>
          </w:p>
        </w:tc>
        <w:tc>
          <w:tcPr>
            <w:tcW w:w="1134" w:type="dxa"/>
            <w:vMerge/>
          </w:tcPr>
          <w:p w14:paraId="75A64F44" w14:textId="77777777" w:rsidR="00FD31A4" w:rsidRPr="004A0398" w:rsidRDefault="00FD31A4" w:rsidP="006F22BE">
            <w:pPr>
              <w:tabs>
                <w:tab w:val="left" w:pos="292"/>
              </w:tabs>
              <w:spacing w:before="0"/>
              <w:rPr>
                <w:rFonts w:eastAsia="Calibri" w:cstheme="minorHAnsi"/>
                <w:sz w:val="20"/>
              </w:rPr>
            </w:pPr>
          </w:p>
        </w:tc>
        <w:tc>
          <w:tcPr>
            <w:tcW w:w="3119" w:type="dxa"/>
            <w:vMerge/>
          </w:tcPr>
          <w:p w14:paraId="0A9DF4AF" w14:textId="6D627819" w:rsidR="00FD31A4" w:rsidRPr="004A0398" w:rsidRDefault="00FD31A4" w:rsidP="000F0FF0">
            <w:pPr>
              <w:tabs>
                <w:tab w:val="left" w:pos="292"/>
              </w:tabs>
              <w:spacing w:before="40"/>
              <w:rPr>
                <w:rFonts w:eastAsia="Calibri" w:cstheme="minorHAnsi"/>
                <w:sz w:val="20"/>
              </w:rPr>
            </w:pPr>
          </w:p>
        </w:tc>
      </w:tr>
      <w:tr w:rsidR="00FD31A4" w:rsidRPr="004C061A" w14:paraId="5C904984" w14:textId="77777777" w:rsidTr="00FD31A4">
        <w:tc>
          <w:tcPr>
            <w:tcW w:w="1559" w:type="dxa"/>
            <w:tcBorders>
              <w:bottom w:val="nil"/>
            </w:tcBorders>
          </w:tcPr>
          <w:p w14:paraId="67F58507" w14:textId="5FC83006" w:rsidR="00FD31A4" w:rsidRPr="004A0398" w:rsidRDefault="00FD31A4" w:rsidP="006F22BE">
            <w:pPr>
              <w:tabs>
                <w:tab w:val="left" w:pos="567"/>
              </w:tabs>
              <w:spacing w:before="0" w:after="60"/>
              <w:ind w:left="-57" w:right="-57"/>
              <w:rPr>
                <w:rFonts w:cstheme="minorHAnsi"/>
                <w:b/>
                <w:bCs/>
                <w:sz w:val="20"/>
              </w:rPr>
            </w:pPr>
            <w:r w:rsidRPr="004A0398">
              <w:rPr>
                <w:rFonts w:cstheme="minorHAnsi"/>
                <w:b/>
                <w:bCs/>
                <w:sz w:val="20"/>
              </w:rPr>
              <w:t>13. Membership, partnership, private sector-related matters</w:t>
            </w:r>
          </w:p>
        </w:tc>
        <w:tc>
          <w:tcPr>
            <w:tcW w:w="851" w:type="dxa"/>
          </w:tcPr>
          <w:p w14:paraId="50FD452B" w14:textId="061F1C6F"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7</w:t>
            </w:r>
          </w:p>
        </w:tc>
        <w:tc>
          <w:tcPr>
            <w:tcW w:w="1984" w:type="dxa"/>
          </w:tcPr>
          <w:p w14:paraId="1F53647B" w14:textId="7814A181" w:rsidR="00FD31A4" w:rsidRPr="004A0398" w:rsidRDefault="00FD31A4" w:rsidP="00620EB0">
            <w:pPr>
              <w:pStyle w:val="Default"/>
              <w:ind w:left="-57" w:right="-57"/>
              <w:rPr>
                <w:rFonts w:asciiTheme="minorHAnsi" w:eastAsia="Times New Roman" w:hAnsiTheme="minorHAnsi" w:cstheme="minorHAnsi"/>
                <w:sz w:val="20"/>
                <w:szCs w:val="20"/>
              </w:rPr>
            </w:pPr>
            <w:r w:rsidRPr="0037775A">
              <w:rPr>
                <w:rFonts w:asciiTheme="minorHAnsi" w:eastAsia="Times New Roman" w:hAnsiTheme="minorHAnsi" w:cstheme="minorHAnsi"/>
                <w:sz w:val="20"/>
                <w:szCs w:val="20"/>
                <w:lang w:val="en-GB"/>
              </w:rPr>
              <w:t>ITU-D Partnership and resource mobilization</w:t>
            </w:r>
          </w:p>
        </w:tc>
        <w:tc>
          <w:tcPr>
            <w:tcW w:w="4111" w:type="dxa"/>
          </w:tcPr>
          <w:p w14:paraId="5D427EB3" w14:textId="2966E793" w:rsidR="00FD31A4" w:rsidRPr="004A0398" w:rsidRDefault="00FD31A4" w:rsidP="006F22BE">
            <w:pPr>
              <w:pStyle w:val="Default"/>
              <w:rPr>
                <w:rFonts w:asciiTheme="minorHAnsi" w:eastAsia="Calibri" w:hAnsiTheme="minorHAnsi" w:cstheme="minorHAnsi"/>
                <w:color w:val="auto"/>
                <w:sz w:val="20"/>
                <w:szCs w:val="20"/>
                <w:lang w:val="en-GB" w:eastAsia="en-US"/>
              </w:rPr>
            </w:pPr>
            <w:r w:rsidRPr="00F11BFE">
              <w:rPr>
                <w:rFonts w:asciiTheme="minorHAnsi" w:eastAsia="Calibri" w:hAnsiTheme="minorHAnsi" w:cstheme="minorHAnsi"/>
                <w:color w:val="auto"/>
                <w:sz w:val="20"/>
                <w:szCs w:val="20"/>
                <w:lang w:val="en-GB" w:eastAsia="en-US"/>
              </w:rPr>
              <w:t>TDAG noted the document with interest and appreciation, recognizing the importance of partnership and resource mobilization to implement WTDC-17 programmes and regional initiatives. TDAG supported the BDT Director’s plan to hire a consultancy firm and a senior advisor for this purpose, and to provide training and capacity building for BDT staff on resource mobilization.</w:t>
            </w:r>
          </w:p>
        </w:tc>
        <w:tc>
          <w:tcPr>
            <w:tcW w:w="2835" w:type="dxa"/>
          </w:tcPr>
          <w:p w14:paraId="186562E5" w14:textId="010AE8A4" w:rsidR="00FD31A4" w:rsidRDefault="00FD31A4" w:rsidP="00132E93">
            <w:pPr>
              <w:pStyle w:val="ListParagraph"/>
              <w:numPr>
                <w:ilvl w:val="0"/>
                <w:numId w:val="6"/>
              </w:numPr>
              <w:tabs>
                <w:tab w:val="left" w:pos="292"/>
              </w:tabs>
              <w:spacing w:before="0"/>
              <w:ind w:left="322"/>
              <w:rPr>
                <w:rFonts w:eastAsia="Calibri" w:cstheme="minorHAnsi"/>
                <w:sz w:val="20"/>
              </w:rPr>
            </w:pPr>
            <w:r>
              <w:rPr>
                <w:rFonts w:eastAsia="Calibri" w:cstheme="minorHAnsi"/>
                <w:sz w:val="20"/>
              </w:rPr>
              <w:t xml:space="preserve">Work with consultancy firm to improve resource </w:t>
            </w:r>
            <w:proofErr w:type="gramStart"/>
            <w:r>
              <w:rPr>
                <w:rFonts w:eastAsia="Calibri" w:cstheme="minorHAnsi"/>
                <w:sz w:val="20"/>
              </w:rPr>
              <w:t>mobilization;</w:t>
            </w:r>
            <w:proofErr w:type="gramEnd"/>
          </w:p>
          <w:p w14:paraId="5B0385D2" w14:textId="2244185A" w:rsidR="00FD31A4" w:rsidRPr="00132E93" w:rsidRDefault="00FD31A4" w:rsidP="00132E93">
            <w:pPr>
              <w:pStyle w:val="ListParagraph"/>
              <w:numPr>
                <w:ilvl w:val="0"/>
                <w:numId w:val="6"/>
              </w:numPr>
              <w:tabs>
                <w:tab w:val="left" w:pos="292"/>
              </w:tabs>
              <w:spacing w:before="0"/>
              <w:ind w:left="322"/>
              <w:rPr>
                <w:rFonts w:eastAsia="Calibri" w:cstheme="minorHAnsi"/>
                <w:sz w:val="20"/>
              </w:rPr>
            </w:pPr>
            <w:r>
              <w:rPr>
                <w:rFonts w:eastAsia="Calibri" w:cstheme="minorHAnsi"/>
                <w:sz w:val="20"/>
              </w:rPr>
              <w:t>Provide training and capacity building for BDT staff on resource mobilization.</w:t>
            </w:r>
          </w:p>
        </w:tc>
        <w:tc>
          <w:tcPr>
            <w:tcW w:w="1134" w:type="dxa"/>
          </w:tcPr>
          <w:p w14:paraId="090CDD02" w14:textId="05FC899A" w:rsidR="00FD31A4" w:rsidRDefault="00FD31A4" w:rsidP="006F22BE">
            <w:pPr>
              <w:tabs>
                <w:tab w:val="left" w:pos="292"/>
              </w:tabs>
              <w:spacing w:before="0"/>
              <w:rPr>
                <w:rFonts w:eastAsia="Calibri" w:cstheme="minorHAnsi"/>
                <w:sz w:val="20"/>
                <w:lang w:val="fr-FR"/>
              </w:rPr>
            </w:pPr>
            <w:r>
              <w:rPr>
                <w:rFonts w:eastAsia="Calibri" w:cstheme="minorHAnsi"/>
                <w:sz w:val="20"/>
                <w:lang w:val="fr-FR"/>
              </w:rPr>
              <w:t xml:space="preserve">15 </w:t>
            </w:r>
            <w:proofErr w:type="spellStart"/>
            <w:r>
              <w:rPr>
                <w:rFonts w:eastAsia="Calibri" w:cstheme="minorHAnsi"/>
                <w:sz w:val="20"/>
                <w:lang w:val="fr-FR"/>
              </w:rPr>
              <w:t>October</w:t>
            </w:r>
            <w:proofErr w:type="spellEnd"/>
            <w:r>
              <w:rPr>
                <w:rFonts w:eastAsia="Calibri" w:cstheme="minorHAnsi"/>
                <w:sz w:val="20"/>
                <w:lang w:val="fr-FR"/>
              </w:rPr>
              <w:t xml:space="preserve"> 2020</w:t>
            </w:r>
            <w:r>
              <w:rPr>
                <w:rFonts w:eastAsia="Calibri" w:cstheme="minorHAnsi"/>
                <w:sz w:val="20"/>
                <w:lang w:val="fr-FR"/>
              </w:rPr>
              <w:br/>
            </w:r>
            <w:r>
              <w:rPr>
                <w:rFonts w:eastAsia="Calibri" w:cstheme="minorHAnsi"/>
                <w:sz w:val="20"/>
                <w:lang w:val="fr-FR"/>
              </w:rPr>
              <w:br/>
            </w:r>
          </w:p>
          <w:p w14:paraId="28EC55DB" w14:textId="68BFC3C5" w:rsidR="00FD31A4" w:rsidRPr="00E011A8" w:rsidRDefault="00FD31A4" w:rsidP="006F22BE">
            <w:pPr>
              <w:tabs>
                <w:tab w:val="left" w:pos="292"/>
              </w:tabs>
              <w:spacing w:before="0"/>
              <w:rPr>
                <w:rFonts w:eastAsia="Calibri" w:cstheme="minorHAnsi"/>
                <w:sz w:val="20"/>
                <w:lang w:val="fr-FR"/>
              </w:rPr>
            </w:pPr>
            <w:proofErr w:type="spellStart"/>
            <w:r>
              <w:rPr>
                <w:rFonts w:eastAsia="Calibri" w:cstheme="minorHAnsi"/>
                <w:sz w:val="20"/>
                <w:lang w:val="fr-FR"/>
              </w:rPr>
              <w:t>January</w:t>
            </w:r>
            <w:proofErr w:type="spellEnd"/>
            <w:r>
              <w:rPr>
                <w:rFonts w:eastAsia="Calibri" w:cstheme="minorHAnsi"/>
                <w:sz w:val="20"/>
                <w:lang w:val="fr-FR"/>
              </w:rPr>
              <w:t xml:space="preserve"> 2021</w:t>
            </w:r>
          </w:p>
        </w:tc>
        <w:tc>
          <w:tcPr>
            <w:tcW w:w="3119" w:type="dxa"/>
          </w:tcPr>
          <w:p w14:paraId="355797F4" w14:textId="00FD8595" w:rsidR="00FD31A4" w:rsidRPr="00C21423" w:rsidRDefault="00FD31A4" w:rsidP="000F0FF0">
            <w:pPr>
              <w:tabs>
                <w:tab w:val="left" w:pos="292"/>
              </w:tabs>
              <w:spacing w:before="40"/>
              <w:rPr>
                <w:rFonts w:eastAsia="Calibri" w:cstheme="minorHAnsi"/>
                <w:b/>
                <w:bCs/>
                <w:sz w:val="20"/>
              </w:rPr>
            </w:pPr>
            <w:r>
              <w:rPr>
                <w:rFonts w:eastAsia="Calibri" w:cstheme="minorHAnsi"/>
                <w:b/>
                <w:bCs/>
                <w:sz w:val="20"/>
              </w:rPr>
              <w:t>Ongoing:</w:t>
            </w:r>
          </w:p>
          <w:p w14:paraId="3131BF9A" w14:textId="5D5F8AAB" w:rsidR="00FD31A4" w:rsidRPr="004A0398" w:rsidRDefault="00FD31A4" w:rsidP="000F0FF0">
            <w:pPr>
              <w:tabs>
                <w:tab w:val="left" w:pos="292"/>
              </w:tabs>
              <w:spacing w:before="40"/>
              <w:rPr>
                <w:rFonts w:eastAsia="Calibri" w:cstheme="minorHAnsi"/>
                <w:sz w:val="20"/>
              </w:rPr>
            </w:pPr>
            <w:r w:rsidRPr="000D4FE6">
              <w:rPr>
                <w:rFonts w:eastAsia="Calibri" w:cstheme="minorHAnsi"/>
                <w:sz w:val="20"/>
              </w:rPr>
              <w:t>A Resource Mobilization Consultancy firm was hired and is completing work mid-October. Further, a</w:t>
            </w:r>
            <w:r>
              <w:rPr>
                <w:rFonts w:eastAsia="Calibri" w:cstheme="minorHAnsi"/>
                <w:sz w:val="20"/>
              </w:rPr>
              <w:t>n</w:t>
            </w:r>
            <w:r w:rsidRPr="000D4FE6">
              <w:rPr>
                <w:rFonts w:eastAsia="Calibri" w:cstheme="minorHAnsi"/>
                <w:sz w:val="20"/>
              </w:rPr>
              <w:t xml:space="preserve"> RFP was launched for the selection of a Resource Mobilization training firm which will deliver training to BDT staff towards end this year.</w:t>
            </w:r>
          </w:p>
        </w:tc>
      </w:tr>
      <w:tr w:rsidR="00FD31A4" w:rsidRPr="004C061A" w14:paraId="79520E5C" w14:textId="77777777" w:rsidTr="00FD31A4">
        <w:tc>
          <w:tcPr>
            <w:tcW w:w="1559" w:type="dxa"/>
            <w:tcBorders>
              <w:top w:val="nil"/>
            </w:tcBorders>
          </w:tcPr>
          <w:p w14:paraId="6DE63769" w14:textId="77777777" w:rsidR="00FD31A4" w:rsidRDefault="00FD31A4" w:rsidP="006F22BE">
            <w:pPr>
              <w:tabs>
                <w:tab w:val="left" w:pos="567"/>
              </w:tabs>
              <w:spacing w:before="0" w:after="60"/>
              <w:ind w:left="-57" w:right="-57"/>
              <w:rPr>
                <w:rFonts w:cstheme="minorHAnsi"/>
                <w:b/>
                <w:bCs/>
                <w:sz w:val="20"/>
              </w:rPr>
            </w:pPr>
          </w:p>
        </w:tc>
        <w:tc>
          <w:tcPr>
            <w:tcW w:w="851" w:type="dxa"/>
          </w:tcPr>
          <w:p w14:paraId="7EA6E77E" w14:textId="78DDEEE7"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11</w:t>
            </w:r>
          </w:p>
        </w:tc>
        <w:tc>
          <w:tcPr>
            <w:tcW w:w="1984" w:type="dxa"/>
          </w:tcPr>
          <w:p w14:paraId="640BBB37" w14:textId="5482D6BD" w:rsidR="00FD31A4" w:rsidRPr="004A0398" w:rsidRDefault="00FD31A4" w:rsidP="00620EB0">
            <w:pPr>
              <w:pStyle w:val="Default"/>
              <w:ind w:left="-57" w:right="-57"/>
              <w:rPr>
                <w:rFonts w:asciiTheme="minorHAnsi" w:eastAsia="Times New Roman" w:hAnsiTheme="minorHAnsi" w:cstheme="minorHAnsi"/>
                <w:sz w:val="20"/>
                <w:szCs w:val="20"/>
              </w:rPr>
            </w:pPr>
            <w:r w:rsidRPr="0037775A">
              <w:rPr>
                <w:rFonts w:asciiTheme="minorHAnsi" w:eastAsia="Times New Roman" w:hAnsiTheme="minorHAnsi" w:cstheme="minorHAnsi"/>
                <w:sz w:val="20"/>
                <w:szCs w:val="20"/>
                <w:lang w:val="en-GB"/>
              </w:rPr>
              <w:t>ITU-D Sector Members, Associates and Academia</w:t>
            </w:r>
          </w:p>
        </w:tc>
        <w:tc>
          <w:tcPr>
            <w:tcW w:w="4111" w:type="dxa"/>
          </w:tcPr>
          <w:p w14:paraId="3EB2B72B" w14:textId="77777777" w:rsidR="00FD31A4" w:rsidRPr="00700EE7" w:rsidRDefault="00FD31A4" w:rsidP="00700EE7">
            <w:pPr>
              <w:pStyle w:val="Default"/>
              <w:rPr>
                <w:rFonts w:eastAsia="Calibri" w:cstheme="minorHAnsi"/>
                <w:sz w:val="20"/>
              </w:rPr>
            </w:pPr>
            <w:r w:rsidRPr="00700EE7">
              <w:rPr>
                <w:rFonts w:eastAsia="Calibri" w:cstheme="minorHAnsi"/>
                <w:sz w:val="20"/>
              </w:rPr>
              <w:t>TDAG noted both reports with appreciation and interest. In particular, TDAG noted the strategies that have been taken to increase membership outreach and engagement, such as cross-selling among ITU Sectors, diversification with new industries, digital marketing to reinforce acquisition, and retention of current members by engaging them in ITU-D activities and events. Additional information was provided by the BDT secretariat and the BDT Director on factors influencing the decrease of sector membership such as industry consolidation, economic situation, the inability of some members to pay the annual membership fees, delays in approval from Member States, and decisions by some Sector Members to switch to Associate and Academia membership categories.</w:t>
            </w:r>
          </w:p>
          <w:p w14:paraId="311A234B" w14:textId="6929C6C2" w:rsidR="00FD31A4" w:rsidRPr="004A0398" w:rsidRDefault="00FD31A4" w:rsidP="00700EE7">
            <w:pPr>
              <w:pStyle w:val="Default"/>
              <w:rPr>
                <w:rFonts w:asciiTheme="minorHAnsi" w:eastAsia="Calibri" w:hAnsiTheme="minorHAnsi" w:cstheme="minorHAnsi"/>
                <w:color w:val="auto"/>
                <w:sz w:val="20"/>
                <w:szCs w:val="20"/>
                <w:lang w:val="en-GB" w:eastAsia="en-US"/>
              </w:rPr>
            </w:pPr>
            <w:r w:rsidRPr="00700EE7">
              <w:rPr>
                <w:rFonts w:asciiTheme="minorHAnsi" w:eastAsia="Calibri" w:hAnsiTheme="minorHAnsi" w:cstheme="minorHAnsi"/>
                <w:color w:val="auto"/>
                <w:sz w:val="20"/>
                <w:szCs w:val="20"/>
                <w:lang w:val="en-GB" w:eastAsia="en-US"/>
              </w:rPr>
              <w:t>More developed countries were encouraged to participate in the Sector’s study group meetings, as earlier in 2020 there were too few participants from these countries.</w:t>
            </w:r>
          </w:p>
        </w:tc>
        <w:tc>
          <w:tcPr>
            <w:tcW w:w="2835" w:type="dxa"/>
          </w:tcPr>
          <w:p w14:paraId="52C8C6D1" w14:textId="294F314B" w:rsidR="00FD31A4" w:rsidRPr="004A0398" w:rsidRDefault="00FD31A4" w:rsidP="006F22BE">
            <w:pPr>
              <w:tabs>
                <w:tab w:val="left" w:pos="292"/>
              </w:tabs>
              <w:spacing w:before="0"/>
              <w:rPr>
                <w:rFonts w:eastAsia="Calibri" w:cstheme="minorHAnsi"/>
                <w:sz w:val="20"/>
              </w:rPr>
            </w:pPr>
            <w:r>
              <w:rPr>
                <w:rFonts w:eastAsia="Calibri" w:cstheme="minorHAnsi"/>
                <w:sz w:val="20"/>
              </w:rPr>
              <w:t>--</w:t>
            </w:r>
          </w:p>
        </w:tc>
        <w:tc>
          <w:tcPr>
            <w:tcW w:w="1134" w:type="dxa"/>
          </w:tcPr>
          <w:p w14:paraId="4E30A3DC" w14:textId="77777777" w:rsidR="00FD31A4" w:rsidRPr="004A0398" w:rsidRDefault="00FD31A4" w:rsidP="006F22BE">
            <w:pPr>
              <w:tabs>
                <w:tab w:val="left" w:pos="292"/>
              </w:tabs>
              <w:spacing w:before="0"/>
              <w:rPr>
                <w:rFonts w:eastAsia="Calibri" w:cstheme="minorHAnsi"/>
                <w:sz w:val="20"/>
              </w:rPr>
            </w:pPr>
          </w:p>
        </w:tc>
        <w:tc>
          <w:tcPr>
            <w:tcW w:w="3119" w:type="dxa"/>
          </w:tcPr>
          <w:p w14:paraId="7D607AC0" w14:textId="1A7679F0" w:rsidR="00FD31A4" w:rsidRPr="004A0398" w:rsidRDefault="00FD31A4" w:rsidP="000F0FF0">
            <w:pPr>
              <w:tabs>
                <w:tab w:val="left" w:pos="292"/>
              </w:tabs>
              <w:spacing w:before="40"/>
              <w:rPr>
                <w:rFonts w:eastAsia="Calibri" w:cstheme="minorHAnsi"/>
                <w:sz w:val="20"/>
              </w:rPr>
            </w:pPr>
          </w:p>
        </w:tc>
      </w:tr>
      <w:tr w:rsidR="00FD31A4" w:rsidRPr="004C061A" w14:paraId="22909F8F" w14:textId="77777777" w:rsidTr="00FD31A4">
        <w:tc>
          <w:tcPr>
            <w:tcW w:w="1559" w:type="dxa"/>
          </w:tcPr>
          <w:p w14:paraId="26612D3D" w14:textId="724973C1" w:rsidR="00FD31A4" w:rsidRPr="004A0398" w:rsidRDefault="00FD31A4" w:rsidP="006F22BE">
            <w:pPr>
              <w:tabs>
                <w:tab w:val="left" w:pos="567"/>
              </w:tabs>
              <w:spacing w:before="0" w:after="60"/>
              <w:ind w:left="-57" w:right="-57"/>
              <w:rPr>
                <w:rFonts w:cstheme="minorHAnsi"/>
                <w:b/>
                <w:bCs/>
                <w:sz w:val="20"/>
              </w:rPr>
            </w:pPr>
            <w:r>
              <w:rPr>
                <w:rFonts w:cstheme="minorHAnsi"/>
                <w:b/>
                <w:bCs/>
                <w:sz w:val="20"/>
              </w:rPr>
              <w:t xml:space="preserve">14. </w:t>
            </w:r>
            <w:r w:rsidRPr="00407DD2">
              <w:rPr>
                <w:rFonts w:cstheme="minorHAnsi"/>
                <w:b/>
                <w:bCs/>
                <w:sz w:val="20"/>
              </w:rPr>
              <w:t>Report by the Chairman of the Group on Capacity Building Initiatives (GCBI)</w:t>
            </w:r>
          </w:p>
        </w:tc>
        <w:tc>
          <w:tcPr>
            <w:tcW w:w="851" w:type="dxa"/>
          </w:tcPr>
          <w:p w14:paraId="7911404B" w14:textId="136F3CB3"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27</w:t>
            </w:r>
          </w:p>
        </w:tc>
        <w:tc>
          <w:tcPr>
            <w:tcW w:w="1984" w:type="dxa"/>
          </w:tcPr>
          <w:p w14:paraId="25DC73DC" w14:textId="56B00584" w:rsidR="00FD31A4" w:rsidRPr="004A0398" w:rsidRDefault="00FD31A4" w:rsidP="00620EB0">
            <w:pPr>
              <w:pStyle w:val="Default"/>
              <w:ind w:left="-57" w:right="-57"/>
              <w:rPr>
                <w:rFonts w:asciiTheme="minorHAnsi" w:eastAsia="Times New Roman" w:hAnsiTheme="minorHAnsi" w:cstheme="minorHAnsi"/>
                <w:sz w:val="20"/>
                <w:szCs w:val="20"/>
              </w:rPr>
            </w:pPr>
            <w:r w:rsidRPr="00655C32">
              <w:rPr>
                <w:rFonts w:asciiTheme="minorHAnsi" w:eastAsia="Times New Roman" w:hAnsiTheme="minorHAnsi" w:cstheme="minorHAnsi"/>
                <w:sz w:val="20"/>
                <w:szCs w:val="20"/>
                <w:lang w:val="en-GB"/>
              </w:rPr>
              <w:t>Report on the work of the Group on Capacity Building Initiatives (GCBI) to TDAG</w:t>
            </w:r>
            <w:r>
              <w:rPr>
                <w:rFonts w:asciiTheme="minorHAnsi" w:eastAsia="Times New Roman" w:hAnsiTheme="minorHAnsi" w:cstheme="minorHAnsi"/>
                <w:sz w:val="20"/>
                <w:szCs w:val="20"/>
                <w:lang w:val="en-GB"/>
              </w:rPr>
              <w:t>, from Chairman GCBI</w:t>
            </w:r>
          </w:p>
        </w:tc>
        <w:tc>
          <w:tcPr>
            <w:tcW w:w="4111" w:type="dxa"/>
          </w:tcPr>
          <w:p w14:paraId="15558715" w14:textId="1C4FB6A9" w:rsidR="00FD31A4" w:rsidRPr="004A0398" w:rsidRDefault="00FD31A4" w:rsidP="006F22BE">
            <w:pPr>
              <w:pStyle w:val="Default"/>
              <w:rPr>
                <w:rFonts w:asciiTheme="minorHAnsi" w:eastAsia="Calibri" w:hAnsiTheme="minorHAnsi" w:cstheme="minorHAnsi"/>
                <w:color w:val="auto"/>
                <w:sz w:val="20"/>
                <w:szCs w:val="20"/>
                <w:lang w:val="en-GB" w:eastAsia="en-US"/>
              </w:rPr>
            </w:pPr>
            <w:r w:rsidRPr="00EF4D1D">
              <w:rPr>
                <w:rFonts w:asciiTheme="minorHAnsi" w:eastAsia="Calibri" w:hAnsiTheme="minorHAnsi" w:cstheme="minorHAnsi"/>
                <w:color w:val="auto"/>
                <w:sz w:val="20"/>
                <w:szCs w:val="20"/>
                <w:lang w:val="en-GB" w:eastAsia="en-US"/>
              </w:rPr>
              <w:t>TDAG noted the report with appreciation and congratulated GCBI for the excellent work done. TDAG highlighted the importance of capacity development in the work of BDT as it is a priority for four of the five regions as reflected in their regional initiatives.</w:t>
            </w:r>
          </w:p>
        </w:tc>
        <w:tc>
          <w:tcPr>
            <w:tcW w:w="2835" w:type="dxa"/>
          </w:tcPr>
          <w:p w14:paraId="0D2BE109" w14:textId="781F997E" w:rsidR="00FD31A4" w:rsidRPr="004A0398" w:rsidRDefault="00FD31A4" w:rsidP="006F22BE">
            <w:pPr>
              <w:tabs>
                <w:tab w:val="left" w:pos="292"/>
              </w:tabs>
              <w:spacing w:before="0"/>
              <w:rPr>
                <w:rFonts w:eastAsia="Calibri" w:cstheme="minorHAnsi"/>
                <w:sz w:val="20"/>
              </w:rPr>
            </w:pPr>
            <w:r>
              <w:rPr>
                <w:rFonts w:eastAsia="Calibri" w:cstheme="minorHAnsi"/>
                <w:sz w:val="20"/>
              </w:rPr>
              <w:t>--</w:t>
            </w:r>
          </w:p>
        </w:tc>
        <w:tc>
          <w:tcPr>
            <w:tcW w:w="1134" w:type="dxa"/>
          </w:tcPr>
          <w:p w14:paraId="33B32B27" w14:textId="77777777" w:rsidR="00FD31A4" w:rsidRPr="004A0398" w:rsidRDefault="00FD31A4" w:rsidP="006F22BE">
            <w:pPr>
              <w:tabs>
                <w:tab w:val="left" w:pos="292"/>
              </w:tabs>
              <w:spacing w:before="0"/>
              <w:rPr>
                <w:rFonts w:eastAsia="Calibri" w:cstheme="minorHAnsi"/>
                <w:sz w:val="20"/>
              </w:rPr>
            </w:pPr>
          </w:p>
        </w:tc>
        <w:tc>
          <w:tcPr>
            <w:tcW w:w="3119" w:type="dxa"/>
          </w:tcPr>
          <w:p w14:paraId="6764D6C8" w14:textId="23ACB547" w:rsidR="00FD31A4" w:rsidRPr="004A0398" w:rsidRDefault="00FD31A4" w:rsidP="000F0FF0">
            <w:pPr>
              <w:tabs>
                <w:tab w:val="left" w:pos="292"/>
              </w:tabs>
              <w:spacing w:before="40"/>
              <w:rPr>
                <w:rFonts w:eastAsia="Calibri" w:cstheme="minorHAnsi"/>
                <w:sz w:val="20"/>
              </w:rPr>
            </w:pPr>
          </w:p>
        </w:tc>
      </w:tr>
      <w:tr w:rsidR="00FD31A4" w:rsidRPr="004C061A" w14:paraId="5234DE3D" w14:textId="77777777" w:rsidTr="00FD31A4">
        <w:tc>
          <w:tcPr>
            <w:tcW w:w="1559" w:type="dxa"/>
          </w:tcPr>
          <w:p w14:paraId="2145EFD1" w14:textId="0CE102FE" w:rsidR="00FD31A4" w:rsidRPr="004A0398" w:rsidRDefault="00FD31A4" w:rsidP="00C90073">
            <w:pPr>
              <w:widowControl w:val="0"/>
              <w:tabs>
                <w:tab w:val="left" w:pos="567"/>
              </w:tabs>
              <w:spacing w:before="0" w:after="60"/>
              <w:ind w:left="-57" w:right="-57"/>
              <w:rPr>
                <w:rFonts w:cstheme="minorHAnsi"/>
                <w:b/>
                <w:bCs/>
                <w:sz w:val="20"/>
              </w:rPr>
            </w:pPr>
            <w:r w:rsidRPr="004A0398">
              <w:rPr>
                <w:rFonts w:cstheme="minorHAnsi"/>
                <w:b/>
                <w:bCs/>
                <w:sz w:val="20"/>
              </w:rPr>
              <w:t>1</w:t>
            </w:r>
            <w:r>
              <w:rPr>
                <w:rFonts w:cstheme="minorHAnsi"/>
                <w:b/>
                <w:bCs/>
                <w:sz w:val="20"/>
              </w:rPr>
              <w:t>5</w:t>
            </w:r>
            <w:r w:rsidRPr="004A0398">
              <w:rPr>
                <w:rFonts w:cstheme="minorHAnsi"/>
                <w:b/>
                <w:bCs/>
                <w:sz w:val="20"/>
              </w:rPr>
              <w:t xml:space="preserve">. </w:t>
            </w:r>
            <w:r>
              <w:rPr>
                <w:rFonts w:cstheme="minorHAnsi"/>
                <w:b/>
                <w:bCs/>
                <w:sz w:val="20"/>
              </w:rPr>
              <w:t>ITU-D s Youth Strategy</w:t>
            </w:r>
          </w:p>
        </w:tc>
        <w:tc>
          <w:tcPr>
            <w:tcW w:w="851" w:type="dxa"/>
          </w:tcPr>
          <w:p w14:paraId="130DE79D" w14:textId="3ED130C5" w:rsidR="00FD31A4" w:rsidRPr="004A0398" w:rsidRDefault="00FD31A4" w:rsidP="00C90073">
            <w:pPr>
              <w:widowControl w:val="0"/>
              <w:tabs>
                <w:tab w:val="left" w:pos="567"/>
              </w:tabs>
              <w:spacing w:before="0" w:after="60"/>
              <w:ind w:left="-57" w:right="-57"/>
              <w:rPr>
                <w:rFonts w:cstheme="minorHAnsi"/>
                <w:i/>
                <w:iCs/>
                <w:sz w:val="20"/>
              </w:rPr>
            </w:pPr>
            <w:r>
              <w:rPr>
                <w:rFonts w:cstheme="minorHAnsi"/>
                <w:i/>
                <w:iCs/>
                <w:sz w:val="20"/>
              </w:rPr>
              <w:t>16</w:t>
            </w:r>
          </w:p>
        </w:tc>
        <w:tc>
          <w:tcPr>
            <w:tcW w:w="1984" w:type="dxa"/>
          </w:tcPr>
          <w:p w14:paraId="177B3ED7" w14:textId="44202BD4" w:rsidR="00FD31A4" w:rsidRPr="004A0398" w:rsidRDefault="00FD31A4" w:rsidP="00C90073">
            <w:pPr>
              <w:pStyle w:val="Default"/>
              <w:widowControl w:val="0"/>
              <w:ind w:left="-57" w:right="-57"/>
              <w:rPr>
                <w:rFonts w:asciiTheme="minorHAnsi" w:eastAsia="Times New Roman" w:hAnsiTheme="minorHAnsi" w:cstheme="minorHAnsi"/>
                <w:sz w:val="20"/>
                <w:szCs w:val="20"/>
              </w:rPr>
            </w:pPr>
            <w:r w:rsidRPr="00655C32">
              <w:rPr>
                <w:rFonts w:asciiTheme="minorHAnsi" w:eastAsia="Times New Roman" w:hAnsiTheme="minorHAnsi" w:cstheme="minorHAnsi"/>
                <w:sz w:val="20"/>
                <w:szCs w:val="20"/>
                <w:lang w:val="en-GB"/>
              </w:rPr>
              <w:t>Draft Youth Strategy</w:t>
            </w:r>
          </w:p>
        </w:tc>
        <w:tc>
          <w:tcPr>
            <w:tcW w:w="4111" w:type="dxa"/>
          </w:tcPr>
          <w:p w14:paraId="6E26788C" w14:textId="55C6A072" w:rsidR="00FD31A4" w:rsidRPr="004A0398" w:rsidRDefault="00FD31A4" w:rsidP="00C90073">
            <w:pPr>
              <w:pStyle w:val="Default"/>
              <w:widowControl w:val="0"/>
              <w:rPr>
                <w:rFonts w:asciiTheme="minorHAnsi" w:eastAsia="Calibri" w:hAnsiTheme="minorHAnsi" w:cstheme="minorHAnsi"/>
                <w:color w:val="auto"/>
                <w:sz w:val="20"/>
                <w:szCs w:val="20"/>
                <w:lang w:val="en-GB" w:eastAsia="en-US"/>
              </w:rPr>
            </w:pPr>
            <w:r w:rsidRPr="009721F1">
              <w:rPr>
                <w:rFonts w:asciiTheme="minorHAnsi" w:eastAsia="Calibri" w:hAnsiTheme="minorHAnsi" w:cstheme="minorHAnsi"/>
                <w:color w:val="auto"/>
                <w:sz w:val="20"/>
                <w:szCs w:val="20"/>
                <w:lang w:val="en-GB" w:eastAsia="en-US"/>
              </w:rPr>
              <w:t xml:space="preserve">TDAG noted the document with appreciation and significant support by its members. Participants suggested that the strategy take into consideration the work with other ITU Sectors to possibly become an ITU wide initiative, and to mainstream the youth strategy in different resolutions of BDT. Participants also noted that the youth strategy should include the existing work of ITU related to girls and young women, as well as aboriginal youth, to </w:t>
            </w:r>
            <w:r w:rsidRPr="009721F1">
              <w:rPr>
                <w:rFonts w:asciiTheme="minorHAnsi" w:eastAsia="Calibri" w:hAnsiTheme="minorHAnsi" w:cstheme="minorHAnsi"/>
                <w:color w:val="auto"/>
                <w:sz w:val="20"/>
                <w:szCs w:val="20"/>
                <w:lang w:val="en-GB" w:eastAsia="en-US"/>
              </w:rPr>
              <w:lastRenderedPageBreak/>
              <w:t xml:space="preserve">include this effort at the national and regional levels, and to coordinate with the UN family in its implementation. The importance of affordable devices, access and connectivity for young people was noted, </w:t>
            </w:r>
            <w:r w:rsidR="003F3DAF" w:rsidRPr="009721F1">
              <w:rPr>
                <w:rFonts w:asciiTheme="minorHAnsi" w:eastAsia="Calibri" w:hAnsiTheme="minorHAnsi" w:cstheme="minorHAnsi"/>
                <w:color w:val="auto"/>
                <w:sz w:val="20"/>
                <w:szCs w:val="20"/>
                <w:lang w:val="en-GB" w:eastAsia="en-US"/>
              </w:rPr>
              <w:t>as well as</w:t>
            </w:r>
            <w:r w:rsidRPr="009721F1">
              <w:rPr>
                <w:rFonts w:asciiTheme="minorHAnsi" w:eastAsia="Calibri" w:hAnsiTheme="minorHAnsi" w:cstheme="minorHAnsi"/>
                <w:color w:val="auto"/>
                <w:sz w:val="20"/>
                <w:szCs w:val="20"/>
                <w:lang w:val="en-GB" w:eastAsia="en-US"/>
              </w:rPr>
              <w:t xml:space="preserve"> the necessary digital skills to use technology in a constructive way. TDAG encouraged BDT to work closely with regional offices to ensure coordination and proper implementation.</w:t>
            </w:r>
          </w:p>
        </w:tc>
        <w:tc>
          <w:tcPr>
            <w:tcW w:w="2835" w:type="dxa"/>
          </w:tcPr>
          <w:p w14:paraId="1919406C" w14:textId="77777777" w:rsidR="00FD31A4" w:rsidRPr="00DA25E8" w:rsidRDefault="00FD31A4" w:rsidP="00DA25E8">
            <w:pPr>
              <w:widowControl w:val="0"/>
              <w:tabs>
                <w:tab w:val="left" w:pos="292"/>
              </w:tabs>
              <w:spacing w:before="0"/>
              <w:rPr>
                <w:rFonts w:eastAsia="Calibri" w:cstheme="minorHAnsi"/>
                <w:sz w:val="20"/>
                <w:u w:val="single"/>
              </w:rPr>
            </w:pPr>
            <w:r w:rsidRPr="00DA25E8">
              <w:rPr>
                <w:rFonts w:eastAsia="Calibri" w:cstheme="minorHAnsi"/>
                <w:sz w:val="20"/>
                <w:u w:val="single"/>
              </w:rPr>
              <w:lastRenderedPageBreak/>
              <w:t>What has been completed:</w:t>
            </w:r>
          </w:p>
          <w:p w14:paraId="78C92B53" w14:textId="77777777" w:rsidR="00FD31A4" w:rsidRPr="00DA25E8" w:rsidRDefault="00FD31A4" w:rsidP="00DA25E8">
            <w:pPr>
              <w:widowControl w:val="0"/>
              <w:tabs>
                <w:tab w:val="left" w:pos="292"/>
              </w:tabs>
              <w:spacing w:before="0"/>
              <w:rPr>
                <w:rFonts w:eastAsia="Calibri" w:cstheme="minorHAnsi"/>
                <w:sz w:val="20"/>
              </w:rPr>
            </w:pPr>
            <w:r w:rsidRPr="00DA25E8">
              <w:rPr>
                <w:rFonts w:eastAsia="Calibri" w:cstheme="minorHAnsi"/>
                <w:sz w:val="20"/>
              </w:rPr>
              <w:t xml:space="preserve">The youth strategy was updated with the inputs from the June 2020 session of TDAG and the recommendations of the global youth consultation. A youth task force of around 30 ITU staff was set up with colleagues from BDT HQ and regional offices, as well as BR, TSB and the General </w:t>
            </w:r>
            <w:r w:rsidRPr="00DA25E8">
              <w:rPr>
                <w:rFonts w:eastAsia="Calibri" w:cstheme="minorHAnsi"/>
                <w:sz w:val="20"/>
              </w:rPr>
              <w:lastRenderedPageBreak/>
              <w:t>Secretariat. A circular letter was sent out to ITU Members on 31 August, with a call for voluntary contributions to support the implementation of the youth strategy.</w:t>
            </w:r>
          </w:p>
          <w:p w14:paraId="589002EA" w14:textId="77777777" w:rsidR="00FD31A4" w:rsidRPr="00DA25E8" w:rsidRDefault="00FD31A4" w:rsidP="00DA25E8">
            <w:pPr>
              <w:widowControl w:val="0"/>
              <w:tabs>
                <w:tab w:val="left" w:pos="292"/>
              </w:tabs>
              <w:spacing w:before="0"/>
              <w:rPr>
                <w:rFonts w:eastAsia="Calibri" w:cstheme="minorHAnsi"/>
                <w:sz w:val="20"/>
                <w:u w:val="single"/>
              </w:rPr>
            </w:pPr>
            <w:r w:rsidRPr="00DA25E8">
              <w:rPr>
                <w:rFonts w:eastAsia="Calibri" w:cstheme="minorHAnsi"/>
                <w:sz w:val="20"/>
                <w:u w:val="single"/>
              </w:rPr>
              <w:t>What is coming:</w:t>
            </w:r>
          </w:p>
          <w:p w14:paraId="27CCBD46" w14:textId="77777777" w:rsidR="00FD31A4" w:rsidRPr="00DA25E8" w:rsidRDefault="00FD31A4" w:rsidP="00DA25E8">
            <w:pPr>
              <w:widowControl w:val="0"/>
              <w:tabs>
                <w:tab w:val="left" w:pos="292"/>
              </w:tabs>
              <w:spacing w:before="0"/>
              <w:rPr>
                <w:rFonts w:eastAsia="Calibri" w:cstheme="minorHAnsi"/>
                <w:sz w:val="20"/>
              </w:rPr>
            </w:pPr>
            <w:r w:rsidRPr="00DA25E8">
              <w:rPr>
                <w:rFonts w:eastAsia="Calibri" w:cstheme="minorHAnsi"/>
                <w:sz w:val="20"/>
              </w:rPr>
              <w:t>A training on meaningful youth engagement for the youth task force and BDT staff is being organized for October, November and December 2020. An implementation plan is being developed for the implementation of the youth strategy. Work is being undertaken for the design of the WTDC-21 Youth Summit. A new ITU youth website is being designed, with the support of a working group of young people.</w:t>
            </w:r>
          </w:p>
          <w:p w14:paraId="54EB86C6" w14:textId="74860057" w:rsidR="00FD31A4" w:rsidRPr="00DA25E8" w:rsidRDefault="00FD31A4" w:rsidP="00DA25E8">
            <w:pPr>
              <w:widowControl w:val="0"/>
              <w:tabs>
                <w:tab w:val="left" w:pos="292"/>
              </w:tabs>
              <w:spacing w:before="0"/>
              <w:rPr>
                <w:rFonts w:eastAsia="Calibri" w:cstheme="minorHAnsi"/>
                <w:sz w:val="20"/>
              </w:rPr>
            </w:pPr>
            <w:r w:rsidRPr="00DA25E8">
              <w:rPr>
                <w:rFonts w:eastAsia="Calibri" w:cstheme="minorHAnsi"/>
                <w:sz w:val="20"/>
              </w:rPr>
              <w:t>Under the recently launched International Centre of Digital Innovation, known as I-</w:t>
            </w:r>
            <w:proofErr w:type="spellStart"/>
            <w:r w:rsidRPr="00DA25E8">
              <w:rPr>
                <w:rFonts w:eastAsia="Calibri" w:cstheme="minorHAnsi"/>
                <w:sz w:val="20"/>
              </w:rPr>
              <w:t>CoDI</w:t>
            </w:r>
            <w:proofErr w:type="spellEnd"/>
            <w:r w:rsidRPr="00DA25E8">
              <w:rPr>
                <w:rFonts w:eastAsia="Calibri" w:cstheme="minorHAnsi"/>
                <w:sz w:val="20"/>
              </w:rPr>
              <w:t>, a youth use case is being developed.</w:t>
            </w:r>
          </w:p>
        </w:tc>
        <w:tc>
          <w:tcPr>
            <w:tcW w:w="1134" w:type="dxa"/>
          </w:tcPr>
          <w:p w14:paraId="74A67148" w14:textId="2713DB59" w:rsidR="00FD31A4" w:rsidRPr="00E553A4" w:rsidRDefault="00FD31A4" w:rsidP="00E553A4">
            <w:pPr>
              <w:widowControl w:val="0"/>
              <w:tabs>
                <w:tab w:val="left" w:pos="292"/>
              </w:tabs>
              <w:spacing w:before="0"/>
              <w:rPr>
                <w:rFonts w:eastAsia="Calibri" w:cstheme="minorHAnsi"/>
                <w:sz w:val="20"/>
              </w:rPr>
            </w:pPr>
            <w:r>
              <w:rPr>
                <w:rFonts w:eastAsia="Calibri" w:cstheme="minorHAnsi"/>
                <w:sz w:val="20"/>
              </w:rPr>
              <w:lastRenderedPageBreak/>
              <w:t>15 September 2020</w:t>
            </w:r>
          </w:p>
          <w:p w14:paraId="3054D902" w14:textId="77777777" w:rsidR="00FD31A4" w:rsidRPr="00E553A4" w:rsidRDefault="00FD31A4" w:rsidP="00E553A4">
            <w:pPr>
              <w:widowControl w:val="0"/>
              <w:tabs>
                <w:tab w:val="left" w:pos="292"/>
              </w:tabs>
              <w:spacing w:before="0"/>
              <w:rPr>
                <w:rFonts w:eastAsia="Calibri" w:cstheme="minorHAnsi"/>
                <w:sz w:val="20"/>
              </w:rPr>
            </w:pPr>
          </w:p>
          <w:p w14:paraId="4215F353" w14:textId="77777777" w:rsidR="00FD31A4" w:rsidRPr="00E553A4" w:rsidRDefault="00FD31A4" w:rsidP="00E553A4">
            <w:pPr>
              <w:widowControl w:val="0"/>
              <w:tabs>
                <w:tab w:val="left" w:pos="292"/>
              </w:tabs>
              <w:spacing w:before="0"/>
              <w:rPr>
                <w:rFonts w:eastAsia="Calibri" w:cstheme="minorHAnsi"/>
                <w:sz w:val="20"/>
              </w:rPr>
            </w:pPr>
          </w:p>
          <w:p w14:paraId="5F248992" w14:textId="62119688" w:rsidR="00FD31A4" w:rsidRPr="00E553A4" w:rsidRDefault="00FD31A4" w:rsidP="00E553A4">
            <w:pPr>
              <w:widowControl w:val="0"/>
              <w:tabs>
                <w:tab w:val="left" w:pos="292"/>
              </w:tabs>
              <w:spacing w:before="0"/>
              <w:rPr>
                <w:rFonts w:eastAsia="Calibri" w:cstheme="minorHAnsi"/>
                <w:sz w:val="20"/>
              </w:rPr>
            </w:pPr>
          </w:p>
          <w:p w14:paraId="57C8D86A" w14:textId="4F2341C2" w:rsidR="00FD31A4" w:rsidRPr="00E553A4" w:rsidRDefault="00FD31A4" w:rsidP="00E553A4">
            <w:pPr>
              <w:widowControl w:val="0"/>
              <w:tabs>
                <w:tab w:val="left" w:pos="292"/>
              </w:tabs>
              <w:spacing w:before="0"/>
              <w:rPr>
                <w:rFonts w:eastAsia="Calibri" w:cstheme="minorHAnsi"/>
                <w:sz w:val="20"/>
              </w:rPr>
            </w:pPr>
          </w:p>
          <w:p w14:paraId="169E94DB" w14:textId="5CC1662E" w:rsidR="00FD31A4" w:rsidRPr="00E553A4" w:rsidRDefault="00FD31A4" w:rsidP="00E553A4">
            <w:pPr>
              <w:widowControl w:val="0"/>
              <w:tabs>
                <w:tab w:val="left" w:pos="292"/>
              </w:tabs>
              <w:spacing w:before="0"/>
              <w:rPr>
                <w:rFonts w:eastAsia="Calibri" w:cstheme="minorHAnsi"/>
                <w:sz w:val="20"/>
              </w:rPr>
            </w:pPr>
          </w:p>
          <w:p w14:paraId="0279DDA3" w14:textId="18387169" w:rsidR="00FD31A4" w:rsidRPr="00E553A4" w:rsidRDefault="00FD31A4" w:rsidP="00E553A4">
            <w:pPr>
              <w:widowControl w:val="0"/>
              <w:tabs>
                <w:tab w:val="left" w:pos="292"/>
              </w:tabs>
              <w:spacing w:before="0"/>
              <w:rPr>
                <w:rFonts w:eastAsia="Calibri" w:cstheme="minorHAnsi"/>
                <w:sz w:val="20"/>
              </w:rPr>
            </w:pPr>
          </w:p>
          <w:p w14:paraId="48638FA7" w14:textId="2E8AE797" w:rsidR="00FD31A4" w:rsidRPr="00E553A4" w:rsidRDefault="00FD31A4" w:rsidP="00E553A4">
            <w:pPr>
              <w:widowControl w:val="0"/>
              <w:tabs>
                <w:tab w:val="left" w:pos="292"/>
              </w:tabs>
              <w:spacing w:before="0"/>
              <w:rPr>
                <w:rFonts w:eastAsia="Calibri" w:cstheme="minorHAnsi"/>
                <w:sz w:val="20"/>
              </w:rPr>
            </w:pPr>
          </w:p>
          <w:p w14:paraId="3E3374E9" w14:textId="77777777" w:rsidR="00FD31A4" w:rsidRPr="00E553A4" w:rsidRDefault="00FD31A4" w:rsidP="00E553A4">
            <w:pPr>
              <w:widowControl w:val="0"/>
              <w:tabs>
                <w:tab w:val="left" w:pos="292"/>
              </w:tabs>
              <w:spacing w:before="0"/>
              <w:rPr>
                <w:rFonts w:eastAsia="Calibri" w:cstheme="minorHAnsi"/>
                <w:sz w:val="20"/>
              </w:rPr>
            </w:pPr>
          </w:p>
          <w:p w14:paraId="0DC5C2E4" w14:textId="05C5FDA9" w:rsidR="00FD31A4" w:rsidRPr="00E553A4" w:rsidRDefault="00FD31A4" w:rsidP="00E553A4">
            <w:pPr>
              <w:widowControl w:val="0"/>
              <w:tabs>
                <w:tab w:val="left" w:pos="292"/>
              </w:tabs>
              <w:spacing w:before="0"/>
              <w:rPr>
                <w:rFonts w:eastAsia="Calibri" w:cstheme="minorHAnsi"/>
                <w:sz w:val="20"/>
              </w:rPr>
            </w:pPr>
            <w:r>
              <w:rPr>
                <w:rFonts w:eastAsia="Calibri" w:cstheme="minorHAnsi"/>
                <w:sz w:val="20"/>
              </w:rPr>
              <w:t>30 January 2020</w:t>
            </w:r>
          </w:p>
        </w:tc>
        <w:tc>
          <w:tcPr>
            <w:tcW w:w="3119" w:type="dxa"/>
          </w:tcPr>
          <w:p w14:paraId="6E7EC10D" w14:textId="77777777" w:rsidR="00FD31A4" w:rsidRPr="00E553A4" w:rsidRDefault="00FD31A4" w:rsidP="000F0FF0">
            <w:pPr>
              <w:spacing w:before="40"/>
              <w:rPr>
                <w:rFonts w:ascii="Calibri" w:hAnsi="Calibri"/>
                <w:b/>
                <w:bCs/>
                <w:sz w:val="20"/>
              </w:rPr>
            </w:pPr>
            <w:r w:rsidRPr="00E553A4">
              <w:rPr>
                <w:b/>
                <w:bCs/>
                <w:sz w:val="20"/>
              </w:rPr>
              <w:lastRenderedPageBreak/>
              <w:t>Completed:</w:t>
            </w:r>
          </w:p>
          <w:p w14:paraId="0FC0F062" w14:textId="77777777" w:rsidR="00FD31A4" w:rsidRPr="00E553A4" w:rsidRDefault="00FD31A4" w:rsidP="000F0FF0">
            <w:pPr>
              <w:spacing w:before="40"/>
              <w:rPr>
                <w:sz w:val="20"/>
              </w:rPr>
            </w:pPr>
            <w:r w:rsidRPr="00E553A4">
              <w:rPr>
                <w:sz w:val="20"/>
              </w:rPr>
              <w:t>The youth strategy was updated with the inputs from the June 2020 session of TDAG and the recommendations of the global youth consultation. A youth task force of around 30 ITU staff was set up with colleagues from BDT HQ and regional offices, as well as BR, TSB and the General Secretariat.</w:t>
            </w:r>
          </w:p>
          <w:p w14:paraId="77D29F5D" w14:textId="61AF34C6" w:rsidR="00FD31A4" w:rsidRPr="00E553A4" w:rsidRDefault="00FD31A4" w:rsidP="000F0FF0">
            <w:pPr>
              <w:spacing w:before="40"/>
              <w:rPr>
                <w:b/>
                <w:bCs/>
                <w:sz w:val="20"/>
              </w:rPr>
            </w:pPr>
            <w:r w:rsidRPr="00E553A4">
              <w:rPr>
                <w:b/>
                <w:bCs/>
                <w:sz w:val="20"/>
              </w:rPr>
              <w:lastRenderedPageBreak/>
              <w:t>Ongoing:</w:t>
            </w:r>
          </w:p>
          <w:p w14:paraId="6638A2BA" w14:textId="5DF7602C" w:rsidR="00FD31A4" w:rsidRPr="00E553A4" w:rsidRDefault="00FD31A4" w:rsidP="000F0FF0">
            <w:pPr>
              <w:spacing w:before="40"/>
              <w:rPr>
                <w:sz w:val="20"/>
              </w:rPr>
            </w:pPr>
            <w:r w:rsidRPr="00E553A4">
              <w:rPr>
                <w:sz w:val="20"/>
              </w:rPr>
              <w:t>A training on meaningful youth engagement for the youth task force and BDT staff is being organized for October</w:t>
            </w:r>
            <w:r>
              <w:rPr>
                <w:sz w:val="20"/>
              </w:rPr>
              <w:t>-</w:t>
            </w:r>
            <w:r w:rsidRPr="00E553A4">
              <w:rPr>
                <w:sz w:val="20"/>
              </w:rPr>
              <w:t>December 2020. An implementation plan is being developed for the implementation of the youth strategy. Work is being undertaken for the design of the WTDC-21 Youth Summit. A new ITU youth website is being designed, with the support of a working group of young people.</w:t>
            </w:r>
          </w:p>
          <w:p w14:paraId="6A9E33C4" w14:textId="52ABB77C" w:rsidR="00FD31A4" w:rsidRPr="00E553A4" w:rsidRDefault="00FD31A4" w:rsidP="000F0FF0">
            <w:pPr>
              <w:spacing w:before="40"/>
              <w:rPr>
                <w:sz w:val="20"/>
              </w:rPr>
            </w:pPr>
            <w:r w:rsidRPr="00E553A4">
              <w:rPr>
                <w:sz w:val="20"/>
              </w:rPr>
              <w:t>Under the recently launched International Centre of Digital Innovation, known as I-</w:t>
            </w:r>
            <w:proofErr w:type="spellStart"/>
            <w:r w:rsidRPr="00E553A4">
              <w:rPr>
                <w:sz w:val="20"/>
              </w:rPr>
              <w:t>CoDI</w:t>
            </w:r>
            <w:proofErr w:type="spellEnd"/>
            <w:r w:rsidRPr="00E553A4">
              <w:rPr>
                <w:sz w:val="20"/>
              </w:rPr>
              <w:t>, a youth use case is being developed.</w:t>
            </w:r>
          </w:p>
        </w:tc>
      </w:tr>
      <w:tr w:rsidR="00FD31A4" w:rsidRPr="004C061A" w14:paraId="55069B43" w14:textId="77777777" w:rsidTr="00FD31A4">
        <w:tc>
          <w:tcPr>
            <w:tcW w:w="1559" w:type="dxa"/>
          </w:tcPr>
          <w:p w14:paraId="513EA38D" w14:textId="5DA30FCE" w:rsidR="00FD31A4" w:rsidRPr="004A0398" w:rsidRDefault="00FD31A4" w:rsidP="006F22BE">
            <w:pPr>
              <w:tabs>
                <w:tab w:val="left" w:pos="567"/>
              </w:tabs>
              <w:spacing w:before="0" w:after="60"/>
              <w:ind w:left="-57" w:right="-57"/>
              <w:rPr>
                <w:rFonts w:cstheme="minorHAnsi"/>
                <w:b/>
                <w:bCs/>
                <w:sz w:val="20"/>
              </w:rPr>
            </w:pPr>
            <w:r w:rsidRPr="004A0398">
              <w:rPr>
                <w:rFonts w:cstheme="minorHAnsi"/>
                <w:b/>
                <w:bCs/>
                <w:sz w:val="20"/>
              </w:rPr>
              <w:lastRenderedPageBreak/>
              <w:t>1</w:t>
            </w:r>
            <w:r>
              <w:rPr>
                <w:rFonts w:cstheme="minorHAnsi"/>
                <w:b/>
                <w:bCs/>
                <w:sz w:val="20"/>
              </w:rPr>
              <w:t>6</w:t>
            </w:r>
            <w:r w:rsidRPr="004A0398">
              <w:rPr>
                <w:rFonts w:cstheme="minorHAnsi"/>
                <w:b/>
                <w:bCs/>
                <w:sz w:val="20"/>
              </w:rPr>
              <w:t xml:space="preserve">. </w:t>
            </w:r>
            <w:r w:rsidRPr="003E4288">
              <w:rPr>
                <w:rFonts w:cstheme="minorHAnsi"/>
                <w:b/>
                <w:bCs/>
                <w:sz w:val="20"/>
              </w:rPr>
              <w:t>Contribution to the work of the Expert Group on the International Telecommunication Regulations (EG-ITR)</w:t>
            </w:r>
          </w:p>
        </w:tc>
        <w:tc>
          <w:tcPr>
            <w:tcW w:w="851" w:type="dxa"/>
          </w:tcPr>
          <w:p w14:paraId="6B152672" w14:textId="7A48DCE4"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9</w:t>
            </w:r>
          </w:p>
        </w:tc>
        <w:tc>
          <w:tcPr>
            <w:tcW w:w="1984" w:type="dxa"/>
          </w:tcPr>
          <w:p w14:paraId="2570D588" w14:textId="3A38BEF7" w:rsidR="00FD31A4" w:rsidRPr="004A0398" w:rsidRDefault="00FD31A4" w:rsidP="00620EB0">
            <w:pPr>
              <w:pStyle w:val="Default"/>
              <w:ind w:left="-57" w:right="-57"/>
              <w:rPr>
                <w:rFonts w:asciiTheme="minorHAnsi" w:eastAsia="Times New Roman" w:hAnsiTheme="minorHAnsi" w:cstheme="minorHAnsi"/>
                <w:sz w:val="20"/>
                <w:szCs w:val="20"/>
              </w:rPr>
            </w:pPr>
            <w:r w:rsidRPr="00A54AD6">
              <w:rPr>
                <w:rFonts w:asciiTheme="minorHAnsi" w:eastAsia="Times New Roman" w:hAnsiTheme="minorHAnsi" w:cstheme="minorHAnsi"/>
                <w:sz w:val="20"/>
                <w:szCs w:val="20"/>
                <w:lang w:val="en-GB"/>
              </w:rPr>
              <w:t>Expert Group on the International Telecommunication Regulations (EG-ITRS): Progress Report to TDAG</w:t>
            </w:r>
          </w:p>
        </w:tc>
        <w:tc>
          <w:tcPr>
            <w:tcW w:w="4111" w:type="dxa"/>
          </w:tcPr>
          <w:p w14:paraId="74BC8E75" w14:textId="423694C7" w:rsidR="00FD31A4" w:rsidRPr="004A0398" w:rsidRDefault="00FD31A4" w:rsidP="006F22BE">
            <w:pPr>
              <w:pStyle w:val="Default"/>
              <w:rPr>
                <w:rFonts w:asciiTheme="minorHAnsi" w:eastAsia="Calibri" w:hAnsiTheme="minorHAnsi" w:cstheme="minorHAnsi"/>
                <w:color w:val="auto"/>
                <w:sz w:val="20"/>
                <w:szCs w:val="20"/>
                <w:lang w:val="en-GB" w:eastAsia="en-US"/>
              </w:rPr>
            </w:pPr>
            <w:r w:rsidRPr="00853527">
              <w:rPr>
                <w:rFonts w:asciiTheme="minorHAnsi" w:eastAsia="Calibri" w:hAnsiTheme="minorHAnsi" w:cstheme="minorHAnsi"/>
                <w:color w:val="auto"/>
                <w:sz w:val="20"/>
                <w:szCs w:val="20"/>
                <w:lang w:val="en-GB" w:eastAsia="en-US"/>
              </w:rPr>
              <w:t xml:space="preserve">TDAG noted the report and will follow the progress of the </w:t>
            </w:r>
            <w:r w:rsidRPr="00853527">
              <w:rPr>
                <w:rFonts w:asciiTheme="minorHAnsi" w:eastAsia="Calibri" w:hAnsiTheme="minorHAnsi" w:cstheme="minorHAnsi"/>
                <w:bCs/>
                <w:color w:val="auto"/>
                <w:sz w:val="20"/>
                <w:szCs w:val="20"/>
                <w:lang w:val="en-GB" w:eastAsia="en-US"/>
              </w:rPr>
              <w:t>Expert Group on ITRs.</w:t>
            </w:r>
          </w:p>
        </w:tc>
        <w:tc>
          <w:tcPr>
            <w:tcW w:w="2835" w:type="dxa"/>
          </w:tcPr>
          <w:p w14:paraId="00B2065C" w14:textId="2562A6D0" w:rsidR="00FD31A4" w:rsidRPr="004A0398" w:rsidRDefault="00FD31A4" w:rsidP="006F22BE">
            <w:pPr>
              <w:tabs>
                <w:tab w:val="left" w:pos="292"/>
              </w:tabs>
              <w:spacing w:before="0"/>
              <w:rPr>
                <w:rFonts w:eastAsia="Calibri" w:cstheme="minorHAnsi"/>
                <w:sz w:val="20"/>
              </w:rPr>
            </w:pPr>
            <w:r>
              <w:rPr>
                <w:rFonts w:eastAsia="Calibri" w:cstheme="minorHAnsi"/>
                <w:sz w:val="20"/>
              </w:rPr>
              <w:t>--</w:t>
            </w:r>
          </w:p>
        </w:tc>
        <w:tc>
          <w:tcPr>
            <w:tcW w:w="1134" w:type="dxa"/>
          </w:tcPr>
          <w:p w14:paraId="1D027799" w14:textId="77777777" w:rsidR="00FD31A4" w:rsidRPr="004A0398" w:rsidRDefault="00FD31A4" w:rsidP="006F22BE">
            <w:pPr>
              <w:tabs>
                <w:tab w:val="left" w:pos="292"/>
              </w:tabs>
              <w:spacing w:before="0"/>
              <w:rPr>
                <w:rFonts w:eastAsia="Calibri" w:cstheme="minorHAnsi"/>
                <w:sz w:val="20"/>
              </w:rPr>
            </w:pPr>
          </w:p>
        </w:tc>
        <w:tc>
          <w:tcPr>
            <w:tcW w:w="3119" w:type="dxa"/>
          </w:tcPr>
          <w:p w14:paraId="48AAA19B" w14:textId="75AD8634" w:rsidR="00FD31A4" w:rsidRPr="004A0398" w:rsidRDefault="00FD31A4" w:rsidP="000F0FF0">
            <w:pPr>
              <w:tabs>
                <w:tab w:val="left" w:pos="292"/>
              </w:tabs>
              <w:spacing w:before="40"/>
              <w:rPr>
                <w:rFonts w:eastAsia="Calibri" w:cstheme="minorHAnsi"/>
                <w:sz w:val="20"/>
              </w:rPr>
            </w:pPr>
          </w:p>
        </w:tc>
      </w:tr>
      <w:tr w:rsidR="00FD31A4" w:rsidRPr="004C061A" w14:paraId="0D083378" w14:textId="77777777" w:rsidTr="00FD31A4">
        <w:tc>
          <w:tcPr>
            <w:tcW w:w="1559" w:type="dxa"/>
          </w:tcPr>
          <w:p w14:paraId="10401B7B" w14:textId="13E0F1D2" w:rsidR="00FD31A4" w:rsidRPr="004A0398" w:rsidRDefault="00FD31A4" w:rsidP="006F22BE">
            <w:pPr>
              <w:tabs>
                <w:tab w:val="left" w:pos="567"/>
              </w:tabs>
              <w:spacing w:before="0" w:after="60"/>
              <w:ind w:left="-57" w:right="-57"/>
              <w:rPr>
                <w:rFonts w:cstheme="minorHAnsi"/>
                <w:b/>
                <w:bCs/>
                <w:sz w:val="20"/>
              </w:rPr>
            </w:pPr>
            <w:r>
              <w:rPr>
                <w:rFonts w:cstheme="minorHAnsi"/>
                <w:b/>
                <w:bCs/>
                <w:sz w:val="20"/>
              </w:rPr>
              <w:t xml:space="preserve">17. </w:t>
            </w:r>
            <w:r w:rsidRPr="00A04EA0">
              <w:rPr>
                <w:rFonts w:cstheme="minorHAnsi"/>
                <w:b/>
                <w:bCs/>
                <w:sz w:val="20"/>
              </w:rPr>
              <w:t xml:space="preserve">Status of the feasibility study to establish an </w:t>
            </w:r>
            <w:r w:rsidRPr="00A04EA0">
              <w:rPr>
                <w:rFonts w:cstheme="minorHAnsi"/>
                <w:b/>
                <w:bCs/>
                <w:sz w:val="20"/>
              </w:rPr>
              <w:lastRenderedPageBreak/>
              <w:t>ITU training institute</w:t>
            </w:r>
          </w:p>
        </w:tc>
        <w:tc>
          <w:tcPr>
            <w:tcW w:w="851" w:type="dxa"/>
          </w:tcPr>
          <w:p w14:paraId="066AFF2D" w14:textId="6A39A1FF" w:rsidR="00FD31A4" w:rsidRPr="004A0398" w:rsidRDefault="00FD31A4" w:rsidP="006F22BE">
            <w:pPr>
              <w:tabs>
                <w:tab w:val="left" w:pos="567"/>
              </w:tabs>
              <w:spacing w:before="0" w:after="60"/>
              <w:ind w:left="-57" w:right="-57"/>
              <w:rPr>
                <w:rFonts w:cstheme="minorHAnsi"/>
                <w:i/>
                <w:iCs/>
                <w:sz w:val="20"/>
              </w:rPr>
            </w:pPr>
            <w:r>
              <w:rPr>
                <w:rFonts w:cstheme="minorHAnsi"/>
                <w:i/>
                <w:iCs/>
                <w:sz w:val="20"/>
              </w:rPr>
              <w:lastRenderedPageBreak/>
              <w:t>26</w:t>
            </w:r>
          </w:p>
        </w:tc>
        <w:tc>
          <w:tcPr>
            <w:tcW w:w="1984" w:type="dxa"/>
          </w:tcPr>
          <w:p w14:paraId="51CC0B62" w14:textId="60370582" w:rsidR="00FD31A4" w:rsidRPr="004A0398" w:rsidRDefault="00FD31A4" w:rsidP="00620EB0">
            <w:pPr>
              <w:pStyle w:val="Default"/>
              <w:ind w:left="-57" w:right="-57"/>
              <w:rPr>
                <w:rFonts w:asciiTheme="minorHAnsi" w:eastAsia="Times New Roman" w:hAnsiTheme="minorHAnsi" w:cstheme="minorHAnsi"/>
                <w:sz w:val="20"/>
                <w:szCs w:val="20"/>
              </w:rPr>
            </w:pPr>
            <w:r w:rsidRPr="00A54AD6">
              <w:rPr>
                <w:rFonts w:asciiTheme="minorHAnsi" w:eastAsia="Times New Roman" w:hAnsiTheme="minorHAnsi" w:cstheme="minorHAnsi"/>
                <w:sz w:val="20"/>
                <w:szCs w:val="20"/>
                <w:lang w:val="en-GB"/>
              </w:rPr>
              <w:t>Status on a feasibility study to establish a capacity-building institute in ITU</w:t>
            </w:r>
          </w:p>
        </w:tc>
        <w:tc>
          <w:tcPr>
            <w:tcW w:w="4111" w:type="dxa"/>
          </w:tcPr>
          <w:p w14:paraId="1BDD849F" w14:textId="428BE59E" w:rsidR="00FD31A4" w:rsidRPr="004A0398" w:rsidRDefault="00FD31A4" w:rsidP="006F22BE">
            <w:pPr>
              <w:pStyle w:val="Default"/>
              <w:rPr>
                <w:rFonts w:asciiTheme="minorHAnsi" w:eastAsia="Calibri" w:hAnsiTheme="minorHAnsi" w:cstheme="minorHAnsi"/>
                <w:color w:val="auto"/>
                <w:sz w:val="20"/>
                <w:szCs w:val="20"/>
                <w:lang w:val="en-GB" w:eastAsia="en-US"/>
              </w:rPr>
            </w:pPr>
            <w:r w:rsidRPr="00B21EE4">
              <w:rPr>
                <w:rFonts w:asciiTheme="minorHAnsi" w:eastAsia="Calibri" w:hAnsiTheme="minorHAnsi" w:cstheme="minorHAnsi"/>
                <w:color w:val="auto"/>
                <w:sz w:val="20"/>
                <w:szCs w:val="20"/>
                <w:lang w:val="en-GB" w:eastAsia="en-US"/>
              </w:rPr>
              <w:t>TDAG noted with appreciation the actions taken by the Director to implement the Council instructions regarding a capacity-building institute in ITU.</w:t>
            </w:r>
          </w:p>
        </w:tc>
        <w:tc>
          <w:tcPr>
            <w:tcW w:w="2835" w:type="dxa"/>
          </w:tcPr>
          <w:p w14:paraId="1C358F52" w14:textId="087EEEC3" w:rsidR="00FD31A4" w:rsidRPr="004A0398" w:rsidRDefault="00FD31A4" w:rsidP="006F22BE">
            <w:pPr>
              <w:tabs>
                <w:tab w:val="left" w:pos="292"/>
              </w:tabs>
              <w:spacing w:before="0"/>
              <w:rPr>
                <w:rFonts w:eastAsia="Calibri" w:cstheme="minorHAnsi"/>
                <w:sz w:val="20"/>
              </w:rPr>
            </w:pPr>
            <w:r>
              <w:rPr>
                <w:rFonts w:eastAsia="Calibri" w:cstheme="minorHAnsi"/>
                <w:sz w:val="20"/>
              </w:rPr>
              <w:t>--</w:t>
            </w:r>
          </w:p>
        </w:tc>
        <w:tc>
          <w:tcPr>
            <w:tcW w:w="1134" w:type="dxa"/>
          </w:tcPr>
          <w:p w14:paraId="3BCD671E" w14:textId="77777777" w:rsidR="00FD31A4" w:rsidRPr="004A0398" w:rsidRDefault="00FD31A4" w:rsidP="006F22BE">
            <w:pPr>
              <w:tabs>
                <w:tab w:val="left" w:pos="292"/>
              </w:tabs>
              <w:spacing w:before="0"/>
              <w:rPr>
                <w:rFonts w:eastAsia="Calibri" w:cstheme="minorHAnsi"/>
                <w:sz w:val="20"/>
              </w:rPr>
            </w:pPr>
          </w:p>
        </w:tc>
        <w:tc>
          <w:tcPr>
            <w:tcW w:w="3119" w:type="dxa"/>
          </w:tcPr>
          <w:p w14:paraId="4DC8022C" w14:textId="70EC7EE7" w:rsidR="00FD31A4" w:rsidRPr="004A0398" w:rsidRDefault="00FD31A4" w:rsidP="000F0FF0">
            <w:pPr>
              <w:tabs>
                <w:tab w:val="left" w:pos="292"/>
              </w:tabs>
              <w:spacing w:before="40"/>
              <w:rPr>
                <w:rFonts w:eastAsia="Calibri" w:cstheme="minorHAnsi"/>
                <w:sz w:val="20"/>
              </w:rPr>
            </w:pPr>
          </w:p>
        </w:tc>
      </w:tr>
      <w:tr w:rsidR="00FD31A4" w:rsidRPr="004C061A" w14:paraId="01165A6B" w14:textId="77777777" w:rsidTr="00FD31A4">
        <w:tc>
          <w:tcPr>
            <w:tcW w:w="1559" w:type="dxa"/>
          </w:tcPr>
          <w:p w14:paraId="067AC6B6" w14:textId="79851C99" w:rsidR="00FD31A4" w:rsidRPr="004A0398" w:rsidRDefault="00FD31A4" w:rsidP="006F22BE">
            <w:pPr>
              <w:tabs>
                <w:tab w:val="left" w:pos="567"/>
              </w:tabs>
              <w:spacing w:before="0" w:after="60"/>
              <w:ind w:left="-57" w:right="-57"/>
              <w:rPr>
                <w:rFonts w:cstheme="minorHAnsi"/>
                <w:b/>
                <w:bCs/>
                <w:sz w:val="20"/>
              </w:rPr>
            </w:pPr>
            <w:r>
              <w:rPr>
                <w:rFonts w:cstheme="minorHAnsi"/>
                <w:b/>
                <w:bCs/>
                <w:sz w:val="20"/>
              </w:rPr>
              <w:t xml:space="preserve">18. </w:t>
            </w:r>
            <w:r w:rsidRPr="00854231">
              <w:rPr>
                <w:rFonts w:cstheme="minorHAnsi"/>
                <w:b/>
                <w:bCs/>
                <w:sz w:val="20"/>
              </w:rPr>
              <w:t>Report on Results-Based Management (RBM)</w:t>
            </w:r>
          </w:p>
        </w:tc>
        <w:tc>
          <w:tcPr>
            <w:tcW w:w="851" w:type="dxa"/>
          </w:tcPr>
          <w:p w14:paraId="5C1E64CB" w14:textId="27DCBCCE"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28</w:t>
            </w:r>
          </w:p>
        </w:tc>
        <w:tc>
          <w:tcPr>
            <w:tcW w:w="1984" w:type="dxa"/>
          </w:tcPr>
          <w:p w14:paraId="150DB5FC" w14:textId="549EB877" w:rsidR="00FD31A4" w:rsidRPr="004A0398" w:rsidRDefault="00FD31A4" w:rsidP="00620EB0">
            <w:pPr>
              <w:pStyle w:val="Default"/>
              <w:ind w:left="-57" w:right="-57"/>
              <w:rPr>
                <w:rFonts w:asciiTheme="minorHAnsi" w:eastAsia="Times New Roman" w:hAnsiTheme="minorHAnsi" w:cstheme="minorHAnsi"/>
                <w:sz w:val="20"/>
                <w:szCs w:val="20"/>
              </w:rPr>
            </w:pPr>
            <w:r w:rsidRPr="00A54AD6">
              <w:rPr>
                <w:rFonts w:asciiTheme="minorHAnsi" w:eastAsia="Times New Roman" w:hAnsiTheme="minorHAnsi" w:cstheme="minorHAnsi"/>
                <w:sz w:val="20"/>
                <w:szCs w:val="20"/>
                <w:lang w:val="en-GB"/>
              </w:rPr>
              <w:t>2019 Progress Report on the implementation of results-based management in BDT</w:t>
            </w:r>
          </w:p>
        </w:tc>
        <w:tc>
          <w:tcPr>
            <w:tcW w:w="4111" w:type="dxa"/>
          </w:tcPr>
          <w:p w14:paraId="4A0B5026" w14:textId="22A4B800" w:rsidR="00FD31A4" w:rsidRPr="004A0398" w:rsidRDefault="00FD31A4" w:rsidP="006F22BE">
            <w:pPr>
              <w:pStyle w:val="Default"/>
              <w:rPr>
                <w:rFonts w:asciiTheme="minorHAnsi" w:eastAsia="Calibri" w:hAnsiTheme="minorHAnsi" w:cstheme="minorHAnsi"/>
                <w:color w:val="auto"/>
                <w:sz w:val="20"/>
                <w:szCs w:val="20"/>
                <w:lang w:val="en-GB" w:eastAsia="en-US"/>
              </w:rPr>
            </w:pPr>
            <w:r w:rsidRPr="006D7FD9">
              <w:rPr>
                <w:rFonts w:asciiTheme="minorHAnsi" w:eastAsia="Calibri" w:hAnsiTheme="minorHAnsi" w:cstheme="minorHAnsi"/>
                <w:color w:val="auto"/>
                <w:sz w:val="20"/>
                <w:szCs w:val="20"/>
                <w:lang w:val="en-GB" w:eastAsia="en-US"/>
              </w:rPr>
              <w:t>TDAG noted the document with interest and appreciation, supports the progress made by BDT on the implementation of RBM, and looks forward to the next update. The BDT Director clarified during the Q&amp;A that RBM implementation was being fully funded through the core BDT budget given that it is part of every BDT staff member’s responsibility, with any extra funds being covered by the BDT Director’s office.</w:t>
            </w:r>
          </w:p>
        </w:tc>
        <w:tc>
          <w:tcPr>
            <w:tcW w:w="2835" w:type="dxa"/>
          </w:tcPr>
          <w:p w14:paraId="2F0EA636" w14:textId="09D5BDDA" w:rsidR="00FD31A4" w:rsidRPr="004A0398" w:rsidRDefault="00FD31A4" w:rsidP="006F22BE">
            <w:pPr>
              <w:tabs>
                <w:tab w:val="left" w:pos="292"/>
              </w:tabs>
              <w:spacing w:before="0"/>
              <w:rPr>
                <w:rFonts w:eastAsia="Calibri" w:cstheme="minorHAnsi"/>
                <w:sz w:val="20"/>
              </w:rPr>
            </w:pPr>
            <w:r>
              <w:rPr>
                <w:rFonts w:eastAsia="Calibri" w:cstheme="minorHAnsi"/>
                <w:sz w:val="20"/>
              </w:rPr>
              <w:t>--</w:t>
            </w:r>
          </w:p>
        </w:tc>
        <w:tc>
          <w:tcPr>
            <w:tcW w:w="1134" w:type="dxa"/>
          </w:tcPr>
          <w:p w14:paraId="1E197C0C" w14:textId="77777777" w:rsidR="00FD31A4" w:rsidRPr="004A0398" w:rsidRDefault="00FD31A4" w:rsidP="006F22BE">
            <w:pPr>
              <w:tabs>
                <w:tab w:val="left" w:pos="292"/>
              </w:tabs>
              <w:spacing w:before="0"/>
              <w:rPr>
                <w:rFonts w:eastAsia="Calibri" w:cstheme="minorHAnsi"/>
                <w:sz w:val="20"/>
              </w:rPr>
            </w:pPr>
          </w:p>
        </w:tc>
        <w:tc>
          <w:tcPr>
            <w:tcW w:w="3119" w:type="dxa"/>
          </w:tcPr>
          <w:p w14:paraId="2718E503" w14:textId="63285A35" w:rsidR="00FD31A4" w:rsidRPr="004A0398" w:rsidRDefault="00FD31A4" w:rsidP="000F0FF0">
            <w:pPr>
              <w:tabs>
                <w:tab w:val="left" w:pos="292"/>
              </w:tabs>
              <w:spacing w:before="40"/>
              <w:rPr>
                <w:rFonts w:eastAsia="Calibri" w:cstheme="minorHAnsi"/>
                <w:sz w:val="20"/>
              </w:rPr>
            </w:pPr>
          </w:p>
        </w:tc>
      </w:tr>
      <w:tr w:rsidR="00FD31A4" w:rsidRPr="004C061A" w14:paraId="404EC984" w14:textId="77777777" w:rsidTr="00FD31A4">
        <w:tc>
          <w:tcPr>
            <w:tcW w:w="1559" w:type="dxa"/>
            <w:tcBorders>
              <w:bottom w:val="single" w:sz="4" w:space="0" w:color="auto"/>
            </w:tcBorders>
          </w:tcPr>
          <w:p w14:paraId="5C62E2B7" w14:textId="07DE73A2" w:rsidR="00FD31A4" w:rsidRPr="004A0398" w:rsidRDefault="00FD31A4" w:rsidP="006F22BE">
            <w:pPr>
              <w:tabs>
                <w:tab w:val="left" w:pos="567"/>
              </w:tabs>
              <w:spacing w:before="0" w:after="60"/>
              <w:ind w:left="-57" w:right="-57"/>
              <w:rPr>
                <w:rFonts w:cstheme="minorHAnsi"/>
                <w:b/>
                <w:bCs/>
                <w:sz w:val="20"/>
              </w:rPr>
            </w:pPr>
            <w:r>
              <w:rPr>
                <w:rFonts w:cstheme="minorHAnsi"/>
                <w:b/>
                <w:bCs/>
                <w:sz w:val="20"/>
              </w:rPr>
              <w:t xml:space="preserve">19. </w:t>
            </w:r>
            <w:r w:rsidRPr="004172B5">
              <w:rPr>
                <w:rFonts w:cstheme="minorHAnsi"/>
                <w:b/>
                <w:bCs/>
                <w:sz w:val="20"/>
              </w:rPr>
              <w:t>Activities linked to COVID-19</w:t>
            </w:r>
          </w:p>
        </w:tc>
        <w:tc>
          <w:tcPr>
            <w:tcW w:w="851" w:type="dxa"/>
          </w:tcPr>
          <w:p w14:paraId="1BB2FA6E" w14:textId="7E5493F0" w:rsidR="00FD31A4" w:rsidRPr="004A0398" w:rsidRDefault="00FD31A4" w:rsidP="006F22BE">
            <w:pPr>
              <w:tabs>
                <w:tab w:val="left" w:pos="567"/>
              </w:tabs>
              <w:spacing w:before="0" w:after="60"/>
              <w:ind w:left="-57" w:right="-57"/>
              <w:rPr>
                <w:rFonts w:cstheme="minorHAnsi"/>
                <w:i/>
                <w:iCs/>
                <w:sz w:val="20"/>
              </w:rPr>
            </w:pPr>
            <w:r>
              <w:rPr>
                <w:rFonts w:cstheme="minorHAnsi"/>
                <w:i/>
                <w:iCs/>
                <w:sz w:val="20"/>
              </w:rPr>
              <w:t>14</w:t>
            </w:r>
          </w:p>
        </w:tc>
        <w:tc>
          <w:tcPr>
            <w:tcW w:w="1984" w:type="dxa"/>
          </w:tcPr>
          <w:p w14:paraId="3C3E0662" w14:textId="7E956FF1" w:rsidR="00FD31A4" w:rsidRPr="004A0398" w:rsidRDefault="00FD31A4" w:rsidP="00620EB0">
            <w:pPr>
              <w:pStyle w:val="Default"/>
              <w:ind w:left="-57" w:right="-57"/>
              <w:rPr>
                <w:rFonts w:asciiTheme="minorHAnsi" w:eastAsia="Times New Roman" w:hAnsiTheme="minorHAnsi" w:cstheme="minorHAnsi"/>
                <w:sz w:val="20"/>
                <w:szCs w:val="20"/>
              </w:rPr>
            </w:pPr>
            <w:r w:rsidRPr="00D948BF">
              <w:rPr>
                <w:rFonts w:asciiTheme="minorHAnsi" w:eastAsia="Times New Roman" w:hAnsiTheme="minorHAnsi" w:cstheme="minorHAnsi"/>
                <w:sz w:val="20"/>
                <w:szCs w:val="20"/>
                <w:lang w:val="en-GB"/>
              </w:rPr>
              <w:t>COVID-19 related initiatives undertaken by BDT</w:t>
            </w:r>
          </w:p>
        </w:tc>
        <w:tc>
          <w:tcPr>
            <w:tcW w:w="4111" w:type="dxa"/>
          </w:tcPr>
          <w:p w14:paraId="3287AED3" w14:textId="1529AD8E" w:rsidR="00FD31A4" w:rsidRPr="004A0398" w:rsidRDefault="00FD31A4" w:rsidP="006F22BE">
            <w:pPr>
              <w:pStyle w:val="Default"/>
              <w:rPr>
                <w:rFonts w:asciiTheme="minorHAnsi" w:eastAsia="Calibri" w:hAnsiTheme="minorHAnsi" w:cstheme="minorHAnsi"/>
                <w:color w:val="auto"/>
                <w:sz w:val="20"/>
                <w:szCs w:val="20"/>
                <w:lang w:val="en-GB" w:eastAsia="en-US"/>
              </w:rPr>
            </w:pPr>
            <w:r w:rsidRPr="00342B8A">
              <w:rPr>
                <w:rFonts w:asciiTheme="minorHAnsi" w:eastAsia="Calibri" w:hAnsiTheme="minorHAnsi" w:cstheme="minorHAnsi"/>
                <w:color w:val="auto"/>
                <w:sz w:val="20"/>
                <w:szCs w:val="20"/>
                <w:lang w:val="en-GB" w:eastAsia="en-US"/>
              </w:rPr>
              <w:t xml:space="preserve">TDAG commended BDT for the fast reaction to the crisis and for the provision of relevant and useful information that supported efficient and safe use of network resources. TDAG also noted the continued efforts of ITU-D study groups to support the ongoing BDT work on COVID-19 issues and welcomed the announcements of future projects funded by Member States to help developing countries. Many members offered help and wished to support the BDT efforts by using the platform to disseminate their own initiatives. Despite the volume of input to the platform, membership requested the translation of some of the material into other languages of the </w:t>
            </w:r>
            <w:proofErr w:type="gramStart"/>
            <w:r w:rsidRPr="00342B8A">
              <w:rPr>
                <w:rFonts w:asciiTheme="minorHAnsi" w:eastAsia="Calibri" w:hAnsiTheme="minorHAnsi" w:cstheme="minorHAnsi"/>
                <w:color w:val="auto"/>
                <w:sz w:val="20"/>
                <w:szCs w:val="20"/>
                <w:lang w:val="en-GB" w:eastAsia="en-US"/>
              </w:rPr>
              <w:t>Union, and</w:t>
            </w:r>
            <w:proofErr w:type="gramEnd"/>
            <w:r w:rsidRPr="00342B8A">
              <w:rPr>
                <w:rFonts w:asciiTheme="minorHAnsi" w:eastAsia="Calibri" w:hAnsiTheme="minorHAnsi" w:cstheme="minorHAnsi"/>
                <w:color w:val="auto"/>
                <w:sz w:val="20"/>
                <w:szCs w:val="20"/>
                <w:lang w:val="en-GB" w:eastAsia="en-US"/>
              </w:rPr>
              <w:t xml:space="preserve"> underscored the need to collate the initiatives of all ITU Sectors for Council.</w:t>
            </w:r>
          </w:p>
        </w:tc>
        <w:tc>
          <w:tcPr>
            <w:tcW w:w="2835" w:type="dxa"/>
          </w:tcPr>
          <w:p w14:paraId="1A4AAA99" w14:textId="71B260F7" w:rsidR="00FD31A4" w:rsidRPr="00036845" w:rsidRDefault="00FD31A4" w:rsidP="00036845">
            <w:pPr>
              <w:pStyle w:val="ListParagraph"/>
              <w:numPr>
                <w:ilvl w:val="0"/>
                <w:numId w:val="6"/>
              </w:numPr>
              <w:tabs>
                <w:tab w:val="left" w:pos="292"/>
              </w:tabs>
              <w:spacing w:before="0"/>
              <w:ind w:left="322"/>
              <w:rPr>
                <w:rFonts w:eastAsia="Calibri" w:cstheme="minorHAnsi"/>
                <w:sz w:val="20"/>
              </w:rPr>
            </w:pPr>
            <w:r>
              <w:rPr>
                <w:rFonts w:eastAsia="Calibri" w:cstheme="minorHAnsi"/>
                <w:sz w:val="20"/>
              </w:rPr>
              <w:t>Translate some of the material in Reg4COVID.</w:t>
            </w:r>
          </w:p>
        </w:tc>
        <w:tc>
          <w:tcPr>
            <w:tcW w:w="1134" w:type="dxa"/>
          </w:tcPr>
          <w:p w14:paraId="06AC5021" w14:textId="5804E466" w:rsidR="00FD31A4" w:rsidRDefault="00FD31A4" w:rsidP="006F22BE">
            <w:pPr>
              <w:tabs>
                <w:tab w:val="left" w:pos="292"/>
              </w:tabs>
              <w:spacing w:before="0"/>
              <w:rPr>
                <w:rFonts w:eastAsia="Calibri" w:cstheme="minorHAnsi"/>
                <w:sz w:val="20"/>
              </w:rPr>
            </w:pPr>
            <w:r>
              <w:rPr>
                <w:rFonts w:eastAsia="Calibri" w:cstheme="minorHAnsi"/>
                <w:sz w:val="20"/>
              </w:rPr>
              <w:t>October 2020</w:t>
            </w:r>
          </w:p>
        </w:tc>
        <w:tc>
          <w:tcPr>
            <w:tcW w:w="3119" w:type="dxa"/>
          </w:tcPr>
          <w:p w14:paraId="71A758FB" w14:textId="77777777" w:rsidR="00FD31A4" w:rsidRPr="00C21423" w:rsidRDefault="00FD31A4" w:rsidP="000F0FF0">
            <w:pPr>
              <w:tabs>
                <w:tab w:val="left" w:pos="292"/>
              </w:tabs>
              <w:spacing w:before="40"/>
              <w:rPr>
                <w:rFonts w:eastAsia="Calibri" w:cstheme="minorHAnsi"/>
                <w:b/>
                <w:bCs/>
                <w:sz w:val="20"/>
              </w:rPr>
            </w:pPr>
            <w:r w:rsidRPr="00C21423">
              <w:rPr>
                <w:rFonts w:eastAsia="Calibri" w:cstheme="minorHAnsi"/>
                <w:b/>
                <w:bCs/>
                <w:sz w:val="20"/>
              </w:rPr>
              <w:t>Ongoing:</w:t>
            </w:r>
          </w:p>
          <w:p w14:paraId="32C0A80B" w14:textId="77777777" w:rsidR="00FD31A4" w:rsidRPr="000F0FF0" w:rsidRDefault="00FD31A4" w:rsidP="000F0FF0">
            <w:pPr>
              <w:tabs>
                <w:tab w:val="left" w:pos="292"/>
              </w:tabs>
              <w:spacing w:before="40"/>
              <w:rPr>
                <w:rFonts w:eastAsia="Calibri" w:cstheme="minorHAnsi"/>
                <w:sz w:val="20"/>
              </w:rPr>
            </w:pPr>
            <w:r w:rsidRPr="000F0FF0">
              <w:rPr>
                <w:rFonts w:eastAsia="Calibri" w:cstheme="minorHAnsi"/>
                <w:sz w:val="20"/>
              </w:rPr>
              <w:t>BDT has been undertaking numerous initiatives in the wake of COVID-19, including:</w:t>
            </w:r>
          </w:p>
          <w:p w14:paraId="23FB8C08" w14:textId="77777777" w:rsidR="00FD31A4" w:rsidRPr="000F0FF0" w:rsidRDefault="00FD31A4" w:rsidP="000F0FF0">
            <w:pPr>
              <w:tabs>
                <w:tab w:val="left" w:pos="292"/>
              </w:tabs>
              <w:spacing w:before="40"/>
              <w:rPr>
                <w:rFonts w:eastAsia="Calibri" w:cstheme="minorHAnsi"/>
                <w:sz w:val="20"/>
              </w:rPr>
            </w:pPr>
            <w:r w:rsidRPr="000F0FF0">
              <w:rPr>
                <w:rFonts w:eastAsia="Calibri" w:cstheme="minorHAnsi"/>
                <w:sz w:val="20"/>
              </w:rPr>
              <w:t>(1)</w:t>
            </w:r>
            <w:r w:rsidRPr="000F0FF0">
              <w:rPr>
                <w:rFonts w:eastAsia="Calibri" w:cstheme="minorHAnsi"/>
                <w:sz w:val="20"/>
              </w:rPr>
              <w:tab/>
              <w:t xml:space="preserve">Agenda for Action for Faster and Better Recovery of the Broadband Commission for Sustainable </w:t>
            </w:r>
            <w:proofErr w:type="gramStart"/>
            <w:r w:rsidRPr="000F0FF0">
              <w:rPr>
                <w:rFonts w:eastAsia="Calibri" w:cstheme="minorHAnsi"/>
                <w:sz w:val="20"/>
              </w:rPr>
              <w:t>Development;</w:t>
            </w:r>
            <w:proofErr w:type="gramEnd"/>
            <w:r w:rsidRPr="000F0FF0">
              <w:rPr>
                <w:rFonts w:eastAsia="Calibri" w:cstheme="minorHAnsi"/>
                <w:sz w:val="20"/>
              </w:rPr>
              <w:t xml:space="preserve"> </w:t>
            </w:r>
          </w:p>
          <w:p w14:paraId="0437E72D" w14:textId="77777777" w:rsidR="00FD31A4" w:rsidRPr="000F0FF0" w:rsidRDefault="00FD31A4" w:rsidP="000F0FF0">
            <w:pPr>
              <w:tabs>
                <w:tab w:val="left" w:pos="292"/>
              </w:tabs>
              <w:spacing w:before="40"/>
              <w:rPr>
                <w:rFonts w:eastAsia="Calibri" w:cstheme="minorHAnsi"/>
                <w:sz w:val="20"/>
              </w:rPr>
            </w:pPr>
            <w:r w:rsidRPr="000F0FF0">
              <w:rPr>
                <w:rFonts w:eastAsia="Calibri" w:cstheme="minorHAnsi"/>
                <w:sz w:val="20"/>
              </w:rPr>
              <w:t>(2)</w:t>
            </w:r>
            <w:r w:rsidRPr="000F0FF0">
              <w:rPr>
                <w:rFonts w:eastAsia="Calibri" w:cstheme="minorHAnsi"/>
                <w:sz w:val="20"/>
              </w:rPr>
              <w:tab/>
            </w:r>
            <w:proofErr w:type="spellStart"/>
            <w:r w:rsidRPr="000F0FF0">
              <w:rPr>
                <w:rFonts w:eastAsia="Calibri" w:cstheme="minorHAnsi"/>
                <w:sz w:val="20"/>
              </w:rPr>
              <w:t>BeHealthy</w:t>
            </w:r>
            <w:proofErr w:type="spellEnd"/>
            <w:r w:rsidRPr="000F0FF0">
              <w:rPr>
                <w:rFonts w:eastAsia="Calibri" w:cstheme="minorHAnsi"/>
                <w:sz w:val="20"/>
              </w:rPr>
              <w:t xml:space="preserve"> </w:t>
            </w:r>
            <w:proofErr w:type="spellStart"/>
            <w:r w:rsidRPr="000F0FF0">
              <w:rPr>
                <w:rFonts w:eastAsia="Calibri" w:cstheme="minorHAnsi"/>
                <w:sz w:val="20"/>
              </w:rPr>
              <w:t>BeMobile</w:t>
            </w:r>
            <w:proofErr w:type="spellEnd"/>
            <w:r w:rsidRPr="000F0FF0">
              <w:rPr>
                <w:rFonts w:eastAsia="Calibri" w:cstheme="minorHAnsi"/>
                <w:sz w:val="20"/>
              </w:rPr>
              <w:t xml:space="preserve"> collaboration with WHO and UNICEF, which has been leveraged to ensure that reliable and trustworthy information on COVID-19 reaches people. This initiative has been launched in Senegal, among other </w:t>
            </w:r>
            <w:proofErr w:type="gramStart"/>
            <w:r w:rsidRPr="000F0FF0">
              <w:rPr>
                <w:rFonts w:eastAsia="Calibri" w:cstheme="minorHAnsi"/>
                <w:sz w:val="20"/>
              </w:rPr>
              <w:t>countries;</w:t>
            </w:r>
            <w:proofErr w:type="gramEnd"/>
          </w:p>
          <w:p w14:paraId="6FAC5BC6" w14:textId="77777777" w:rsidR="00FD31A4" w:rsidRPr="000F0FF0" w:rsidRDefault="00FD31A4" w:rsidP="000F0FF0">
            <w:pPr>
              <w:tabs>
                <w:tab w:val="left" w:pos="292"/>
              </w:tabs>
              <w:spacing w:before="40"/>
              <w:rPr>
                <w:rFonts w:eastAsia="Calibri" w:cstheme="minorHAnsi"/>
                <w:sz w:val="20"/>
              </w:rPr>
            </w:pPr>
            <w:r w:rsidRPr="000F0FF0">
              <w:rPr>
                <w:rFonts w:eastAsia="Calibri" w:cstheme="minorHAnsi"/>
                <w:sz w:val="20"/>
              </w:rPr>
              <w:t>(3)</w:t>
            </w:r>
            <w:r w:rsidRPr="000F0FF0">
              <w:rPr>
                <w:rFonts w:eastAsia="Calibri" w:cstheme="minorHAnsi"/>
                <w:sz w:val="20"/>
              </w:rPr>
              <w:tab/>
              <w:t>Connect2Recover – an ITU initiative to help less connected countries strengthen their digital infrastructures and ecosystems so that they are able to better cope with COVID-19, reinforce their recovery efforts and better prepare for the ‘new normal</w:t>
            </w:r>
            <w:proofErr w:type="gramStart"/>
            <w:r w:rsidRPr="000F0FF0">
              <w:rPr>
                <w:rFonts w:eastAsia="Calibri" w:cstheme="minorHAnsi"/>
                <w:sz w:val="20"/>
              </w:rPr>
              <w:t>’;</w:t>
            </w:r>
            <w:proofErr w:type="gramEnd"/>
          </w:p>
          <w:p w14:paraId="42499E23" w14:textId="77777777" w:rsidR="00FD31A4" w:rsidRPr="000F0FF0" w:rsidRDefault="00FD31A4" w:rsidP="000F0FF0">
            <w:pPr>
              <w:tabs>
                <w:tab w:val="left" w:pos="292"/>
              </w:tabs>
              <w:spacing w:before="40"/>
              <w:rPr>
                <w:rFonts w:eastAsia="Calibri" w:cstheme="minorHAnsi"/>
                <w:sz w:val="20"/>
              </w:rPr>
            </w:pPr>
            <w:r w:rsidRPr="000F0FF0">
              <w:rPr>
                <w:rFonts w:eastAsia="Calibri" w:cstheme="minorHAnsi"/>
                <w:sz w:val="20"/>
              </w:rPr>
              <w:lastRenderedPageBreak/>
              <w:t>(4)</w:t>
            </w:r>
            <w:r w:rsidRPr="000F0FF0">
              <w:rPr>
                <w:rFonts w:eastAsia="Calibri" w:cstheme="minorHAnsi"/>
                <w:sz w:val="20"/>
              </w:rPr>
              <w:tab/>
              <w:t xml:space="preserve">COVID-19 Crisis Response Digital Development Joint Action Plan and Call for Action by ITU, World Bank, World Economic Forum and GSMA, which outlined a number of immediate and short-term </w:t>
            </w:r>
            <w:proofErr w:type="gramStart"/>
            <w:r w:rsidRPr="000F0FF0">
              <w:rPr>
                <w:rFonts w:eastAsia="Calibri" w:cstheme="minorHAnsi"/>
                <w:sz w:val="20"/>
              </w:rPr>
              <w:t>measures;</w:t>
            </w:r>
            <w:proofErr w:type="gramEnd"/>
          </w:p>
          <w:p w14:paraId="1D446B13" w14:textId="77777777" w:rsidR="00FD31A4" w:rsidRPr="000F0FF0" w:rsidRDefault="00FD31A4" w:rsidP="000F0FF0">
            <w:pPr>
              <w:tabs>
                <w:tab w:val="left" w:pos="292"/>
              </w:tabs>
              <w:spacing w:before="40"/>
              <w:rPr>
                <w:rFonts w:eastAsia="Calibri" w:cstheme="minorHAnsi"/>
                <w:sz w:val="20"/>
              </w:rPr>
            </w:pPr>
            <w:r w:rsidRPr="000F0FF0">
              <w:rPr>
                <w:rFonts w:eastAsia="Calibri" w:cstheme="minorHAnsi"/>
                <w:sz w:val="20"/>
              </w:rPr>
              <w:t>(5)</w:t>
            </w:r>
            <w:r w:rsidRPr="000F0FF0">
              <w:rPr>
                <w:rFonts w:eastAsia="Calibri" w:cstheme="minorHAnsi"/>
                <w:sz w:val="20"/>
              </w:rPr>
              <w:tab/>
              <w:t xml:space="preserve">Digital Transformation Centres Initiative, through which ITU, in collaboration with Cisco, offers a free-of-charge programme providing trainers with tools and skills on how to conduct remote teaching. This initiative is being launched in Zambia and </w:t>
            </w:r>
            <w:proofErr w:type="gramStart"/>
            <w:r w:rsidRPr="000F0FF0">
              <w:rPr>
                <w:rFonts w:eastAsia="Calibri" w:cstheme="minorHAnsi"/>
                <w:sz w:val="20"/>
              </w:rPr>
              <w:t>Rwanda;</w:t>
            </w:r>
            <w:proofErr w:type="gramEnd"/>
          </w:p>
          <w:p w14:paraId="64CC80E1" w14:textId="77777777" w:rsidR="00FD31A4" w:rsidRPr="000F0FF0" w:rsidRDefault="00FD31A4" w:rsidP="000F0FF0">
            <w:pPr>
              <w:tabs>
                <w:tab w:val="left" w:pos="292"/>
              </w:tabs>
              <w:spacing w:before="40"/>
              <w:rPr>
                <w:rFonts w:eastAsia="Calibri" w:cstheme="minorHAnsi"/>
                <w:sz w:val="20"/>
              </w:rPr>
            </w:pPr>
            <w:r w:rsidRPr="000F0FF0">
              <w:rPr>
                <w:rFonts w:eastAsia="Calibri" w:cstheme="minorHAnsi"/>
                <w:sz w:val="20"/>
              </w:rPr>
              <w:t>(6)</w:t>
            </w:r>
            <w:r w:rsidRPr="000F0FF0">
              <w:rPr>
                <w:rFonts w:eastAsia="Calibri" w:cstheme="minorHAnsi"/>
                <w:sz w:val="20"/>
              </w:rPr>
              <w:tab/>
              <w:t xml:space="preserve">Digital Skills Assessment Guidebook, launched by the ITU to assist Member States in addressing the critical importance to rapidly improve access to digital skills training, particularly for vulnerable nations and </w:t>
            </w:r>
            <w:proofErr w:type="gramStart"/>
            <w:r w:rsidRPr="000F0FF0">
              <w:rPr>
                <w:rFonts w:eastAsia="Calibri" w:cstheme="minorHAnsi"/>
                <w:sz w:val="20"/>
              </w:rPr>
              <w:t>communities;</w:t>
            </w:r>
            <w:proofErr w:type="gramEnd"/>
          </w:p>
          <w:p w14:paraId="147934CC" w14:textId="77777777" w:rsidR="00FD31A4" w:rsidRPr="000F0FF0" w:rsidRDefault="00FD31A4" w:rsidP="000F0FF0">
            <w:pPr>
              <w:tabs>
                <w:tab w:val="left" w:pos="292"/>
              </w:tabs>
              <w:spacing w:before="40"/>
              <w:rPr>
                <w:rFonts w:eastAsia="Calibri" w:cstheme="minorHAnsi"/>
                <w:sz w:val="20"/>
              </w:rPr>
            </w:pPr>
            <w:r w:rsidRPr="000F0FF0">
              <w:rPr>
                <w:rFonts w:eastAsia="Calibri" w:cstheme="minorHAnsi"/>
                <w:sz w:val="20"/>
              </w:rPr>
              <w:t>(7)</w:t>
            </w:r>
            <w:r w:rsidRPr="000F0FF0">
              <w:rPr>
                <w:rFonts w:eastAsia="Calibri" w:cstheme="minorHAnsi"/>
                <w:sz w:val="20"/>
              </w:rPr>
              <w:tab/>
              <w:t xml:space="preserve">EQUALS Global Partnership for Gender Equality in the Digital Age - to promote gender balance in the technology sector by championing equality of access, skills development and career opportunities for women and men alike. </w:t>
            </w:r>
          </w:p>
          <w:p w14:paraId="08EB2FA8" w14:textId="77777777" w:rsidR="00FD31A4" w:rsidRPr="000F0FF0" w:rsidRDefault="00FD31A4" w:rsidP="000F0FF0">
            <w:pPr>
              <w:tabs>
                <w:tab w:val="left" w:pos="292"/>
              </w:tabs>
              <w:spacing w:before="40"/>
              <w:rPr>
                <w:rFonts w:eastAsia="Calibri" w:cstheme="minorHAnsi"/>
                <w:sz w:val="20"/>
              </w:rPr>
            </w:pPr>
            <w:r w:rsidRPr="000F0FF0">
              <w:rPr>
                <w:rFonts w:eastAsia="Calibri" w:cstheme="minorHAnsi"/>
                <w:sz w:val="20"/>
              </w:rPr>
              <w:t>(8)</w:t>
            </w:r>
            <w:r w:rsidRPr="000F0FF0">
              <w:rPr>
                <w:rFonts w:eastAsia="Calibri" w:cstheme="minorHAnsi"/>
                <w:sz w:val="20"/>
              </w:rPr>
              <w:tab/>
              <w:t xml:space="preserve">GIGA – a joint initiative of UNICEF and ITU to connect every school to the internet, and every young person to information, opportunity, and </w:t>
            </w:r>
            <w:proofErr w:type="gramStart"/>
            <w:r w:rsidRPr="000F0FF0">
              <w:rPr>
                <w:rFonts w:eastAsia="Calibri" w:cstheme="minorHAnsi"/>
                <w:sz w:val="20"/>
              </w:rPr>
              <w:t>choice;</w:t>
            </w:r>
            <w:proofErr w:type="gramEnd"/>
          </w:p>
          <w:p w14:paraId="419006B0" w14:textId="77777777" w:rsidR="00FD31A4" w:rsidRPr="000F0FF0" w:rsidRDefault="00FD31A4" w:rsidP="000F0FF0">
            <w:pPr>
              <w:tabs>
                <w:tab w:val="left" w:pos="292"/>
              </w:tabs>
              <w:spacing w:before="40"/>
              <w:rPr>
                <w:rFonts w:eastAsia="Calibri" w:cstheme="minorHAnsi"/>
                <w:sz w:val="20"/>
              </w:rPr>
            </w:pPr>
            <w:r w:rsidRPr="000F0FF0">
              <w:rPr>
                <w:rFonts w:eastAsia="Calibri" w:cstheme="minorHAnsi"/>
                <w:sz w:val="20"/>
              </w:rPr>
              <w:t>(9)</w:t>
            </w:r>
            <w:r w:rsidRPr="000F0FF0">
              <w:rPr>
                <w:rFonts w:eastAsia="Calibri" w:cstheme="minorHAnsi"/>
                <w:sz w:val="20"/>
              </w:rPr>
              <w:tab/>
              <w:t xml:space="preserve">Global Network Resiliency Platform (REG4COVID), launched to </w:t>
            </w:r>
            <w:r w:rsidRPr="000F0FF0">
              <w:rPr>
                <w:rFonts w:eastAsia="Calibri" w:cstheme="minorHAnsi"/>
                <w:sz w:val="20"/>
              </w:rPr>
              <w:lastRenderedPageBreak/>
              <w:t>enable ITU Member States and other relevant stakeholders to swiftly exchange information crucial in keeping networks running and extending connectivity to those that needed it most in response to COVID-</w:t>
            </w:r>
            <w:proofErr w:type="gramStart"/>
            <w:r w:rsidRPr="000F0FF0">
              <w:rPr>
                <w:rFonts w:eastAsia="Calibri" w:cstheme="minorHAnsi"/>
                <w:sz w:val="20"/>
              </w:rPr>
              <w:t>19;</w:t>
            </w:r>
            <w:proofErr w:type="gramEnd"/>
          </w:p>
          <w:p w14:paraId="4D5D72CA" w14:textId="77777777" w:rsidR="00FD31A4" w:rsidRPr="000F0FF0" w:rsidRDefault="00FD31A4" w:rsidP="000F0FF0">
            <w:pPr>
              <w:tabs>
                <w:tab w:val="left" w:pos="292"/>
              </w:tabs>
              <w:spacing w:before="40"/>
              <w:rPr>
                <w:rFonts w:eastAsia="Calibri" w:cstheme="minorHAnsi"/>
                <w:sz w:val="20"/>
              </w:rPr>
            </w:pPr>
            <w:r w:rsidRPr="000F0FF0">
              <w:rPr>
                <w:rFonts w:eastAsia="Calibri" w:cstheme="minorHAnsi"/>
                <w:sz w:val="20"/>
              </w:rPr>
              <w:t>(10) NETPs - ITU Guidelines for the development and implementation of national emergency telecommunication plans (NETPs</w:t>
            </w:r>
            <w:proofErr w:type="gramStart"/>
            <w:r w:rsidRPr="000F0FF0">
              <w:rPr>
                <w:rFonts w:eastAsia="Calibri" w:cstheme="minorHAnsi"/>
                <w:sz w:val="20"/>
              </w:rPr>
              <w:t>);</w:t>
            </w:r>
            <w:proofErr w:type="gramEnd"/>
          </w:p>
          <w:p w14:paraId="15099BF5" w14:textId="61041FC9" w:rsidR="00FD31A4" w:rsidRPr="000F0FF0" w:rsidRDefault="00FD31A4" w:rsidP="000F0FF0">
            <w:pPr>
              <w:tabs>
                <w:tab w:val="left" w:pos="463"/>
              </w:tabs>
              <w:spacing w:before="40"/>
              <w:rPr>
                <w:rFonts w:eastAsia="Calibri" w:cstheme="minorHAnsi"/>
                <w:sz w:val="20"/>
              </w:rPr>
            </w:pPr>
            <w:r w:rsidRPr="000F0FF0">
              <w:rPr>
                <w:rFonts w:eastAsia="Calibri" w:cstheme="minorHAnsi"/>
                <w:sz w:val="20"/>
              </w:rPr>
              <w:t>(12)</w:t>
            </w:r>
            <w:r>
              <w:rPr>
                <w:rFonts w:eastAsia="Calibri" w:cstheme="minorHAnsi"/>
                <w:sz w:val="20"/>
              </w:rPr>
              <w:t xml:space="preserve"> </w:t>
            </w:r>
            <w:r w:rsidRPr="000F0FF0">
              <w:rPr>
                <w:rFonts w:eastAsia="Calibri" w:cstheme="minorHAnsi"/>
                <w:sz w:val="20"/>
              </w:rPr>
              <w:t>Partnership Dialogue for Connectivity, to accelerate digital connectivity in the wake of COVID-</w:t>
            </w:r>
            <w:proofErr w:type="gramStart"/>
            <w:r w:rsidRPr="000F0FF0">
              <w:rPr>
                <w:rFonts w:eastAsia="Calibri" w:cstheme="minorHAnsi"/>
                <w:sz w:val="20"/>
              </w:rPr>
              <w:t>19;</w:t>
            </w:r>
            <w:proofErr w:type="gramEnd"/>
          </w:p>
          <w:p w14:paraId="5CFF117D" w14:textId="2CB0C10D" w:rsidR="00FD31A4" w:rsidRPr="004A0398" w:rsidRDefault="00FD31A4" w:rsidP="000F0FF0">
            <w:pPr>
              <w:tabs>
                <w:tab w:val="left" w:pos="463"/>
              </w:tabs>
              <w:spacing w:before="40"/>
              <w:rPr>
                <w:rFonts w:eastAsia="Calibri" w:cstheme="minorHAnsi"/>
                <w:sz w:val="20"/>
              </w:rPr>
            </w:pPr>
            <w:r w:rsidRPr="000F0FF0">
              <w:rPr>
                <w:rFonts w:eastAsia="Calibri" w:cstheme="minorHAnsi"/>
                <w:sz w:val="20"/>
              </w:rPr>
              <w:t>(13) Smart Villages platform, to establish interactive voice services on COVID-19 to everyone in Niger.</w:t>
            </w:r>
          </w:p>
        </w:tc>
      </w:tr>
      <w:tr w:rsidR="00FD31A4" w:rsidRPr="004C061A" w14:paraId="48DA9F7B" w14:textId="77777777" w:rsidTr="00FD31A4">
        <w:tc>
          <w:tcPr>
            <w:tcW w:w="1559" w:type="dxa"/>
            <w:tcBorders>
              <w:bottom w:val="nil"/>
            </w:tcBorders>
          </w:tcPr>
          <w:p w14:paraId="05FBA231" w14:textId="254012A5" w:rsidR="00FD31A4" w:rsidRPr="004A0398" w:rsidRDefault="00FD31A4" w:rsidP="000867A3">
            <w:pPr>
              <w:tabs>
                <w:tab w:val="left" w:pos="567"/>
              </w:tabs>
              <w:spacing w:before="0" w:after="60"/>
              <w:ind w:left="-57" w:right="-57"/>
              <w:rPr>
                <w:rFonts w:cstheme="minorHAnsi"/>
                <w:b/>
                <w:bCs/>
                <w:sz w:val="20"/>
              </w:rPr>
            </w:pPr>
            <w:r>
              <w:rPr>
                <w:rFonts w:cstheme="minorHAnsi"/>
                <w:b/>
                <w:bCs/>
                <w:sz w:val="20"/>
              </w:rPr>
              <w:lastRenderedPageBreak/>
              <w:t>20. Calendar of ITU-D events</w:t>
            </w:r>
          </w:p>
        </w:tc>
        <w:tc>
          <w:tcPr>
            <w:tcW w:w="851" w:type="dxa"/>
          </w:tcPr>
          <w:p w14:paraId="410873A8" w14:textId="05956AB9" w:rsidR="00FD31A4" w:rsidRPr="004A0398" w:rsidRDefault="00FD31A4" w:rsidP="000867A3">
            <w:pPr>
              <w:tabs>
                <w:tab w:val="left" w:pos="567"/>
              </w:tabs>
              <w:spacing w:before="0" w:after="60"/>
              <w:ind w:left="-57" w:right="-57"/>
              <w:rPr>
                <w:rFonts w:cstheme="minorHAnsi"/>
                <w:i/>
                <w:iCs/>
                <w:sz w:val="20"/>
              </w:rPr>
            </w:pPr>
            <w:r>
              <w:rPr>
                <w:rFonts w:cstheme="minorHAnsi"/>
                <w:i/>
                <w:iCs/>
                <w:sz w:val="20"/>
              </w:rPr>
              <w:t>15</w:t>
            </w:r>
          </w:p>
        </w:tc>
        <w:tc>
          <w:tcPr>
            <w:tcW w:w="1984" w:type="dxa"/>
          </w:tcPr>
          <w:p w14:paraId="7C49CBC5" w14:textId="0BD4EBEE" w:rsidR="00FD31A4" w:rsidRPr="004A0398" w:rsidRDefault="00FD31A4" w:rsidP="00620EB0">
            <w:pPr>
              <w:pStyle w:val="Default"/>
              <w:ind w:left="-57" w:right="-57"/>
              <w:rPr>
                <w:rFonts w:asciiTheme="minorHAnsi" w:eastAsia="Times New Roman" w:hAnsiTheme="minorHAnsi" w:cstheme="minorHAnsi"/>
                <w:sz w:val="20"/>
                <w:szCs w:val="20"/>
              </w:rPr>
            </w:pPr>
            <w:r w:rsidRPr="00D948BF">
              <w:rPr>
                <w:rFonts w:asciiTheme="minorHAnsi" w:eastAsia="Times New Roman" w:hAnsiTheme="minorHAnsi" w:cstheme="minorHAnsi"/>
                <w:sz w:val="20"/>
                <w:szCs w:val="20"/>
                <w:lang w:val="en-GB"/>
              </w:rPr>
              <w:t>Calendar of ITU-D events</w:t>
            </w:r>
          </w:p>
        </w:tc>
        <w:tc>
          <w:tcPr>
            <w:tcW w:w="4111" w:type="dxa"/>
            <w:vMerge w:val="restart"/>
          </w:tcPr>
          <w:p w14:paraId="361B394E" w14:textId="095A0091" w:rsidR="00FD31A4" w:rsidRPr="004A0398" w:rsidRDefault="00FD31A4" w:rsidP="000867A3">
            <w:pPr>
              <w:pStyle w:val="Default"/>
              <w:rPr>
                <w:rFonts w:asciiTheme="minorHAnsi" w:eastAsia="Calibri" w:hAnsiTheme="minorHAnsi" w:cstheme="minorHAnsi"/>
                <w:color w:val="auto"/>
                <w:sz w:val="20"/>
                <w:szCs w:val="20"/>
                <w:lang w:val="en-GB" w:eastAsia="en-US"/>
              </w:rPr>
            </w:pPr>
            <w:r w:rsidRPr="005F0E94">
              <w:rPr>
                <w:rFonts w:asciiTheme="minorHAnsi" w:eastAsia="Calibri" w:hAnsiTheme="minorHAnsi" w:cstheme="minorHAnsi"/>
                <w:color w:val="auto"/>
                <w:sz w:val="20"/>
                <w:szCs w:val="20"/>
                <w:lang w:val="en-GB" w:eastAsia="en-US"/>
              </w:rPr>
              <w:t xml:space="preserve">TDAG noted the contents of the documents with interest. </w:t>
            </w:r>
            <w:proofErr w:type="gramStart"/>
            <w:r w:rsidRPr="005F0E94">
              <w:rPr>
                <w:rFonts w:asciiTheme="minorHAnsi" w:eastAsia="Calibri" w:hAnsiTheme="minorHAnsi" w:cstheme="minorHAnsi"/>
                <w:color w:val="auto"/>
                <w:sz w:val="20"/>
                <w:szCs w:val="20"/>
                <w:lang w:val="en-GB" w:eastAsia="en-US"/>
              </w:rPr>
              <w:t>With regard to</w:t>
            </w:r>
            <w:proofErr w:type="gramEnd"/>
            <w:r w:rsidRPr="005F0E94">
              <w:rPr>
                <w:rFonts w:asciiTheme="minorHAnsi" w:eastAsia="Calibri" w:hAnsiTheme="minorHAnsi" w:cstheme="minorHAnsi"/>
                <w:color w:val="auto"/>
                <w:sz w:val="20"/>
                <w:szCs w:val="20"/>
                <w:lang w:val="en-GB" w:eastAsia="en-US"/>
              </w:rPr>
              <w:t xml:space="preserve"> the ITU-D calendar of events, TDAG noted the importance of trying to avoid holding two major ITU events in the same calendar year.</w:t>
            </w:r>
          </w:p>
        </w:tc>
        <w:tc>
          <w:tcPr>
            <w:tcW w:w="2835" w:type="dxa"/>
          </w:tcPr>
          <w:p w14:paraId="4D723F2D" w14:textId="3966659C" w:rsidR="00FD31A4" w:rsidRPr="00695598" w:rsidRDefault="00FD31A4" w:rsidP="00695598">
            <w:pPr>
              <w:pStyle w:val="ListParagraph"/>
              <w:numPr>
                <w:ilvl w:val="0"/>
                <w:numId w:val="6"/>
              </w:numPr>
              <w:tabs>
                <w:tab w:val="left" w:pos="292"/>
              </w:tabs>
              <w:spacing w:before="0"/>
              <w:ind w:left="322"/>
              <w:rPr>
                <w:rFonts w:eastAsia="Calibri" w:cstheme="minorHAnsi"/>
                <w:sz w:val="20"/>
              </w:rPr>
            </w:pPr>
            <w:r>
              <w:rPr>
                <w:rFonts w:eastAsia="Calibri" w:cstheme="minorHAnsi"/>
                <w:sz w:val="20"/>
              </w:rPr>
              <w:t>Try to avoid holding two major ITU events in the same calendar year.</w:t>
            </w:r>
          </w:p>
        </w:tc>
        <w:tc>
          <w:tcPr>
            <w:tcW w:w="1134" w:type="dxa"/>
            <w:vMerge w:val="restart"/>
          </w:tcPr>
          <w:p w14:paraId="6DE21F59" w14:textId="01009C7C" w:rsidR="00FD31A4" w:rsidRDefault="00FD31A4" w:rsidP="000867A3">
            <w:pPr>
              <w:tabs>
                <w:tab w:val="left" w:pos="292"/>
              </w:tabs>
              <w:spacing w:before="0"/>
              <w:rPr>
                <w:rFonts w:eastAsia="Calibri" w:cstheme="minorHAnsi"/>
                <w:sz w:val="20"/>
              </w:rPr>
            </w:pPr>
            <w:r>
              <w:rPr>
                <w:rFonts w:eastAsia="Calibri" w:cstheme="minorHAnsi"/>
                <w:sz w:val="20"/>
              </w:rPr>
              <w:t>Continuous</w:t>
            </w:r>
          </w:p>
        </w:tc>
        <w:tc>
          <w:tcPr>
            <w:tcW w:w="3119" w:type="dxa"/>
            <w:vMerge w:val="restart"/>
          </w:tcPr>
          <w:p w14:paraId="31029B5D" w14:textId="77777777" w:rsidR="00FD31A4" w:rsidRPr="00C21423" w:rsidRDefault="00FD31A4" w:rsidP="000F0FF0">
            <w:pPr>
              <w:tabs>
                <w:tab w:val="left" w:pos="292"/>
              </w:tabs>
              <w:spacing w:before="40"/>
              <w:rPr>
                <w:rFonts w:eastAsia="Calibri" w:cstheme="minorHAnsi"/>
                <w:b/>
                <w:bCs/>
                <w:sz w:val="20"/>
              </w:rPr>
            </w:pPr>
            <w:r w:rsidRPr="00C21423">
              <w:rPr>
                <w:rFonts w:eastAsia="Calibri" w:cstheme="minorHAnsi"/>
                <w:b/>
                <w:bCs/>
                <w:sz w:val="20"/>
              </w:rPr>
              <w:t>Ongoing:</w:t>
            </w:r>
          </w:p>
          <w:p w14:paraId="13D8D012" w14:textId="77777777" w:rsidR="00FD31A4" w:rsidRDefault="00FD31A4" w:rsidP="000F0FF0">
            <w:pPr>
              <w:tabs>
                <w:tab w:val="left" w:pos="292"/>
              </w:tabs>
              <w:spacing w:before="40"/>
              <w:rPr>
                <w:rFonts w:eastAsia="Calibri" w:cstheme="minorHAnsi"/>
                <w:sz w:val="20"/>
              </w:rPr>
            </w:pPr>
            <w:r>
              <w:rPr>
                <w:rFonts w:eastAsia="Calibri" w:cstheme="minorHAnsi"/>
                <w:sz w:val="20"/>
              </w:rPr>
              <w:t>Planning of ITU-D events for 2020 is under way and special care is being taken to avoid religious festivities.</w:t>
            </w:r>
          </w:p>
          <w:p w14:paraId="00BF6036" w14:textId="6235005D" w:rsidR="00FD31A4" w:rsidRPr="004A0398" w:rsidRDefault="00FD31A4" w:rsidP="000F0FF0">
            <w:pPr>
              <w:tabs>
                <w:tab w:val="left" w:pos="292"/>
              </w:tabs>
              <w:spacing w:before="40"/>
              <w:rPr>
                <w:rFonts w:eastAsia="Calibri" w:cstheme="minorHAnsi"/>
                <w:sz w:val="20"/>
              </w:rPr>
            </w:pPr>
            <w:r>
              <w:rPr>
                <w:rFonts w:eastAsia="Calibri" w:cstheme="minorHAnsi"/>
                <w:sz w:val="20"/>
              </w:rPr>
              <w:t>Coordination with other bureaux/departments is continuous in order to avoid two major events in the same year, but the COVID-19 pandemic is making planning complicated.</w:t>
            </w:r>
          </w:p>
        </w:tc>
      </w:tr>
      <w:tr w:rsidR="00FD31A4" w:rsidRPr="004C061A" w14:paraId="7E415EE6" w14:textId="77777777" w:rsidTr="00FD31A4">
        <w:tc>
          <w:tcPr>
            <w:tcW w:w="1559" w:type="dxa"/>
            <w:tcBorders>
              <w:top w:val="nil"/>
            </w:tcBorders>
          </w:tcPr>
          <w:p w14:paraId="09C7F954" w14:textId="77777777" w:rsidR="00FD31A4" w:rsidRDefault="00FD31A4" w:rsidP="000867A3">
            <w:pPr>
              <w:tabs>
                <w:tab w:val="left" w:pos="567"/>
              </w:tabs>
              <w:spacing w:before="0" w:after="60"/>
              <w:ind w:left="-57" w:right="-57"/>
              <w:rPr>
                <w:rFonts w:cstheme="minorHAnsi"/>
                <w:b/>
                <w:bCs/>
                <w:sz w:val="20"/>
              </w:rPr>
            </w:pPr>
          </w:p>
        </w:tc>
        <w:tc>
          <w:tcPr>
            <w:tcW w:w="851" w:type="dxa"/>
          </w:tcPr>
          <w:p w14:paraId="49978466" w14:textId="502BDCA0" w:rsidR="00FD31A4" w:rsidRPr="004A0398" w:rsidRDefault="00FD31A4" w:rsidP="000867A3">
            <w:pPr>
              <w:tabs>
                <w:tab w:val="left" w:pos="567"/>
              </w:tabs>
              <w:spacing w:before="0" w:after="60"/>
              <w:ind w:left="-57" w:right="-57"/>
              <w:rPr>
                <w:rFonts w:cstheme="minorHAnsi"/>
                <w:i/>
                <w:iCs/>
                <w:sz w:val="20"/>
              </w:rPr>
            </w:pPr>
            <w:r>
              <w:rPr>
                <w:rFonts w:cstheme="minorHAnsi"/>
                <w:i/>
                <w:iCs/>
                <w:sz w:val="20"/>
              </w:rPr>
              <w:t>33</w:t>
            </w:r>
          </w:p>
        </w:tc>
        <w:tc>
          <w:tcPr>
            <w:tcW w:w="1984" w:type="dxa"/>
          </w:tcPr>
          <w:p w14:paraId="54BF085B" w14:textId="38A33E1B" w:rsidR="00FD31A4" w:rsidRPr="004A0398" w:rsidRDefault="00FD31A4" w:rsidP="00620EB0">
            <w:pPr>
              <w:pStyle w:val="Default"/>
              <w:ind w:left="-57" w:right="-57"/>
              <w:rPr>
                <w:rFonts w:asciiTheme="minorHAnsi" w:eastAsia="Times New Roman" w:hAnsiTheme="minorHAnsi" w:cstheme="minorHAnsi"/>
                <w:sz w:val="20"/>
                <w:szCs w:val="20"/>
              </w:rPr>
            </w:pPr>
            <w:r w:rsidRPr="00D948BF">
              <w:rPr>
                <w:rFonts w:asciiTheme="minorHAnsi" w:eastAsia="Times New Roman" w:hAnsiTheme="minorHAnsi" w:cstheme="minorHAnsi"/>
                <w:sz w:val="20"/>
                <w:szCs w:val="20"/>
                <w:lang w:val="en-GB"/>
              </w:rPr>
              <w:t xml:space="preserve">Rationalisation of </w:t>
            </w:r>
            <w:proofErr w:type="gramStart"/>
            <w:r w:rsidRPr="00D948BF">
              <w:rPr>
                <w:rFonts w:asciiTheme="minorHAnsi" w:eastAsia="Times New Roman" w:hAnsiTheme="minorHAnsi" w:cstheme="minorHAnsi"/>
                <w:sz w:val="20"/>
                <w:szCs w:val="20"/>
                <w:lang w:val="en-GB"/>
              </w:rPr>
              <w:t>high level</w:t>
            </w:r>
            <w:proofErr w:type="gramEnd"/>
            <w:r w:rsidRPr="00D948BF">
              <w:rPr>
                <w:rFonts w:asciiTheme="minorHAnsi" w:eastAsia="Times New Roman" w:hAnsiTheme="minorHAnsi" w:cstheme="minorHAnsi"/>
                <w:sz w:val="20"/>
                <w:szCs w:val="20"/>
                <w:lang w:val="en-GB"/>
              </w:rPr>
              <w:t xml:space="preserve"> meetings and capacity enhancement</w:t>
            </w:r>
            <w:r>
              <w:rPr>
                <w:rFonts w:asciiTheme="minorHAnsi" w:eastAsia="Times New Roman" w:hAnsiTheme="minorHAnsi" w:cstheme="minorHAnsi"/>
                <w:sz w:val="20"/>
                <w:szCs w:val="20"/>
                <w:lang w:val="en-GB"/>
              </w:rPr>
              <w:t>, from Bhutan</w:t>
            </w:r>
          </w:p>
        </w:tc>
        <w:tc>
          <w:tcPr>
            <w:tcW w:w="4111" w:type="dxa"/>
            <w:vMerge/>
          </w:tcPr>
          <w:p w14:paraId="3FB079F4" w14:textId="77777777" w:rsidR="00FD31A4" w:rsidRPr="004A0398" w:rsidRDefault="00FD31A4" w:rsidP="000867A3">
            <w:pPr>
              <w:pStyle w:val="Default"/>
              <w:rPr>
                <w:rFonts w:asciiTheme="minorHAnsi" w:eastAsia="Calibri" w:hAnsiTheme="minorHAnsi" w:cstheme="minorHAnsi"/>
                <w:color w:val="auto"/>
                <w:sz w:val="20"/>
                <w:szCs w:val="20"/>
                <w:lang w:val="en-GB" w:eastAsia="en-US"/>
              </w:rPr>
            </w:pPr>
          </w:p>
        </w:tc>
        <w:tc>
          <w:tcPr>
            <w:tcW w:w="2835" w:type="dxa"/>
          </w:tcPr>
          <w:p w14:paraId="704358E2" w14:textId="77777777" w:rsidR="00FD31A4" w:rsidRPr="004A0398" w:rsidRDefault="00FD31A4" w:rsidP="000867A3">
            <w:pPr>
              <w:tabs>
                <w:tab w:val="left" w:pos="292"/>
              </w:tabs>
              <w:spacing w:before="0"/>
              <w:rPr>
                <w:rFonts w:eastAsia="Calibri" w:cstheme="minorHAnsi"/>
                <w:sz w:val="20"/>
              </w:rPr>
            </w:pPr>
          </w:p>
        </w:tc>
        <w:tc>
          <w:tcPr>
            <w:tcW w:w="1134" w:type="dxa"/>
            <w:vMerge/>
          </w:tcPr>
          <w:p w14:paraId="66593A08" w14:textId="77777777" w:rsidR="00FD31A4" w:rsidRPr="004A0398" w:rsidRDefault="00FD31A4" w:rsidP="000867A3">
            <w:pPr>
              <w:tabs>
                <w:tab w:val="left" w:pos="292"/>
              </w:tabs>
              <w:spacing w:before="0"/>
              <w:rPr>
                <w:rFonts w:eastAsia="Calibri" w:cstheme="minorHAnsi"/>
                <w:sz w:val="20"/>
              </w:rPr>
            </w:pPr>
          </w:p>
        </w:tc>
        <w:tc>
          <w:tcPr>
            <w:tcW w:w="3119" w:type="dxa"/>
            <w:vMerge/>
          </w:tcPr>
          <w:p w14:paraId="73C8ED37" w14:textId="0A7C8725" w:rsidR="00FD31A4" w:rsidRPr="004A0398" w:rsidRDefault="00FD31A4" w:rsidP="000F0FF0">
            <w:pPr>
              <w:tabs>
                <w:tab w:val="left" w:pos="292"/>
              </w:tabs>
              <w:spacing w:before="40"/>
              <w:rPr>
                <w:rFonts w:eastAsia="Calibri" w:cstheme="minorHAnsi"/>
                <w:sz w:val="20"/>
              </w:rPr>
            </w:pPr>
          </w:p>
        </w:tc>
      </w:tr>
      <w:tr w:rsidR="00FD31A4" w:rsidRPr="004C061A" w14:paraId="4B6ECD60" w14:textId="77777777" w:rsidTr="00FD31A4">
        <w:tc>
          <w:tcPr>
            <w:tcW w:w="1559" w:type="dxa"/>
          </w:tcPr>
          <w:p w14:paraId="40CBAAF1" w14:textId="5FCFD7DD" w:rsidR="00FD31A4" w:rsidRPr="004A0398" w:rsidRDefault="00FD31A4" w:rsidP="00DA4FCB">
            <w:pPr>
              <w:keepNext/>
              <w:tabs>
                <w:tab w:val="left" w:pos="567"/>
              </w:tabs>
              <w:spacing w:before="0" w:after="60"/>
              <w:ind w:left="-57" w:right="-57"/>
              <w:rPr>
                <w:rFonts w:cstheme="minorHAnsi"/>
                <w:b/>
                <w:bCs/>
                <w:sz w:val="20"/>
              </w:rPr>
            </w:pPr>
            <w:r>
              <w:rPr>
                <w:rFonts w:cstheme="minorHAnsi"/>
                <w:b/>
                <w:bCs/>
                <w:sz w:val="20"/>
              </w:rPr>
              <w:t>21. Any other business</w:t>
            </w:r>
          </w:p>
        </w:tc>
        <w:tc>
          <w:tcPr>
            <w:tcW w:w="851" w:type="dxa"/>
          </w:tcPr>
          <w:p w14:paraId="51FD0E61" w14:textId="0F7808E7" w:rsidR="00FD31A4" w:rsidRPr="004A0398" w:rsidRDefault="00FD31A4" w:rsidP="00DA4FCB">
            <w:pPr>
              <w:keepNext/>
              <w:tabs>
                <w:tab w:val="left" w:pos="567"/>
              </w:tabs>
              <w:spacing w:before="0" w:after="60"/>
              <w:ind w:left="-57" w:right="-57"/>
              <w:rPr>
                <w:rFonts w:cstheme="minorHAnsi"/>
                <w:i/>
                <w:iCs/>
                <w:sz w:val="20"/>
              </w:rPr>
            </w:pPr>
            <w:r>
              <w:rPr>
                <w:rFonts w:cstheme="minorHAnsi"/>
                <w:i/>
                <w:iCs/>
                <w:sz w:val="20"/>
              </w:rPr>
              <w:t>--</w:t>
            </w:r>
          </w:p>
        </w:tc>
        <w:tc>
          <w:tcPr>
            <w:tcW w:w="1984" w:type="dxa"/>
          </w:tcPr>
          <w:p w14:paraId="741D8A02" w14:textId="77777777" w:rsidR="00FD31A4" w:rsidRPr="004A0398" w:rsidRDefault="00FD31A4" w:rsidP="00DA4FCB">
            <w:pPr>
              <w:pStyle w:val="Default"/>
              <w:keepNext/>
              <w:ind w:left="-57" w:right="-57"/>
              <w:rPr>
                <w:rFonts w:asciiTheme="minorHAnsi" w:eastAsia="Times New Roman" w:hAnsiTheme="minorHAnsi" w:cstheme="minorHAnsi"/>
                <w:sz w:val="20"/>
                <w:szCs w:val="20"/>
              </w:rPr>
            </w:pPr>
          </w:p>
        </w:tc>
        <w:tc>
          <w:tcPr>
            <w:tcW w:w="4111" w:type="dxa"/>
          </w:tcPr>
          <w:p w14:paraId="2C4468B6" w14:textId="77777777" w:rsidR="00FD31A4" w:rsidRPr="004A0398" w:rsidRDefault="00FD31A4" w:rsidP="00DA4FCB">
            <w:pPr>
              <w:pStyle w:val="Default"/>
              <w:keepNext/>
              <w:rPr>
                <w:rFonts w:asciiTheme="minorHAnsi" w:eastAsia="Calibri" w:hAnsiTheme="minorHAnsi" w:cstheme="minorHAnsi"/>
                <w:color w:val="auto"/>
                <w:sz w:val="20"/>
                <w:szCs w:val="20"/>
                <w:lang w:val="en-GB" w:eastAsia="en-US"/>
              </w:rPr>
            </w:pPr>
          </w:p>
        </w:tc>
        <w:tc>
          <w:tcPr>
            <w:tcW w:w="2835" w:type="dxa"/>
          </w:tcPr>
          <w:p w14:paraId="5771DCDE" w14:textId="77777777" w:rsidR="00FD31A4" w:rsidRPr="004A0398" w:rsidRDefault="00FD31A4" w:rsidP="00DA4FCB">
            <w:pPr>
              <w:keepNext/>
              <w:tabs>
                <w:tab w:val="left" w:pos="292"/>
              </w:tabs>
              <w:spacing w:before="0"/>
              <w:rPr>
                <w:rFonts w:eastAsia="Calibri" w:cstheme="minorHAnsi"/>
                <w:sz w:val="20"/>
              </w:rPr>
            </w:pPr>
          </w:p>
        </w:tc>
        <w:tc>
          <w:tcPr>
            <w:tcW w:w="1134" w:type="dxa"/>
          </w:tcPr>
          <w:p w14:paraId="59A4DA53" w14:textId="77777777" w:rsidR="00FD31A4" w:rsidRPr="004A0398" w:rsidRDefault="00FD31A4" w:rsidP="00DA4FCB">
            <w:pPr>
              <w:keepNext/>
              <w:tabs>
                <w:tab w:val="left" w:pos="292"/>
              </w:tabs>
              <w:spacing w:before="0"/>
              <w:rPr>
                <w:rFonts w:eastAsia="Calibri" w:cstheme="minorHAnsi"/>
                <w:sz w:val="20"/>
              </w:rPr>
            </w:pPr>
          </w:p>
        </w:tc>
        <w:tc>
          <w:tcPr>
            <w:tcW w:w="3119" w:type="dxa"/>
          </w:tcPr>
          <w:p w14:paraId="2E99556C" w14:textId="4D29DA34" w:rsidR="00FD31A4" w:rsidRPr="004A0398" w:rsidRDefault="00FD31A4" w:rsidP="000F0FF0">
            <w:pPr>
              <w:keepNext/>
              <w:tabs>
                <w:tab w:val="left" w:pos="292"/>
              </w:tabs>
              <w:spacing w:before="40"/>
              <w:rPr>
                <w:rFonts w:eastAsia="Calibri" w:cstheme="minorHAnsi"/>
                <w:sz w:val="20"/>
              </w:rPr>
            </w:pPr>
          </w:p>
        </w:tc>
      </w:tr>
      <w:tr w:rsidR="00FD31A4" w:rsidRPr="004C061A" w14:paraId="3B0CFC7A" w14:textId="77777777" w:rsidTr="00FD31A4">
        <w:tc>
          <w:tcPr>
            <w:tcW w:w="1559" w:type="dxa"/>
          </w:tcPr>
          <w:p w14:paraId="55F83CFE" w14:textId="1EAD43CF" w:rsidR="00FD31A4" w:rsidRDefault="00FD31A4" w:rsidP="000867A3">
            <w:pPr>
              <w:tabs>
                <w:tab w:val="left" w:pos="567"/>
              </w:tabs>
              <w:spacing w:before="0" w:after="60"/>
              <w:ind w:left="170" w:right="-57"/>
              <w:rPr>
                <w:rFonts w:cstheme="minorHAnsi"/>
                <w:b/>
                <w:bCs/>
                <w:sz w:val="20"/>
              </w:rPr>
            </w:pPr>
            <w:r>
              <w:rPr>
                <w:rFonts w:cstheme="minorHAnsi"/>
                <w:b/>
                <w:bCs/>
                <w:sz w:val="20"/>
              </w:rPr>
              <w:t>21.1. Girls in ICT Day</w:t>
            </w:r>
          </w:p>
        </w:tc>
        <w:tc>
          <w:tcPr>
            <w:tcW w:w="851" w:type="dxa"/>
          </w:tcPr>
          <w:p w14:paraId="13656960" w14:textId="3DBBCBE9" w:rsidR="00FD31A4" w:rsidRPr="004A0398" w:rsidRDefault="00FD31A4" w:rsidP="000867A3">
            <w:pPr>
              <w:tabs>
                <w:tab w:val="left" w:pos="567"/>
              </w:tabs>
              <w:spacing w:before="0" w:after="60"/>
              <w:ind w:left="-57" w:right="-57"/>
              <w:rPr>
                <w:rFonts w:cstheme="minorHAnsi"/>
                <w:i/>
                <w:iCs/>
                <w:sz w:val="20"/>
              </w:rPr>
            </w:pPr>
            <w:r>
              <w:rPr>
                <w:rFonts w:cstheme="minorHAnsi"/>
                <w:i/>
                <w:iCs/>
                <w:sz w:val="20"/>
              </w:rPr>
              <w:t>47</w:t>
            </w:r>
          </w:p>
        </w:tc>
        <w:tc>
          <w:tcPr>
            <w:tcW w:w="1984" w:type="dxa"/>
          </w:tcPr>
          <w:p w14:paraId="348839A1" w14:textId="458EF290" w:rsidR="00FD31A4" w:rsidRPr="004A0398" w:rsidRDefault="00FD31A4" w:rsidP="00620EB0">
            <w:pPr>
              <w:pStyle w:val="Default"/>
              <w:ind w:left="-57" w:right="-57"/>
              <w:rPr>
                <w:rFonts w:asciiTheme="minorHAnsi" w:eastAsia="Times New Roman" w:hAnsiTheme="minorHAnsi" w:cstheme="minorHAnsi"/>
                <w:sz w:val="20"/>
                <w:szCs w:val="20"/>
              </w:rPr>
            </w:pPr>
            <w:r w:rsidRPr="00F60426">
              <w:rPr>
                <w:rFonts w:asciiTheme="minorHAnsi" w:eastAsia="Times New Roman" w:hAnsiTheme="minorHAnsi" w:cstheme="minorHAnsi"/>
                <w:sz w:val="20"/>
                <w:szCs w:val="20"/>
                <w:lang w:val="en-GB"/>
              </w:rPr>
              <w:t>Girls in ICT Day 2020</w:t>
            </w:r>
          </w:p>
        </w:tc>
        <w:tc>
          <w:tcPr>
            <w:tcW w:w="4111" w:type="dxa"/>
          </w:tcPr>
          <w:p w14:paraId="6917A057" w14:textId="582784BB" w:rsidR="00FD31A4" w:rsidRPr="004A0398" w:rsidRDefault="00FD31A4" w:rsidP="000867A3">
            <w:pPr>
              <w:pStyle w:val="Default"/>
              <w:rPr>
                <w:rFonts w:asciiTheme="minorHAnsi" w:eastAsia="Calibri" w:hAnsiTheme="minorHAnsi" w:cstheme="minorHAnsi"/>
                <w:color w:val="auto"/>
                <w:sz w:val="20"/>
                <w:szCs w:val="20"/>
                <w:lang w:val="en-GB" w:eastAsia="en-US"/>
              </w:rPr>
            </w:pPr>
            <w:r w:rsidRPr="003E2CD1">
              <w:rPr>
                <w:rFonts w:asciiTheme="minorHAnsi" w:eastAsia="Calibri" w:hAnsiTheme="minorHAnsi" w:cstheme="minorHAnsi"/>
                <w:color w:val="auto"/>
                <w:sz w:val="20"/>
                <w:szCs w:val="20"/>
                <w:lang w:val="en-GB" w:eastAsia="en-US"/>
              </w:rPr>
              <w:t xml:space="preserve">TDAG noted the contents of the report with interest and appreciation. TDAG expressed its support for this global initiative and thanked BDT for the assistance provided to all stakeholders in their efforts to celebrate Girls in ICT Day in a virtual manner, to inspire girls and </w:t>
            </w:r>
            <w:r w:rsidRPr="003E2CD1">
              <w:rPr>
                <w:rFonts w:asciiTheme="minorHAnsi" w:eastAsia="Calibri" w:hAnsiTheme="minorHAnsi" w:cstheme="minorHAnsi"/>
                <w:color w:val="auto"/>
                <w:sz w:val="20"/>
                <w:szCs w:val="20"/>
                <w:lang w:val="en-GB" w:eastAsia="en-US"/>
              </w:rPr>
              <w:lastRenderedPageBreak/>
              <w:t>young women to take up studies and careers in STEM, and to leverage the power of digital technology, despite the limitations imposed by the current global health crisis (COVID-19). TDAG recognized the importance of establishing broader partnerships and collaboration with governments, civil society, Academia and industry and stressed the importance of active participation and engagement of girls in the Youth Summit at WTDC-21.</w:t>
            </w:r>
          </w:p>
        </w:tc>
        <w:tc>
          <w:tcPr>
            <w:tcW w:w="2835" w:type="dxa"/>
          </w:tcPr>
          <w:p w14:paraId="4A6F150D" w14:textId="117231EC" w:rsidR="00FD31A4" w:rsidRPr="004A0398" w:rsidRDefault="00FD31A4" w:rsidP="000867A3">
            <w:pPr>
              <w:tabs>
                <w:tab w:val="left" w:pos="292"/>
              </w:tabs>
              <w:spacing w:before="0"/>
              <w:rPr>
                <w:rFonts w:eastAsia="Calibri" w:cstheme="minorHAnsi"/>
                <w:sz w:val="20"/>
              </w:rPr>
            </w:pPr>
            <w:r>
              <w:rPr>
                <w:rFonts w:eastAsia="Calibri" w:cstheme="minorHAnsi"/>
                <w:sz w:val="20"/>
              </w:rPr>
              <w:lastRenderedPageBreak/>
              <w:t>--</w:t>
            </w:r>
          </w:p>
        </w:tc>
        <w:tc>
          <w:tcPr>
            <w:tcW w:w="1134" w:type="dxa"/>
          </w:tcPr>
          <w:p w14:paraId="1D553C14" w14:textId="77777777" w:rsidR="00FD31A4" w:rsidRPr="004A0398" w:rsidRDefault="00FD31A4" w:rsidP="000867A3">
            <w:pPr>
              <w:tabs>
                <w:tab w:val="left" w:pos="292"/>
              </w:tabs>
              <w:spacing w:before="0"/>
              <w:rPr>
                <w:rFonts w:eastAsia="Calibri" w:cstheme="minorHAnsi"/>
                <w:sz w:val="20"/>
              </w:rPr>
            </w:pPr>
          </w:p>
        </w:tc>
        <w:tc>
          <w:tcPr>
            <w:tcW w:w="3119" w:type="dxa"/>
          </w:tcPr>
          <w:p w14:paraId="433A9FB0" w14:textId="3C978EFC" w:rsidR="00FD31A4" w:rsidRPr="004A0398" w:rsidRDefault="00FD31A4" w:rsidP="000F0FF0">
            <w:pPr>
              <w:tabs>
                <w:tab w:val="left" w:pos="292"/>
              </w:tabs>
              <w:spacing w:before="40"/>
              <w:rPr>
                <w:rFonts w:eastAsia="Calibri" w:cstheme="minorHAnsi"/>
                <w:sz w:val="20"/>
              </w:rPr>
            </w:pPr>
          </w:p>
        </w:tc>
      </w:tr>
      <w:tr w:rsidR="00FD31A4" w:rsidRPr="004C061A" w14:paraId="52009328" w14:textId="77777777" w:rsidTr="00FD31A4">
        <w:tc>
          <w:tcPr>
            <w:tcW w:w="1559" w:type="dxa"/>
          </w:tcPr>
          <w:p w14:paraId="660157F7" w14:textId="229C19D5" w:rsidR="00FD31A4" w:rsidRDefault="00FD31A4" w:rsidP="000867A3">
            <w:pPr>
              <w:tabs>
                <w:tab w:val="left" w:pos="567"/>
              </w:tabs>
              <w:spacing w:before="0" w:after="60"/>
              <w:ind w:left="170" w:right="-57"/>
              <w:rPr>
                <w:rFonts w:cstheme="minorHAnsi"/>
                <w:b/>
                <w:bCs/>
                <w:sz w:val="20"/>
              </w:rPr>
            </w:pPr>
            <w:r>
              <w:rPr>
                <w:rFonts w:cstheme="minorHAnsi"/>
                <w:b/>
                <w:bCs/>
                <w:sz w:val="20"/>
              </w:rPr>
              <w:t>21.2. Child Online Protection guidelines</w:t>
            </w:r>
          </w:p>
        </w:tc>
        <w:tc>
          <w:tcPr>
            <w:tcW w:w="851" w:type="dxa"/>
          </w:tcPr>
          <w:p w14:paraId="63E2A1D8" w14:textId="688A85CE" w:rsidR="00FD31A4" w:rsidRPr="004A0398" w:rsidRDefault="00FD31A4" w:rsidP="000867A3">
            <w:pPr>
              <w:tabs>
                <w:tab w:val="left" w:pos="567"/>
              </w:tabs>
              <w:spacing w:before="0" w:after="60"/>
              <w:ind w:left="-57" w:right="-57"/>
              <w:rPr>
                <w:rFonts w:cstheme="minorHAnsi"/>
                <w:i/>
                <w:iCs/>
                <w:sz w:val="20"/>
              </w:rPr>
            </w:pPr>
            <w:r>
              <w:rPr>
                <w:rFonts w:cstheme="minorHAnsi"/>
                <w:i/>
                <w:iCs/>
                <w:sz w:val="20"/>
              </w:rPr>
              <w:t>48</w:t>
            </w:r>
          </w:p>
        </w:tc>
        <w:tc>
          <w:tcPr>
            <w:tcW w:w="1984" w:type="dxa"/>
          </w:tcPr>
          <w:p w14:paraId="0867B6F6" w14:textId="3E9B0C95" w:rsidR="00FD31A4" w:rsidRPr="004A0398" w:rsidRDefault="00FD31A4" w:rsidP="00620EB0">
            <w:pPr>
              <w:pStyle w:val="Default"/>
              <w:ind w:left="-57" w:right="-57"/>
              <w:rPr>
                <w:rFonts w:asciiTheme="minorHAnsi" w:eastAsia="Times New Roman" w:hAnsiTheme="minorHAnsi" w:cstheme="minorHAnsi"/>
                <w:sz w:val="20"/>
                <w:szCs w:val="20"/>
              </w:rPr>
            </w:pPr>
            <w:r w:rsidRPr="00620EB0">
              <w:rPr>
                <w:rFonts w:asciiTheme="minorHAnsi" w:eastAsia="Times New Roman" w:hAnsiTheme="minorHAnsi" w:cstheme="minorHAnsi"/>
                <w:sz w:val="20"/>
                <w:szCs w:val="20"/>
                <w:lang w:val="en-GB"/>
              </w:rPr>
              <w:t>Child Online Protection (COP) Guidelines</w:t>
            </w:r>
          </w:p>
        </w:tc>
        <w:tc>
          <w:tcPr>
            <w:tcW w:w="4111" w:type="dxa"/>
          </w:tcPr>
          <w:p w14:paraId="537AEA38" w14:textId="77777777" w:rsidR="00FD31A4" w:rsidRPr="00E40906" w:rsidRDefault="00FD31A4" w:rsidP="00E40906">
            <w:pPr>
              <w:pStyle w:val="Default"/>
              <w:rPr>
                <w:rFonts w:cstheme="minorHAnsi"/>
                <w:sz w:val="20"/>
              </w:rPr>
            </w:pPr>
            <w:r w:rsidRPr="00E40906">
              <w:rPr>
                <w:rFonts w:cstheme="minorHAnsi"/>
                <w:sz w:val="20"/>
              </w:rPr>
              <w:t>TDAG noted the document with appreciation and</w:t>
            </w:r>
            <w:r w:rsidRPr="00E40906">
              <w:rPr>
                <w:rFonts w:eastAsia="Calibri" w:cstheme="minorHAnsi"/>
                <w:sz w:val="20"/>
              </w:rPr>
              <w:t xml:space="preserve"> </w:t>
            </w:r>
            <w:r w:rsidRPr="00E40906">
              <w:rPr>
                <w:rFonts w:cstheme="minorHAnsi"/>
                <w:sz w:val="20"/>
              </w:rPr>
              <w:t xml:space="preserve">welcomed the involvement of </w:t>
            </w:r>
            <w:r w:rsidRPr="00E40906">
              <w:rPr>
                <w:rFonts w:eastAsia="Calibri" w:cstheme="minorHAnsi"/>
                <w:sz w:val="20"/>
              </w:rPr>
              <w:t xml:space="preserve">Member States </w:t>
            </w:r>
            <w:r w:rsidRPr="00E40906">
              <w:rPr>
                <w:rFonts w:cstheme="minorHAnsi"/>
                <w:sz w:val="20"/>
              </w:rPr>
              <w:t>in the review process of the 2020 child online protection guidelines.</w:t>
            </w:r>
          </w:p>
          <w:p w14:paraId="0DE2A687" w14:textId="2D784F05" w:rsidR="00FD31A4" w:rsidRPr="004A0398" w:rsidRDefault="00FD31A4" w:rsidP="00E40906">
            <w:pPr>
              <w:pStyle w:val="Default"/>
              <w:rPr>
                <w:rFonts w:asciiTheme="minorHAnsi" w:eastAsia="Calibri" w:hAnsiTheme="minorHAnsi" w:cstheme="minorHAnsi"/>
                <w:color w:val="auto"/>
                <w:sz w:val="20"/>
                <w:szCs w:val="20"/>
                <w:lang w:val="en-GB" w:eastAsia="en-US"/>
              </w:rPr>
            </w:pPr>
            <w:r w:rsidRPr="00E40906">
              <w:rPr>
                <w:rFonts w:asciiTheme="minorHAnsi" w:eastAsia="Calibri" w:hAnsiTheme="minorHAnsi" w:cstheme="minorHAnsi"/>
                <w:color w:val="auto"/>
                <w:sz w:val="20"/>
                <w:szCs w:val="20"/>
                <w:lang w:val="en-GB" w:eastAsia="en-US"/>
              </w:rPr>
              <w:t>TDAG encouraged all Member States to take note of the content of the guidelines.</w:t>
            </w:r>
          </w:p>
        </w:tc>
        <w:tc>
          <w:tcPr>
            <w:tcW w:w="2835" w:type="dxa"/>
          </w:tcPr>
          <w:p w14:paraId="4B1B547F" w14:textId="5306C666" w:rsidR="00FD31A4" w:rsidRPr="004A0398" w:rsidRDefault="00FD31A4" w:rsidP="000867A3">
            <w:pPr>
              <w:tabs>
                <w:tab w:val="left" w:pos="292"/>
              </w:tabs>
              <w:spacing w:before="0"/>
              <w:rPr>
                <w:rFonts w:eastAsia="Calibri" w:cstheme="minorHAnsi"/>
                <w:sz w:val="20"/>
              </w:rPr>
            </w:pPr>
            <w:r>
              <w:rPr>
                <w:rFonts w:eastAsia="Calibri" w:cstheme="minorHAnsi"/>
                <w:sz w:val="20"/>
              </w:rPr>
              <w:t>--</w:t>
            </w:r>
          </w:p>
        </w:tc>
        <w:tc>
          <w:tcPr>
            <w:tcW w:w="1134" w:type="dxa"/>
          </w:tcPr>
          <w:p w14:paraId="4151AE54" w14:textId="77777777" w:rsidR="00FD31A4" w:rsidRPr="004A0398" w:rsidRDefault="00FD31A4" w:rsidP="000867A3">
            <w:pPr>
              <w:tabs>
                <w:tab w:val="left" w:pos="292"/>
              </w:tabs>
              <w:spacing w:before="0"/>
              <w:rPr>
                <w:rFonts w:eastAsia="Calibri" w:cstheme="minorHAnsi"/>
                <w:sz w:val="20"/>
              </w:rPr>
            </w:pPr>
          </w:p>
        </w:tc>
        <w:tc>
          <w:tcPr>
            <w:tcW w:w="3119" w:type="dxa"/>
          </w:tcPr>
          <w:p w14:paraId="02249F51" w14:textId="7629EC0D" w:rsidR="00FD31A4" w:rsidRPr="004A0398" w:rsidRDefault="00FD31A4" w:rsidP="000F0FF0">
            <w:pPr>
              <w:tabs>
                <w:tab w:val="left" w:pos="292"/>
              </w:tabs>
              <w:spacing w:before="40"/>
              <w:rPr>
                <w:rFonts w:eastAsia="Calibri" w:cstheme="minorHAnsi"/>
                <w:sz w:val="20"/>
              </w:rPr>
            </w:pPr>
          </w:p>
        </w:tc>
      </w:tr>
      <w:tr w:rsidR="00FD31A4" w:rsidRPr="004C061A" w14:paraId="2E9DEABE" w14:textId="77777777" w:rsidTr="00FD31A4">
        <w:tc>
          <w:tcPr>
            <w:tcW w:w="1559" w:type="dxa"/>
          </w:tcPr>
          <w:p w14:paraId="78E94E1E" w14:textId="74EBF5F1" w:rsidR="00FD31A4" w:rsidRDefault="00FD31A4" w:rsidP="000867A3">
            <w:pPr>
              <w:tabs>
                <w:tab w:val="left" w:pos="567"/>
              </w:tabs>
              <w:spacing w:before="0" w:after="60"/>
              <w:ind w:left="170" w:right="-57"/>
              <w:rPr>
                <w:rFonts w:cstheme="minorHAnsi"/>
                <w:b/>
                <w:bCs/>
                <w:sz w:val="20"/>
              </w:rPr>
            </w:pPr>
            <w:r>
              <w:rPr>
                <w:rFonts w:cstheme="minorHAnsi"/>
                <w:b/>
                <w:bCs/>
                <w:sz w:val="20"/>
              </w:rPr>
              <w:t>21.3. ITU-UNICEF School Connectivity Project (GIGA)</w:t>
            </w:r>
          </w:p>
        </w:tc>
        <w:tc>
          <w:tcPr>
            <w:tcW w:w="851" w:type="dxa"/>
          </w:tcPr>
          <w:p w14:paraId="69913230" w14:textId="253C19B6" w:rsidR="00FD31A4" w:rsidRPr="004A0398" w:rsidRDefault="00FD31A4" w:rsidP="000867A3">
            <w:pPr>
              <w:tabs>
                <w:tab w:val="left" w:pos="567"/>
              </w:tabs>
              <w:spacing w:before="0" w:after="60"/>
              <w:ind w:left="-57" w:right="-57"/>
              <w:rPr>
                <w:rFonts w:cstheme="minorHAnsi"/>
                <w:i/>
                <w:iCs/>
                <w:sz w:val="20"/>
              </w:rPr>
            </w:pPr>
            <w:r>
              <w:rPr>
                <w:rFonts w:cstheme="minorHAnsi"/>
                <w:i/>
                <w:iCs/>
                <w:sz w:val="20"/>
              </w:rPr>
              <w:t>49</w:t>
            </w:r>
          </w:p>
        </w:tc>
        <w:tc>
          <w:tcPr>
            <w:tcW w:w="1984" w:type="dxa"/>
          </w:tcPr>
          <w:p w14:paraId="023F40E5" w14:textId="6CB68312" w:rsidR="00FD31A4" w:rsidRPr="004A0398" w:rsidRDefault="00FD31A4" w:rsidP="00620EB0">
            <w:pPr>
              <w:pStyle w:val="Default"/>
              <w:ind w:left="-57" w:right="-57"/>
              <w:rPr>
                <w:rFonts w:asciiTheme="minorHAnsi" w:eastAsia="Times New Roman" w:hAnsiTheme="minorHAnsi" w:cstheme="minorHAnsi"/>
                <w:sz w:val="20"/>
                <w:szCs w:val="20"/>
              </w:rPr>
            </w:pPr>
            <w:r w:rsidRPr="00620EB0">
              <w:rPr>
                <w:rFonts w:asciiTheme="minorHAnsi" w:eastAsia="Times New Roman" w:hAnsiTheme="minorHAnsi" w:cstheme="minorHAnsi"/>
                <w:sz w:val="20"/>
                <w:szCs w:val="20"/>
                <w:lang w:val="en-GB"/>
              </w:rPr>
              <w:t>GIGA UNICEF-ITU global initiative</w:t>
            </w:r>
          </w:p>
        </w:tc>
        <w:tc>
          <w:tcPr>
            <w:tcW w:w="4111" w:type="dxa"/>
          </w:tcPr>
          <w:p w14:paraId="4FA9426B" w14:textId="646709D7" w:rsidR="00FD31A4" w:rsidRPr="004A0398" w:rsidRDefault="00FD31A4" w:rsidP="000867A3">
            <w:pPr>
              <w:pStyle w:val="Default"/>
              <w:rPr>
                <w:rFonts w:asciiTheme="minorHAnsi" w:eastAsia="Calibri" w:hAnsiTheme="minorHAnsi" w:cstheme="minorHAnsi"/>
                <w:color w:val="auto"/>
                <w:sz w:val="20"/>
                <w:szCs w:val="20"/>
                <w:lang w:val="en-GB" w:eastAsia="en-US"/>
              </w:rPr>
            </w:pPr>
            <w:r w:rsidRPr="009F0C03">
              <w:rPr>
                <w:rFonts w:asciiTheme="minorHAnsi" w:eastAsia="Calibri" w:hAnsiTheme="minorHAnsi" w:cstheme="minorHAnsi"/>
                <w:color w:val="auto"/>
                <w:sz w:val="20"/>
                <w:szCs w:val="20"/>
                <w:lang w:val="en-GB" w:eastAsia="en-US"/>
              </w:rPr>
              <w:t>TDAG noted the document with interest and appreciation, and supports the progress made in GIGA. Rwanda, Kazakhstan, and United States each made interventions in support of GIGA and their involvement as Lead Country for Africa, Lead Country for Central Asia, and as a provider of GIGA technical assistance, respectively. Some Member States have expressed interest in learning more about GIGA and BDT will follow up accordingly.</w:t>
            </w:r>
          </w:p>
        </w:tc>
        <w:tc>
          <w:tcPr>
            <w:tcW w:w="2835" w:type="dxa"/>
          </w:tcPr>
          <w:p w14:paraId="2B65E9AD" w14:textId="0CCC833C" w:rsidR="00FD31A4" w:rsidRPr="00B43260" w:rsidRDefault="00FD31A4" w:rsidP="00B43260">
            <w:pPr>
              <w:pStyle w:val="ListParagraph"/>
              <w:numPr>
                <w:ilvl w:val="0"/>
                <w:numId w:val="6"/>
              </w:numPr>
              <w:tabs>
                <w:tab w:val="left" w:pos="292"/>
              </w:tabs>
              <w:spacing w:before="0"/>
              <w:ind w:left="322"/>
              <w:rPr>
                <w:rFonts w:eastAsia="Calibri" w:cstheme="minorHAnsi"/>
                <w:sz w:val="20"/>
              </w:rPr>
            </w:pPr>
            <w:r>
              <w:rPr>
                <w:rFonts w:eastAsia="Calibri" w:cstheme="minorHAnsi"/>
                <w:sz w:val="20"/>
              </w:rPr>
              <w:t>Follow up with those Member States who want to learn more about GIGA.</w:t>
            </w:r>
          </w:p>
        </w:tc>
        <w:tc>
          <w:tcPr>
            <w:tcW w:w="1134" w:type="dxa"/>
          </w:tcPr>
          <w:p w14:paraId="1D02EC7C" w14:textId="149B8CFE" w:rsidR="00FD31A4" w:rsidRDefault="00FD31A4" w:rsidP="000867A3">
            <w:pPr>
              <w:tabs>
                <w:tab w:val="left" w:pos="292"/>
              </w:tabs>
              <w:spacing w:before="0"/>
              <w:rPr>
                <w:rFonts w:eastAsia="Calibri" w:cstheme="minorHAnsi"/>
                <w:sz w:val="20"/>
              </w:rPr>
            </w:pPr>
            <w:r>
              <w:rPr>
                <w:rFonts w:eastAsia="Calibri" w:cstheme="minorHAnsi"/>
                <w:sz w:val="20"/>
              </w:rPr>
              <w:t>31 July</w:t>
            </w:r>
          </w:p>
        </w:tc>
        <w:tc>
          <w:tcPr>
            <w:tcW w:w="3119" w:type="dxa"/>
          </w:tcPr>
          <w:p w14:paraId="666A4D88" w14:textId="00844BC9" w:rsidR="00FD31A4" w:rsidRPr="00EA582E" w:rsidRDefault="00FD31A4" w:rsidP="000F0FF0">
            <w:pPr>
              <w:tabs>
                <w:tab w:val="left" w:pos="292"/>
              </w:tabs>
              <w:spacing w:before="40"/>
              <w:rPr>
                <w:rFonts w:eastAsia="Calibri" w:cstheme="minorHAnsi"/>
                <w:b/>
                <w:bCs/>
                <w:sz w:val="20"/>
              </w:rPr>
            </w:pPr>
            <w:r w:rsidRPr="00EA582E">
              <w:rPr>
                <w:rFonts w:eastAsia="Calibri" w:cstheme="minorHAnsi"/>
                <w:b/>
                <w:bCs/>
                <w:sz w:val="20"/>
              </w:rPr>
              <w:t>Complete</w:t>
            </w:r>
            <w:r>
              <w:rPr>
                <w:rFonts w:eastAsia="Calibri" w:cstheme="minorHAnsi"/>
                <w:b/>
                <w:bCs/>
                <w:sz w:val="20"/>
              </w:rPr>
              <w:t>d</w:t>
            </w:r>
            <w:r w:rsidRPr="00EA582E">
              <w:rPr>
                <w:rFonts w:eastAsia="Calibri" w:cstheme="minorHAnsi"/>
                <w:b/>
                <w:bCs/>
                <w:sz w:val="20"/>
              </w:rPr>
              <w:t>:</w:t>
            </w:r>
          </w:p>
          <w:p w14:paraId="5F933D27" w14:textId="172D39CC" w:rsidR="00FD31A4" w:rsidRPr="004A0398" w:rsidRDefault="00FD31A4" w:rsidP="000F0FF0">
            <w:pPr>
              <w:tabs>
                <w:tab w:val="left" w:pos="292"/>
              </w:tabs>
              <w:spacing w:before="40"/>
              <w:rPr>
                <w:rFonts w:eastAsia="Calibri" w:cstheme="minorHAnsi"/>
                <w:sz w:val="20"/>
              </w:rPr>
            </w:pPr>
            <w:r w:rsidRPr="00EA582E">
              <w:rPr>
                <w:rFonts w:eastAsia="Calibri" w:cstheme="minorHAnsi"/>
                <w:sz w:val="20"/>
              </w:rPr>
              <w:t>Follow ups have been coordinated with Regional Offices with all Member States who expressed interest in Giga. This included Cote d’Ivoire, Togo, Iraq, Ghana, and Iran</w:t>
            </w:r>
          </w:p>
        </w:tc>
      </w:tr>
    </w:tbl>
    <w:p w14:paraId="32622C32" w14:textId="77777777" w:rsidR="00123126" w:rsidRDefault="00123126" w:rsidP="008D3638">
      <w:pPr>
        <w:spacing w:before="0"/>
        <w:jc w:val="center"/>
      </w:pPr>
    </w:p>
    <w:p w14:paraId="79FE2D34" w14:textId="372570B9" w:rsidR="00D83BF5" w:rsidRPr="004C061A" w:rsidRDefault="26CCE950" w:rsidP="008D3638">
      <w:pPr>
        <w:spacing w:before="0"/>
        <w:jc w:val="center"/>
        <w:rPr>
          <w:szCs w:val="24"/>
        </w:rPr>
      </w:pPr>
      <w:r>
        <w:t>_______________</w:t>
      </w:r>
    </w:p>
    <w:sectPr w:rsidR="00D83BF5" w:rsidRPr="004C061A" w:rsidSect="00A36F69">
      <w:headerReference w:type="default" r:id="rId21"/>
      <w:footerReference w:type="default" r:id="rId22"/>
      <w:headerReference w:type="first" r:id="rId23"/>
      <w:footerReference w:type="first" r:id="rId24"/>
      <w:pgSz w:w="16840" w:h="11907" w:orient="landscape" w:code="9"/>
      <w:pgMar w:top="1134" w:right="454" w:bottom="851" w:left="45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1625D" w14:textId="77777777" w:rsidR="00DE317F" w:rsidRDefault="00DE317F">
      <w:r>
        <w:separator/>
      </w:r>
    </w:p>
  </w:endnote>
  <w:endnote w:type="continuationSeparator" w:id="0">
    <w:p w14:paraId="3CF6436D" w14:textId="77777777" w:rsidR="00DE317F" w:rsidRDefault="00DE317F">
      <w:r>
        <w:continuationSeparator/>
      </w:r>
    </w:p>
  </w:endnote>
  <w:endnote w:type="continuationNotice" w:id="1">
    <w:p w14:paraId="7588B114" w14:textId="77777777" w:rsidR="00DE317F" w:rsidRDefault="00DE31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1EFD0" w14:textId="2DEAE412" w:rsidR="00A36F69" w:rsidRPr="000610F8" w:rsidRDefault="00A36F69" w:rsidP="00A36F69">
    <w:pPr>
      <w:pStyle w:val="Footer"/>
      <w:tabs>
        <w:tab w:val="clear" w:pos="1871"/>
        <w:tab w:val="clear" w:pos="5954"/>
        <w:tab w:val="clear" w:pos="9639"/>
        <w:tab w:val="right" w:pos="15876"/>
      </w:tabs>
      <w:rPr>
        <w:caps w:val="0"/>
      </w:rPr>
    </w:pPr>
    <w:r w:rsidRPr="000610F8">
      <w:rPr>
        <w:caps w:val="0"/>
        <w:sz w:val="18"/>
        <w:szCs w:val="18"/>
      </w:rPr>
      <w:fldChar w:fldCharType="begin"/>
    </w:r>
    <w:r w:rsidRPr="000610F8">
      <w:rPr>
        <w:caps w:val="0"/>
        <w:sz w:val="18"/>
        <w:szCs w:val="18"/>
        <w:lang w:val="en-US"/>
      </w:rPr>
      <w:instrText xml:space="preserve"> FILENAME \* MERGEFORMAT </w:instrText>
    </w:r>
    <w:r w:rsidRPr="000610F8">
      <w:rPr>
        <w:caps w:val="0"/>
        <w:sz w:val="18"/>
        <w:szCs w:val="18"/>
      </w:rPr>
      <w:fldChar w:fldCharType="separate"/>
    </w:r>
    <w:r w:rsidR="00F90AC9">
      <w:rPr>
        <w:caps w:val="0"/>
        <w:sz w:val="18"/>
        <w:szCs w:val="18"/>
        <w:lang w:val="en-US"/>
      </w:rPr>
      <w:t>TDAG-20_action points_v3.docx</w:t>
    </w:r>
    <w:r w:rsidRPr="000610F8">
      <w:rPr>
        <w:caps w:val="0"/>
        <w:sz w:val="18"/>
        <w:szCs w:val="18"/>
      </w:rPr>
      <w:fldChar w:fldCharType="end"/>
    </w:r>
    <w:r w:rsidRPr="000610F8">
      <w:rPr>
        <w:caps w:val="0"/>
        <w:sz w:val="18"/>
        <w:szCs w:val="18"/>
      </w:rPr>
      <w:tab/>
      <w:t>13 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5E6AD3" w14:paraId="33F3B284" w14:textId="77777777" w:rsidTr="00B37A66">
      <w:tc>
        <w:tcPr>
          <w:tcW w:w="1527" w:type="dxa"/>
          <w:tcBorders>
            <w:top w:val="single" w:sz="4" w:space="0" w:color="000000"/>
            <w:left w:val="nil"/>
            <w:bottom w:val="nil"/>
            <w:right w:val="nil"/>
          </w:tcBorders>
          <w:hideMark/>
        </w:tcPr>
        <w:p w14:paraId="51FC7919" w14:textId="77777777" w:rsidR="005E6AD3" w:rsidRDefault="005E6AD3" w:rsidP="005E6AD3">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5DBE8E5E" w14:textId="77777777" w:rsidR="005E6AD3" w:rsidRDefault="005E6AD3" w:rsidP="005E6AD3">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7268A7A1" w14:textId="77777777" w:rsidR="005E6AD3" w:rsidRDefault="005E6AD3" w:rsidP="005E6AD3">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7" w:name="OrgName"/>
      <w:bookmarkEnd w:id="7"/>
    </w:tr>
    <w:tr w:rsidR="005E6AD3" w14:paraId="5823756C" w14:textId="77777777" w:rsidTr="00B37A66">
      <w:tc>
        <w:tcPr>
          <w:tcW w:w="1527" w:type="dxa"/>
        </w:tcPr>
        <w:p w14:paraId="27144281" w14:textId="77777777" w:rsidR="005E6AD3" w:rsidRDefault="005E6AD3" w:rsidP="005E6AD3">
          <w:pPr>
            <w:pStyle w:val="FirstFooter"/>
            <w:tabs>
              <w:tab w:val="left" w:pos="1559"/>
              <w:tab w:val="left" w:pos="3828"/>
            </w:tabs>
            <w:rPr>
              <w:sz w:val="20"/>
              <w:lang w:val="en-US"/>
            </w:rPr>
          </w:pPr>
        </w:p>
      </w:tc>
      <w:tc>
        <w:tcPr>
          <w:tcW w:w="2412" w:type="dxa"/>
          <w:hideMark/>
        </w:tcPr>
        <w:p w14:paraId="4F480C74" w14:textId="77777777" w:rsidR="005E6AD3" w:rsidRDefault="005E6AD3" w:rsidP="005E6AD3">
          <w:pPr>
            <w:pStyle w:val="FirstFooter"/>
            <w:tabs>
              <w:tab w:val="left" w:pos="2302"/>
            </w:tabs>
            <w:rPr>
              <w:sz w:val="18"/>
              <w:szCs w:val="18"/>
              <w:lang w:val="en-US"/>
            </w:rPr>
          </w:pPr>
          <w:r>
            <w:rPr>
              <w:sz w:val="18"/>
              <w:szCs w:val="18"/>
              <w:lang w:val="en-US"/>
            </w:rPr>
            <w:t>Phone number:</w:t>
          </w:r>
        </w:p>
      </w:tc>
      <w:tc>
        <w:tcPr>
          <w:tcW w:w="5991" w:type="dxa"/>
        </w:tcPr>
        <w:p w14:paraId="1A12A3D2" w14:textId="77777777" w:rsidR="005E6AD3" w:rsidRDefault="005E6AD3" w:rsidP="005E6AD3">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8" w:name="PhoneNo"/>
      <w:bookmarkEnd w:id="8"/>
    </w:tr>
    <w:tr w:rsidR="005E6AD3" w14:paraId="5EE647AB" w14:textId="77777777" w:rsidTr="00B37A66">
      <w:tc>
        <w:tcPr>
          <w:tcW w:w="1527" w:type="dxa"/>
        </w:tcPr>
        <w:p w14:paraId="635C8AAC" w14:textId="77777777" w:rsidR="005E6AD3" w:rsidRDefault="005E6AD3" w:rsidP="005E6AD3">
          <w:pPr>
            <w:pStyle w:val="FirstFooter"/>
            <w:tabs>
              <w:tab w:val="left" w:pos="1559"/>
              <w:tab w:val="left" w:pos="3828"/>
            </w:tabs>
            <w:rPr>
              <w:sz w:val="20"/>
              <w:lang w:val="en-US"/>
            </w:rPr>
          </w:pPr>
        </w:p>
      </w:tc>
      <w:tc>
        <w:tcPr>
          <w:tcW w:w="2412" w:type="dxa"/>
          <w:hideMark/>
        </w:tcPr>
        <w:p w14:paraId="7040CB89" w14:textId="77777777" w:rsidR="005E6AD3" w:rsidRDefault="005E6AD3" w:rsidP="005E6AD3">
          <w:pPr>
            <w:pStyle w:val="FirstFooter"/>
            <w:tabs>
              <w:tab w:val="left" w:pos="2302"/>
            </w:tabs>
            <w:rPr>
              <w:sz w:val="18"/>
              <w:szCs w:val="18"/>
              <w:lang w:val="en-US"/>
            </w:rPr>
          </w:pPr>
          <w:r>
            <w:rPr>
              <w:sz w:val="18"/>
              <w:szCs w:val="18"/>
              <w:lang w:val="en-US"/>
            </w:rPr>
            <w:t>E-mail:</w:t>
          </w:r>
        </w:p>
      </w:tc>
      <w:tc>
        <w:tcPr>
          <w:tcW w:w="5991" w:type="dxa"/>
        </w:tcPr>
        <w:p w14:paraId="00CD4BEC" w14:textId="4D7B5B81" w:rsidR="005E6AD3" w:rsidRDefault="00567769" w:rsidP="00567769">
          <w:pPr>
            <w:pStyle w:val="FirstFooter"/>
            <w:tabs>
              <w:tab w:val="left" w:pos="3825"/>
            </w:tabs>
            <w:rPr>
              <w:sz w:val="18"/>
              <w:szCs w:val="18"/>
              <w:lang w:val="en-US"/>
            </w:rPr>
          </w:pPr>
          <w:hyperlink r:id="rId1" w:history="1">
            <w:r w:rsidR="005E6AD3" w:rsidRPr="00D934D7">
              <w:rPr>
                <w:rStyle w:val="Hyperlink"/>
                <w:sz w:val="18"/>
                <w:szCs w:val="22"/>
              </w:rPr>
              <w:t>stephen.bereaux@itu.int</w:t>
            </w:r>
          </w:hyperlink>
          <w:r w:rsidR="005E6AD3" w:rsidRPr="00D934D7">
            <w:rPr>
              <w:sz w:val="18"/>
              <w:szCs w:val="22"/>
            </w:rPr>
            <w:t xml:space="preserve"> </w:t>
          </w:r>
          <w:r>
            <w:rPr>
              <w:sz w:val="18"/>
              <w:szCs w:val="22"/>
            </w:rPr>
            <w:tab/>
          </w:r>
        </w:p>
      </w:tc>
      <w:bookmarkStart w:id="9" w:name="Email"/>
      <w:bookmarkEnd w:id="9"/>
    </w:tr>
  </w:tbl>
  <w:p w14:paraId="1AA89F85" w14:textId="77777777" w:rsidR="005E6AD3" w:rsidRDefault="005E6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1A0E0" w14:textId="1CF59482" w:rsidR="006C2DCB" w:rsidRPr="006C2DCB" w:rsidRDefault="006C2DCB" w:rsidP="006C2D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C4D2" w14:textId="77777777" w:rsidR="006C2DCB" w:rsidRDefault="006C2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28262" w14:textId="77777777" w:rsidR="00DE317F" w:rsidRDefault="00DE317F">
      <w:r>
        <w:rPr>
          <w:b/>
        </w:rPr>
        <w:t>_______________</w:t>
      </w:r>
    </w:p>
  </w:footnote>
  <w:footnote w:type="continuationSeparator" w:id="0">
    <w:p w14:paraId="48FD6D14" w14:textId="77777777" w:rsidR="00DE317F" w:rsidRDefault="00DE317F">
      <w:r>
        <w:continuationSeparator/>
      </w:r>
    </w:p>
  </w:footnote>
  <w:footnote w:type="continuationNotice" w:id="1">
    <w:p w14:paraId="04D58EFC" w14:textId="77777777" w:rsidR="00DE317F" w:rsidRDefault="00DE317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DB8C2" w14:textId="12671648" w:rsidR="006C2DCB" w:rsidRPr="004703A1" w:rsidRDefault="004703A1" w:rsidP="004703A1">
    <w:pPr>
      <w:tabs>
        <w:tab w:val="clear" w:pos="1134"/>
        <w:tab w:val="clear" w:pos="1871"/>
        <w:tab w:val="clear" w:pos="2268"/>
        <w:tab w:val="center" w:pos="7938"/>
        <w:tab w:val="right" w:pos="15593"/>
      </w:tabs>
      <w:spacing w:before="0"/>
      <w:rPr>
        <w:smallCaps/>
        <w:spacing w:val="24"/>
        <w:sz w:val="10"/>
        <w:szCs w:val="10"/>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3/INF/1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5A44D" w14:textId="2B8CBA7B" w:rsidR="006C2DCB" w:rsidRPr="004703A1" w:rsidRDefault="004703A1" w:rsidP="004703A1">
    <w:pPr>
      <w:tabs>
        <w:tab w:val="clear" w:pos="1134"/>
        <w:tab w:val="clear" w:pos="1871"/>
        <w:tab w:val="clear" w:pos="2268"/>
        <w:tab w:val="center" w:pos="7938"/>
        <w:tab w:val="right" w:pos="15593"/>
      </w:tabs>
      <w:spacing w:before="0"/>
      <w:rPr>
        <w:smallCaps/>
        <w:spacing w:val="24"/>
        <w:sz w:val="10"/>
        <w:szCs w:val="10"/>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3/INF/1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C47D93"/>
    <w:multiLevelType w:val="hybridMultilevel"/>
    <w:tmpl w:val="9D88EB12"/>
    <w:lvl w:ilvl="0" w:tplc="F95A98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589"/>
    <w:rsid w:val="000041EA"/>
    <w:rsid w:val="0002149D"/>
    <w:rsid w:val="00022A29"/>
    <w:rsid w:val="000355FD"/>
    <w:rsid w:val="00036845"/>
    <w:rsid w:val="00042A4A"/>
    <w:rsid w:val="00051E39"/>
    <w:rsid w:val="000523DB"/>
    <w:rsid w:val="00055E1B"/>
    <w:rsid w:val="000574A6"/>
    <w:rsid w:val="00057FCD"/>
    <w:rsid w:val="000610F8"/>
    <w:rsid w:val="00067864"/>
    <w:rsid w:val="00070EFE"/>
    <w:rsid w:val="00075C63"/>
    <w:rsid w:val="00077239"/>
    <w:rsid w:val="00080905"/>
    <w:rsid w:val="000822BE"/>
    <w:rsid w:val="000824A2"/>
    <w:rsid w:val="00083A95"/>
    <w:rsid w:val="00086491"/>
    <w:rsid w:val="000867A3"/>
    <w:rsid w:val="00091346"/>
    <w:rsid w:val="00096254"/>
    <w:rsid w:val="000B1558"/>
    <w:rsid w:val="000B6196"/>
    <w:rsid w:val="000C0757"/>
    <w:rsid w:val="000C366E"/>
    <w:rsid w:val="000C37B7"/>
    <w:rsid w:val="000C4CE7"/>
    <w:rsid w:val="000D02D7"/>
    <w:rsid w:val="000D1DE0"/>
    <w:rsid w:val="000D4875"/>
    <w:rsid w:val="000D4FE6"/>
    <w:rsid w:val="000D63D7"/>
    <w:rsid w:val="000D7392"/>
    <w:rsid w:val="000E18E8"/>
    <w:rsid w:val="000F0FF0"/>
    <w:rsid w:val="000F1262"/>
    <w:rsid w:val="000F1F6F"/>
    <w:rsid w:val="000F73FF"/>
    <w:rsid w:val="00104011"/>
    <w:rsid w:val="00105295"/>
    <w:rsid w:val="00105B04"/>
    <w:rsid w:val="00110127"/>
    <w:rsid w:val="00113253"/>
    <w:rsid w:val="00114285"/>
    <w:rsid w:val="00114CF7"/>
    <w:rsid w:val="00120CD3"/>
    <w:rsid w:val="00121413"/>
    <w:rsid w:val="00123126"/>
    <w:rsid w:val="00123B68"/>
    <w:rsid w:val="00126F2E"/>
    <w:rsid w:val="00132E93"/>
    <w:rsid w:val="00141ADB"/>
    <w:rsid w:val="00143A7C"/>
    <w:rsid w:val="00146F6F"/>
    <w:rsid w:val="00147DA1"/>
    <w:rsid w:val="00152957"/>
    <w:rsid w:val="00163B44"/>
    <w:rsid w:val="00170035"/>
    <w:rsid w:val="001709AD"/>
    <w:rsid w:val="00187BD9"/>
    <w:rsid w:val="00190B55"/>
    <w:rsid w:val="00194CFB"/>
    <w:rsid w:val="001A10A5"/>
    <w:rsid w:val="001A1F5F"/>
    <w:rsid w:val="001A318D"/>
    <w:rsid w:val="001A3500"/>
    <w:rsid w:val="001A70A6"/>
    <w:rsid w:val="001B2ED3"/>
    <w:rsid w:val="001B3D7C"/>
    <w:rsid w:val="001B7EA3"/>
    <w:rsid w:val="001C0296"/>
    <w:rsid w:val="001C12F6"/>
    <w:rsid w:val="001C1EC7"/>
    <w:rsid w:val="001C32FB"/>
    <w:rsid w:val="001C3B5F"/>
    <w:rsid w:val="001D058F"/>
    <w:rsid w:val="001E252D"/>
    <w:rsid w:val="001E432F"/>
    <w:rsid w:val="001F1EA9"/>
    <w:rsid w:val="002009EA"/>
    <w:rsid w:val="00202CA0"/>
    <w:rsid w:val="002064B4"/>
    <w:rsid w:val="00210EC8"/>
    <w:rsid w:val="002154A6"/>
    <w:rsid w:val="002162CD"/>
    <w:rsid w:val="002255B3"/>
    <w:rsid w:val="002319D1"/>
    <w:rsid w:val="00236E8A"/>
    <w:rsid w:val="002442BC"/>
    <w:rsid w:val="00245F2F"/>
    <w:rsid w:val="00247C9B"/>
    <w:rsid w:val="00271316"/>
    <w:rsid w:val="002852C6"/>
    <w:rsid w:val="00286562"/>
    <w:rsid w:val="00294801"/>
    <w:rsid w:val="00296313"/>
    <w:rsid w:val="002A1966"/>
    <w:rsid w:val="002A6983"/>
    <w:rsid w:val="002B3C84"/>
    <w:rsid w:val="002C2EEF"/>
    <w:rsid w:val="002C5C56"/>
    <w:rsid w:val="002D310D"/>
    <w:rsid w:val="002D58BE"/>
    <w:rsid w:val="002E0AD2"/>
    <w:rsid w:val="002E359E"/>
    <w:rsid w:val="002F26C8"/>
    <w:rsid w:val="002F66F5"/>
    <w:rsid w:val="002F70BD"/>
    <w:rsid w:val="00300EC6"/>
    <w:rsid w:val="003013EE"/>
    <w:rsid w:val="0030342B"/>
    <w:rsid w:val="003066EE"/>
    <w:rsid w:val="00324631"/>
    <w:rsid w:val="0034057C"/>
    <w:rsid w:val="00342B8A"/>
    <w:rsid w:val="003507A8"/>
    <w:rsid w:val="00351275"/>
    <w:rsid w:val="00353316"/>
    <w:rsid w:val="00371406"/>
    <w:rsid w:val="0037161F"/>
    <w:rsid w:val="003768AA"/>
    <w:rsid w:val="0037775A"/>
    <w:rsid w:val="00377BD3"/>
    <w:rsid w:val="003811D3"/>
    <w:rsid w:val="00384088"/>
    <w:rsid w:val="0038489B"/>
    <w:rsid w:val="0039169B"/>
    <w:rsid w:val="00392898"/>
    <w:rsid w:val="003A0C02"/>
    <w:rsid w:val="003A1908"/>
    <w:rsid w:val="003A30B7"/>
    <w:rsid w:val="003A3644"/>
    <w:rsid w:val="003A7F8C"/>
    <w:rsid w:val="003B0FA9"/>
    <w:rsid w:val="003B532E"/>
    <w:rsid w:val="003B5A6D"/>
    <w:rsid w:val="003B6F14"/>
    <w:rsid w:val="003C1C7C"/>
    <w:rsid w:val="003C4017"/>
    <w:rsid w:val="003D0F8B"/>
    <w:rsid w:val="003D696B"/>
    <w:rsid w:val="003D6F96"/>
    <w:rsid w:val="003E03AC"/>
    <w:rsid w:val="003E2571"/>
    <w:rsid w:val="003E2CD1"/>
    <w:rsid w:val="003E4288"/>
    <w:rsid w:val="003F3DAF"/>
    <w:rsid w:val="004013C3"/>
    <w:rsid w:val="004020C3"/>
    <w:rsid w:val="0040478F"/>
    <w:rsid w:val="00407DD2"/>
    <w:rsid w:val="004131D4"/>
    <w:rsid w:val="0041348E"/>
    <w:rsid w:val="004172B5"/>
    <w:rsid w:val="00423D31"/>
    <w:rsid w:val="00427123"/>
    <w:rsid w:val="00441464"/>
    <w:rsid w:val="00443441"/>
    <w:rsid w:val="00446BC0"/>
    <w:rsid w:val="00447308"/>
    <w:rsid w:val="00451072"/>
    <w:rsid w:val="004513F9"/>
    <w:rsid w:val="00463134"/>
    <w:rsid w:val="00466F95"/>
    <w:rsid w:val="004677E3"/>
    <w:rsid w:val="004703A1"/>
    <w:rsid w:val="004765FF"/>
    <w:rsid w:val="00483572"/>
    <w:rsid w:val="00483DBE"/>
    <w:rsid w:val="00492075"/>
    <w:rsid w:val="004969AD"/>
    <w:rsid w:val="00496F06"/>
    <w:rsid w:val="004A0398"/>
    <w:rsid w:val="004A369C"/>
    <w:rsid w:val="004A5E05"/>
    <w:rsid w:val="004B13CB"/>
    <w:rsid w:val="004B4FDF"/>
    <w:rsid w:val="004C061A"/>
    <w:rsid w:val="004C29B7"/>
    <w:rsid w:val="004D1FB4"/>
    <w:rsid w:val="004D5D5C"/>
    <w:rsid w:val="004E14B0"/>
    <w:rsid w:val="004E3865"/>
    <w:rsid w:val="004F3024"/>
    <w:rsid w:val="0050139F"/>
    <w:rsid w:val="00502A3F"/>
    <w:rsid w:val="00511184"/>
    <w:rsid w:val="00512B64"/>
    <w:rsid w:val="00513473"/>
    <w:rsid w:val="00513D65"/>
    <w:rsid w:val="00521223"/>
    <w:rsid w:val="00524DF1"/>
    <w:rsid w:val="0052521A"/>
    <w:rsid w:val="00526247"/>
    <w:rsid w:val="00530B2E"/>
    <w:rsid w:val="0055140B"/>
    <w:rsid w:val="00553481"/>
    <w:rsid w:val="00553BC8"/>
    <w:rsid w:val="00554C4F"/>
    <w:rsid w:val="00556125"/>
    <w:rsid w:val="00561D72"/>
    <w:rsid w:val="0056454E"/>
    <w:rsid w:val="00567769"/>
    <w:rsid w:val="00570F03"/>
    <w:rsid w:val="00581385"/>
    <w:rsid w:val="00592ECB"/>
    <w:rsid w:val="005964AB"/>
    <w:rsid w:val="0059779B"/>
    <w:rsid w:val="005B1B32"/>
    <w:rsid w:val="005B44F5"/>
    <w:rsid w:val="005B6884"/>
    <w:rsid w:val="005C099A"/>
    <w:rsid w:val="005C31A5"/>
    <w:rsid w:val="005D4236"/>
    <w:rsid w:val="005D7365"/>
    <w:rsid w:val="005E0B67"/>
    <w:rsid w:val="005E10C9"/>
    <w:rsid w:val="005E61DD"/>
    <w:rsid w:val="005E6321"/>
    <w:rsid w:val="005E6AD3"/>
    <w:rsid w:val="005F0E94"/>
    <w:rsid w:val="005F350E"/>
    <w:rsid w:val="006023DF"/>
    <w:rsid w:val="0061089C"/>
    <w:rsid w:val="00616644"/>
    <w:rsid w:val="00620EB0"/>
    <w:rsid w:val="00625517"/>
    <w:rsid w:val="006315CD"/>
    <w:rsid w:val="006404DC"/>
    <w:rsid w:val="0064322F"/>
    <w:rsid w:val="00646A67"/>
    <w:rsid w:val="006513E3"/>
    <w:rsid w:val="006518EC"/>
    <w:rsid w:val="00655C32"/>
    <w:rsid w:val="00657DE0"/>
    <w:rsid w:val="0066003E"/>
    <w:rsid w:val="00660A85"/>
    <w:rsid w:val="00660AC5"/>
    <w:rsid w:val="006659C2"/>
    <w:rsid w:val="00671780"/>
    <w:rsid w:val="0067199F"/>
    <w:rsid w:val="00675596"/>
    <w:rsid w:val="00677048"/>
    <w:rsid w:val="006802FB"/>
    <w:rsid w:val="00683AA1"/>
    <w:rsid w:val="00683D04"/>
    <w:rsid w:val="00685313"/>
    <w:rsid w:val="00686676"/>
    <w:rsid w:val="00695172"/>
    <w:rsid w:val="00695598"/>
    <w:rsid w:val="006A531C"/>
    <w:rsid w:val="006A68FD"/>
    <w:rsid w:val="006A6E9B"/>
    <w:rsid w:val="006B6130"/>
    <w:rsid w:val="006B7C2A"/>
    <w:rsid w:val="006C23DA"/>
    <w:rsid w:val="006C2DCB"/>
    <w:rsid w:val="006C6FB7"/>
    <w:rsid w:val="006C7442"/>
    <w:rsid w:val="006D0ED1"/>
    <w:rsid w:val="006D7C66"/>
    <w:rsid w:val="006D7FD9"/>
    <w:rsid w:val="006E1172"/>
    <w:rsid w:val="006E3D45"/>
    <w:rsid w:val="006E523D"/>
    <w:rsid w:val="006E68A1"/>
    <w:rsid w:val="006F22BE"/>
    <w:rsid w:val="006F3F49"/>
    <w:rsid w:val="00700EE7"/>
    <w:rsid w:val="00704445"/>
    <w:rsid w:val="00705083"/>
    <w:rsid w:val="00714845"/>
    <w:rsid w:val="007149F9"/>
    <w:rsid w:val="0071634F"/>
    <w:rsid w:val="007215D7"/>
    <w:rsid w:val="007226EB"/>
    <w:rsid w:val="00723297"/>
    <w:rsid w:val="00733A30"/>
    <w:rsid w:val="00741462"/>
    <w:rsid w:val="00745AEE"/>
    <w:rsid w:val="007479EA"/>
    <w:rsid w:val="00750849"/>
    <w:rsid w:val="00750F10"/>
    <w:rsid w:val="0075187D"/>
    <w:rsid w:val="00760D65"/>
    <w:rsid w:val="007654CC"/>
    <w:rsid w:val="00767F81"/>
    <w:rsid w:val="007742CA"/>
    <w:rsid w:val="007766CF"/>
    <w:rsid w:val="00793EF9"/>
    <w:rsid w:val="007945E3"/>
    <w:rsid w:val="0079609D"/>
    <w:rsid w:val="00797798"/>
    <w:rsid w:val="00797AE9"/>
    <w:rsid w:val="007A1006"/>
    <w:rsid w:val="007A5BAC"/>
    <w:rsid w:val="007A6316"/>
    <w:rsid w:val="007B0880"/>
    <w:rsid w:val="007C1F27"/>
    <w:rsid w:val="007C33E3"/>
    <w:rsid w:val="007C4D2F"/>
    <w:rsid w:val="007C51FF"/>
    <w:rsid w:val="007D06F0"/>
    <w:rsid w:val="007D2DCE"/>
    <w:rsid w:val="007D45E3"/>
    <w:rsid w:val="007D5320"/>
    <w:rsid w:val="007D631D"/>
    <w:rsid w:val="007F623A"/>
    <w:rsid w:val="007F735C"/>
    <w:rsid w:val="00800972"/>
    <w:rsid w:val="00801ACA"/>
    <w:rsid w:val="00804475"/>
    <w:rsid w:val="008064F2"/>
    <w:rsid w:val="00811549"/>
    <w:rsid w:val="00811633"/>
    <w:rsid w:val="0081537F"/>
    <w:rsid w:val="00816B8F"/>
    <w:rsid w:val="00821A20"/>
    <w:rsid w:val="00821CEF"/>
    <w:rsid w:val="008232F1"/>
    <w:rsid w:val="00824512"/>
    <w:rsid w:val="008268FF"/>
    <w:rsid w:val="00831EC5"/>
    <w:rsid w:val="00832828"/>
    <w:rsid w:val="0083645A"/>
    <w:rsid w:val="00840B0F"/>
    <w:rsid w:val="00853527"/>
    <w:rsid w:val="00854231"/>
    <w:rsid w:val="00862829"/>
    <w:rsid w:val="008711AE"/>
    <w:rsid w:val="00872414"/>
    <w:rsid w:val="00872FC8"/>
    <w:rsid w:val="008801D3"/>
    <w:rsid w:val="008845D0"/>
    <w:rsid w:val="0089526F"/>
    <w:rsid w:val="008A2409"/>
    <w:rsid w:val="008A3933"/>
    <w:rsid w:val="008B399C"/>
    <w:rsid w:val="008B43F2"/>
    <w:rsid w:val="008B5469"/>
    <w:rsid w:val="008B61EA"/>
    <w:rsid w:val="008B6CFF"/>
    <w:rsid w:val="008B717D"/>
    <w:rsid w:val="008B75EF"/>
    <w:rsid w:val="008C6998"/>
    <w:rsid w:val="008D3638"/>
    <w:rsid w:val="008D3D6E"/>
    <w:rsid w:val="008D49B2"/>
    <w:rsid w:val="008D5D87"/>
    <w:rsid w:val="00901862"/>
    <w:rsid w:val="009036F0"/>
    <w:rsid w:val="00910B26"/>
    <w:rsid w:val="00921124"/>
    <w:rsid w:val="00923E6A"/>
    <w:rsid w:val="00924F39"/>
    <w:rsid w:val="009274B4"/>
    <w:rsid w:val="009347D8"/>
    <w:rsid w:val="00934EA2"/>
    <w:rsid w:val="00944A5C"/>
    <w:rsid w:val="00944C9D"/>
    <w:rsid w:val="00947C75"/>
    <w:rsid w:val="00952A66"/>
    <w:rsid w:val="00960D02"/>
    <w:rsid w:val="00962F8A"/>
    <w:rsid w:val="00963081"/>
    <w:rsid w:val="00966645"/>
    <w:rsid w:val="00967219"/>
    <w:rsid w:val="00967FDF"/>
    <w:rsid w:val="009721F1"/>
    <w:rsid w:val="00983A76"/>
    <w:rsid w:val="009879A9"/>
    <w:rsid w:val="009A1AD9"/>
    <w:rsid w:val="009B75FF"/>
    <w:rsid w:val="009C1033"/>
    <w:rsid w:val="009C4066"/>
    <w:rsid w:val="009C56E5"/>
    <w:rsid w:val="009D6784"/>
    <w:rsid w:val="009E1EFD"/>
    <w:rsid w:val="009E49EF"/>
    <w:rsid w:val="009E50E8"/>
    <w:rsid w:val="009E57D6"/>
    <w:rsid w:val="009E5FC8"/>
    <w:rsid w:val="009E687A"/>
    <w:rsid w:val="009E77BB"/>
    <w:rsid w:val="009F0C03"/>
    <w:rsid w:val="009F1FCF"/>
    <w:rsid w:val="009F4807"/>
    <w:rsid w:val="00A01AB8"/>
    <w:rsid w:val="00A01F59"/>
    <w:rsid w:val="00A03C5C"/>
    <w:rsid w:val="00A04EA0"/>
    <w:rsid w:val="00A066F1"/>
    <w:rsid w:val="00A07302"/>
    <w:rsid w:val="00A12D2E"/>
    <w:rsid w:val="00A141AF"/>
    <w:rsid w:val="00A144EC"/>
    <w:rsid w:val="00A16D29"/>
    <w:rsid w:val="00A20E5E"/>
    <w:rsid w:val="00A239BA"/>
    <w:rsid w:val="00A30305"/>
    <w:rsid w:val="00A31D2D"/>
    <w:rsid w:val="00A34C68"/>
    <w:rsid w:val="00A36F69"/>
    <w:rsid w:val="00A437BE"/>
    <w:rsid w:val="00A4600A"/>
    <w:rsid w:val="00A466BC"/>
    <w:rsid w:val="00A538A6"/>
    <w:rsid w:val="00A54AD6"/>
    <w:rsid w:val="00A54C25"/>
    <w:rsid w:val="00A5676D"/>
    <w:rsid w:val="00A617F2"/>
    <w:rsid w:val="00A70201"/>
    <w:rsid w:val="00A710E7"/>
    <w:rsid w:val="00A7372E"/>
    <w:rsid w:val="00A7616B"/>
    <w:rsid w:val="00A82DA4"/>
    <w:rsid w:val="00A93B85"/>
    <w:rsid w:val="00AA0B18"/>
    <w:rsid w:val="00AA589B"/>
    <w:rsid w:val="00AA666F"/>
    <w:rsid w:val="00AB3644"/>
    <w:rsid w:val="00AB4927"/>
    <w:rsid w:val="00AB6CC0"/>
    <w:rsid w:val="00AC034F"/>
    <w:rsid w:val="00AD19A0"/>
    <w:rsid w:val="00AD6A7B"/>
    <w:rsid w:val="00AF714C"/>
    <w:rsid w:val="00B004E5"/>
    <w:rsid w:val="00B02EF5"/>
    <w:rsid w:val="00B1302D"/>
    <w:rsid w:val="00B15F9D"/>
    <w:rsid w:val="00B1601E"/>
    <w:rsid w:val="00B212CB"/>
    <w:rsid w:val="00B21EE4"/>
    <w:rsid w:val="00B240D4"/>
    <w:rsid w:val="00B25000"/>
    <w:rsid w:val="00B31DE6"/>
    <w:rsid w:val="00B42111"/>
    <w:rsid w:val="00B43260"/>
    <w:rsid w:val="00B46419"/>
    <w:rsid w:val="00B521BF"/>
    <w:rsid w:val="00B639E9"/>
    <w:rsid w:val="00B67CF0"/>
    <w:rsid w:val="00B70026"/>
    <w:rsid w:val="00B743EF"/>
    <w:rsid w:val="00B817CD"/>
    <w:rsid w:val="00B83722"/>
    <w:rsid w:val="00B83E39"/>
    <w:rsid w:val="00B85920"/>
    <w:rsid w:val="00B87C4E"/>
    <w:rsid w:val="00B902D4"/>
    <w:rsid w:val="00B911B2"/>
    <w:rsid w:val="00B91BA2"/>
    <w:rsid w:val="00B91D17"/>
    <w:rsid w:val="00B951D0"/>
    <w:rsid w:val="00B956B1"/>
    <w:rsid w:val="00B95DA2"/>
    <w:rsid w:val="00BB07D6"/>
    <w:rsid w:val="00BB29C8"/>
    <w:rsid w:val="00BB3A95"/>
    <w:rsid w:val="00BB7500"/>
    <w:rsid w:val="00BB75CB"/>
    <w:rsid w:val="00BC0382"/>
    <w:rsid w:val="00BC2CD5"/>
    <w:rsid w:val="00BC34F3"/>
    <w:rsid w:val="00BC5564"/>
    <w:rsid w:val="00BD050F"/>
    <w:rsid w:val="00BD3C9D"/>
    <w:rsid w:val="00BD4F34"/>
    <w:rsid w:val="00BD62C6"/>
    <w:rsid w:val="00BE6BAE"/>
    <w:rsid w:val="00BE75E9"/>
    <w:rsid w:val="00BE7C66"/>
    <w:rsid w:val="00BF2B1E"/>
    <w:rsid w:val="00C0018F"/>
    <w:rsid w:val="00C032A3"/>
    <w:rsid w:val="00C07BEF"/>
    <w:rsid w:val="00C07D1E"/>
    <w:rsid w:val="00C13F30"/>
    <w:rsid w:val="00C150C3"/>
    <w:rsid w:val="00C17986"/>
    <w:rsid w:val="00C20466"/>
    <w:rsid w:val="00C21423"/>
    <w:rsid w:val="00C214ED"/>
    <w:rsid w:val="00C234E6"/>
    <w:rsid w:val="00C2537E"/>
    <w:rsid w:val="00C324A8"/>
    <w:rsid w:val="00C37A64"/>
    <w:rsid w:val="00C40AE2"/>
    <w:rsid w:val="00C42FDF"/>
    <w:rsid w:val="00C46C21"/>
    <w:rsid w:val="00C52364"/>
    <w:rsid w:val="00C54517"/>
    <w:rsid w:val="00C57C92"/>
    <w:rsid w:val="00C64CD8"/>
    <w:rsid w:val="00C718AC"/>
    <w:rsid w:val="00C83622"/>
    <w:rsid w:val="00C90073"/>
    <w:rsid w:val="00C90EAB"/>
    <w:rsid w:val="00C93442"/>
    <w:rsid w:val="00C97C68"/>
    <w:rsid w:val="00CA1A47"/>
    <w:rsid w:val="00CA34BE"/>
    <w:rsid w:val="00CB46F1"/>
    <w:rsid w:val="00CC12CA"/>
    <w:rsid w:val="00CC247A"/>
    <w:rsid w:val="00CC48AE"/>
    <w:rsid w:val="00CC7F4F"/>
    <w:rsid w:val="00CD18D9"/>
    <w:rsid w:val="00CD3E99"/>
    <w:rsid w:val="00CE5E47"/>
    <w:rsid w:val="00CF020F"/>
    <w:rsid w:val="00CF202D"/>
    <w:rsid w:val="00CF2B5B"/>
    <w:rsid w:val="00CF427C"/>
    <w:rsid w:val="00D01121"/>
    <w:rsid w:val="00D06211"/>
    <w:rsid w:val="00D14CE0"/>
    <w:rsid w:val="00D231B9"/>
    <w:rsid w:val="00D23DF3"/>
    <w:rsid w:val="00D257F6"/>
    <w:rsid w:val="00D326B1"/>
    <w:rsid w:val="00D36333"/>
    <w:rsid w:val="00D37534"/>
    <w:rsid w:val="00D41992"/>
    <w:rsid w:val="00D43BDC"/>
    <w:rsid w:val="00D46BC9"/>
    <w:rsid w:val="00D5651D"/>
    <w:rsid w:val="00D63794"/>
    <w:rsid w:val="00D74898"/>
    <w:rsid w:val="00D801ED"/>
    <w:rsid w:val="00D83BF5"/>
    <w:rsid w:val="00D87A68"/>
    <w:rsid w:val="00D925C2"/>
    <w:rsid w:val="00D936BC"/>
    <w:rsid w:val="00D948A5"/>
    <w:rsid w:val="00D948BF"/>
    <w:rsid w:val="00D9621A"/>
    <w:rsid w:val="00D96530"/>
    <w:rsid w:val="00D96B4B"/>
    <w:rsid w:val="00DA2345"/>
    <w:rsid w:val="00DA2525"/>
    <w:rsid w:val="00DA25E8"/>
    <w:rsid w:val="00DA453A"/>
    <w:rsid w:val="00DA4FCB"/>
    <w:rsid w:val="00DA7078"/>
    <w:rsid w:val="00DB7436"/>
    <w:rsid w:val="00DC4A90"/>
    <w:rsid w:val="00DD08B4"/>
    <w:rsid w:val="00DD44AF"/>
    <w:rsid w:val="00DD5780"/>
    <w:rsid w:val="00DE1583"/>
    <w:rsid w:val="00DE2AC3"/>
    <w:rsid w:val="00DE317F"/>
    <w:rsid w:val="00DE434C"/>
    <w:rsid w:val="00DE5692"/>
    <w:rsid w:val="00DF05CD"/>
    <w:rsid w:val="00DF195E"/>
    <w:rsid w:val="00DF21F5"/>
    <w:rsid w:val="00DF26C3"/>
    <w:rsid w:val="00DF6F8E"/>
    <w:rsid w:val="00E00DD7"/>
    <w:rsid w:val="00E011A8"/>
    <w:rsid w:val="00E03C94"/>
    <w:rsid w:val="00E07105"/>
    <w:rsid w:val="00E132FC"/>
    <w:rsid w:val="00E17DED"/>
    <w:rsid w:val="00E24285"/>
    <w:rsid w:val="00E26226"/>
    <w:rsid w:val="00E350EC"/>
    <w:rsid w:val="00E37CAB"/>
    <w:rsid w:val="00E40906"/>
    <w:rsid w:val="00E4165C"/>
    <w:rsid w:val="00E4315A"/>
    <w:rsid w:val="00E45D05"/>
    <w:rsid w:val="00E46BD7"/>
    <w:rsid w:val="00E471D3"/>
    <w:rsid w:val="00E50829"/>
    <w:rsid w:val="00E526F2"/>
    <w:rsid w:val="00E54B48"/>
    <w:rsid w:val="00E553A4"/>
    <w:rsid w:val="00E55816"/>
    <w:rsid w:val="00E55AEF"/>
    <w:rsid w:val="00E72D5D"/>
    <w:rsid w:val="00E86C31"/>
    <w:rsid w:val="00E933AA"/>
    <w:rsid w:val="00E976C1"/>
    <w:rsid w:val="00EA12E5"/>
    <w:rsid w:val="00EA2E7D"/>
    <w:rsid w:val="00EA30B3"/>
    <w:rsid w:val="00EA4809"/>
    <w:rsid w:val="00EA582E"/>
    <w:rsid w:val="00EB2680"/>
    <w:rsid w:val="00EB439A"/>
    <w:rsid w:val="00EC3737"/>
    <w:rsid w:val="00EE26BC"/>
    <w:rsid w:val="00EE2F38"/>
    <w:rsid w:val="00EF4D1D"/>
    <w:rsid w:val="00EF5E2E"/>
    <w:rsid w:val="00EF6C42"/>
    <w:rsid w:val="00F02766"/>
    <w:rsid w:val="00F04067"/>
    <w:rsid w:val="00F05BD4"/>
    <w:rsid w:val="00F079C9"/>
    <w:rsid w:val="00F11A98"/>
    <w:rsid w:val="00F11BFE"/>
    <w:rsid w:val="00F125B8"/>
    <w:rsid w:val="00F16BB8"/>
    <w:rsid w:val="00F21A1D"/>
    <w:rsid w:val="00F22804"/>
    <w:rsid w:val="00F240F2"/>
    <w:rsid w:val="00F302F4"/>
    <w:rsid w:val="00F46CF2"/>
    <w:rsid w:val="00F60426"/>
    <w:rsid w:val="00F606E0"/>
    <w:rsid w:val="00F610E6"/>
    <w:rsid w:val="00F62464"/>
    <w:rsid w:val="00F65C19"/>
    <w:rsid w:val="00F73B92"/>
    <w:rsid w:val="00F76E50"/>
    <w:rsid w:val="00F76F54"/>
    <w:rsid w:val="00F87435"/>
    <w:rsid w:val="00F90AC9"/>
    <w:rsid w:val="00F90FB1"/>
    <w:rsid w:val="00F92BAC"/>
    <w:rsid w:val="00F9645D"/>
    <w:rsid w:val="00FB0F0B"/>
    <w:rsid w:val="00FC1E38"/>
    <w:rsid w:val="00FC37A7"/>
    <w:rsid w:val="00FD2546"/>
    <w:rsid w:val="00FD31A4"/>
    <w:rsid w:val="00FD772E"/>
    <w:rsid w:val="00FE0B65"/>
    <w:rsid w:val="00FE3926"/>
    <w:rsid w:val="00FE78C7"/>
    <w:rsid w:val="00FF17B0"/>
    <w:rsid w:val="00FF1D01"/>
    <w:rsid w:val="00FF43AC"/>
    <w:rsid w:val="02A74E5B"/>
    <w:rsid w:val="1007086D"/>
    <w:rsid w:val="10E62BF2"/>
    <w:rsid w:val="111FDB5C"/>
    <w:rsid w:val="1156F173"/>
    <w:rsid w:val="118A6231"/>
    <w:rsid w:val="15171E52"/>
    <w:rsid w:val="167E64ED"/>
    <w:rsid w:val="17F9BC3E"/>
    <w:rsid w:val="216E87F8"/>
    <w:rsid w:val="26CCE950"/>
    <w:rsid w:val="27BEB37F"/>
    <w:rsid w:val="29851DE9"/>
    <w:rsid w:val="2BFD3D3A"/>
    <w:rsid w:val="2F9007F0"/>
    <w:rsid w:val="33386E33"/>
    <w:rsid w:val="345B26E6"/>
    <w:rsid w:val="3481FE45"/>
    <w:rsid w:val="35C75F77"/>
    <w:rsid w:val="391B7F3C"/>
    <w:rsid w:val="3973F49A"/>
    <w:rsid w:val="41BAE0F8"/>
    <w:rsid w:val="42D00C67"/>
    <w:rsid w:val="430426AB"/>
    <w:rsid w:val="43C11DE6"/>
    <w:rsid w:val="469247AF"/>
    <w:rsid w:val="47A82224"/>
    <w:rsid w:val="47F830E9"/>
    <w:rsid w:val="4BBE1805"/>
    <w:rsid w:val="4BEA943A"/>
    <w:rsid w:val="5119D57E"/>
    <w:rsid w:val="546981BB"/>
    <w:rsid w:val="55E29372"/>
    <w:rsid w:val="570AD7AE"/>
    <w:rsid w:val="6325D6BB"/>
    <w:rsid w:val="638D159F"/>
    <w:rsid w:val="68A08BFE"/>
    <w:rsid w:val="6B55F997"/>
    <w:rsid w:val="6EC47D9F"/>
    <w:rsid w:val="6EFE5FDA"/>
    <w:rsid w:val="7221612E"/>
    <w:rsid w:val="76FAF96F"/>
    <w:rsid w:val="7971F563"/>
    <w:rsid w:val="7C1659FB"/>
    <w:rsid w:val="7C4ED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740F3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Heading1">
    <w:name w:val="CEO_Heading1"/>
    <w:basedOn w:val="Normal"/>
    <w:next w:val="Normal"/>
    <w:rsid w:val="0081537F"/>
    <w:pPr>
      <w:pBdr>
        <w:bottom w:val="single" w:sz="12" w:space="1" w:color="808080"/>
      </w:pBdr>
      <w:tabs>
        <w:tab w:val="clear" w:pos="1134"/>
        <w:tab w:val="clear" w:pos="1871"/>
        <w:tab w:val="clear" w:pos="2268"/>
      </w:tabs>
      <w:overflowPunct/>
      <w:autoSpaceDE/>
      <w:autoSpaceDN/>
      <w:adjustRightInd/>
      <w:spacing w:after="120"/>
      <w:textAlignment w:val="auto"/>
    </w:pPr>
    <w:rPr>
      <w:rFonts w:ascii="Verdana" w:eastAsia="SimSun" w:hAnsi="Verdana" w:cs="Times New Roman Bold"/>
      <w:b/>
      <w:bCs/>
      <w:color w:val="333333"/>
      <w:sz w:val="20"/>
      <w:lang w:val="fr-CH"/>
    </w:rPr>
  </w:style>
  <w:style w:type="paragraph" w:customStyle="1" w:styleId="Default">
    <w:name w:val="Default"/>
    <w:rsid w:val="0081537F"/>
    <w:pPr>
      <w:autoSpaceDE w:val="0"/>
      <w:autoSpaceDN w:val="0"/>
      <w:adjustRightInd w:val="0"/>
    </w:pPr>
    <w:rPr>
      <w:rFonts w:ascii="Calibri" w:eastAsiaTheme="minorEastAsia" w:hAnsi="Calibri" w:cs="Calibri"/>
      <w:color w:val="000000"/>
      <w:sz w:val="24"/>
      <w:szCs w:val="24"/>
    </w:rPr>
  </w:style>
  <w:style w:type="table" w:styleId="TableColumns2">
    <w:name w:val="Table Columns 2"/>
    <w:basedOn w:val="TableNormal"/>
    <w:semiHidden/>
    <w:unhideWhenUsed/>
    <w:rsid w:val="003066EE"/>
    <w:pPr>
      <w:tabs>
        <w:tab w:val="left" w:pos="1134"/>
        <w:tab w:val="left" w:pos="1871"/>
        <w:tab w:val="left" w:pos="2268"/>
      </w:tabs>
      <w:overflowPunct w:val="0"/>
      <w:autoSpaceDE w:val="0"/>
      <w:autoSpaceDN w:val="0"/>
      <w:adjustRightInd w:val="0"/>
      <w:spacing w:before="12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Complex12pt">
    <w:name w:val="Style (Complex) 12 pt"/>
    <w:basedOn w:val="DefaultParagraphFont"/>
    <w:rsid w:val="009F1FCF"/>
    <w:rPr>
      <w:rFonts w:asciiTheme="minorHAnsi" w:hAnsiTheme="minorHAnsi" w:cs="Calibri"/>
      <w:szCs w:val="24"/>
    </w:rPr>
  </w:style>
  <w:style w:type="character" w:styleId="CommentReference">
    <w:name w:val="annotation reference"/>
    <w:basedOn w:val="DefaultParagraphFont"/>
    <w:semiHidden/>
    <w:unhideWhenUsed/>
    <w:rsid w:val="009F1FCF"/>
    <w:rPr>
      <w:sz w:val="16"/>
      <w:szCs w:val="16"/>
    </w:rPr>
  </w:style>
  <w:style w:type="paragraph" w:styleId="CommentText">
    <w:name w:val="annotation text"/>
    <w:basedOn w:val="Normal"/>
    <w:link w:val="CommentTextChar"/>
    <w:uiPriority w:val="99"/>
    <w:semiHidden/>
    <w:unhideWhenUsed/>
    <w:rsid w:val="009F1FCF"/>
    <w:rPr>
      <w:sz w:val="20"/>
    </w:rPr>
  </w:style>
  <w:style w:type="character" w:customStyle="1" w:styleId="CommentTextChar">
    <w:name w:val="Comment Text Char"/>
    <w:basedOn w:val="DefaultParagraphFont"/>
    <w:link w:val="CommentText"/>
    <w:semiHidden/>
    <w:rsid w:val="009F1FCF"/>
    <w:rPr>
      <w:rFonts w:asciiTheme="minorHAnsi" w:hAnsiTheme="minorHAnsi"/>
      <w:lang w:val="en-GB" w:eastAsia="en-US"/>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EONormal">
    <w:name w:val="CEO_Normal"/>
    <w:link w:val="CEONormalChar"/>
    <w:qFormat/>
    <w:rsid w:val="006D0ED1"/>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6D0ED1"/>
    <w:rPr>
      <w:rFonts w:ascii="Verdana" w:eastAsia="SimSun" w:hAnsi="Verdana"/>
      <w:sz w:val="19"/>
      <w:szCs w:val="19"/>
      <w:lang w:val="en-GB" w:eastAsia="en-US"/>
    </w:rPr>
  </w:style>
  <w:style w:type="character" w:customStyle="1" w:styleId="UnresolvedMention1">
    <w:name w:val="Unresolved Mention1"/>
    <w:basedOn w:val="DefaultParagraphFont"/>
    <w:uiPriority w:val="99"/>
    <w:semiHidden/>
    <w:unhideWhenUsed/>
    <w:rsid w:val="00BC34F3"/>
    <w:rPr>
      <w:color w:val="605E5C"/>
      <w:shd w:val="clear" w:color="auto" w:fill="E1DFDD"/>
    </w:rPr>
  </w:style>
  <w:style w:type="character" w:styleId="PageNumber">
    <w:name w:val="page number"/>
    <w:basedOn w:val="DefaultParagraphFont"/>
    <w:rsid w:val="006C2DCB"/>
    <w:rPr>
      <w:rFonts w:asciiTheme="minorHAnsi" w:hAnsiTheme="minorHAnsi"/>
    </w:rPr>
  </w:style>
  <w:style w:type="character" w:customStyle="1" w:styleId="UnresolvedMention2">
    <w:name w:val="Unresolved Mention2"/>
    <w:basedOn w:val="DefaultParagraphFont"/>
    <w:uiPriority w:val="99"/>
    <w:semiHidden/>
    <w:unhideWhenUsed/>
    <w:rsid w:val="000F0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8368985">
      <w:bodyDiv w:val="1"/>
      <w:marLeft w:val="0"/>
      <w:marRight w:val="0"/>
      <w:marTop w:val="0"/>
      <w:marBottom w:val="0"/>
      <w:divBdr>
        <w:top w:val="none" w:sz="0" w:space="0" w:color="auto"/>
        <w:left w:val="none" w:sz="0" w:space="0" w:color="auto"/>
        <w:bottom w:val="none" w:sz="0" w:space="0" w:color="auto"/>
        <w:right w:val="none" w:sz="0" w:space="0" w:color="auto"/>
      </w:divBdr>
    </w:div>
    <w:div w:id="604457077">
      <w:bodyDiv w:val="1"/>
      <w:marLeft w:val="0"/>
      <w:marRight w:val="0"/>
      <w:marTop w:val="0"/>
      <w:marBottom w:val="0"/>
      <w:divBdr>
        <w:top w:val="none" w:sz="0" w:space="0" w:color="auto"/>
        <w:left w:val="none" w:sz="0" w:space="0" w:color="auto"/>
        <w:bottom w:val="none" w:sz="0" w:space="0" w:color="auto"/>
        <w:right w:val="none" w:sz="0" w:space="0" w:color="auto"/>
      </w:divBdr>
    </w:div>
    <w:div w:id="652223186">
      <w:bodyDiv w:val="1"/>
      <w:marLeft w:val="0"/>
      <w:marRight w:val="0"/>
      <w:marTop w:val="0"/>
      <w:marBottom w:val="0"/>
      <w:divBdr>
        <w:top w:val="none" w:sz="0" w:space="0" w:color="auto"/>
        <w:left w:val="none" w:sz="0" w:space="0" w:color="auto"/>
        <w:bottom w:val="none" w:sz="0" w:space="0" w:color="auto"/>
        <w:right w:val="none" w:sz="0" w:space="0" w:color="auto"/>
      </w:divBdr>
    </w:div>
    <w:div w:id="92946015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61539001">
      <w:bodyDiv w:val="1"/>
      <w:marLeft w:val="0"/>
      <w:marRight w:val="0"/>
      <w:marTop w:val="0"/>
      <w:marBottom w:val="0"/>
      <w:divBdr>
        <w:top w:val="none" w:sz="0" w:space="0" w:color="auto"/>
        <w:left w:val="none" w:sz="0" w:space="0" w:color="auto"/>
        <w:bottom w:val="none" w:sz="0" w:space="0" w:color="auto"/>
        <w:right w:val="none" w:sz="0" w:space="0" w:color="auto"/>
      </w:divBdr>
    </w:div>
    <w:div w:id="189349617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330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tu.int/climat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tu.int/net4/ITU-D/CDS/sg/index.asp?lg=1&amp;sp=201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D/Regulatory-Market/Pages/RA_Portal/Home.aspx" TargetMode="External"/><Relationship Id="rId20" Type="http://schemas.openxmlformats.org/officeDocument/2006/relationships/hyperlink" Target="https://www.itu.int/md/D18-TDAG25.2-200602-TD-000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itu.int/en/ITU-D/Regulatory-Market/Pages/DigiReg20.asp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xtranet.itu.int/itu-d/ISCG/Mapping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ulatory-Market/Pages/default.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A63D03CADEE7408CE0872F6B311359" ma:contentTypeVersion="13" ma:contentTypeDescription="Create a new document." ma:contentTypeScope="" ma:versionID="c579f5dbcfa34b22efb0b6b67260035b">
  <xsd:schema xmlns:xsd="http://www.w3.org/2001/XMLSchema" xmlns:xs="http://www.w3.org/2001/XMLSchema" xmlns:p="http://schemas.microsoft.com/office/2006/metadata/properties" xmlns:ns3="5db1b76a-bb5e-4623-8f90-860a60479885" xmlns:ns4="cf4b30ba-e706-4f8d-87aa-ab933dfd973f" targetNamespace="http://schemas.microsoft.com/office/2006/metadata/properties" ma:root="true" ma:fieldsID="65b19ac8a7ea4a94c559877bd25b2457" ns3:_="" ns4:_="">
    <xsd:import namespace="5db1b76a-bb5e-4623-8f90-860a60479885"/>
    <xsd:import namespace="cf4b30ba-e706-4f8d-87aa-ab933dfd9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b76a-bb5e-4623-8f90-860a6047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b30ba-e706-4f8d-87aa-ab933dfd97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AC660B4F-342F-419D-884E-3B58D445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b76a-bb5e-4623-8f90-860a60479885"/>
    <ds:schemaRef ds:uri="cf4b30ba-e706-4f8d-87aa-ab933dfd9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cf4b30ba-e706-4f8d-87aa-ab933dfd973f"/>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db1b76a-bb5e-4623-8f90-860a60479885"/>
  </ds:schemaRefs>
</ds:datastoreItem>
</file>

<file path=customXml/itemProps4.xml><?xml version="1.0" encoding="utf-8"?>
<ds:datastoreItem xmlns:ds="http://schemas.openxmlformats.org/officeDocument/2006/customXml" ds:itemID="{1038F55D-B62C-45E1-81B4-E6C38A39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4397</Words>
  <Characters>24901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29240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4</cp:revision>
  <cp:lastPrinted>2018-04-27T07:34:00Z</cp:lastPrinted>
  <dcterms:created xsi:type="dcterms:W3CDTF">2020-10-19T07:18:00Z</dcterms:created>
  <dcterms:modified xsi:type="dcterms:W3CDTF">2020-10-19T13:54:00Z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0x01010060A63D03CADEE7408CE0872F6B311359</vt:lpwstr>
  </property>
  <property fmtid="{D5CDD505-2E9C-101B-9397-08002B2CF9AE}" pid="10" name="_dlc_DocIdItemGuid">
    <vt:lpwstr>a9e66e0a-1df2-4f54-ab8d-b190486bc437</vt:lpwstr>
  </property>
</Properties>
</file>