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  <w:gridCol w:w="35"/>
      </w:tblGrid>
      <w:tr w:rsidR="00D20099" w14:paraId="371690F7" w14:textId="77777777" w:rsidTr="007E52AD">
        <w:trPr>
          <w:cantSplit/>
          <w:trHeight w:val="1134"/>
        </w:trPr>
        <w:tc>
          <w:tcPr>
            <w:tcW w:w="6379" w:type="dxa"/>
          </w:tcPr>
          <w:p w14:paraId="5555E394" w14:textId="77777777" w:rsidR="00D20099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B087C48" w14:textId="77777777" w:rsidR="00D20099" w:rsidRPr="00844A56" w:rsidRDefault="007703DE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27th Meeting, Virtual, 23 November 2020</w:t>
            </w:r>
          </w:p>
        </w:tc>
        <w:tc>
          <w:tcPr>
            <w:tcW w:w="3544" w:type="dxa"/>
            <w:gridSpan w:val="2"/>
          </w:tcPr>
          <w:p w14:paraId="6F94B5FD" w14:textId="77777777" w:rsidR="00D20099" w:rsidRPr="00683C32" w:rsidRDefault="002A7DEE" w:rsidP="00255A4F">
            <w:pPr>
              <w:spacing w:befor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0CB75CC5" wp14:editId="716EAC9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1B7B855" w14:textId="77777777" w:rsidTr="007E52AD">
        <w:trPr>
          <w:gridAfter w:val="1"/>
          <w:wAfter w:w="35" w:type="dxa"/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7C4167D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389FB38B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002716" w14:paraId="463D7E64" w14:textId="77777777" w:rsidTr="007E52AD">
        <w:trPr>
          <w:gridAfter w:val="1"/>
          <w:wAfter w:w="35" w:type="dxa"/>
          <w:cantSplit/>
        </w:trPr>
        <w:tc>
          <w:tcPr>
            <w:tcW w:w="6379" w:type="dxa"/>
          </w:tcPr>
          <w:p w14:paraId="602770BD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641CF706" w14:textId="5BEC1950" w:rsidR="00683C32" w:rsidRPr="007F1CC7" w:rsidRDefault="0096201B" w:rsidP="00D20099">
            <w:pPr>
              <w:spacing w:before="0"/>
              <w:ind w:left="34" w:right="-142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="00B117E1">
              <w:rPr>
                <w:b/>
                <w:bCs/>
                <w:lang w:val="en-US"/>
              </w:rPr>
              <w:t xml:space="preserve"> TDAG-20</w:t>
            </w:r>
            <w:bookmarkStart w:id="0" w:name="DocNo1"/>
            <w:bookmarkEnd w:id="0"/>
            <w:r w:rsidR="00B117E1">
              <w:rPr>
                <w:b/>
                <w:bCs/>
                <w:lang w:val="en-US"/>
              </w:rPr>
              <w:t>/3/6-E</w:t>
            </w:r>
          </w:p>
        </w:tc>
      </w:tr>
      <w:tr w:rsidR="00683C32" w14:paraId="7305A3D2" w14:textId="77777777" w:rsidTr="007E52AD">
        <w:trPr>
          <w:gridAfter w:val="1"/>
          <w:wAfter w:w="35" w:type="dxa"/>
          <w:cantSplit/>
        </w:trPr>
        <w:tc>
          <w:tcPr>
            <w:tcW w:w="6379" w:type="dxa"/>
          </w:tcPr>
          <w:p w14:paraId="40269AAB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240871E2" w14:textId="7CA8C390" w:rsidR="00683C32" w:rsidRPr="007F1CC7" w:rsidRDefault="00200865" w:rsidP="00D20099">
            <w:pPr>
              <w:spacing w:before="0"/>
              <w:ind w:left="34" w:right="-142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szCs w:val="24"/>
              </w:rPr>
              <w:t>1</w:t>
            </w:r>
            <w:r w:rsidR="00B117E1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November 2020</w:t>
            </w:r>
          </w:p>
        </w:tc>
      </w:tr>
      <w:tr w:rsidR="00683C32" w14:paraId="0406E2B0" w14:textId="77777777" w:rsidTr="007E52AD">
        <w:trPr>
          <w:gridAfter w:val="1"/>
          <w:wAfter w:w="35" w:type="dxa"/>
          <w:cantSplit/>
        </w:trPr>
        <w:tc>
          <w:tcPr>
            <w:tcW w:w="6379" w:type="dxa"/>
          </w:tcPr>
          <w:p w14:paraId="3A6A9C63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26FE476D" w14:textId="77777777" w:rsidR="00514D2F" w:rsidRPr="007F1CC7" w:rsidRDefault="0096201B" w:rsidP="00D20099">
            <w:pPr>
              <w:spacing w:before="0"/>
              <w:ind w:left="34" w:right="-142"/>
              <w:rPr>
                <w:szCs w:val="24"/>
              </w:rPr>
            </w:pPr>
            <w:r>
              <w:rPr>
                <w:b/>
              </w:rPr>
              <w:t>Original:</w:t>
            </w:r>
            <w:r w:rsidR="00A73DCA">
              <w:rPr>
                <w:b/>
              </w:rPr>
              <w:t xml:space="preserve"> </w:t>
            </w:r>
            <w:bookmarkStart w:id="2" w:name="Original"/>
            <w:bookmarkEnd w:id="2"/>
            <w:r w:rsidR="00200865">
              <w:rPr>
                <w:b/>
              </w:rPr>
              <w:t>English</w:t>
            </w:r>
          </w:p>
        </w:tc>
      </w:tr>
      <w:tr w:rsidR="00A13162" w14:paraId="2292BF79" w14:textId="77777777" w:rsidTr="00BD4FC6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  <w:vAlign w:val="center"/>
          </w:tcPr>
          <w:p w14:paraId="1733355C" w14:textId="77777777" w:rsidR="00A13162" w:rsidRPr="0030353C" w:rsidRDefault="00200865" w:rsidP="00BD4FC6">
            <w:pPr>
              <w:pStyle w:val="Source"/>
              <w:spacing w:before="240" w:after="240"/>
              <w:ind w:left="34" w:right="-142"/>
            </w:pPr>
            <w:bookmarkStart w:id="3" w:name="Source"/>
            <w:bookmarkEnd w:id="3"/>
            <w:r>
              <w:t>United States of America</w:t>
            </w:r>
          </w:p>
        </w:tc>
      </w:tr>
      <w:tr w:rsidR="00AC6F14" w:rsidRPr="002E6963" w14:paraId="099F242B" w14:textId="77777777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72C84F82" w14:textId="132ED0AE" w:rsidR="00AC6F14" w:rsidRPr="00B117E1" w:rsidRDefault="00200865" w:rsidP="00B117E1">
            <w:pPr>
              <w:pStyle w:val="Title1"/>
              <w:spacing w:before="120" w:after="120"/>
              <w:ind w:left="34" w:right="-142"/>
              <w:rPr>
                <w:rFonts w:cs="Times New Roman"/>
                <w:bCs/>
                <w:caps/>
              </w:rPr>
            </w:pPr>
            <w:bookmarkStart w:id="4" w:name="Title"/>
            <w:bookmarkEnd w:id="4"/>
            <w:r w:rsidRPr="00B117E1">
              <w:rPr>
                <w:rFonts w:cs="Times New Roman"/>
                <w:bCs/>
                <w:caps/>
              </w:rPr>
              <w:t>Inter-Regional Preparatory Meetings</w:t>
            </w:r>
            <w:r w:rsidR="00B117E1">
              <w:rPr>
                <w:rFonts w:cs="Times New Roman"/>
                <w:bCs/>
                <w:caps/>
              </w:rPr>
              <w:t xml:space="preserve"> (IRM)</w:t>
            </w:r>
          </w:p>
        </w:tc>
      </w:tr>
      <w:tr w:rsidR="00A721F4" w:rsidRPr="002E6963" w14:paraId="2F804BF6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93B3580" w14:textId="77777777" w:rsidR="00A721F4" w:rsidRPr="00A721F4" w:rsidRDefault="00A721F4" w:rsidP="00D20099">
            <w:pPr>
              <w:ind w:left="34" w:right="-142"/>
            </w:pPr>
          </w:p>
        </w:tc>
      </w:tr>
      <w:tr w:rsidR="00A721F4" w:rsidRPr="002E6963" w14:paraId="104C6282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BC0" w14:textId="77777777" w:rsidR="00A721F4" w:rsidRPr="00D9621A" w:rsidRDefault="00A721F4" w:rsidP="00B117E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563CD75B" w14:textId="77777777" w:rsidR="00A721F4" w:rsidRPr="00D9621A" w:rsidRDefault="00200865" w:rsidP="00B117E1">
            <w:pPr>
              <w:spacing w:after="120"/>
              <w:rPr>
                <w:szCs w:val="24"/>
              </w:rPr>
            </w:pPr>
            <w:bookmarkStart w:id="5" w:name="Abstract"/>
            <w:bookmarkEnd w:id="5"/>
            <w:r>
              <w:rPr>
                <w:szCs w:val="24"/>
              </w:rPr>
              <w:t xml:space="preserve">The United States seeks to reinforce support for Inter-Regional preparatory meetings for WTDC-21 being open to all ITU-D membership. </w:t>
            </w:r>
          </w:p>
          <w:p w14:paraId="771E9965" w14:textId="77777777" w:rsidR="00A721F4" w:rsidRPr="00D9621A" w:rsidRDefault="00A721F4" w:rsidP="00B117E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6BEFA1A3" w14:textId="77777777" w:rsidR="00A721F4" w:rsidRPr="00D9621A" w:rsidRDefault="00200865" w:rsidP="00B117E1">
            <w:pPr>
              <w:spacing w:after="120"/>
              <w:rPr>
                <w:szCs w:val="24"/>
              </w:rPr>
            </w:pPr>
            <w:bookmarkStart w:id="6" w:name="ActionRequired"/>
            <w:bookmarkEnd w:id="6"/>
            <w:r>
              <w:rPr>
                <w:szCs w:val="24"/>
              </w:rPr>
              <w:t>Action</w:t>
            </w:r>
          </w:p>
          <w:p w14:paraId="6318E46C" w14:textId="77777777" w:rsidR="00A721F4" w:rsidRPr="00D9621A" w:rsidRDefault="00A721F4" w:rsidP="00B117E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4CFFE6F7" w14:textId="77777777" w:rsidR="00A721F4" w:rsidRPr="00D9621A" w:rsidRDefault="00200865" w:rsidP="00B117E1">
            <w:pPr>
              <w:spacing w:after="120"/>
            </w:pPr>
            <w:bookmarkStart w:id="7" w:name="References"/>
            <w:bookmarkEnd w:id="7"/>
            <w:r>
              <w:t>TDAG-20/3/5-E, TDAG-WG-Prep/22</w:t>
            </w:r>
          </w:p>
        </w:tc>
      </w:tr>
    </w:tbl>
    <w:p w14:paraId="68BB56E3" w14:textId="77777777" w:rsidR="00AC6F14" w:rsidRDefault="00AC6F14" w:rsidP="00D20099">
      <w:pPr>
        <w:ind w:left="34" w:right="-142"/>
      </w:pPr>
    </w:p>
    <w:p w14:paraId="1B307D61" w14:textId="77777777" w:rsidR="00B117E1" w:rsidRDefault="00B117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Proposal"/>
      <w:bookmarkEnd w:id="8"/>
      <w:r>
        <w:br w:type="page"/>
      </w:r>
    </w:p>
    <w:p w14:paraId="627C35B7" w14:textId="7B78B870" w:rsidR="00200865" w:rsidRDefault="00200865" w:rsidP="00B117E1">
      <w:pPr>
        <w:spacing w:after="120"/>
        <w:ind w:left="34" w:right="-142"/>
      </w:pPr>
      <w:r>
        <w:lastRenderedPageBreak/>
        <w:t>As stated in document TDAG-WG-Prep/22, the United States believes that RTOs may select representatives to provide updates on the status of regional preparations and that IRMs should be open to participation of all ITU-D membership.</w:t>
      </w:r>
      <w:r w:rsidR="00B117E1">
        <w:t xml:space="preserve"> </w:t>
      </w:r>
      <w:r>
        <w:t>Virtual platforms also will make it more practically feasible to include open participation and ensure that the preparations for WTDC take account of broad member viewpoints.</w:t>
      </w:r>
      <w:r w:rsidR="00B117E1">
        <w:t xml:space="preserve"> </w:t>
      </w:r>
    </w:p>
    <w:p w14:paraId="094012DD" w14:textId="36F2C360" w:rsidR="00200865" w:rsidRDefault="00200865" w:rsidP="00B117E1">
      <w:pPr>
        <w:spacing w:after="120"/>
        <w:ind w:left="34" w:right="-142"/>
      </w:pPr>
      <w:r>
        <w:t>We further believe that past experiences in the other ITU Sectors demonstrate that an IRM open to all membership is a valuable part of the preparatory process.</w:t>
      </w:r>
      <w:r w:rsidR="00B117E1">
        <w:t xml:space="preserve"> </w:t>
      </w:r>
      <w:r>
        <w:t>For example, in September 2020, prior to the TSAG meeting, the TSB organized an Inter-Regional Preparatory Meeting in advance of WTSA.</w:t>
      </w:r>
      <w:r w:rsidR="00B117E1">
        <w:t xml:space="preserve"> </w:t>
      </w:r>
      <w:r>
        <w:t>This was open to all membership and allowed for presentations on the status of regional and ITU-T preparations.</w:t>
      </w:r>
      <w:r w:rsidR="00B117E1">
        <w:t xml:space="preserve"> </w:t>
      </w:r>
      <w:r>
        <w:t>The BR organizes IRMs in advance of the WRC's that are similarly open to all ITU-R membership and which have been a valuable part of WRC preparations for many cycles.</w:t>
      </w:r>
      <w:r w:rsidR="00B117E1">
        <w:t xml:space="preserve"> </w:t>
      </w:r>
      <w:r>
        <w:t>These meetings are non-decisional and are intended to help facilitate exchange of information among regions to lead towards consensus at WTDC.</w:t>
      </w:r>
      <w:r w:rsidR="00B117E1">
        <w:t xml:space="preserve"> </w:t>
      </w:r>
      <w:r>
        <w:t>And such a meeting benefits from broad participation.</w:t>
      </w:r>
      <w:r w:rsidR="00B117E1">
        <w:t xml:space="preserve"> </w:t>
      </w:r>
    </w:p>
    <w:p w14:paraId="4727F11B" w14:textId="0A0E9B8A" w:rsidR="00200865" w:rsidRDefault="00200865" w:rsidP="00B117E1">
      <w:pPr>
        <w:spacing w:after="120"/>
        <w:ind w:left="34" w:right="-142"/>
      </w:pPr>
      <w:r>
        <w:t>Such an open IRM also should be differentiated from other RTO coordination that could also take place in the lead up to the WTDC.</w:t>
      </w:r>
      <w:r w:rsidR="00B117E1">
        <w:t xml:space="preserve"> </w:t>
      </w:r>
      <w:r>
        <w:t>Such informal coordination discussions among RTOs have been organized, formally or informally, in the lead-up to other ITU conferences and are not at issue here.</w:t>
      </w:r>
      <w:r w:rsidR="00B117E1">
        <w:t xml:space="preserve"> </w:t>
      </w:r>
    </w:p>
    <w:p w14:paraId="1C9B9B76" w14:textId="0B99A853" w:rsidR="00200865" w:rsidRDefault="00200865" w:rsidP="002F2F9C">
      <w:pPr>
        <w:spacing w:after="120"/>
        <w:ind w:left="34" w:right="-142"/>
      </w:pPr>
      <w:r>
        <w:t>The TDAG WG-Prep has gained general consensus on holding two IRMs - one envisioned to be held earlier in the preparatory cycle before TDAG and another following the conclusion regional preparatory meetings, and held back to back with RPMs.</w:t>
      </w:r>
      <w:r w:rsidR="00B117E1">
        <w:t xml:space="preserve"> </w:t>
      </w:r>
      <w:r>
        <w:t>The United States believes that with this approach, a WTDC IRM open to all ITU-D membership would be an excellent forum to help provide an overview of the status of regional preparations for all stakeholders involved in the preparatory process.</w:t>
      </w:r>
      <w:r w:rsidR="00B117E1">
        <w:t xml:space="preserve"> </w:t>
      </w:r>
      <w:r>
        <w:t>But this would also not prevent any additional exchanges among RTO focal points.</w:t>
      </w:r>
      <w:r w:rsidR="00B117E1">
        <w:t xml:space="preserve"> </w:t>
      </w:r>
    </w:p>
    <w:p w14:paraId="778169A6" w14:textId="77777777" w:rsidR="00200865" w:rsidRDefault="00200865" w:rsidP="00B117E1">
      <w:pPr>
        <w:spacing w:after="120"/>
        <w:ind w:left="34" w:right="-142"/>
      </w:pPr>
      <w:r>
        <w:t xml:space="preserve">The United States supports the following language to capture this view: </w:t>
      </w:r>
    </w:p>
    <w:p w14:paraId="3849FAF2" w14:textId="4E7CBCEF" w:rsidR="00200865" w:rsidRDefault="00200865" w:rsidP="00B117E1">
      <w:pPr>
        <w:spacing w:after="120"/>
        <w:ind w:left="34" w:right="-142"/>
      </w:pPr>
      <w:r>
        <w:t xml:space="preserve">Should attendance at IRMs be limited, and if so, how many representatives from each region should attend IRMs? </w:t>
      </w:r>
    </w:p>
    <w:p w14:paraId="458FE900" w14:textId="1022B2C6" w:rsidR="00570AE8" w:rsidRDefault="00200865" w:rsidP="00B117E1">
      <w:pPr>
        <w:spacing w:after="120"/>
        <w:ind w:left="34" w:right="-142"/>
      </w:pPr>
      <w:r>
        <w:t>RTO focal points should coordinate the IRM session presentations, and the two principal WTDC IRMs should be open to participation of all interested ITU-D members in order to promote transparency, inclusion and a full exchange of views.</w:t>
      </w:r>
      <w:r w:rsidR="00B117E1">
        <w:t xml:space="preserve"> </w:t>
      </w:r>
      <w:r>
        <w:t>The option to participate virtually could support broader participation.</w:t>
      </w:r>
      <w:r w:rsidR="00B117E1">
        <w:t xml:space="preserve"> </w:t>
      </w:r>
    </w:p>
    <w:p w14:paraId="3CEA89D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_____________</w:t>
      </w:r>
      <w:r w:rsidR="004122C5">
        <w:t>_</w:t>
      </w:r>
      <w:r w:rsidR="00922EC1">
        <w:t>_</w:t>
      </w:r>
    </w:p>
    <w:sectPr w:rsidR="002770B1" w:rsidSect="00D20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9139" w14:textId="77777777" w:rsidR="00200865" w:rsidRDefault="00200865">
      <w:r>
        <w:separator/>
      </w:r>
    </w:p>
  </w:endnote>
  <w:endnote w:type="continuationSeparator" w:id="0">
    <w:p w14:paraId="573EC498" w14:textId="77777777" w:rsidR="00200865" w:rsidRDefault="0020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8A71E" w14:textId="77777777" w:rsidR="00176C35" w:rsidRDefault="00176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67A81" w14:textId="77777777"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200865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6061C" w:rsidRPr="004D495C" w14:paraId="6D575100" w14:textId="77777777" w:rsidTr="00CF44F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83CFF7B" w14:textId="77777777" w:rsidR="0006061C" w:rsidRPr="004D495C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721E35C" w14:textId="77777777" w:rsidR="0006061C" w:rsidRPr="004D495C" w:rsidRDefault="0006061C" w:rsidP="0006061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0A1BF374" w14:textId="7B317382" w:rsidR="0006061C" w:rsidRPr="00255A4F" w:rsidRDefault="00C92391" w:rsidP="00C923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9" w:name="OrgName"/>
          <w:bookmarkEnd w:id="9"/>
          <w:r>
            <w:rPr>
              <w:sz w:val="18"/>
              <w:szCs w:val="18"/>
              <w:lang w:val="en-US"/>
            </w:rPr>
            <w:t xml:space="preserve">Ms </w:t>
          </w:r>
          <w:r w:rsidR="00200865">
            <w:rPr>
              <w:sz w:val="18"/>
              <w:szCs w:val="18"/>
              <w:lang w:val="en-US"/>
            </w:rPr>
            <w:t>Doreen McGirr, Cyber and International Communications and Information Policy (CIP)</w:t>
          </w:r>
          <w:r w:rsidR="00176C35">
            <w:rPr>
              <w:sz w:val="18"/>
              <w:szCs w:val="18"/>
              <w:lang w:val="en-US"/>
            </w:rPr>
            <w:t xml:space="preserve">, </w:t>
          </w:r>
          <w:r w:rsidR="00176C35">
            <w:rPr>
              <w:sz w:val="18"/>
              <w:szCs w:val="18"/>
              <w:lang w:val="en-US"/>
            </w:rPr>
            <w:t>United States of America</w:t>
          </w:r>
          <w:bookmarkStart w:id="10" w:name="_GoBack"/>
          <w:bookmarkEnd w:id="10"/>
          <w:r w:rsidR="00B117E1">
            <w:rPr>
              <w:sz w:val="18"/>
              <w:szCs w:val="18"/>
              <w:lang w:val="en-US"/>
            </w:rPr>
            <w:t xml:space="preserve"> </w:t>
          </w:r>
        </w:p>
      </w:tc>
    </w:tr>
    <w:tr w:rsidR="0006061C" w:rsidRPr="004D495C" w14:paraId="288E8163" w14:textId="77777777" w:rsidTr="00CF44F0">
      <w:tc>
        <w:tcPr>
          <w:tcW w:w="1526" w:type="dxa"/>
          <w:shd w:val="clear" w:color="auto" w:fill="auto"/>
        </w:tcPr>
        <w:p w14:paraId="49CB5F1E" w14:textId="77777777" w:rsidR="0006061C" w:rsidRPr="004D495C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A0CCDF4" w14:textId="77777777" w:rsidR="0006061C" w:rsidRPr="004D495C" w:rsidRDefault="0006061C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7845CB20" w14:textId="160AEE28" w:rsidR="0006061C" w:rsidRPr="001647C3" w:rsidRDefault="00C92391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PhoneNo"/>
          <w:bookmarkEnd w:id="11"/>
          <w:r>
            <w:rPr>
              <w:sz w:val="18"/>
              <w:szCs w:val="18"/>
              <w:lang w:val="en-US"/>
            </w:rPr>
            <w:t xml:space="preserve">+ 1 </w:t>
          </w:r>
          <w:r w:rsidR="00200865">
            <w:rPr>
              <w:sz w:val="18"/>
              <w:szCs w:val="18"/>
              <w:lang w:val="en-US"/>
            </w:rPr>
            <w:t>202</w:t>
          </w:r>
          <w:r>
            <w:rPr>
              <w:sz w:val="18"/>
              <w:szCs w:val="18"/>
              <w:lang w:val="en-US"/>
            </w:rPr>
            <w:t xml:space="preserve"> </w:t>
          </w:r>
          <w:r w:rsidR="00200865">
            <w:rPr>
              <w:sz w:val="18"/>
              <w:szCs w:val="18"/>
              <w:lang w:val="en-US"/>
            </w:rPr>
            <w:t>6470050</w:t>
          </w:r>
        </w:p>
      </w:tc>
    </w:tr>
    <w:tr w:rsidR="0006061C" w:rsidRPr="004D495C" w14:paraId="7B31417B" w14:textId="77777777" w:rsidTr="00CF44F0">
      <w:tc>
        <w:tcPr>
          <w:tcW w:w="1526" w:type="dxa"/>
          <w:shd w:val="clear" w:color="auto" w:fill="auto"/>
        </w:tcPr>
        <w:p w14:paraId="7E06890E" w14:textId="77777777" w:rsidR="0006061C" w:rsidRPr="004D495C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BC4D2F9" w14:textId="77777777" w:rsidR="0006061C" w:rsidRPr="004D495C" w:rsidRDefault="0006061C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14:paraId="28DE8216" w14:textId="664CE9D4" w:rsidR="0006061C" w:rsidRPr="001647C3" w:rsidRDefault="00C92391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"mailto:mcgirrDF@state.gov"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8C652F">
            <w:rPr>
              <w:rStyle w:val="Hyperlink"/>
              <w:sz w:val="18"/>
              <w:szCs w:val="18"/>
              <w:lang w:val="en-US"/>
            </w:rPr>
            <w:t>mcgirrDF@state.gov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BAA146E" w14:textId="77777777" w:rsidR="0006061C" w:rsidRPr="00D83BF5" w:rsidRDefault="00176C35" w:rsidP="0006061C">
    <w:pPr>
      <w:jc w:val="center"/>
    </w:pPr>
    <w:hyperlink r:id="rId1" w:history="1">
      <w:r w:rsidR="0006061C" w:rsidRPr="001E252D">
        <w:rPr>
          <w:rStyle w:val="Hyperlink"/>
          <w:sz w:val="20"/>
        </w:rPr>
        <w:t>TDAG</w:t>
      </w:r>
    </w:hyperlink>
  </w:p>
  <w:p w14:paraId="36DE8678" w14:textId="77777777" w:rsidR="00721657" w:rsidRPr="0006061C" w:rsidRDefault="00721657" w:rsidP="00060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A088A" w14:textId="77777777" w:rsidR="00200865" w:rsidRDefault="00200865">
      <w:r>
        <w:t>____________________</w:t>
      </w:r>
    </w:p>
  </w:footnote>
  <w:footnote w:type="continuationSeparator" w:id="0">
    <w:p w14:paraId="7AABDBFC" w14:textId="77777777" w:rsidR="00200865" w:rsidRDefault="0020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3FF26" w14:textId="77777777" w:rsidR="00176C35" w:rsidRDefault="00176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28AF" w14:textId="12BB35F3" w:rsidR="00B117E1" w:rsidRPr="006D271A" w:rsidRDefault="00B117E1" w:rsidP="00B117E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3/6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F2F9C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43F79C55" w14:textId="77777777" w:rsidR="00721657" w:rsidRPr="00B117E1" w:rsidRDefault="00721657" w:rsidP="00B117E1">
    <w:pPr>
      <w:pStyle w:val="Header"/>
      <w:jc w:val="left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B3205" w14:textId="77777777" w:rsidR="00176C35" w:rsidRDefault="00176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65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21D"/>
    <w:rsid w:val="00055A2A"/>
    <w:rsid w:val="0006061C"/>
    <w:rsid w:val="000615C1"/>
    <w:rsid w:val="00061675"/>
    <w:rsid w:val="00073308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76C35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865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B04E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2F9C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08C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13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E52AD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17E1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4FC6"/>
    <w:rsid w:val="00BD79F0"/>
    <w:rsid w:val="00BE2B4D"/>
    <w:rsid w:val="00BF2C36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2391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099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E0CA8"/>
    <w:rsid w:val="00EE3A64"/>
    <w:rsid w:val="00EE50E5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F84CDD"/>
  <w15:docId w15:val="{EB0A65F3-136C-4F2C-B0EF-1D4D3BEE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0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FD86-DA39-43A7-9898-EA1D2A97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2</TotalTime>
  <Pages>2</Pages>
  <Words>455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BDT-nd</cp:lastModifiedBy>
  <cp:revision>4</cp:revision>
  <cp:lastPrinted>2014-11-04T09:22:00Z</cp:lastPrinted>
  <dcterms:created xsi:type="dcterms:W3CDTF">2020-11-17T07:47:00Z</dcterms:created>
  <dcterms:modified xsi:type="dcterms:W3CDTF">2020-11-17T08:06:00Z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