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D7CA4" w14:textId="203ADB70" w:rsidR="001F3E58" w:rsidRPr="00A87201" w:rsidRDefault="001F3E58" w:rsidP="003B70A5">
      <w:pPr>
        <w:spacing w:before="360" w:after="120"/>
        <w:rPr>
          <w:b/>
          <w:bCs/>
          <w:lang w:val="en-US"/>
        </w:rPr>
      </w:pPr>
      <w:r w:rsidRPr="00A87201">
        <w:rPr>
          <w:b/>
          <w:bCs/>
          <w:lang w:val="en-US"/>
        </w:rPr>
        <w:t>Summary:</w:t>
      </w:r>
      <w:r w:rsidR="008242B2" w:rsidRPr="00A87201">
        <w:rPr>
          <w:b/>
          <w:bCs/>
          <w:lang w:val="en-US"/>
        </w:rPr>
        <w:t xml:space="preserve"> </w:t>
      </w:r>
    </w:p>
    <w:p w14:paraId="0D012099" w14:textId="0C2B79BA" w:rsidR="00A87201" w:rsidRPr="00A87201" w:rsidRDefault="00A87201" w:rsidP="008242B2">
      <w:pPr>
        <w:spacing w:after="120"/>
        <w:rPr>
          <w:lang w:val="en-US"/>
        </w:rPr>
      </w:pPr>
      <w:r w:rsidRPr="00A87201">
        <w:rPr>
          <w:lang w:val="en-US"/>
        </w:rPr>
        <w:t>The present document has been prepared by the Secretariat in response to the request by Saudi Arabia during the TDAG-WG-Prep meeting on 7 September 2020.</w:t>
      </w:r>
    </w:p>
    <w:p w14:paraId="7AE985F2" w14:textId="3A46E1EE" w:rsidR="00A87201" w:rsidRPr="00A87201" w:rsidRDefault="00A87201" w:rsidP="008242B2">
      <w:pPr>
        <w:spacing w:after="120"/>
        <w:rPr>
          <w:lang w:val="en-US"/>
        </w:rPr>
      </w:pPr>
      <w:r w:rsidRPr="00A87201">
        <w:rPr>
          <w:lang w:val="en-US"/>
        </w:rPr>
        <w:t>It is intended as food for thought for the participants to the Working Group</w:t>
      </w:r>
      <w:r w:rsidR="00027F65">
        <w:rPr>
          <w:lang w:val="en-US"/>
        </w:rPr>
        <w:t>, based on proposals from the membership</w:t>
      </w:r>
      <w:r w:rsidRPr="00A87201">
        <w:rPr>
          <w:lang w:val="en-US"/>
        </w:rPr>
        <w:t>.</w:t>
      </w:r>
    </w:p>
    <w:p w14:paraId="65734D82" w14:textId="736847C3" w:rsidR="001F3E58" w:rsidRDefault="001F3E58" w:rsidP="008242B2">
      <w:pPr>
        <w:spacing w:after="120"/>
      </w:pPr>
    </w:p>
    <w:p w14:paraId="7596FEBD" w14:textId="77777777" w:rsidR="003B70A5" w:rsidRPr="003B70A5" w:rsidRDefault="00A87201" w:rsidP="003B70A5">
      <w:pPr>
        <w:keepNext/>
        <w:pBdr>
          <w:bottom w:val="single" w:sz="4" w:space="1" w:color="00B0F0"/>
        </w:pBdr>
        <w:spacing w:after="120"/>
        <w:rPr>
          <w:b/>
          <w:bCs/>
          <w:sz w:val="28"/>
          <w:szCs w:val="28"/>
        </w:rPr>
      </w:pPr>
      <w:r w:rsidRPr="003B70A5">
        <w:rPr>
          <w:b/>
          <w:bCs/>
          <w:sz w:val="28"/>
          <w:szCs w:val="28"/>
        </w:rPr>
        <w:t>Concept note</w:t>
      </w:r>
    </w:p>
    <w:p w14:paraId="02960445" w14:textId="648FA9DE" w:rsidR="00A87201" w:rsidRPr="00A87201" w:rsidRDefault="00A87201" w:rsidP="003B70A5">
      <w:pPr>
        <w:keepNext/>
        <w:spacing w:after="120"/>
        <w:rPr>
          <w:b/>
          <w:bCs/>
        </w:rPr>
      </w:pPr>
      <w:r>
        <w:rPr>
          <w:b/>
          <w:bCs/>
        </w:rPr>
        <w:t>World Telecommu</w:t>
      </w:r>
      <w:r w:rsidR="003B70A5">
        <w:rPr>
          <w:b/>
          <w:bCs/>
        </w:rPr>
        <w:t xml:space="preserve">nication Development Conference 2021 (WTDC-21), </w:t>
      </w:r>
      <w:r w:rsidR="003B70A5">
        <w:rPr>
          <w:b/>
          <w:bCs/>
        </w:rPr>
        <w:br/>
        <w:t>Addis Ababa, 8-19 November 2021</w:t>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14:paraId="12CB9BDF" w14:textId="77777777" w:rsidTr="006D0FFA">
        <w:trPr>
          <w:cantSplit/>
          <w:trHeight w:val="1134"/>
        </w:trPr>
        <w:tc>
          <w:tcPr>
            <w:tcW w:w="9888" w:type="dxa"/>
            <w:gridSpan w:val="3"/>
            <w:tcBorders>
              <w:bottom w:val="single" w:sz="2" w:space="0" w:color="00B0F0"/>
            </w:tcBorders>
          </w:tcPr>
          <w:p w14:paraId="13715B55" w14:textId="77777777" w:rsidR="00194F24" w:rsidRPr="0085753F" w:rsidRDefault="00194F24" w:rsidP="008242B2">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60288" behindDoc="0" locked="0" layoutInCell="1" allowOverlap="1" wp14:anchorId="1ABDD78A" wp14:editId="0002933E">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Working Group on WTDC Preparations</w:t>
            </w:r>
          </w:p>
          <w:p w14:paraId="7EC97CF4" w14:textId="77777777" w:rsidR="00194F24" w:rsidRPr="00F45B51" w:rsidRDefault="00920BC7" w:rsidP="008242B2">
            <w:pPr>
              <w:ind w:right="142"/>
              <w:rPr>
                <w:sz w:val="26"/>
                <w:szCs w:val="26"/>
              </w:rPr>
            </w:pPr>
            <w:r>
              <w:rPr>
                <w:b/>
                <w:bCs/>
                <w:sz w:val="26"/>
                <w:szCs w:val="26"/>
              </w:rPr>
              <w:t>30</w:t>
            </w:r>
            <w:r w:rsidR="0085753F" w:rsidRPr="00F45B51">
              <w:rPr>
                <w:b/>
                <w:bCs/>
                <w:sz w:val="26"/>
                <w:szCs w:val="26"/>
              </w:rPr>
              <w:t xml:space="preserve"> </w:t>
            </w:r>
            <w:r w:rsidR="003D5825">
              <w:rPr>
                <w:b/>
                <w:bCs/>
                <w:sz w:val="26"/>
                <w:szCs w:val="26"/>
              </w:rPr>
              <w:t>September</w:t>
            </w:r>
            <w:r w:rsidR="0085753F" w:rsidRPr="00F45B51">
              <w:rPr>
                <w:b/>
                <w:bCs/>
                <w:sz w:val="26"/>
                <w:szCs w:val="26"/>
              </w:rPr>
              <w:t xml:space="preserve"> 2020</w:t>
            </w:r>
            <w:r w:rsidR="00194F24" w:rsidRPr="00F45B51">
              <w:rPr>
                <w:b/>
                <w:bCs/>
                <w:sz w:val="26"/>
                <w:szCs w:val="26"/>
              </w:rPr>
              <w:t xml:space="preserve">, </w:t>
            </w:r>
            <w:r w:rsidR="0085753F" w:rsidRPr="00F45B51">
              <w:rPr>
                <w:b/>
                <w:bCs/>
                <w:sz w:val="26"/>
                <w:szCs w:val="26"/>
              </w:rPr>
              <w:t>Virtual</w:t>
            </w:r>
          </w:p>
        </w:tc>
      </w:tr>
      <w:tr w:rsidR="006D0FFA" w:rsidRPr="00997358" w14:paraId="5E64CCF6" w14:textId="77777777" w:rsidTr="00262766">
        <w:trPr>
          <w:cantSplit/>
        </w:trPr>
        <w:tc>
          <w:tcPr>
            <w:tcW w:w="6237" w:type="dxa"/>
            <w:gridSpan w:val="2"/>
            <w:tcBorders>
              <w:top w:val="single" w:sz="2" w:space="0" w:color="00B0F0"/>
            </w:tcBorders>
          </w:tcPr>
          <w:p w14:paraId="28277DF9" w14:textId="77777777" w:rsidR="006D0FFA" w:rsidRPr="00997358" w:rsidRDefault="006D0FFA" w:rsidP="008242B2">
            <w:pPr>
              <w:spacing w:before="0"/>
              <w:rPr>
                <w:b/>
                <w:bCs/>
                <w:sz w:val="20"/>
              </w:rPr>
            </w:pPr>
          </w:p>
        </w:tc>
        <w:tc>
          <w:tcPr>
            <w:tcW w:w="3651" w:type="dxa"/>
            <w:tcBorders>
              <w:top w:val="single" w:sz="2" w:space="0" w:color="00B0F0"/>
            </w:tcBorders>
          </w:tcPr>
          <w:p w14:paraId="0E1889A2" w14:textId="78682CF2" w:rsidR="006D0FFA" w:rsidRPr="000E0704" w:rsidRDefault="00F35673" w:rsidP="008242B2">
            <w:pPr>
              <w:rPr>
                <w:b/>
                <w:bCs/>
                <w:szCs w:val="24"/>
              </w:rPr>
            </w:pPr>
            <w:r w:rsidRPr="000E0704">
              <w:rPr>
                <w:b/>
                <w:bCs/>
                <w:szCs w:val="24"/>
              </w:rPr>
              <w:t>Doc</w:t>
            </w:r>
            <w:r w:rsidR="00262766">
              <w:rPr>
                <w:b/>
                <w:bCs/>
                <w:szCs w:val="24"/>
              </w:rPr>
              <w:t>ument</w:t>
            </w:r>
            <w:r w:rsidRPr="000E0704">
              <w:rPr>
                <w:b/>
                <w:bCs/>
                <w:szCs w:val="24"/>
              </w:rPr>
              <w:t xml:space="preserve"> </w:t>
            </w:r>
            <w:r w:rsidR="00AA0B5B" w:rsidRPr="00AA0B5B">
              <w:rPr>
                <w:b/>
                <w:bCs/>
                <w:szCs w:val="24"/>
              </w:rPr>
              <w:t>TDAG-WG-Prep/</w:t>
            </w:r>
            <w:r w:rsidR="00A567E9">
              <w:rPr>
                <w:b/>
                <w:bCs/>
                <w:szCs w:val="24"/>
              </w:rPr>
              <w:t>DT/4</w:t>
            </w:r>
            <w:r w:rsidR="008242B2">
              <w:rPr>
                <w:b/>
                <w:bCs/>
                <w:szCs w:val="24"/>
              </w:rPr>
              <w:t>-E</w:t>
            </w:r>
          </w:p>
        </w:tc>
      </w:tr>
      <w:tr w:rsidR="006D0FFA" w:rsidRPr="00997358" w14:paraId="5E1B9D25" w14:textId="77777777" w:rsidTr="00262766">
        <w:trPr>
          <w:cantSplit/>
        </w:trPr>
        <w:tc>
          <w:tcPr>
            <w:tcW w:w="6237" w:type="dxa"/>
            <w:gridSpan w:val="2"/>
          </w:tcPr>
          <w:p w14:paraId="5C17F3A6" w14:textId="77777777" w:rsidR="006D0FFA" w:rsidRPr="00997358" w:rsidRDefault="006D0FFA" w:rsidP="008242B2">
            <w:pPr>
              <w:spacing w:before="0"/>
              <w:rPr>
                <w:b/>
                <w:bCs/>
                <w:sz w:val="20"/>
              </w:rPr>
            </w:pPr>
          </w:p>
        </w:tc>
        <w:tc>
          <w:tcPr>
            <w:tcW w:w="3651" w:type="dxa"/>
          </w:tcPr>
          <w:p w14:paraId="1DEB11EE" w14:textId="11ABF834" w:rsidR="006D0FFA" w:rsidRPr="000E0704" w:rsidRDefault="009548AE" w:rsidP="008242B2">
            <w:pPr>
              <w:spacing w:before="0"/>
              <w:rPr>
                <w:b/>
                <w:bCs/>
                <w:szCs w:val="24"/>
              </w:rPr>
            </w:pPr>
            <w:r>
              <w:rPr>
                <w:b/>
                <w:bCs/>
                <w:szCs w:val="24"/>
              </w:rPr>
              <w:t>2</w:t>
            </w:r>
            <w:r w:rsidR="00A567E9">
              <w:rPr>
                <w:b/>
                <w:bCs/>
                <w:szCs w:val="24"/>
              </w:rPr>
              <w:t>1</w:t>
            </w:r>
            <w:r>
              <w:rPr>
                <w:b/>
                <w:bCs/>
                <w:szCs w:val="24"/>
              </w:rPr>
              <w:t xml:space="preserve"> </w:t>
            </w:r>
            <w:r w:rsidR="008242B2">
              <w:rPr>
                <w:b/>
                <w:bCs/>
                <w:szCs w:val="24"/>
              </w:rPr>
              <w:t xml:space="preserve">September </w:t>
            </w:r>
            <w:r w:rsidR="001F3E58">
              <w:rPr>
                <w:b/>
                <w:bCs/>
                <w:szCs w:val="24"/>
              </w:rPr>
              <w:t>2020</w:t>
            </w:r>
          </w:p>
        </w:tc>
      </w:tr>
      <w:tr w:rsidR="00F35673" w:rsidRPr="00997358" w14:paraId="16829390" w14:textId="77777777" w:rsidTr="00262766">
        <w:trPr>
          <w:cantSplit/>
        </w:trPr>
        <w:tc>
          <w:tcPr>
            <w:tcW w:w="6237" w:type="dxa"/>
            <w:gridSpan w:val="2"/>
          </w:tcPr>
          <w:p w14:paraId="64686B6E" w14:textId="77777777" w:rsidR="00F35673" w:rsidRPr="00997358" w:rsidRDefault="00F35673" w:rsidP="008242B2">
            <w:pPr>
              <w:spacing w:before="0"/>
              <w:rPr>
                <w:b/>
                <w:bCs/>
                <w:sz w:val="20"/>
              </w:rPr>
            </w:pPr>
          </w:p>
        </w:tc>
        <w:tc>
          <w:tcPr>
            <w:tcW w:w="3651" w:type="dxa"/>
          </w:tcPr>
          <w:p w14:paraId="14EE56BF" w14:textId="77777777" w:rsidR="00F35673" w:rsidRPr="000E0704" w:rsidRDefault="00665624" w:rsidP="008242B2">
            <w:pPr>
              <w:spacing w:before="0" w:after="120"/>
              <w:rPr>
                <w:b/>
                <w:bCs/>
                <w:szCs w:val="24"/>
              </w:rPr>
            </w:pPr>
            <w:r>
              <w:rPr>
                <w:b/>
                <w:bCs/>
                <w:szCs w:val="24"/>
              </w:rPr>
              <w:t>Original</w:t>
            </w:r>
            <w:r w:rsidR="000E0704" w:rsidRPr="000E0704">
              <w:rPr>
                <w:b/>
                <w:bCs/>
                <w:szCs w:val="24"/>
              </w:rPr>
              <w:t>:</w:t>
            </w:r>
            <w:r w:rsidR="00AA0B5B">
              <w:rPr>
                <w:b/>
                <w:bCs/>
                <w:szCs w:val="24"/>
              </w:rPr>
              <w:t xml:space="preserve"> </w:t>
            </w:r>
            <w:r w:rsidR="00920BC7">
              <w:rPr>
                <w:b/>
                <w:bCs/>
                <w:szCs w:val="24"/>
              </w:rPr>
              <w:t>English</w:t>
            </w:r>
          </w:p>
        </w:tc>
      </w:tr>
      <w:tr w:rsidR="00AA0B5B" w:rsidRPr="00002716" w14:paraId="00C8FF38" w14:textId="77777777" w:rsidTr="00262766">
        <w:trPr>
          <w:cantSplit/>
          <w:trHeight w:val="408"/>
        </w:trPr>
        <w:tc>
          <w:tcPr>
            <w:tcW w:w="1276" w:type="dxa"/>
          </w:tcPr>
          <w:p w14:paraId="2A63BB4E" w14:textId="77777777" w:rsidR="00AA0B5B" w:rsidRPr="00194F24" w:rsidRDefault="00AA0B5B" w:rsidP="008242B2">
            <w:pPr>
              <w:spacing w:before="80" w:after="80"/>
              <w:jc w:val="both"/>
              <w:rPr>
                <w:b/>
                <w:szCs w:val="24"/>
                <w:lang w:val="en-US"/>
              </w:rPr>
            </w:pPr>
            <w:r>
              <w:rPr>
                <w:b/>
                <w:bCs/>
                <w:lang w:val="en-US"/>
              </w:rPr>
              <w:t>Source:</w:t>
            </w:r>
          </w:p>
        </w:tc>
        <w:tc>
          <w:tcPr>
            <w:tcW w:w="8612" w:type="dxa"/>
            <w:gridSpan w:val="2"/>
          </w:tcPr>
          <w:p w14:paraId="4F155775" w14:textId="2DAF170E" w:rsidR="00AA0B5B" w:rsidRPr="008905BB" w:rsidRDefault="00A567E9" w:rsidP="008242B2">
            <w:pPr>
              <w:spacing w:before="80" w:after="80"/>
              <w:rPr>
                <w:bCs/>
                <w:szCs w:val="24"/>
                <w:lang w:val="en-US"/>
              </w:rPr>
            </w:pPr>
            <w:r w:rsidRPr="00A567E9">
              <w:rPr>
                <w:bCs/>
                <w:szCs w:val="24"/>
                <w:lang w:val="en-US"/>
              </w:rPr>
              <w:t>Director, Telecommunication Development Bureau</w:t>
            </w:r>
          </w:p>
        </w:tc>
      </w:tr>
      <w:tr w:rsidR="00AA0B5B" w:rsidRPr="00002716" w14:paraId="2202CEDB" w14:textId="77777777" w:rsidTr="00262766">
        <w:trPr>
          <w:cantSplit/>
          <w:trHeight w:val="407"/>
        </w:trPr>
        <w:tc>
          <w:tcPr>
            <w:tcW w:w="1276" w:type="dxa"/>
            <w:tcBorders>
              <w:bottom w:val="single" w:sz="4" w:space="0" w:color="00B0F0"/>
            </w:tcBorders>
          </w:tcPr>
          <w:p w14:paraId="39F3C768" w14:textId="77777777" w:rsidR="00AA0B5B" w:rsidRDefault="00AA0B5B" w:rsidP="008242B2">
            <w:pPr>
              <w:spacing w:before="80" w:after="80"/>
              <w:jc w:val="both"/>
              <w:rPr>
                <w:b/>
                <w:bCs/>
                <w:lang w:val="en-US"/>
              </w:rPr>
            </w:pPr>
            <w:r>
              <w:rPr>
                <w:b/>
                <w:bCs/>
                <w:szCs w:val="24"/>
                <w:lang w:val="en-US"/>
              </w:rPr>
              <w:t>Title:</w:t>
            </w:r>
          </w:p>
        </w:tc>
        <w:tc>
          <w:tcPr>
            <w:tcW w:w="8612" w:type="dxa"/>
            <w:gridSpan w:val="2"/>
            <w:tcBorders>
              <w:bottom w:val="single" w:sz="4" w:space="0" w:color="00B0F0"/>
            </w:tcBorders>
          </w:tcPr>
          <w:p w14:paraId="5835C63C" w14:textId="03AF36CA" w:rsidR="00AA0B5B" w:rsidRPr="008905BB" w:rsidRDefault="00A567E9" w:rsidP="008242B2">
            <w:pPr>
              <w:spacing w:before="80" w:after="80"/>
              <w:jc w:val="both"/>
              <w:rPr>
                <w:bCs/>
                <w:lang w:val="en-US"/>
              </w:rPr>
            </w:pPr>
            <w:proofErr w:type="gramStart"/>
            <w:r w:rsidRPr="00A567E9">
              <w:rPr>
                <w:bCs/>
                <w:lang w:val="en-US"/>
              </w:rPr>
              <w:t>Concept</w:t>
            </w:r>
            <w:proofErr w:type="gramEnd"/>
            <w:r w:rsidRPr="00A567E9">
              <w:rPr>
                <w:bCs/>
                <w:lang w:val="en-US"/>
              </w:rPr>
              <w:t xml:space="preserve"> note for WTDC-21, the Youth Summit and the preparatory process</w:t>
            </w:r>
          </w:p>
        </w:tc>
      </w:tr>
    </w:tbl>
    <w:p w14:paraId="2B69F598"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t xml:space="preserve">Themes: </w:t>
      </w:r>
    </w:p>
    <w:p w14:paraId="1AFF81D7"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lang w:val="en-US"/>
        </w:rPr>
      </w:pPr>
      <w:r w:rsidRPr="00A567E9">
        <w:rPr>
          <w:rFonts w:eastAsia="Calibri" w:cstheme="minorHAnsi"/>
          <w:szCs w:val="24"/>
          <w:lang w:val="en-US"/>
        </w:rPr>
        <w:t>The themes should be driven by “real” development needs in the field, and future outputs and actions from the conference should aim to assist in achieving the Sustainable Development Goals in a more innovative way.</w:t>
      </w:r>
    </w:p>
    <w:p w14:paraId="5724E2BB" w14:textId="5D729536"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Identification of such themes should be supported through the “thematic-events”, which should be designed with carefully selected themes in mind, so that their results can strengthen the capacity of ITU members to express their opinions and inputs to the conference, and consequently influence its outputs</w:t>
      </w:r>
      <w:r w:rsidR="00552068">
        <w:rPr>
          <w:rFonts w:eastAsia="Calibri" w:cstheme="minorHAnsi"/>
          <w:szCs w:val="24"/>
          <w:lang w:val="en-US"/>
        </w:rPr>
        <w:t>.</w:t>
      </w:r>
      <w:r w:rsidRPr="00A567E9">
        <w:rPr>
          <w:rFonts w:eastAsia="Calibri" w:cstheme="minorHAnsi"/>
          <w:szCs w:val="24"/>
          <w:lang w:val="en-US"/>
        </w:rPr>
        <w:t xml:space="preserve"> </w:t>
      </w:r>
      <w:r w:rsidR="00552068">
        <w:rPr>
          <w:rFonts w:eastAsia="Calibri" w:cstheme="minorHAnsi"/>
          <w:szCs w:val="24"/>
          <w:lang w:val="en-US"/>
        </w:rPr>
        <w:t>The outputs</w:t>
      </w:r>
      <w:r w:rsidR="00552068" w:rsidRPr="00A567E9">
        <w:rPr>
          <w:rFonts w:eastAsia="Calibri" w:cstheme="minorHAnsi"/>
          <w:szCs w:val="24"/>
          <w:lang w:val="en-US"/>
        </w:rPr>
        <w:t xml:space="preserve"> </w:t>
      </w:r>
      <w:r w:rsidRPr="00A567E9">
        <w:rPr>
          <w:rFonts w:eastAsia="Calibri" w:cstheme="minorHAnsi"/>
          <w:szCs w:val="24"/>
          <w:lang w:val="en-US"/>
        </w:rPr>
        <w:t>will be organized by thematic priority, and will include the Action plan, the WTDC Resolutions, study group Questions</w:t>
      </w:r>
      <w:r w:rsidR="00552068">
        <w:rPr>
          <w:rFonts w:eastAsia="Calibri" w:cstheme="minorHAnsi"/>
          <w:szCs w:val="24"/>
          <w:lang w:val="en-US"/>
        </w:rPr>
        <w:t xml:space="preserve"> and</w:t>
      </w:r>
      <w:r w:rsidRPr="00A567E9">
        <w:rPr>
          <w:rFonts w:eastAsia="Calibri" w:cstheme="minorHAnsi"/>
          <w:szCs w:val="24"/>
          <w:lang w:val="en-US"/>
        </w:rPr>
        <w:t xml:space="preserve"> regional priorities. These different outputs should not be driven independently but should be closely linked with each other to address the same themes in a complementary manner.</w:t>
      </w:r>
    </w:p>
    <w:p w14:paraId="3D1B00AB" w14:textId="2DD23A21" w:rsidR="00A567E9" w:rsidRPr="00A567E9" w:rsidRDefault="00A567E9" w:rsidP="003B70A5">
      <w:pPr>
        <w:keepNext/>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BDT and the membership should come up with a list of critical topics that can have an impact on development. The themes chosen should be holistic enough to encompass the focus of telecommunication development issues arising from all regional levels.</w:t>
      </w:r>
      <w:r w:rsidR="00977592">
        <w:rPr>
          <w:rFonts w:eastAsia="Calibri" w:cstheme="minorHAnsi"/>
          <w:szCs w:val="24"/>
          <w:lang w:val="en-US"/>
        </w:rPr>
        <w:t xml:space="preserve"> </w:t>
      </w:r>
      <w:r w:rsidRPr="00A567E9">
        <w:rPr>
          <w:rFonts w:eastAsia="Calibri" w:cstheme="minorHAnsi"/>
          <w:szCs w:val="24"/>
          <w:lang w:val="en-US"/>
        </w:rPr>
        <w:t>Some examples of these are:</w:t>
      </w:r>
    </w:p>
    <w:p w14:paraId="4FF566B4" w14:textId="77777777" w:rsidR="00A567E9" w:rsidRPr="00A567E9" w:rsidRDefault="00A567E9" w:rsidP="003B70A5">
      <w:pPr>
        <w:pStyle w:val="ListParagraph"/>
        <w:keepNext/>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Creating a resilient global digital economy to withstand global pandemics/crises/</w:t>
      </w:r>
      <w:proofErr w:type="gramStart"/>
      <w:r w:rsidRPr="00A567E9">
        <w:rPr>
          <w:rFonts w:eastAsia="Calibri" w:cstheme="minorHAnsi"/>
          <w:szCs w:val="24"/>
          <w:lang w:val="en-US"/>
        </w:rPr>
        <w:t>disasters;</w:t>
      </w:r>
      <w:proofErr w:type="gramEnd"/>
    </w:p>
    <w:p w14:paraId="1471E547"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id-ID"/>
        </w:rPr>
        <w:t>Recovery of Global Digital Economy and Connectivity to Build Back Better;</w:t>
      </w:r>
    </w:p>
    <w:p w14:paraId="70759F1F"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id-ID"/>
        </w:rPr>
        <w:t>How can innovation assist the SDGs;</w:t>
      </w:r>
    </w:p>
    <w:p w14:paraId="6B66494B"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id-ID"/>
        </w:rPr>
        <w:lastRenderedPageBreak/>
        <w:t>Demand-stimulation initiatives;</w:t>
      </w:r>
    </w:p>
    <w:p w14:paraId="4E16A4C7"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id-ID"/>
        </w:rPr>
        <w:t>Investment frameworks to stimulate digital development;</w:t>
      </w:r>
    </w:p>
    <w:p w14:paraId="55BC3ABC"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id-ID"/>
        </w:rPr>
        <w:t>Empowerment of the future generation</w:t>
      </w:r>
      <w:r w:rsidRPr="00A567E9">
        <w:rPr>
          <w:rFonts w:eastAsia="Calibri" w:cstheme="minorHAnsi"/>
          <w:szCs w:val="24"/>
          <w:lang w:val="en-US"/>
        </w:rPr>
        <w:t xml:space="preserve"> – outcomes of the Youth Summit</w:t>
      </w:r>
      <w:r w:rsidRPr="00A567E9">
        <w:rPr>
          <w:rFonts w:eastAsia="Calibri" w:cstheme="minorHAnsi"/>
          <w:szCs w:val="24"/>
          <w:lang w:val="id-ID"/>
        </w:rPr>
        <w:t>.</w:t>
      </w:r>
    </w:p>
    <w:p w14:paraId="31263356"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t>Format:</w:t>
      </w:r>
    </w:p>
    <w:p w14:paraId="218C3972" w14:textId="6B736BBC" w:rsidR="00A567E9" w:rsidRPr="00A567E9" w:rsidRDefault="00A567E9" w:rsidP="003B70A5">
      <w:pPr>
        <w:keepNext/>
        <w:tabs>
          <w:tab w:val="clear" w:pos="794"/>
          <w:tab w:val="clear" w:pos="1191"/>
          <w:tab w:val="clear" w:pos="1588"/>
          <w:tab w:val="clear" w:pos="1985"/>
          <w:tab w:val="left" w:pos="567"/>
          <w:tab w:val="left" w:pos="1134"/>
          <w:tab w:val="left" w:pos="1701"/>
        </w:tabs>
        <w:rPr>
          <w:rFonts w:cstheme="minorHAnsi"/>
          <w:szCs w:val="24"/>
          <w:lang w:val="en-US"/>
        </w:rPr>
      </w:pPr>
      <w:proofErr w:type="gramStart"/>
      <w:r w:rsidRPr="00A567E9">
        <w:rPr>
          <w:rFonts w:eastAsia="Calibri" w:cstheme="minorHAnsi"/>
          <w:szCs w:val="24"/>
          <w:lang w:val="en-US"/>
        </w:rPr>
        <w:t>In order to</w:t>
      </w:r>
      <w:proofErr w:type="gramEnd"/>
      <w:r w:rsidRPr="00A567E9">
        <w:rPr>
          <w:rFonts w:eastAsia="Calibri" w:cstheme="minorHAnsi"/>
          <w:szCs w:val="24"/>
          <w:lang w:val="en-US"/>
        </w:rPr>
        <w:t xml:space="preserve"> </w:t>
      </w:r>
      <w:proofErr w:type="spellStart"/>
      <w:r w:rsidRPr="00A567E9">
        <w:rPr>
          <w:rFonts w:eastAsia="Calibri" w:cstheme="minorHAnsi"/>
          <w:szCs w:val="24"/>
          <w:lang w:val="en-US"/>
        </w:rPr>
        <w:t>maximise</w:t>
      </w:r>
      <w:proofErr w:type="spellEnd"/>
      <w:r w:rsidRPr="00A567E9">
        <w:rPr>
          <w:rFonts w:eastAsia="Calibri" w:cstheme="minorHAnsi"/>
          <w:szCs w:val="24"/>
          <w:lang w:val="en-US"/>
        </w:rPr>
        <w:t xml:space="preserve"> benefit and impact for all attendees, including high-level participants, and avoid the issues of the past</w:t>
      </w:r>
      <w:r w:rsidR="00552068">
        <w:rPr>
          <w:rFonts w:eastAsia="Calibri" w:cstheme="minorHAnsi"/>
          <w:szCs w:val="24"/>
          <w:lang w:val="en-US"/>
        </w:rPr>
        <w:t xml:space="preserve"> such as</w:t>
      </w:r>
      <w:r w:rsidRPr="00A567E9">
        <w:rPr>
          <w:rFonts w:eastAsia="Calibri" w:cstheme="minorHAnsi"/>
          <w:szCs w:val="24"/>
          <w:lang w:val="en-US"/>
        </w:rPr>
        <w:t>:</w:t>
      </w:r>
    </w:p>
    <w:p w14:paraId="1B847DAB" w14:textId="77777777" w:rsidR="00A567E9" w:rsidRPr="00A567E9" w:rsidRDefault="00A567E9" w:rsidP="003B70A5">
      <w:pPr>
        <w:pStyle w:val="ListParagraph"/>
        <w:keepNext/>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Insufficient time for side-</w:t>
      </w:r>
      <w:proofErr w:type="gramStart"/>
      <w:r w:rsidRPr="00A567E9">
        <w:rPr>
          <w:rFonts w:eastAsia="Calibri" w:cstheme="minorHAnsi"/>
          <w:szCs w:val="24"/>
          <w:lang w:val="en-US"/>
        </w:rPr>
        <w:t>events;</w:t>
      </w:r>
      <w:proofErr w:type="gramEnd"/>
    </w:p>
    <w:p w14:paraId="44D5C5E3"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 xml:space="preserve">Poor </w:t>
      </w:r>
      <w:proofErr w:type="gramStart"/>
      <w:r w:rsidRPr="00A567E9">
        <w:rPr>
          <w:rFonts w:eastAsia="Calibri" w:cstheme="minorHAnsi"/>
          <w:szCs w:val="24"/>
          <w:lang w:val="en-US"/>
        </w:rPr>
        <w:t>attendance;</w:t>
      </w:r>
      <w:proofErr w:type="gramEnd"/>
    </w:p>
    <w:p w14:paraId="58157B37"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 xml:space="preserve">Side-events of no value to high-level </w:t>
      </w:r>
      <w:proofErr w:type="gramStart"/>
      <w:r w:rsidRPr="00A567E9">
        <w:rPr>
          <w:rFonts w:eastAsia="Calibri" w:cstheme="minorHAnsi"/>
          <w:szCs w:val="24"/>
          <w:lang w:val="en-US"/>
        </w:rPr>
        <w:t>participants;</w:t>
      </w:r>
      <w:proofErr w:type="gramEnd"/>
    </w:p>
    <w:p w14:paraId="4B24E072" w14:textId="1F7D3BDE"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 xml:space="preserve">Competition for time and resources between side-events and </w:t>
      </w:r>
      <w:r w:rsidR="00027F65" w:rsidRPr="00A567E9">
        <w:rPr>
          <w:rFonts w:eastAsia="Calibri" w:cstheme="minorHAnsi"/>
          <w:szCs w:val="24"/>
          <w:lang w:val="en-US"/>
        </w:rPr>
        <w:t>mai</w:t>
      </w:r>
      <w:r w:rsidR="00027F65">
        <w:rPr>
          <w:rFonts w:eastAsia="Calibri" w:cstheme="minorHAnsi"/>
          <w:szCs w:val="24"/>
          <w:lang w:val="en-US"/>
        </w:rPr>
        <w:t>n</w:t>
      </w:r>
      <w:r w:rsidR="00027F65" w:rsidRPr="00A567E9">
        <w:rPr>
          <w:rFonts w:eastAsia="Calibri" w:cstheme="minorHAnsi"/>
          <w:szCs w:val="24"/>
          <w:lang w:val="en-US"/>
        </w:rPr>
        <w:t xml:space="preserve"> </w:t>
      </w:r>
      <w:proofErr w:type="gramStart"/>
      <w:r w:rsidRPr="00A567E9">
        <w:rPr>
          <w:rFonts w:eastAsia="Calibri" w:cstheme="minorHAnsi"/>
          <w:szCs w:val="24"/>
          <w:lang w:val="en-US"/>
        </w:rPr>
        <w:t>event;</w:t>
      </w:r>
      <w:proofErr w:type="gramEnd"/>
    </w:p>
    <w:p w14:paraId="60C34BBB" w14:textId="04E1E995"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 xml:space="preserve">Discussions in the statutory conference could not start until the </w:t>
      </w:r>
      <w:proofErr w:type="gramStart"/>
      <w:r w:rsidRPr="00A567E9">
        <w:rPr>
          <w:rFonts w:eastAsia="Calibri" w:cstheme="minorHAnsi"/>
          <w:szCs w:val="24"/>
          <w:lang w:val="en-US"/>
        </w:rPr>
        <w:t>high level</w:t>
      </w:r>
      <w:proofErr w:type="gramEnd"/>
      <w:r w:rsidRPr="00A567E9">
        <w:rPr>
          <w:rFonts w:eastAsia="Calibri" w:cstheme="minorHAnsi"/>
          <w:szCs w:val="24"/>
          <w:lang w:val="en-US"/>
        </w:rPr>
        <w:t xml:space="preserve"> segment was </w:t>
      </w:r>
      <w:r w:rsidR="00552068">
        <w:rPr>
          <w:rFonts w:eastAsia="Calibri" w:cstheme="minorHAnsi"/>
          <w:szCs w:val="24"/>
          <w:lang w:val="en-US"/>
        </w:rPr>
        <w:t>completed</w:t>
      </w:r>
    </w:p>
    <w:p w14:paraId="3F3D285D"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HAnsi" w:cstheme="minorHAnsi"/>
          <w:szCs w:val="24"/>
        </w:rPr>
      </w:pPr>
      <w:r w:rsidRPr="00A567E9">
        <w:rPr>
          <w:rFonts w:eastAsia="Calibri" w:cstheme="minorHAnsi"/>
          <w:szCs w:val="24"/>
          <w:lang w:val="en-US"/>
        </w:rPr>
        <w:t xml:space="preserve">It is proposed to repurpose the high-level segment of the conference and the side-events into a new format called “Partnership Segment” and to incorporate it to take place during normal conference times. </w:t>
      </w:r>
    </w:p>
    <w:p w14:paraId="2842530D" w14:textId="55E4E7C8"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 xml:space="preserve">The purpose of this segment is to </w:t>
      </w:r>
      <w:proofErr w:type="spellStart"/>
      <w:r w:rsidRPr="00A567E9">
        <w:rPr>
          <w:rFonts w:eastAsia="Calibri" w:cstheme="minorHAnsi"/>
          <w:szCs w:val="24"/>
          <w:lang w:val="en-US"/>
        </w:rPr>
        <w:t>catalyse</w:t>
      </w:r>
      <w:proofErr w:type="spellEnd"/>
      <w:r w:rsidRPr="00A567E9">
        <w:rPr>
          <w:rFonts w:eastAsia="Calibri" w:cstheme="minorHAnsi"/>
          <w:szCs w:val="24"/>
          <w:lang w:val="en-US"/>
        </w:rPr>
        <w:t xml:space="preserve"> partnerships for digital development with the inclusion of all </w:t>
      </w:r>
      <w:r w:rsidR="00552068" w:rsidRPr="00A567E9">
        <w:rPr>
          <w:rFonts w:eastAsia="Calibri" w:cstheme="minorHAnsi"/>
          <w:szCs w:val="24"/>
          <w:lang w:val="en-US"/>
        </w:rPr>
        <w:t>stakeholders</w:t>
      </w:r>
      <w:r w:rsidRPr="00A567E9">
        <w:rPr>
          <w:rFonts w:eastAsia="Calibri" w:cstheme="minorHAnsi"/>
          <w:szCs w:val="24"/>
          <w:lang w:val="en-US"/>
        </w:rPr>
        <w:t>.</w:t>
      </w:r>
      <w:r w:rsidR="00977592">
        <w:rPr>
          <w:rFonts w:eastAsia="Calibri" w:cstheme="minorHAnsi"/>
          <w:szCs w:val="24"/>
          <w:lang w:val="en-US"/>
        </w:rPr>
        <w:t xml:space="preserve"> </w:t>
      </w:r>
      <w:r w:rsidRPr="00A567E9">
        <w:rPr>
          <w:rFonts w:eastAsia="Calibri" w:cstheme="minorHAnsi"/>
          <w:szCs w:val="24"/>
          <w:lang w:val="en-US"/>
        </w:rPr>
        <w:t xml:space="preserve">It would complement the discussions </w:t>
      </w:r>
      <w:r w:rsidR="00552068" w:rsidRPr="00A567E9">
        <w:rPr>
          <w:rFonts w:eastAsia="Calibri" w:cstheme="minorHAnsi"/>
          <w:szCs w:val="24"/>
          <w:lang w:val="en-US"/>
        </w:rPr>
        <w:t>of the conference (hereafter called “</w:t>
      </w:r>
      <w:r w:rsidR="00C15701">
        <w:rPr>
          <w:rFonts w:eastAsia="Calibri" w:cstheme="minorHAnsi"/>
          <w:szCs w:val="24"/>
          <w:lang w:val="en-US"/>
        </w:rPr>
        <w:t>A</w:t>
      </w:r>
      <w:r w:rsidR="00552068" w:rsidRPr="00A567E9">
        <w:rPr>
          <w:rFonts w:eastAsia="Calibri" w:cstheme="minorHAnsi"/>
          <w:szCs w:val="24"/>
          <w:lang w:val="en-US"/>
        </w:rPr>
        <w:t xml:space="preserve">dministrative </w:t>
      </w:r>
      <w:r w:rsidR="00C15701">
        <w:rPr>
          <w:rFonts w:eastAsia="Calibri" w:cstheme="minorHAnsi"/>
          <w:szCs w:val="24"/>
          <w:lang w:val="en-US"/>
        </w:rPr>
        <w:t>S</w:t>
      </w:r>
      <w:r w:rsidR="00552068" w:rsidRPr="00A567E9">
        <w:rPr>
          <w:rFonts w:eastAsia="Calibri" w:cstheme="minorHAnsi"/>
          <w:szCs w:val="24"/>
          <w:lang w:val="en-US"/>
        </w:rPr>
        <w:t>egment</w:t>
      </w:r>
      <w:r w:rsidR="00C15701">
        <w:rPr>
          <w:rFonts w:eastAsia="Calibri" w:cstheme="minorHAnsi"/>
          <w:szCs w:val="24"/>
          <w:lang w:val="en-US"/>
        </w:rPr>
        <w:t>”</w:t>
      </w:r>
      <w:r w:rsidR="00552068" w:rsidRPr="00A567E9">
        <w:rPr>
          <w:rFonts w:eastAsia="Calibri" w:cstheme="minorHAnsi"/>
          <w:szCs w:val="24"/>
          <w:lang w:val="en-US"/>
        </w:rPr>
        <w:t xml:space="preserve">) </w:t>
      </w:r>
      <w:r w:rsidRPr="00A567E9">
        <w:rPr>
          <w:rFonts w:eastAsia="Calibri" w:cstheme="minorHAnsi"/>
          <w:szCs w:val="24"/>
          <w:lang w:val="en-US"/>
        </w:rPr>
        <w:t>on Resolutions, study group Questions, etc. and would allow participating high-level policy-makers to express their positions in round-table or panel format, as well as to provide their statements in written form, which would then be posted in a dedicated page on the WTDC website.</w:t>
      </w:r>
      <w:r w:rsidR="00977592">
        <w:rPr>
          <w:rFonts w:eastAsia="Calibri" w:cstheme="minorHAnsi"/>
          <w:szCs w:val="24"/>
          <w:lang w:val="en-US"/>
        </w:rPr>
        <w:t xml:space="preserve"> </w:t>
      </w:r>
      <w:r w:rsidRPr="00A567E9">
        <w:rPr>
          <w:rFonts w:eastAsia="Calibri" w:cstheme="minorHAnsi"/>
          <w:szCs w:val="24"/>
          <w:lang w:val="en-US"/>
        </w:rPr>
        <w:t xml:space="preserve">These </w:t>
      </w:r>
      <w:proofErr w:type="gramStart"/>
      <w:r w:rsidRPr="00A567E9">
        <w:rPr>
          <w:rFonts w:eastAsia="Calibri" w:cstheme="minorHAnsi"/>
          <w:szCs w:val="24"/>
          <w:lang w:val="en-US"/>
        </w:rPr>
        <w:t>round-tables</w:t>
      </w:r>
      <w:proofErr w:type="gramEnd"/>
      <w:r w:rsidRPr="00A567E9">
        <w:rPr>
          <w:rFonts w:eastAsia="Calibri" w:cstheme="minorHAnsi"/>
          <w:szCs w:val="24"/>
          <w:lang w:val="en-US"/>
        </w:rPr>
        <w:t xml:space="preserve"> or panels would allow for brokering discussions and co-creation between the various groups identified in the section Targeted audience.</w:t>
      </w:r>
    </w:p>
    <w:p w14:paraId="1378D658"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The two segments should be designed jointly, so that they can complement each other in terms of content and timing during the conference.</w:t>
      </w:r>
    </w:p>
    <w:p w14:paraId="1DC39F6D" w14:textId="499CB8A0"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 xml:space="preserve">Different accreditation schemes would be applied in order to allow non-member stakeholders to contribute </w:t>
      </w:r>
      <w:proofErr w:type="gramStart"/>
      <w:r w:rsidRPr="00A567E9">
        <w:rPr>
          <w:rFonts w:eastAsia="Calibri" w:cstheme="minorHAnsi"/>
          <w:szCs w:val="24"/>
          <w:lang w:val="en-US"/>
        </w:rPr>
        <w:t>in</w:t>
      </w:r>
      <w:proofErr w:type="gramEnd"/>
      <w:r w:rsidRPr="00A567E9">
        <w:rPr>
          <w:rFonts w:eastAsia="Calibri" w:cstheme="minorHAnsi"/>
          <w:szCs w:val="24"/>
          <w:lang w:val="en-US"/>
        </w:rPr>
        <w:t xml:space="preserve"> the Partnership Segment, without detriment to the statutory conference (Administrative Segment).</w:t>
      </w:r>
    </w:p>
    <w:p w14:paraId="74C7C793"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t>Co-organized with other bureaux/entities:</w:t>
      </w:r>
    </w:p>
    <w:p w14:paraId="2F404E56"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The Administrative Segment is a statutory ITU conference.</w:t>
      </w:r>
    </w:p>
    <w:p w14:paraId="5109FD80"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 xml:space="preserve">The Partnership Segment is open to collaboration with other ITU </w:t>
      </w:r>
      <w:proofErr w:type="spellStart"/>
      <w:r w:rsidRPr="00A567E9">
        <w:rPr>
          <w:rFonts w:eastAsia="Calibri" w:cstheme="minorHAnsi"/>
          <w:szCs w:val="24"/>
          <w:lang w:val="en-US"/>
        </w:rPr>
        <w:t>bureaux</w:t>
      </w:r>
      <w:proofErr w:type="spellEnd"/>
      <w:r w:rsidRPr="00A567E9">
        <w:rPr>
          <w:rFonts w:eastAsia="Calibri" w:cstheme="minorHAnsi"/>
          <w:szCs w:val="24"/>
          <w:lang w:val="en-US"/>
        </w:rPr>
        <w:t xml:space="preserve"> and departments and with external organizations, both in the public and private sectors.</w:t>
      </w:r>
    </w:p>
    <w:p w14:paraId="074F038D"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t>Various services:</w:t>
      </w:r>
    </w:p>
    <w:p w14:paraId="7D47E8D9" w14:textId="1BE82785"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Both segments to the conference will be enhanced with interpretation, translation, webcast, captioning, twitter feeds, maybe a blog, etc.</w:t>
      </w:r>
      <w:r w:rsidR="00977592">
        <w:rPr>
          <w:rFonts w:eastAsia="Calibri" w:cstheme="minorHAnsi"/>
          <w:szCs w:val="24"/>
          <w:lang w:val="en-US"/>
        </w:rPr>
        <w:t xml:space="preserve"> </w:t>
      </w:r>
      <w:r w:rsidRPr="00A567E9">
        <w:rPr>
          <w:rFonts w:eastAsia="Calibri" w:cstheme="minorHAnsi"/>
          <w:szCs w:val="24"/>
          <w:lang w:val="en-US"/>
        </w:rPr>
        <w:t>It is recommended to also use remote participation, but the extent of its use needs to be discussed by membership, especially for the Administrative Segment.</w:t>
      </w:r>
    </w:p>
    <w:p w14:paraId="4ABCC89D"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In addition to the above, the Partnership Segment could be live streamed on social media and incorporate production and live feedback.</w:t>
      </w:r>
    </w:p>
    <w:p w14:paraId="47690B92"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lastRenderedPageBreak/>
        <w:t>Expected outcomes:</w:t>
      </w:r>
    </w:p>
    <w:p w14:paraId="23EDC665" w14:textId="1C63AB38"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The</w:t>
      </w:r>
      <w:r w:rsidRPr="00A567E9">
        <w:rPr>
          <w:rFonts w:eastAsia="Calibri" w:cstheme="minorHAnsi"/>
          <w:i/>
          <w:iCs/>
          <w:szCs w:val="24"/>
          <w:lang w:val="en-US"/>
        </w:rPr>
        <w:t xml:space="preserve"> </w:t>
      </w:r>
      <w:r w:rsidRPr="00A567E9">
        <w:rPr>
          <w:rFonts w:eastAsia="Calibri" w:cstheme="minorHAnsi"/>
          <w:szCs w:val="24"/>
          <w:lang w:val="en-US"/>
        </w:rPr>
        <w:t>outcome of the Administrative Segment is the Final Report in six languages, which includes the Declaration and the Action Plan (including Regional Priorities, Study Group Questions, Resolutions, Recommendations, links to SDGs and WSIS action lines), structured by thematic priority</w:t>
      </w:r>
      <w:r w:rsidR="00C15701">
        <w:rPr>
          <w:rFonts w:eastAsia="Calibri" w:cstheme="minorHAnsi"/>
          <w:szCs w:val="24"/>
          <w:lang w:val="en-US"/>
        </w:rPr>
        <w:t>.</w:t>
      </w:r>
    </w:p>
    <w:p w14:paraId="73E0C8CF"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The outcome of the Partnership Segment could include pledges from partners for the implementation of ITU-D activities and projects, meaningful demand-driven partnerships for impact, and an insight document highlighting key discussions, put together in an instructional and inspiring way and avoiding monotonous verbatim reporting.</w:t>
      </w:r>
    </w:p>
    <w:p w14:paraId="1184AF47"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cstheme="minorHAnsi"/>
          <w:b/>
          <w:bCs/>
          <w:sz w:val="28"/>
          <w:szCs w:val="28"/>
        </w:rPr>
      </w:pPr>
      <w:r w:rsidRPr="003B70A5">
        <w:rPr>
          <w:rFonts w:cstheme="minorHAnsi"/>
          <w:b/>
          <w:bCs/>
          <w:sz w:val="28"/>
          <w:szCs w:val="28"/>
        </w:rPr>
        <w:t>Target audience:</w:t>
      </w:r>
    </w:p>
    <w:p w14:paraId="2A44F6DC" w14:textId="381C75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lang w:val="en-US"/>
        </w:rPr>
      </w:pPr>
      <w:r w:rsidRPr="00A567E9">
        <w:rPr>
          <w:rFonts w:eastAsia="Calibri" w:cstheme="minorHAnsi"/>
          <w:szCs w:val="24"/>
          <w:lang w:val="en-US"/>
        </w:rPr>
        <w:t>The Administrative Segment will be attended by Member States, ITU-D Sector Members and Academia.</w:t>
      </w:r>
      <w:r w:rsidR="00977592">
        <w:rPr>
          <w:rFonts w:eastAsia="Calibri" w:cstheme="minorHAnsi"/>
          <w:szCs w:val="24"/>
          <w:lang w:val="en-US"/>
        </w:rPr>
        <w:t xml:space="preserve"> </w:t>
      </w:r>
      <w:r w:rsidRPr="00A567E9">
        <w:rPr>
          <w:rFonts w:eastAsia="Calibri" w:cstheme="minorHAnsi"/>
          <w:szCs w:val="24"/>
          <w:lang w:val="en-US"/>
        </w:rPr>
        <w:t xml:space="preserve">Any non-member can attend the Administrative Segment if part of a national/Sector Member </w:t>
      </w:r>
      <w:proofErr w:type="gramStart"/>
      <w:r w:rsidRPr="00A567E9">
        <w:rPr>
          <w:rFonts w:eastAsia="Calibri" w:cstheme="minorHAnsi"/>
          <w:szCs w:val="24"/>
          <w:lang w:val="en-US"/>
        </w:rPr>
        <w:t>delegation;</w:t>
      </w:r>
      <w:proofErr w:type="gramEnd"/>
    </w:p>
    <w:p w14:paraId="32BF1503"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Several groups of entities are targeted for the Partnership Segment, ensuring that representation is balanced across all industry sectors:</w:t>
      </w:r>
    </w:p>
    <w:p w14:paraId="6795EBAE" w14:textId="77777777" w:rsidR="00A567E9" w:rsidRPr="00A567E9" w:rsidRDefault="00A567E9" w:rsidP="003B70A5">
      <w:pPr>
        <w:pStyle w:val="ListParagraph"/>
        <w:keepNext/>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lang w:val="en-US"/>
        </w:rPr>
      </w:pPr>
      <w:r w:rsidRPr="00A567E9">
        <w:rPr>
          <w:rFonts w:eastAsia="Calibri" w:cstheme="minorHAnsi"/>
          <w:szCs w:val="24"/>
          <w:lang w:val="en-US"/>
        </w:rPr>
        <w:t>ITU membership (including Academia and international and regional organizations</w:t>
      </w:r>
      <w:proofErr w:type="gramStart"/>
      <w:r w:rsidRPr="00A567E9">
        <w:rPr>
          <w:rFonts w:eastAsia="Calibri" w:cstheme="minorHAnsi"/>
          <w:szCs w:val="24"/>
          <w:lang w:val="en-US"/>
        </w:rPr>
        <w:t>);</w:t>
      </w:r>
      <w:proofErr w:type="gramEnd"/>
    </w:p>
    <w:p w14:paraId="7D7F5902" w14:textId="77777777" w:rsidR="00A567E9" w:rsidRPr="00A567E9" w:rsidRDefault="00A567E9" w:rsidP="003B70A5">
      <w:pPr>
        <w:pStyle w:val="ListParagraph"/>
        <w:keepNext/>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Non-members:</w:t>
      </w:r>
    </w:p>
    <w:p w14:paraId="1986AA06" w14:textId="77777777" w:rsidR="00A567E9" w:rsidRPr="00A567E9" w:rsidRDefault="00A567E9" w:rsidP="003B70A5">
      <w:pPr>
        <w:pStyle w:val="ListParagraph"/>
        <w:keepNext/>
        <w:numPr>
          <w:ilvl w:val="1"/>
          <w:numId w:val="9"/>
        </w:numPr>
        <w:tabs>
          <w:tab w:val="clear" w:pos="1871"/>
          <w:tab w:val="clear" w:pos="2268"/>
          <w:tab w:val="left" w:pos="567"/>
          <w:tab w:val="left" w:pos="1701"/>
        </w:tabs>
        <w:overflowPunct/>
        <w:autoSpaceDE/>
        <w:autoSpaceDN/>
        <w:adjustRightInd/>
        <w:ind w:left="1134" w:hanging="567"/>
        <w:contextualSpacing w:val="0"/>
        <w:textAlignment w:val="auto"/>
        <w:rPr>
          <w:rFonts w:eastAsiaTheme="minorEastAsia" w:cstheme="minorHAnsi"/>
          <w:szCs w:val="24"/>
        </w:rPr>
      </w:pPr>
      <w:r w:rsidRPr="00A567E9">
        <w:rPr>
          <w:rFonts w:eastAsia="Calibri" w:cstheme="minorHAnsi"/>
          <w:szCs w:val="24"/>
          <w:lang w:val="en-US"/>
        </w:rPr>
        <w:t xml:space="preserve">Resource partners - including international finance institutions (e.g. World Bank, regional development banks), development organizations, other international organizations with an interest in development (e.g. UNCTAD, OECD), manufacturers of ICT equipment and gadgets, </w:t>
      </w:r>
      <w:proofErr w:type="gramStart"/>
      <w:r w:rsidRPr="00A567E9">
        <w:rPr>
          <w:rFonts w:eastAsia="Calibri" w:cstheme="minorHAnsi"/>
          <w:szCs w:val="24"/>
          <w:lang w:val="en-US"/>
        </w:rPr>
        <w:t>Academia;</w:t>
      </w:r>
      <w:proofErr w:type="gramEnd"/>
      <w:r w:rsidRPr="00A567E9">
        <w:rPr>
          <w:rFonts w:eastAsia="Calibri" w:cstheme="minorHAnsi"/>
          <w:szCs w:val="24"/>
          <w:lang w:val="en-US"/>
        </w:rPr>
        <w:t xml:space="preserve"> </w:t>
      </w:r>
    </w:p>
    <w:p w14:paraId="5E356B3D" w14:textId="77777777" w:rsidR="00A567E9" w:rsidRPr="00A567E9" w:rsidRDefault="00A567E9" w:rsidP="003B70A5">
      <w:pPr>
        <w:pStyle w:val="ListParagraph"/>
        <w:numPr>
          <w:ilvl w:val="1"/>
          <w:numId w:val="9"/>
        </w:numPr>
        <w:tabs>
          <w:tab w:val="clear" w:pos="1871"/>
          <w:tab w:val="clear" w:pos="2268"/>
          <w:tab w:val="left" w:pos="567"/>
          <w:tab w:val="left" w:pos="1701"/>
        </w:tabs>
        <w:overflowPunct/>
        <w:autoSpaceDE/>
        <w:autoSpaceDN/>
        <w:adjustRightInd/>
        <w:ind w:left="1134" w:hanging="567"/>
        <w:contextualSpacing w:val="0"/>
        <w:textAlignment w:val="auto"/>
        <w:rPr>
          <w:rFonts w:eastAsiaTheme="minorEastAsia" w:cstheme="minorHAnsi"/>
          <w:szCs w:val="24"/>
          <w:lang w:val="en-US"/>
        </w:rPr>
      </w:pPr>
      <w:r w:rsidRPr="00A567E9">
        <w:rPr>
          <w:rFonts w:eastAsia="Calibri" w:cstheme="minorHAnsi"/>
          <w:szCs w:val="24"/>
          <w:lang w:val="en-US"/>
        </w:rPr>
        <w:t xml:space="preserve">Beneficiaries - including gender groups and youth (including ambassadors of the Youth Summit), city mayors, community </w:t>
      </w:r>
      <w:proofErr w:type="gramStart"/>
      <w:r w:rsidRPr="00A567E9">
        <w:rPr>
          <w:rFonts w:eastAsia="Calibri" w:cstheme="minorHAnsi"/>
          <w:szCs w:val="24"/>
          <w:lang w:val="en-US"/>
        </w:rPr>
        <w:t>leaders;</w:t>
      </w:r>
      <w:proofErr w:type="gramEnd"/>
    </w:p>
    <w:p w14:paraId="425FF2CE" w14:textId="77777777" w:rsidR="00A567E9" w:rsidRPr="00A567E9" w:rsidRDefault="00A567E9" w:rsidP="003B70A5">
      <w:pPr>
        <w:pStyle w:val="ListParagraph"/>
        <w:keepNext/>
        <w:numPr>
          <w:ilvl w:val="1"/>
          <w:numId w:val="9"/>
        </w:numPr>
        <w:tabs>
          <w:tab w:val="clear" w:pos="1871"/>
          <w:tab w:val="clear" w:pos="2268"/>
          <w:tab w:val="left" w:pos="567"/>
          <w:tab w:val="left" w:pos="1701"/>
        </w:tabs>
        <w:overflowPunct/>
        <w:autoSpaceDE/>
        <w:autoSpaceDN/>
        <w:adjustRightInd/>
        <w:ind w:left="1134" w:hanging="567"/>
        <w:contextualSpacing w:val="0"/>
        <w:textAlignment w:val="auto"/>
        <w:rPr>
          <w:rFonts w:eastAsiaTheme="minorEastAsia" w:cstheme="minorHAnsi"/>
          <w:szCs w:val="24"/>
        </w:rPr>
      </w:pPr>
      <w:r w:rsidRPr="00A567E9">
        <w:rPr>
          <w:rFonts w:eastAsia="Calibri" w:cstheme="minorHAnsi"/>
          <w:szCs w:val="24"/>
        </w:rPr>
        <w:t>Solution owners – including entrepreneurs and innovators.</w:t>
      </w:r>
    </w:p>
    <w:p w14:paraId="75F29509" w14:textId="77777777" w:rsidR="00A567E9" w:rsidRPr="00A567E9" w:rsidRDefault="00A567E9" w:rsidP="003B70A5">
      <w:pPr>
        <w:pStyle w:val="ListParagraph"/>
        <w:numPr>
          <w:ilvl w:val="0"/>
          <w:numId w:val="5"/>
        </w:numPr>
        <w:tabs>
          <w:tab w:val="clear" w:pos="1871"/>
          <w:tab w:val="clear" w:pos="2268"/>
          <w:tab w:val="left" w:pos="567"/>
          <w:tab w:val="left" w:pos="1701"/>
        </w:tabs>
        <w:overflowPunct/>
        <w:autoSpaceDE/>
        <w:autoSpaceDN/>
        <w:adjustRightInd/>
        <w:ind w:left="567" w:hanging="567"/>
        <w:contextualSpacing w:val="0"/>
        <w:textAlignment w:val="auto"/>
        <w:rPr>
          <w:rFonts w:eastAsiaTheme="minorEastAsia" w:cstheme="minorHAnsi"/>
          <w:szCs w:val="24"/>
        </w:rPr>
      </w:pPr>
      <w:r w:rsidRPr="00A567E9">
        <w:rPr>
          <w:rFonts w:eastAsia="Calibri" w:cstheme="minorHAnsi"/>
          <w:szCs w:val="24"/>
          <w:lang w:val="en-US"/>
        </w:rPr>
        <w:t>High-level representatives of both membership and non-members in the above groups.</w:t>
      </w:r>
    </w:p>
    <w:p w14:paraId="764C700E" w14:textId="77777777" w:rsidR="00A567E9" w:rsidRPr="003B70A5" w:rsidRDefault="00A567E9" w:rsidP="003B70A5">
      <w:pPr>
        <w:keepNext/>
        <w:tabs>
          <w:tab w:val="clear" w:pos="794"/>
          <w:tab w:val="clear" w:pos="1191"/>
          <w:tab w:val="clear" w:pos="1588"/>
          <w:tab w:val="clear" w:pos="1985"/>
          <w:tab w:val="left" w:pos="567"/>
          <w:tab w:val="left" w:pos="1134"/>
          <w:tab w:val="left" w:pos="1701"/>
        </w:tabs>
        <w:spacing w:before="240"/>
        <w:rPr>
          <w:rFonts w:eastAsiaTheme="minorHAnsi" w:cstheme="minorHAnsi"/>
          <w:b/>
          <w:bCs/>
          <w:sz w:val="28"/>
          <w:szCs w:val="28"/>
          <w:lang w:val="en-US"/>
        </w:rPr>
      </w:pPr>
      <w:r w:rsidRPr="003B70A5">
        <w:rPr>
          <w:rFonts w:cstheme="minorHAnsi"/>
          <w:b/>
          <w:bCs/>
          <w:sz w:val="28"/>
          <w:szCs w:val="28"/>
          <w:lang w:val="en-US"/>
        </w:rPr>
        <w:t>Preparatory process:</w:t>
      </w:r>
    </w:p>
    <w:p w14:paraId="6D73B79A"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cstheme="minorHAnsi"/>
          <w:szCs w:val="24"/>
          <w:lang w:val="en-ZW"/>
        </w:rPr>
      </w:pPr>
      <w:r w:rsidRPr="00A567E9">
        <w:rPr>
          <w:rFonts w:eastAsia="Calibri" w:cstheme="minorHAnsi"/>
          <w:b/>
          <w:bCs/>
          <w:szCs w:val="24"/>
          <w:lang w:val="en-US"/>
        </w:rPr>
        <w:t>Youth Summit Preparation</w:t>
      </w:r>
    </w:p>
    <w:p w14:paraId="0B578C27" w14:textId="36AC35B2" w:rsidR="00A567E9" w:rsidRPr="00A567E9" w:rsidRDefault="00A567E9" w:rsidP="003B70A5">
      <w:pPr>
        <w:tabs>
          <w:tab w:val="clear" w:pos="794"/>
          <w:tab w:val="clear" w:pos="1191"/>
          <w:tab w:val="clear" w:pos="1588"/>
          <w:tab w:val="clear" w:pos="1985"/>
          <w:tab w:val="left" w:pos="567"/>
          <w:tab w:val="left" w:pos="1134"/>
          <w:tab w:val="left" w:pos="1701"/>
        </w:tabs>
        <w:rPr>
          <w:rFonts w:eastAsia="Calibri" w:cstheme="minorHAnsi"/>
          <w:szCs w:val="24"/>
          <w:lang w:val="en-ZW"/>
        </w:rPr>
      </w:pPr>
      <w:r w:rsidRPr="00A567E9">
        <w:rPr>
          <w:rFonts w:eastAsia="Calibri" w:cstheme="minorHAnsi"/>
          <w:szCs w:val="24"/>
          <w:lang w:val="en-ZW"/>
        </w:rPr>
        <w:t xml:space="preserve">The ITU, hosted by the Government of Ethiopia, will hold a Youth Summit during the two days before the WTDC-21. The theme of this summit is still being </w:t>
      </w:r>
      <w:r w:rsidR="00C15701" w:rsidRPr="00A567E9">
        <w:rPr>
          <w:rFonts w:eastAsia="Calibri" w:cstheme="minorHAnsi"/>
          <w:szCs w:val="24"/>
          <w:lang w:val="en-ZW"/>
        </w:rPr>
        <w:t>developed;</w:t>
      </w:r>
      <w:r w:rsidRPr="00A567E9">
        <w:rPr>
          <w:rFonts w:eastAsia="Calibri" w:cstheme="minorHAnsi"/>
          <w:szCs w:val="24"/>
          <w:lang w:val="en-ZW"/>
        </w:rPr>
        <w:t xml:space="preserve"> </w:t>
      </w:r>
      <w:proofErr w:type="gramStart"/>
      <w:r w:rsidRPr="00A567E9">
        <w:rPr>
          <w:rFonts w:eastAsia="Calibri" w:cstheme="minorHAnsi"/>
          <w:szCs w:val="24"/>
          <w:lang w:val="en-ZW"/>
        </w:rPr>
        <w:t>however</w:t>
      </w:r>
      <w:proofErr w:type="gramEnd"/>
      <w:r w:rsidRPr="00A567E9">
        <w:rPr>
          <w:rFonts w:eastAsia="Calibri" w:cstheme="minorHAnsi"/>
          <w:szCs w:val="24"/>
          <w:lang w:val="en-ZW"/>
        </w:rPr>
        <w:t xml:space="preserve"> this presents an opportunity to enhance youth participation in ITU’s processes, and to obtain input on how ITU’s work can be made more relevant to youth stakeholders. </w:t>
      </w:r>
    </w:p>
    <w:p w14:paraId="38A87BBA"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 xml:space="preserve">Involving young people is particularly important to the work of ITU, because youth are the natural adopters of technology. Young people are the ones who will inherit the world that technology is now shaping. </w:t>
      </w:r>
    </w:p>
    <w:p w14:paraId="329F53F4"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 xml:space="preserve">It is vital that ITU hears their voices, listens to what they want from technology and that they become part of the solution to the challenges the world is facing. Youth will look for creative, bold, ambitious solutions that look to harness technology, to overcome some of today’s biggest global challenges. </w:t>
      </w:r>
    </w:p>
    <w:p w14:paraId="25649920"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lastRenderedPageBreak/>
        <w:t xml:space="preserve">Young people from Member States, as well as youth related organizations and networks, should be invited to take part in the Inter-Regional Coordination Meetings (IRMs) and the Regional Preparatory Meetings (RPMs). </w:t>
      </w:r>
    </w:p>
    <w:p w14:paraId="1F53202B"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 xml:space="preserve">As part of the preparatory process towards WTDC-21, online consultations, crowd-sourcing platforms, face-to-face and virtual meetings during IRMs, RPMs and TDAG may be organized, to brainstorm and debate with youth on the content, outputs and outcomes of the WTDC-21 Youth Summit and how these will feed into WTDC-21. </w:t>
      </w:r>
    </w:p>
    <w:p w14:paraId="5305C64B"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eastAsiaTheme="minorEastAsia" w:cstheme="minorHAnsi"/>
          <w:b/>
          <w:bCs/>
          <w:szCs w:val="24"/>
        </w:rPr>
      </w:pPr>
      <w:r w:rsidRPr="00A567E9">
        <w:rPr>
          <w:rFonts w:eastAsia="Calibri" w:cstheme="minorHAnsi"/>
          <w:b/>
          <w:bCs/>
          <w:szCs w:val="24"/>
          <w:lang w:val="en-US"/>
        </w:rPr>
        <w:t>Regional preparatory meetings (RPMs) and Inter-regional meetings (IRMs)</w:t>
      </w:r>
    </w:p>
    <w:p w14:paraId="1F951FB0"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u w:val="single"/>
          <w:lang w:val="en-US"/>
        </w:rPr>
        <w:t>Number of IRMs/Format/Timing and Agenda</w:t>
      </w:r>
    </w:p>
    <w:p w14:paraId="36ED60C1"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US"/>
        </w:rPr>
        <w:t>It is proposed to hold two IRM to allow for inputs from preparatory meetings in the region (RPM and RTO), and to give membership sufficient time to prepare and contribute actively to the IRMs.</w:t>
      </w:r>
    </w:p>
    <w:p w14:paraId="4BA5A055" w14:textId="77777777" w:rsidR="00A567E9" w:rsidRPr="00A567E9" w:rsidRDefault="00A567E9" w:rsidP="003B70A5">
      <w:pPr>
        <w:pStyle w:val="ListParagraph"/>
        <w:numPr>
          <w:ilvl w:val="0"/>
          <w:numId w:val="10"/>
        </w:numPr>
        <w:tabs>
          <w:tab w:val="clear" w:pos="1871"/>
          <w:tab w:val="clear" w:pos="2268"/>
          <w:tab w:val="left" w:pos="567"/>
          <w:tab w:val="left" w:pos="1701"/>
        </w:tabs>
        <w:overflowPunct/>
        <w:autoSpaceDE/>
        <w:autoSpaceDN/>
        <w:adjustRightInd/>
        <w:ind w:left="567" w:hanging="567"/>
        <w:contextualSpacing w:val="0"/>
        <w:textAlignment w:val="auto"/>
        <w:rPr>
          <w:rFonts w:eastAsia="Calibri" w:cstheme="minorHAnsi"/>
          <w:szCs w:val="24"/>
          <w:lang w:val="en-ZW"/>
        </w:rPr>
      </w:pPr>
      <w:r w:rsidRPr="00A567E9">
        <w:rPr>
          <w:rFonts w:eastAsia="Calibri" w:cstheme="minorHAnsi"/>
          <w:szCs w:val="24"/>
          <w:lang w:val="en-ZW"/>
        </w:rPr>
        <w:t>The first IRM could be held after the first two RPMs, and/or between Q1 and Q2 of 2021, to start gathering common views and identify potential convergence.</w:t>
      </w:r>
    </w:p>
    <w:p w14:paraId="2C04BD03" w14:textId="14737F03" w:rsidR="00A567E9" w:rsidRPr="00A567E9" w:rsidRDefault="00A567E9" w:rsidP="003B70A5">
      <w:pPr>
        <w:pStyle w:val="ListParagraph"/>
        <w:numPr>
          <w:ilvl w:val="0"/>
          <w:numId w:val="10"/>
        </w:numPr>
        <w:tabs>
          <w:tab w:val="clear" w:pos="1871"/>
          <w:tab w:val="clear" w:pos="2268"/>
          <w:tab w:val="left" w:pos="567"/>
          <w:tab w:val="left" w:pos="1701"/>
        </w:tabs>
        <w:overflowPunct/>
        <w:autoSpaceDE/>
        <w:autoSpaceDN/>
        <w:adjustRightInd/>
        <w:ind w:left="567" w:hanging="567"/>
        <w:contextualSpacing w:val="0"/>
        <w:textAlignment w:val="auto"/>
        <w:rPr>
          <w:rFonts w:eastAsia="Calibri" w:cstheme="minorHAnsi"/>
          <w:szCs w:val="24"/>
          <w:lang w:val="en-ZW"/>
        </w:rPr>
      </w:pPr>
      <w:r w:rsidRPr="00A567E9">
        <w:rPr>
          <w:rFonts w:eastAsia="Calibri" w:cstheme="minorHAnsi"/>
          <w:szCs w:val="24"/>
          <w:lang w:val="en-ZW"/>
        </w:rPr>
        <w:t>The second one could be held at the end of the RPMs and RTOs, and/or at the end of Q3, 2021 to ensure consolidation of views and aggregation of proposals</w:t>
      </w:r>
      <w:r w:rsidR="00C15701">
        <w:rPr>
          <w:rFonts w:eastAsia="Calibri" w:cstheme="minorHAnsi"/>
          <w:szCs w:val="24"/>
          <w:lang w:val="en-ZW"/>
        </w:rPr>
        <w:t>.</w:t>
      </w:r>
    </w:p>
    <w:p w14:paraId="4CD3F7A7"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Depending on the situation in terms of availability to travel, RPMs and IRMs would be a combination of virtual/hybrid event with full interpretation.</w:t>
      </w:r>
    </w:p>
    <w:p w14:paraId="7AD09A28" w14:textId="2DDC4A1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The best practice</w:t>
      </w:r>
      <w:r w:rsidR="00C15701">
        <w:rPr>
          <w:rFonts w:eastAsia="Calibri" w:cstheme="minorHAnsi"/>
          <w:szCs w:val="24"/>
          <w:lang w:val="en-ZW"/>
        </w:rPr>
        <w:t>s</w:t>
      </w:r>
      <w:r w:rsidRPr="00A567E9">
        <w:rPr>
          <w:rFonts w:eastAsia="Calibri" w:cstheme="minorHAnsi"/>
          <w:szCs w:val="24"/>
          <w:lang w:val="en-ZW"/>
        </w:rPr>
        <w:t xml:space="preserve"> of preparation from other ITU conferences shall be incorporated in the planning and work of IRMs.</w:t>
      </w:r>
    </w:p>
    <w:p w14:paraId="2FB6DE3A"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The Agenda for IRMs should be linked to contributions received and cover topics that need coordination between different regions.</w:t>
      </w:r>
    </w:p>
    <w:p w14:paraId="15782DEA"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US"/>
        </w:rPr>
        <w:t xml:space="preserve">Some of the elements to be part of the Agendas of the IRMs would include Regional priorities/ initiatives, streamlining of WTDC resolutions, </w:t>
      </w:r>
      <w:proofErr w:type="gramStart"/>
      <w:r w:rsidRPr="00A567E9">
        <w:rPr>
          <w:rFonts w:eastAsia="Calibri" w:cstheme="minorHAnsi"/>
          <w:szCs w:val="24"/>
          <w:lang w:val="en-US"/>
        </w:rPr>
        <w:t>structure</w:t>
      </w:r>
      <w:proofErr w:type="gramEnd"/>
      <w:r w:rsidRPr="00A567E9">
        <w:rPr>
          <w:rFonts w:eastAsia="Calibri" w:cstheme="minorHAnsi"/>
          <w:szCs w:val="24"/>
          <w:lang w:val="en-US"/>
        </w:rPr>
        <w:t xml:space="preserve"> and agenda of WTDC-21.</w:t>
      </w:r>
    </w:p>
    <w:p w14:paraId="3E86317D"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u w:val="single"/>
          <w:lang w:val="en-US"/>
        </w:rPr>
        <w:t>Attendance and chairing</w:t>
      </w:r>
    </w:p>
    <w:p w14:paraId="3D256D30"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US"/>
        </w:rPr>
        <w:t xml:space="preserve">To reduce costs and have effective discussions, it would be envisaged to have up to 5/7 representatives per region, as decided by the RTOs. </w:t>
      </w:r>
      <w:r w:rsidRPr="00A567E9">
        <w:rPr>
          <w:rFonts w:eastAsia="Calibri" w:cstheme="minorHAnsi"/>
          <w:szCs w:val="24"/>
          <w:lang w:val="en-ZW"/>
        </w:rPr>
        <w:t>Representatives from other stakeholders involved in preparation of WTDC-21 may also attend.</w:t>
      </w:r>
    </w:p>
    <w:p w14:paraId="5FDAB00A" w14:textId="0794C9E8" w:rsidR="00A567E9" w:rsidRPr="00A567E9" w:rsidRDefault="00A567E9" w:rsidP="003B70A5">
      <w:pPr>
        <w:tabs>
          <w:tab w:val="clear" w:pos="794"/>
          <w:tab w:val="clear" w:pos="1191"/>
          <w:tab w:val="clear" w:pos="1588"/>
          <w:tab w:val="clear" w:pos="1985"/>
          <w:tab w:val="left" w:pos="567"/>
          <w:tab w:val="left" w:pos="1134"/>
          <w:tab w:val="left" w:pos="1701"/>
        </w:tabs>
        <w:rPr>
          <w:rFonts w:eastAsiaTheme="minorEastAsia" w:cstheme="minorHAnsi"/>
          <w:szCs w:val="24"/>
        </w:rPr>
      </w:pPr>
      <w:r w:rsidRPr="00A567E9">
        <w:rPr>
          <w:rFonts w:eastAsia="Calibri" w:cstheme="minorHAnsi"/>
          <w:szCs w:val="24"/>
          <w:lang w:val="en-ZW"/>
        </w:rPr>
        <w:t>In terms of Chairmanship, as IRMs would aim at aggregating views at the interregional level, the Chairman of WTDC-21 should preferably chair the IRMs. This would allow continuity and consistenc</w:t>
      </w:r>
      <w:r w:rsidR="00C15701">
        <w:rPr>
          <w:rFonts w:eastAsia="Calibri" w:cstheme="minorHAnsi"/>
          <w:szCs w:val="24"/>
          <w:lang w:val="en-ZW"/>
        </w:rPr>
        <w:t>y</w:t>
      </w:r>
      <w:r w:rsidRPr="00A567E9">
        <w:rPr>
          <w:rFonts w:eastAsia="Calibri" w:cstheme="minorHAnsi"/>
          <w:szCs w:val="24"/>
          <w:lang w:val="en-ZW"/>
        </w:rPr>
        <w:t>.</w:t>
      </w:r>
    </w:p>
    <w:p w14:paraId="63A05529" w14:textId="77777777" w:rsidR="00A567E9" w:rsidRPr="003B70A5" w:rsidRDefault="00A567E9" w:rsidP="003B70A5">
      <w:pPr>
        <w:keepNext/>
        <w:tabs>
          <w:tab w:val="clear" w:pos="794"/>
          <w:tab w:val="clear" w:pos="1191"/>
          <w:tab w:val="clear" w:pos="1588"/>
          <w:tab w:val="clear" w:pos="1985"/>
          <w:tab w:val="left" w:pos="567"/>
          <w:tab w:val="left" w:pos="1134"/>
          <w:tab w:val="left" w:pos="1701"/>
        </w:tabs>
        <w:rPr>
          <w:rFonts w:eastAsiaTheme="minorHAnsi" w:cstheme="minorHAnsi"/>
          <w:b/>
          <w:bCs/>
          <w:sz w:val="28"/>
          <w:szCs w:val="28"/>
          <w:lang w:val="en-US"/>
        </w:rPr>
      </w:pPr>
      <w:r w:rsidRPr="003B70A5">
        <w:rPr>
          <w:rFonts w:cstheme="minorHAnsi"/>
          <w:b/>
          <w:bCs/>
          <w:sz w:val="28"/>
          <w:szCs w:val="28"/>
          <w:lang w:val="en-US"/>
        </w:rPr>
        <w:t>Promotion of WTDC-21</w:t>
      </w:r>
    </w:p>
    <w:p w14:paraId="18EFE475" w14:textId="77777777" w:rsidR="00A567E9" w:rsidRPr="00A567E9" w:rsidRDefault="00A567E9" w:rsidP="003B70A5">
      <w:pPr>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 xml:space="preserve">Promotion of WTDC-21 should be done at national, </w:t>
      </w:r>
      <w:proofErr w:type="gramStart"/>
      <w:r w:rsidRPr="00A567E9">
        <w:rPr>
          <w:rFonts w:eastAsia="Calibri" w:cstheme="minorHAnsi"/>
          <w:szCs w:val="24"/>
          <w:lang w:val="en-US"/>
        </w:rPr>
        <w:t>regional</w:t>
      </w:r>
      <w:proofErr w:type="gramEnd"/>
      <w:r w:rsidRPr="00A567E9">
        <w:rPr>
          <w:rFonts w:eastAsia="Calibri" w:cstheme="minorHAnsi"/>
          <w:szCs w:val="24"/>
          <w:lang w:val="en-US"/>
        </w:rPr>
        <w:t xml:space="preserve"> and international level, using as much as possible existing, and already planned events.</w:t>
      </w:r>
    </w:p>
    <w:p w14:paraId="461C18D2"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cstheme="minorHAnsi"/>
          <w:szCs w:val="24"/>
        </w:rPr>
      </w:pPr>
      <w:r w:rsidRPr="00A567E9">
        <w:rPr>
          <w:rFonts w:eastAsia="Calibri" w:cstheme="minorHAnsi"/>
          <w:szCs w:val="24"/>
          <w:lang w:val="en-US"/>
        </w:rPr>
        <w:t>In terms of leveraging existing events, it would be envisaged to make use of:</w:t>
      </w:r>
    </w:p>
    <w:p w14:paraId="3EF11298" w14:textId="77777777" w:rsidR="00A567E9" w:rsidRPr="008673C6" w:rsidRDefault="00A567E9" w:rsidP="003B70A5">
      <w:pPr>
        <w:pStyle w:val="ListParagraph"/>
        <w:numPr>
          <w:ilvl w:val="0"/>
          <w:numId w:val="11"/>
        </w:numPr>
        <w:tabs>
          <w:tab w:val="clear" w:pos="1871"/>
          <w:tab w:val="clear" w:pos="2268"/>
          <w:tab w:val="left" w:pos="567"/>
          <w:tab w:val="left" w:pos="1701"/>
        </w:tabs>
        <w:overflowPunct/>
        <w:autoSpaceDE/>
        <w:autoSpaceDN/>
        <w:adjustRightInd/>
        <w:ind w:left="567" w:hanging="567"/>
        <w:contextualSpacing w:val="0"/>
        <w:textAlignment w:val="auto"/>
        <w:rPr>
          <w:rFonts w:eastAsia="Calibri" w:cstheme="minorHAnsi"/>
          <w:szCs w:val="24"/>
          <w:lang w:val="en-ZW"/>
        </w:rPr>
      </w:pPr>
      <w:r w:rsidRPr="00A567E9">
        <w:rPr>
          <w:rFonts w:eastAsia="Calibri" w:cstheme="minorHAnsi"/>
          <w:szCs w:val="24"/>
          <w:lang w:val="en-ZW"/>
        </w:rPr>
        <w:t>Regional forums like Asian-Pacific Economic Cooperation – APEC (particularly WG on Telecommunications and Information, Steering Committee on Economic and Technical Cooperation)</w:t>
      </w:r>
    </w:p>
    <w:p w14:paraId="4163370C" w14:textId="77777777" w:rsidR="00A567E9" w:rsidRPr="008673C6" w:rsidRDefault="00A567E9" w:rsidP="003B70A5">
      <w:pPr>
        <w:pStyle w:val="ListParagraph"/>
        <w:numPr>
          <w:ilvl w:val="0"/>
          <w:numId w:val="11"/>
        </w:numPr>
        <w:tabs>
          <w:tab w:val="clear" w:pos="1871"/>
          <w:tab w:val="clear" w:pos="2268"/>
          <w:tab w:val="left" w:pos="567"/>
          <w:tab w:val="left" w:pos="1701"/>
        </w:tabs>
        <w:overflowPunct/>
        <w:autoSpaceDE/>
        <w:autoSpaceDN/>
        <w:adjustRightInd/>
        <w:ind w:left="567" w:hanging="567"/>
        <w:contextualSpacing w:val="0"/>
        <w:textAlignment w:val="auto"/>
        <w:rPr>
          <w:rFonts w:eastAsia="Calibri" w:cstheme="minorHAnsi"/>
          <w:szCs w:val="24"/>
          <w:lang w:val="en-ZW"/>
        </w:rPr>
      </w:pPr>
      <w:r w:rsidRPr="00A567E9">
        <w:rPr>
          <w:rFonts w:eastAsia="Calibri" w:cstheme="minorHAnsi"/>
          <w:szCs w:val="24"/>
          <w:lang w:val="en-ZW"/>
        </w:rPr>
        <w:t>Events organised by other institutions such as: OCHA, UNICEF, WEF, FAO, the Broadband Commission, European Commission, etc., at events organised by the most relevant private sector stakeholders (mobile, satellite, OTTs, etc.</w:t>
      </w:r>
      <w:proofErr w:type="gramStart"/>
      <w:r w:rsidRPr="00A567E9">
        <w:rPr>
          <w:rFonts w:eastAsia="Calibri" w:cstheme="minorHAnsi"/>
          <w:szCs w:val="24"/>
          <w:lang w:val="en-ZW"/>
        </w:rPr>
        <w:t>);</w:t>
      </w:r>
      <w:proofErr w:type="gramEnd"/>
    </w:p>
    <w:p w14:paraId="16439B6F" w14:textId="77777777" w:rsidR="00A567E9" w:rsidRPr="00A567E9" w:rsidRDefault="00A567E9" w:rsidP="003B70A5">
      <w:pPr>
        <w:keepNext/>
        <w:tabs>
          <w:tab w:val="clear" w:pos="794"/>
          <w:tab w:val="clear" w:pos="1191"/>
          <w:tab w:val="clear" w:pos="1588"/>
          <w:tab w:val="clear" w:pos="1985"/>
          <w:tab w:val="left" w:pos="567"/>
          <w:tab w:val="left" w:pos="1134"/>
          <w:tab w:val="left" w:pos="1701"/>
        </w:tabs>
        <w:rPr>
          <w:rFonts w:eastAsiaTheme="minorHAnsi" w:cstheme="minorHAnsi"/>
          <w:szCs w:val="24"/>
        </w:rPr>
      </w:pPr>
      <w:r w:rsidRPr="00A567E9">
        <w:rPr>
          <w:rFonts w:eastAsia="Calibri" w:cstheme="minorHAnsi"/>
          <w:szCs w:val="24"/>
          <w:lang w:val="en-ZW"/>
        </w:rPr>
        <w:lastRenderedPageBreak/>
        <w:t>Concerning promotion at various levels:</w:t>
      </w:r>
    </w:p>
    <w:p w14:paraId="3AAE9D28" w14:textId="77777777" w:rsidR="00A567E9" w:rsidRPr="00A567E9" w:rsidRDefault="00A567E9" w:rsidP="003B70A5">
      <w:pPr>
        <w:pStyle w:val="ListParagraph"/>
        <w:numPr>
          <w:ilvl w:val="0"/>
          <w:numId w:val="11"/>
        </w:numPr>
        <w:tabs>
          <w:tab w:val="clear" w:pos="1871"/>
          <w:tab w:val="clear" w:pos="2268"/>
          <w:tab w:val="left" w:pos="567"/>
          <w:tab w:val="left" w:pos="1701"/>
        </w:tabs>
        <w:overflowPunct/>
        <w:autoSpaceDE/>
        <w:autoSpaceDN/>
        <w:adjustRightInd/>
        <w:ind w:left="567" w:hanging="567"/>
        <w:contextualSpacing w:val="0"/>
        <w:textAlignment w:val="auto"/>
        <w:rPr>
          <w:rFonts w:cstheme="minorHAnsi"/>
          <w:szCs w:val="24"/>
        </w:rPr>
      </w:pPr>
      <w:r w:rsidRPr="00A567E9">
        <w:rPr>
          <w:rFonts w:eastAsia="Calibri" w:cstheme="minorHAnsi"/>
          <w:szCs w:val="24"/>
          <w:lang w:val="en-ZW"/>
        </w:rPr>
        <w:t xml:space="preserve">Nationally, regulators could dedicate any speeches delivered during key ICT events to the role of WTDC and encourage industry, </w:t>
      </w:r>
      <w:proofErr w:type="gramStart"/>
      <w:r w:rsidRPr="00A567E9">
        <w:rPr>
          <w:rFonts w:eastAsia="Calibri" w:cstheme="minorHAnsi"/>
          <w:szCs w:val="24"/>
          <w:lang w:val="en-ZW"/>
        </w:rPr>
        <w:t>academia</w:t>
      </w:r>
      <w:proofErr w:type="gramEnd"/>
      <w:r w:rsidRPr="00A567E9">
        <w:rPr>
          <w:rFonts w:eastAsia="Calibri" w:cstheme="minorHAnsi"/>
          <w:szCs w:val="24"/>
          <w:lang w:val="en-ZW"/>
        </w:rPr>
        <w:t xml:space="preserve"> and various other stakeholders to participate in the preparations and take up the responsibility to take awareness to their constituencies. Raising awareness with groups that may benefit the most from outcomes of WTDC-21 would also be recommended (e. g. the youth organizations, girls and women, organizations of persons with disabilities, etc.)</w:t>
      </w:r>
    </w:p>
    <w:p w14:paraId="57CFEB56" w14:textId="77777777" w:rsidR="00A567E9" w:rsidRPr="00A567E9" w:rsidRDefault="00A567E9" w:rsidP="003B70A5">
      <w:pPr>
        <w:pStyle w:val="ListParagraph"/>
        <w:numPr>
          <w:ilvl w:val="0"/>
          <w:numId w:val="11"/>
        </w:numPr>
        <w:tabs>
          <w:tab w:val="clear" w:pos="1871"/>
          <w:tab w:val="clear" w:pos="2268"/>
          <w:tab w:val="left" w:pos="567"/>
          <w:tab w:val="left" w:pos="1701"/>
        </w:tabs>
        <w:overflowPunct/>
        <w:autoSpaceDE/>
        <w:autoSpaceDN/>
        <w:adjustRightInd/>
        <w:ind w:left="567" w:hanging="567"/>
        <w:contextualSpacing w:val="0"/>
        <w:textAlignment w:val="auto"/>
        <w:rPr>
          <w:rFonts w:cstheme="minorHAnsi"/>
          <w:szCs w:val="24"/>
        </w:rPr>
      </w:pPr>
      <w:r w:rsidRPr="00A567E9">
        <w:rPr>
          <w:rFonts w:eastAsia="Calibri" w:cstheme="minorHAnsi"/>
          <w:szCs w:val="24"/>
          <w:lang w:val="en-ZW"/>
        </w:rPr>
        <w:t>Regionally, all regional meetings and conferences to incorporate a segment with discussion on the importance of participating in WTDC and its role in development.</w:t>
      </w:r>
    </w:p>
    <w:p w14:paraId="5E8419FB" w14:textId="72126D65" w:rsidR="00A567E9" w:rsidRPr="00A567E9" w:rsidRDefault="00A567E9" w:rsidP="003B70A5">
      <w:pPr>
        <w:pStyle w:val="ListParagraph"/>
        <w:numPr>
          <w:ilvl w:val="0"/>
          <w:numId w:val="11"/>
        </w:numPr>
        <w:tabs>
          <w:tab w:val="clear" w:pos="1871"/>
          <w:tab w:val="clear" w:pos="2268"/>
          <w:tab w:val="left" w:pos="567"/>
          <w:tab w:val="left" w:pos="1701"/>
        </w:tabs>
        <w:overflowPunct/>
        <w:autoSpaceDE/>
        <w:autoSpaceDN/>
        <w:adjustRightInd/>
        <w:ind w:left="567" w:hanging="567"/>
        <w:contextualSpacing w:val="0"/>
        <w:textAlignment w:val="auto"/>
        <w:rPr>
          <w:rFonts w:cstheme="minorHAnsi"/>
          <w:szCs w:val="24"/>
        </w:rPr>
      </w:pPr>
      <w:r w:rsidRPr="00A567E9">
        <w:rPr>
          <w:rFonts w:eastAsia="Calibri" w:cstheme="minorHAnsi"/>
          <w:szCs w:val="24"/>
          <w:lang w:val="en-ZW"/>
        </w:rPr>
        <w:t xml:space="preserve">Internationally, major UN </w:t>
      </w:r>
      <w:r w:rsidR="00C15701">
        <w:rPr>
          <w:rFonts w:eastAsia="Calibri" w:cstheme="minorHAnsi"/>
          <w:szCs w:val="24"/>
          <w:lang w:val="en-ZW"/>
        </w:rPr>
        <w:t>related</w:t>
      </w:r>
      <w:r w:rsidR="00C15701" w:rsidRPr="00A567E9">
        <w:rPr>
          <w:rFonts w:eastAsia="Calibri" w:cstheme="minorHAnsi"/>
          <w:szCs w:val="24"/>
          <w:lang w:val="en-ZW"/>
        </w:rPr>
        <w:t xml:space="preserve"> </w:t>
      </w:r>
      <w:r w:rsidRPr="00A567E9">
        <w:rPr>
          <w:rFonts w:eastAsia="Calibri" w:cstheme="minorHAnsi"/>
          <w:szCs w:val="24"/>
          <w:lang w:val="en-ZW"/>
        </w:rPr>
        <w:t>conferences to promote WTDC: Global sustainable transport Summits, The Conference on Sustainable Development and Summits, The International Conference on financing for development, the World Education Forum and World Summits on Social Development, etc.</w:t>
      </w:r>
    </w:p>
    <w:p w14:paraId="132F9439" w14:textId="216CDF98" w:rsidR="008242B2" w:rsidRDefault="008242B2" w:rsidP="00A567E9">
      <w:pPr>
        <w:tabs>
          <w:tab w:val="clear" w:pos="794"/>
          <w:tab w:val="clear" w:pos="1191"/>
          <w:tab w:val="clear" w:pos="1588"/>
          <w:tab w:val="clear" w:pos="1985"/>
        </w:tabs>
        <w:spacing w:after="120"/>
        <w:jc w:val="center"/>
      </w:pPr>
      <w:r>
        <w:t>________________</w:t>
      </w:r>
    </w:p>
    <w:sectPr w:rsidR="008242B2"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54F2" w14:textId="77777777" w:rsidR="00D463D1" w:rsidRDefault="00D463D1">
      <w:r>
        <w:separator/>
      </w:r>
    </w:p>
  </w:endnote>
  <w:endnote w:type="continuationSeparator" w:id="0">
    <w:p w14:paraId="3F550C1D" w14:textId="77777777" w:rsidR="00D463D1" w:rsidRDefault="00D4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8673C6" w14:paraId="07A73F0A" w14:textId="77777777" w:rsidTr="008673C6">
      <w:tc>
        <w:tcPr>
          <w:tcW w:w="1527" w:type="dxa"/>
          <w:tcBorders>
            <w:top w:val="single" w:sz="4" w:space="0" w:color="000000"/>
            <w:left w:val="nil"/>
            <w:bottom w:val="nil"/>
            <w:right w:val="nil"/>
          </w:tcBorders>
          <w:hideMark/>
        </w:tcPr>
        <w:p w14:paraId="0CAEC079" w14:textId="77777777" w:rsidR="008673C6" w:rsidRDefault="008673C6" w:rsidP="008673C6">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271AA3D2" w14:textId="77777777" w:rsidR="008673C6" w:rsidRDefault="008673C6" w:rsidP="008673C6">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1EF4FA7F" w14:textId="6D756150" w:rsidR="008673C6" w:rsidRDefault="008673C6" w:rsidP="008673C6">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lang w:val="en-GB"/>
            </w:rPr>
            <w:t>Telecommunication Development Bureau</w:t>
          </w:r>
        </w:p>
      </w:tc>
      <w:bookmarkStart w:id="0" w:name="OrgName"/>
      <w:bookmarkEnd w:id="0"/>
    </w:tr>
    <w:tr w:rsidR="008673C6" w14:paraId="7D10EDBD" w14:textId="77777777" w:rsidTr="008673C6">
      <w:tc>
        <w:tcPr>
          <w:tcW w:w="1527" w:type="dxa"/>
        </w:tcPr>
        <w:p w14:paraId="362A05B3" w14:textId="77777777" w:rsidR="008673C6" w:rsidRDefault="008673C6" w:rsidP="008673C6">
          <w:pPr>
            <w:pStyle w:val="FirstFooter"/>
            <w:tabs>
              <w:tab w:val="left" w:pos="1559"/>
              <w:tab w:val="left" w:pos="3828"/>
            </w:tabs>
            <w:rPr>
              <w:sz w:val="20"/>
              <w:lang w:val="en-US"/>
            </w:rPr>
          </w:pPr>
        </w:p>
      </w:tc>
      <w:tc>
        <w:tcPr>
          <w:tcW w:w="2412" w:type="dxa"/>
          <w:hideMark/>
        </w:tcPr>
        <w:p w14:paraId="05297E2C" w14:textId="77777777" w:rsidR="008673C6" w:rsidRDefault="008673C6" w:rsidP="008673C6">
          <w:pPr>
            <w:pStyle w:val="FirstFooter"/>
            <w:tabs>
              <w:tab w:val="left" w:pos="2302"/>
            </w:tabs>
            <w:rPr>
              <w:sz w:val="18"/>
              <w:szCs w:val="18"/>
              <w:lang w:val="en-US"/>
            </w:rPr>
          </w:pPr>
          <w:r>
            <w:rPr>
              <w:sz w:val="18"/>
              <w:szCs w:val="18"/>
              <w:lang w:val="en-US"/>
            </w:rPr>
            <w:t>Phone number:</w:t>
          </w:r>
        </w:p>
      </w:tc>
      <w:tc>
        <w:tcPr>
          <w:tcW w:w="5991" w:type="dxa"/>
        </w:tcPr>
        <w:p w14:paraId="60B89F45" w14:textId="4B2333BF" w:rsidR="008673C6" w:rsidRDefault="008673C6" w:rsidP="008673C6">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 w:name="PhoneNo"/>
      <w:bookmarkEnd w:id="1"/>
    </w:tr>
    <w:tr w:rsidR="008673C6" w14:paraId="1BCDB38C" w14:textId="77777777" w:rsidTr="008673C6">
      <w:tc>
        <w:tcPr>
          <w:tcW w:w="1527" w:type="dxa"/>
        </w:tcPr>
        <w:p w14:paraId="0D7D61C0" w14:textId="77777777" w:rsidR="008673C6" w:rsidRDefault="008673C6" w:rsidP="008673C6">
          <w:pPr>
            <w:pStyle w:val="FirstFooter"/>
            <w:tabs>
              <w:tab w:val="left" w:pos="1559"/>
              <w:tab w:val="left" w:pos="3828"/>
            </w:tabs>
            <w:rPr>
              <w:sz w:val="20"/>
              <w:lang w:val="en-US"/>
            </w:rPr>
          </w:pPr>
        </w:p>
      </w:tc>
      <w:tc>
        <w:tcPr>
          <w:tcW w:w="2412" w:type="dxa"/>
          <w:hideMark/>
        </w:tcPr>
        <w:p w14:paraId="1E1BC06B" w14:textId="77777777" w:rsidR="008673C6" w:rsidRDefault="008673C6" w:rsidP="008673C6">
          <w:pPr>
            <w:pStyle w:val="FirstFooter"/>
            <w:tabs>
              <w:tab w:val="left" w:pos="2302"/>
            </w:tabs>
            <w:rPr>
              <w:sz w:val="18"/>
              <w:szCs w:val="18"/>
              <w:lang w:val="en-US"/>
            </w:rPr>
          </w:pPr>
          <w:r>
            <w:rPr>
              <w:sz w:val="18"/>
              <w:szCs w:val="18"/>
              <w:lang w:val="en-US"/>
            </w:rPr>
            <w:t>E-mail:</w:t>
          </w:r>
        </w:p>
      </w:tc>
      <w:tc>
        <w:tcPr>
          <w:tcW w:w="5991" w:type="dxa"/>
        </w:tcPr>
        <w:p w14:paraId="439DD6BF" w14:textId="2084FFA1" w:rsidR="008673C6" w:rsidRDefault="00FB1CCE" w:rsidP="008673C6">
          <w:pPr>
            <w:pStyle w:val="FirstFooter"/>
            <w:tabs>
              <w:tab w:val="left" w:pos="2302"/>
            </w:tabs>
            <w:rPr>
              <w:sz w:val="18"/>
              <w:szCs w:val="18"/>
              <w:lang w:val="en-US"/>
            </w:rPr>
          </w:pPr>
          <w:hyperlink r:id="rId1" w:history="1">
            <w:r w:rsidR="008673C6" w:rsidRPr="00D934D7">
              <w:rPr>
                <w:rStyle w:val="Hyperlink"/>
                <w:sz w:val="18"/>
                <w:szCs w:val="22"/>
              </w:rPr>
              <w:t>stephen.bereaux@itu.int</w:t>
            </w:r>
          </w:hyperlink>
          <w:r w:rsidR="008673C6" w:rsidRPr="00D934D7">
            <w:rPr>
              <w:sz w:val="18"/>
              <w:szCs w:val="22"/>
            </w:rPr>
            <w:t xml:space="preserve"> </w:t>
          </w:r>
        </w:p>
      </w:tc>
      <w:bookmarkStart w:id="2" w:name="Email"/>
      <w:bookmarkEnd w:id="2"/>
    </w:tr>
  </w:tbl>
  <w:p w14:paraId="401328D0" w14:textId="67BF08EA" w:rsidR="00721657" w:rsidRPr="00A34B4B" w:rsidRDefault="00A34B4B" w:rsidP="00A34B4B">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5749" w14:textId="77777777" w:rsidR="00D463D1" w:rsidRDefault="00D463D1">
      <w:r>
        <w:t>____________________</w:t>
      </w:r>
    </w:p>
  </w:footnote>
  <w:footnote w:type="continuationSeparator" w:id="0">
    <w:p w14:paraId="302E35BF" w14:textId="77777777" w:rsidR="00D463D1" w:rsidRDefault="00D4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3132" w14:textId="4CA43CE6" w:rsidR="00721657" w:rsidRPr="00BE53BF" w:rsidRDefault="00BE53BF" w:rsidP="00BE53BF">
    <w:pPr>
      <w:pStyle w:val="Header"/>
      <w:rPr>
        <w:rStyle w:val="PageNumber"/>
        <w:lang w:val="en-US"/>
      </w:rPr>
    </w:pPr>
    <w:r>
      <w:rPr>
        <w:rStyle w:val="PageNumber"/>
        <w:lang w:val="en-US"/>
      </w:rPr>
      <w:t>TDAG-WG-Prep/</w:t>
    </w:r>
    <w:r w:rsidR="008673C6">
      <w:rPr>
        <w:rStyle w:val="PageNumber"/>
        <w:lang w:val="en-US"/>
      </w:rPr>
      <w:t>DT/4-E</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FE5CD3">
      <w:rPr>
        <w:rStyle w:val="PageNumber"/>
        <w:noProof/>
        <w:lang w:val="en-US"/>
      </w:rPr>
      <w:t>2</w:t>
    </w:r>
    <w:r w:rsidR="00643042" w:rsidRPr="00643042">
      <w:rPr>
        <w:rStyle w:val="PageNumber"/>
        <w:noProof/>
        <w:lang w:val="en-US"/>
      </w:rPr>
      <w:fldChar w:fldCharType="end"/>
    </w:r>
    <w:r w:rsidR="00643042">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723F"/>
    <w:multiLevelType w:val="hybridMultilevel"/>
    <w:tmpl w:val="7A08F652"/>
    <w:lvl w:ilvl="0" w:tplc="08090001">
      <w:start w:val="1"/>
      <w:numFmt w:val="bullet"/>
      <w:lvlText w:val=""/>
      <w:lvlJc w:val="left"/>
      <w:pPr>
        <w:ind w:left="3905" w:hanging="360"/>
      </w:pPr>
      <w:rPr>
        <w:rFonts w:ascii="Symbol" w:hAnsi="Symbol" w:hint="default"/>
      </w:rPr>
    </w:lvl>
    <w:lvl w:ilvl="1" w:tplc="08090003">
      <w:start w:val="1"/>
      <w:numFmt w:val="bullet"/>
      <w:lvlText w:val="o"/>
      <w:lvlJc w:val="left"/>
      <w:pPr>
        <w:ind w:left="4625" w:hanging="360"/>
      </w:pPr>
      <w:rPr>
        <w:rFonts w:ascii="Courier New" w:hAnsi="Courier New" w:cs="Courier New" w:hint="default"/>
      </w:rPr>
    </w:lvl>
    <w:lvl w:ilvl="2" w:tplc="08090005">
      <w:start w:val="1"/>
      <w:numFmt w:val="bullet"/>
      <w:lvlText w:val=""/>
      <w:lvlJc w:val="left"/>
      <w:pPr>
        <w:ind w:left="5345" w:hanging="360"/>
      </w:pPr>
      <w:rPr>
        <w:rFonts w:ascii="Wingdings" w:hAnsi="Wingdings" w:hint="default"/>
      </w:rPr>
    </w:lvl>
    <w:lvl w:ilvl="3" w:tplc="08090001">
      <w:start w:val="1"/>
      <w:numFmt w:val="bullet"/>
      <w:lvlText w:val=""/>
      <w:lvlJc w:val="left"/>
      <w:pPr>
        <w:ind w:left="6065" w:hanging="360"/>
      </w:pPr>
      <w:rPr>
        <w:rFonts w:ascii="Symbol" w:hAnsi="Symbol" w:hint="default"/>
      </w:rPr>
    </w:lvl>
    <w:lvl w:ilvl="4" w:tplc="08090003">
      <w:start w:val="1"/>
      <w:numFmt w:val="bullet"/>
      <w:lvlText w:val="o"/>
      <w:lvlJc w:val="left"/>
      <w:pPr>
        <w:ind w:left="6785" w:hanging="360"/>
      </w:pPr>
      <w:rPr>
        <w:rFonts w:ascii="Courier New" w:hAnsi="Courier New" w:cs="Courier New" w:hint="default"/>
      </w:rPr>
    </w:lvl>
    <w:lvl w:ilvl="5" w:tplc="08090005">
      <w:start w:val="1"/>
      <w:numFmt w:val="bullet"/>
      <w:lvlText w:val=""/>
      <w:lvlJc w:val="left"/>
      <w:pPr>
        <w:ind w:left="7505" w:hanging="360"/>
      </w:pPr>
      <w:rPr>
        <w:rFonts w:ascii="Wingdings" w:hAnsi="Wingdings" w:hint="default"/>
      </w:rPr>
    </w:lvl>
    <w:lvl w:ilvl="6" w:tplc="08090001">
      <w:start w:val="1"/>
      <w:numFmt w:val="bullet"/>
      <w:lvlText w:val=""/>
      <w:lvlJc w:val="left"/>
      <w:pPr>
        <w:ind w:left="8225" w:hanging="360"/>
      </w:pPr>
      <w:rPr>
        <w:rFonts w:ascii="Symbol" w:hAnsi="Symbol" w:hint="default"/>
      </w:rPr>
    </w:lvl>
    <w:lvl w:ilvl="7" w:tplc="08090003">
      <w:start w:val="1"/>
      <w:numFmt w:val="bullet"/>
      <w:lvlText w:val="o"/>
      <w:lvlJc w:val="left"/>
      <w:pPr>
        <w:ind w:left="8945" w:hanging="360"/>
      </w:pPr>
      <w:rPr>
        <w:rFonts w:ascii="Courier New" w:hAnsi="Courier New" w:cs="Courier New" w:hint="default"/>
      </w:rPr>
    </w:lvl>
    <w:lvl w:ilvl="8" w:tplc="08090005">
      <w:start w:val="1"/>
      <w:numFmt w:val="bullet"/>
      <w:lvlText w:val=""/>
      <w:lvlJc w:val="left"/>
      <w:pPr>
        <w:ind w:left="9665" w:hanging="360"/>
      </w:pPr>
      <w:rPr>
        <w:rFonts w:ascii="Wingdings" w:hAnsi="Wingdings" w:hint="default"/>
      </w:rPr>
    </w:lvl>
  </w:abstractNum>
  <w:abstractNum w:abstractNumId="1" w15:restartNumberingAfterBreak="0">
    <w:nsid w:val="149975E3"/>
    <w:multiLevelType w:val="hybridMultilevel"/>
    <w:tmpl w:val="9384BCF2"/>
    <w:lvl w:ilvl="0" w:tplc="2BD889DC">
      <w:start w:val="1"/>
      <w:numFmt w:val="bullet"/>
      <w:lvlText w:val=""/>
      <w:lvlJc w:val="left"/>
      <w:pPr>
        <w:ind w:left="720" w:hanging="360"/>
      </w:pPr>
      <w:rPr>
        <w:rFonts w:ascii="Symbol" w:hAnsi="Symbol" w:hint="default"/>
      </w:rPr>
    </w:lvl>
    <w:lvl w:ilvl="1" w:tplc="39E434A4">
      <w:start w:val="1"/>
      <w:numFmt w:val="bullet"/>
      <w:lvlText w:val="o"/>
      <w:lvlJc w:val="left"/>
      <w:pPr>
        <w:ind w:left="1440" w:hanging="360"/>
      </w:pPr>
      <w:rPr>
        <w:rFonts w:ascii="Courier New" w:hAnsi="Courier New" w:cs="Times New Roman" w:hint="default"/>
      </w:rPr>
    </w:lvl>
    <w:lvl w:ilvl="2" w:tplc="FDB8326C">
      <w:start w:val="1"/>
      <w:numFmt w:val="bullet"/>
      <w:lvlText w:val=""/>
      <w:lvlJc w:val="left"/>
      <w:pPr>
        <w:ind w:left="2160" w:hanging="360"/>
      </w:pPr>
      <w:rPr>
        <w:rFonts w:ascii="Wingdings" w:hAnsi="Wingdings" w:hint="default"/>
      </w:rPr>
    </w:lvl>
    <w:lvl w:ilvl="3" w:tplc="A47C9094">
      <w:start w:val="1"/>
      <w:numFmt w:val="bullet"/>
      <w:lvlText w:val=""/>
      <w:lvlJc w:val="left"/>
      <w:pPr>
        <w:ind w:left="2880" w:hanging="360"/>
      </w:pPr>
      <w:rPr>
        <w:rFonts w:ascii="Symbol" w:hAnsi="Symbol" w:hint="default"/>
      </w:rPr>
    </w:lvl>
    <w:lvl w:ilvl="4" w:tplc="125828DA">
      <w:start w:val="1"/>
      <w:numFmt w:val="bullet"/>
      <w:lvlText w:val="o"/>
      <w:lvlJc w:val="left"/>
      <w:pPr>
        <w:ind w:left="3600" w:hanging="360"/>
      </w:pPr>
      <w:rPr>
        <w:rFonts w:ascii="Courier New" w:hAnsi="Courier New" w:cs="Times New Roman" w:hint="default"/>
      </w:rPr>
    </w:lvl>
    <w:lvl w:ilvl="5" w:tplc="992CCCB6">
      <w:start w:val="1"/>
      <w:numFmt w:val="bullet"/>
      <w:lvlText w:val=""/>
      <w:lvlJc w:val="left"/>
      <w:pPr>
        <w:ind w:left="4320" w:hanging="360"/>
      </w:pPr>
      <w:rPr>
        <w:rFonts w:ascii="Wingdings" w:hAnsi="Wingdings" w:hint="default"/>
      </w:rPr>
    </w:lvl>
    <w:lvl w:ilvl="6" w:tplc="D8749D18">
      <w:start w:val="1"/>
      <w:numFmt w:val="bullet"/>
      <w:lvlText w:val=""/>
      <w:lvlJc w:val="left"/>
      <w:pPr>
        <w:ind w:left="5040" w:hanging="360"/>
      </w:pPr>
      <w:rPr>
        <w:rFonts w:ascii="Symbol" w:hAnsi="Symbol" w:hint="default"/>
      </w:rPr>
    </w:lvl>
    <w:lvl w:ilvl="7" w:tplc="4F8E6FF6">
      <w:start w:val="1"/>
      <w:numFmt w:val="bullet"/>
      <w:lvlText w:val="o"/>
      <w:lvlJc w:val="left"/>
      <w:pPr>
        <w:ind w:left="5760" w:hanging="360"/>
      </w:pPr>
      <w:rPr>
        <w:rFonts w:ascii="Courier New" w:hAnsi="Courier New" w:cs="Times New Roman" w:hint="default"/>
      </w:rPr>
    </w:lvl>
    <w:lvl w:ilvl="8" w:tplc="935CD14C">
      <w:start w:val="1"/>
      <w:numFmt w:val="bullet"/>
      <w:lvlText w:val=""/>
      <w:lvlJc w:val="left"/>
      <w:pPr>
        <w:ind w:left="6480" w:hanging="360"/>
      </w:pPr>
      <w:rPr>
        <w:rFonts w:ascii="Wingdings" w:hAnsi="Wingdings" w:hint="default"/>
      </w:rPr>
    </w:lvl>
  </w:abstractNum>
  <w:abstractNum w:abstractNumId="2" w15:restartNumberingAfterBreak="0">
    <w:nsid w:val="1CB62AE1"/>
    <w:multiLevelType w:val="hybridMultilevel"/>
    <w:tmpl w:val="677EDCF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08D5629"/>
    <w:multiLevelType w:val="hybridMultilevel"/>
    <w:tmpl w:val="518E3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168B9"/>
    <w:multiLevelType w:val="hybridMultilevel"/>
    <w:tmpl w:val="80DE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E502D"/>
    <w:multiLevelType w:val="hybridMultilevel"/>
    <w:tmpl w:val="345633A6"/>
    <w:lvl w:ilvl="0" w:tplc="AA003B62">
      <w:numFmt w:val="bullet"/>
      <w:lvlText w:val="-"/>
      <w:lvlJc w:val="left"/>
      <w:pPr>
        <w:ind w:left="360" w:hanging="360"/>
      </w:pPr>
      <w:rPr>
        <w:rFonts w:ascii="Calibri" w:eastAsia="Times New Roman" w:hAnsi="Calibri"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39F17EA"/>
    <w:multiLevelType w:val="hybridMultilevel"/>
    <w:tmpl w:val="64CECC6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EFC140D"/>
    <w:multiLevelType w:val="hybridMultilevel"/>
    <w:tmpl w:val="E45C4D48"/>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C9C4834"/>
    <w:multiLevelType w:val="hybridMultilevel"/>
    <w:tmpl w:val="DCE6EFA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9"/>
  </w:num>
  <w:num w:numId="6">
    <w:abstractNumId w:val="0"/>
  </w:num>
  <w:num w:numId="7">
    <w:abstractNumId w:val="1"/>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2520B"/>
    <w:rsid w:val="00027F65"/>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E6229"/>
    <w:rsid w:val="001F23E6"/>
    <w:rsid w:val="001F3E58"/>
    <w:rsid w:val="001F4238"/>
    <w:rsid w:val="00200A38"/>
    <w:rsid w:val="00200A46"/>
    <w:rsid w:val="00211B6F"/>
    <w:rsid w:val="00217CC3"/>
    <w:rsid w:val="00220AB6"/>
    <w:rsid w:val="0022120F"/>
    <w:rsid w:val="0022754A"/>
    <w:rsid w:val="00236560"/>
    <w:rsid w:val="0023662E"/>
    <w:rsid w:val="00245D0F"/>
    <w:rsid w:val="002548C3"/>
    <w:rsid w:val="00257ACD"/>
    <w:rsid w:val="00262766"/>
    <w:rsid w:val="00262908"/>
    <w:rsid w:val="002650F4"/>
    <w:rsid w:val="002715FD"/>
    <w:rsid w:val="002770B1"/>
    <w:rsid w:val="00285B33"/>
    <w:rsid w:val="00287A3C"/>
    <w:rsid w:val="00291321"/>
    <w:rsid w:val="002A2FC6"/>
    <w:rsid w:val="002C1EC7"/>
    <w:rsid w:val="002C3015"/>
    <w:rsid w:val="002C4342"/>
    <w:rsid w:val="002C7EA3"/>
    <w:rsid w:val="002D20AE"/>
    <w:rsid w:val="002D6C61"/>
    <w:rsid w:val="002E2104"/>
    <w:rsid w:val="002E2DAC"/>
    <w:rsid w:val="002E6963"/>
    <w:rsid w:val="002E6F8F"/>
    <w:rsid w:val="002E7991"/>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B70A5"/>
    <w:rsid w:val="003C1746"/>
    <w:rsid w:val="003C2AA9"/>
    <w:rsid w:val="003C58BF"/>
    <w:rsid w:val="003C6FBB"/>
    <w:rsid w:val="003D451D"/>
    <w:rsid w:val="003D5825"/>
    <w:rsid w:val="003F2DD8"/>
    <w:rsid w:val="003F3F2D"/>
    <w:rsid w:val="003F50B2"/>
    <w:rsid w:val="00400CCF"/>
    <w:rsid w:val="00401BFF"/>
    <w:rsid w:val="00404424"/>
    <w:rsid w:val="00410DC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A5FA8"/>
    <w:rsid w:val="004B1A3C"/>
    <w:rsid w:val="004C6AFE"/>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2068"/>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65624"/>
    <w:rsid w:val="00666216"/>
    <w:rsid w:val="00671EF6"/>
    <w:rsid w:val="0067205B"/>
    <w:rsid w:val="006748F8"/>
    <w:rsid w:val="00680489"/>
    <w:rsid w:val="00683C32"/>
    <w:rsid w:val="00690BB2"/>
    <w:rsid w:val="00693D09"/>
    <w:rsid w:val="0069459D"/>
    <w:rsid w:val="006A6549"/>
    <w:rsid w:val="006A7710"/>
    <w:rsid w:val="006A7A61"/>
    <w:rsid w:val="006B1E59"/>
    <w:rsid w:val="006B2FFB"/>
    <w:rsid w:val="006C10A2"/>
    <w:rsid w:val="006C1F18"/>
    <w:rsid w:val="006D0FFA"/>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64EF"/>
    <w:rsid w:val="007B18A7"/>
    <w:rsid w:val="007B250E"/>
    <w:rsid w:val="007C27FC"/>
    <w:rsid w:val="007C51FF"/>
    <w:rsid w:val="007D50E4"/>
    <w:rsid w:val="007E2DC5"/>
    <w:rsid w:val="007F1CC7"/>
    <w:rsid w:val="0080225A"/>
    <w:rsid w:val="008027AC"/>
    <w:rsid w:val="008028CE"/>
    <w:rsid w:val="0080332E"/>
    <w:rsid w:val="008141E0"/>
    <w:rsid w:val="00816EE1"/>
    <w:rsid w:val="00816F88"/>
    <w:rsid w:val="00821996"/>
    <w:rsid w:val="00822323"/>
    <w:rsid w:val="008242B2"/>
    <w:rsid w:val="00827BC6"/>
    <w:rsid w:val="008300AD"/>
    <w:rsid w:val="00833024"/>
    <w:rsid w:val="008419B1"/>
    <w:rsid w:val="00844A56"/>
    <w:rsid w:val="00845B11"/>
    <w:rsid w:val="00852081"/>
    <w:rsid w:val="0085753F"/>
    <w:rsid w:val="008673C6"/>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0BC7"/>
    <w:rsid w:val="00922EC1"/>
    <w:rsid w:val="00923CF1"/>
    <w:rsid w:val="009301F1"/>
    <w:rsid w:val="009307DF"/>
    <w:rsid w:val="009359B8"/>
    <w:rsid w:val="00935FF0"/>
    <w:rsid w:val="009431F8"/>
    <w:rsid w:val="00947A35"/>
    <w:rsid w:val="009548AE"/>
    <w:rsid w:val="0096201B"/>
    <w:rsid w:val="00962081"/>
    <w:rsid w:val="00966CB5"/>
    <w:rsid w:val="00975786"/>
    <w:rsid w:val="00977592"/>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4B4B"/>
    <w:rsid w:val="00A35E20"/>
    <w:rsid w:val="00A36F6D"/>
    <w:rsid w:val="00A50CA0"/>
    <w:rsid w:val="00A525CC"/>
    <w:rsid w:val="00A53E7C"/>
    <w:rsid w:val="00A567E9"/>
    <w:rsid w:val="00A60087"/>
    <w:rsid w:val="00A705E8"/>
    <w:rsid w:val="00A721F4"/>
    <w:rsid w:val="00A87201"/>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1584"/>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5701"/>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6D01"/>
    <w:rsid w:val="00D10FC7"/>
    <w:rsid w:val="00D1519F"/>
    <w:rsid w:val="00D20E99"/>
    <w:rsid w:val="00D21C83"/>
    <w:rsid w:val="00D35BDD"/>
    <w:rsid w:val="00D463D1"/>
    <w:rsid w:val="00D63006"/>
    <w:rsid w:val="00D72301"/>
    <w:rsid w:val="00D911DE"/>
    <w:rsid w:val="00D91B97"/>
    <w:rsid w:val="00D93ACC"/>
    <w:rsid w:val="00D93C08"/>
    <w:rsid w:val="00D95DAC"/>
    <w:rsid w:val="00DA0B53"/>
    <w:rsid w:val="00DB1171"/>
    <w:rsid w:val="00DB1519"/>
    <w:rsid w:val="00DB2840"/>
    <w:rsid w:val="00DC1BD3"/>
    <w:rsid w:val="00DC2959"/>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1CCE"/>
    <w:rsid w:val="00FB4139"/>
    <w:rsid w:val="00FB476E"/>
    <w:rsid w:val="00FC0D90"/>
    <w:rsid w:val="00FC7D8C"/>
    <w:rsid w:val="00FD3980"/>
    <w:rsid w:val="00FD431E"/>
    <w:rsid w:val="00FD5A2C"/>
    <w:rsid w:val="00FE0D47"/>
    <w:rsid w:val="00FE1D5C"/>
    <w:rsid w:val="00FE2F8B"/>
    <w:rsid w:val="00FE3669"/>
    <w:rsid w:val="00FE5204"/>
    <w:rsid w:val="00FE5CD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A4C054"/>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3D5825"/>
    <w:rPr>
      <w:color w:val="800080" w:themeColor="followedHyperlink"/>
      <w:u w:val="single"/>
    </w:rPr>
  </w:style>
  <w:style w:type="paragraph" w:styleId="BalloonText">
    <w:name w:val="Balloon Text"/>
    <w:basedOn w:val="Normal"/>
    <w:link w:val="BalloonTextChar"/>
    <w:semiHidden/>
    <w:unhideWhenUsed/>
    <w:rsid w:val="001E62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E622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7279">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32F2-D03E-45B7-A0F2-92A30393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3</cp:revision>
  <cp:lastPrinted>2014-11-04T09:22:00Z</cp:lastPrinted>
  <dcterms:created xsi:type="dcterms:W3CDTF">2020-09-22T10:10:00Z</dcterms:created>
  <dcterms:modified xsi:type="dcterms:W3CDTF">2020-09-22T10:10:00Z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