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Pr>
      <w:tblGrid>
        <w:gridCol w:w="1276"/>
        <w:gridCol w:w="4961"/>
        <w:gridCol w:w="3651"/>
      </w:tblGrid>
      <w:tr w:rsidR="00AD509E" w14:paraId="59A0D93B" w14:textId="77777777" w:rsidTr="00AC4B50">
        <w:trPr>
          <w:cantSplit/>
          <w:trHeight w:val="1134"/>
        </w:trPr>
        <w:tc>
          <w:tcPr>
            <w:tcW w:w="9888" w:type="dxa"/>
            <w:gridSpan w:val="3"/>
            <w:tcBorders>
              <w:bottom w:val="single" w:sz="2" w:space="0" w:color="00B0F0"/>
            </w:tcBorders>
          </w:tcPr>
          <w:p w14:paraId="78793DAD" w14:textId="43476E31" w:rsidR="00AD509E" w:rsidRPr="0085753F" w:rsidRDefault="00AD509E" w:rsidP="00AD509E">
            <w:pPr>
              <w:spacing w:before="240" w:after="0" w:line="240" w:lineRule="auto"/>
              <w:ind w:left="34"/>
              <w:rPr>
                <w:b/>
                <w:bCs/>
                <w:sz w:val="32"/>
                <w:szCs w:val="32"/>
              </w:rPr>
            </w:pPr>
            <w:r>
              <w:rPr>
                <w:noProof/>
                <w:lang w:val="en-CA" w:eastAsia="en-CA"/>
              </w:rPr>
              <w:drawing>
                <wp:anchor distT="0" distB="0" distL="114300" distR="114300" simplePos="0" relativeHeight="251659264" behindDoc="0" locked="0" layoutInCell="1" allowOverlap="1" wp14:anchorId="0CB4233C" wp14:editId="75B8796E">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3F">
              <w:rPr>
                <w:b/>
                <w:bCs/>
                <w:sz w:val="32"/>
                <w:szCs w:val="32"/>
              </w:rPr>
              <w:t>TDAG Working Group on WTDC Preparations</w:t>
            </w:r>
          </w:p>
          <w:p w14:paraId="5E4008DC" w14:textId="61369345" w:rsidR="00AD509E" w:rsidRPr="00F45B51" w:rsidRDefault="00AD509E" w:rsidP="00AD509E">
            <w:pPr>
              <w:spacing w:before="120" w:after="0"/>
              <w:rPr>
                <w:sz w:val="26"/>
                <w:szCs w:val="26"/>
              </w:rPr>
            </w:pPr>
            <w:r>
              <w:rPr>
                <w:b/>
                <w:bCs/>
                <w:sz w:val="26"/>
                <w:szCs w:val="26"/>
              </w:rPr>
              <w:t>30</w:t>
            </w:r>
            <w:r w:rsidRPr="00F45B51">
              <w:rPr>
                <w:b/>
                <w:bCs/>
                <w:sz w:val="26"/>
                <w:szCs w:val="26"/>
              </w:rPr>
              <w:t xml:space="preserve"> </w:t>
            </w:r>
            <w:r>
              <w:rPr>
                <w:b/>
                <w:bCs/>
                <w:sz w:val="26"/>
                <w:szCs w:val="26"/>
              </w:rPr>
              <w:t>September</w:t>
            </w:r>
            <w:r w:rsidRPr="00F45B51">
              <w:rPr>
                <w:b/>
                <w:bCs/>
                <w:sz w:val="26"/>
                <w:szCs w:val="26"/>
              </w:rPr>
              <w:t xml:space="preserve"> 2020, Virtual</w:t>
            </w:r>
          </w:p>
        </w:tc>
      </w:tr>
      <w:tr w:rsidR="00AD509E" w:rsidRPr="009B37D7" w14:paraId="505DC992" w14:textId="77777777" w:rsidTr="00AC4B50">
        <w:trPr>
          <w:cantSplit/>
        </w:trPr>
        <w:tc>
          <w:tcPr>
            <w:tcW w:w="6237" w:type="dxa"/>
            <w:gridSpan w:val="2"/>
            <w:tcBorders>
              <w:top w:val="single" w:sz="2" w:space="0" w:color="00B0F0"/>
            </w:tcBorders>
          </w:tcPr>
          <w:p w14:paraId="0ABA8933" w14:textId="77777777" w:rsidR="00AD509E" w:rsidRPr="00997358" w:rsidRDefault="00AD509E" w:rsidP="00AD509E">
            <w:pPr>
              <w:spacing w:before="120" w:after="0" w:line="240" w:lineRule="auto"/>
              <w:rPr>
                <w:b/>
                <w:bCs/>
                <w:sz w:val="20"/>
              </w:rPr>
            </w:pPr>
          </w:p>
        </w:tc>
        <w:tc>
          <w:tcPr>
            <w:tcW w:w="3651" w:type="dxa"/>
            <w:tcBorders>
              <w:top w:val="single" w:sz="2" w:space="0" w:color="00B0F0"/>
            </w:tcBorders>
          </w:tcPr>
          <w:p w14:paraId="39E1EDA3" w14:textId="461FAF21" w:rsidR="008B2C7E" w:rsidRDefault="008B2C7E" w:rsidP="00AD509E">
            <w:pPr>
              <w:spacing w:before="120" w:after="0" w:line="240" w:lineRule="auto"/>
              <w:rPr>
                <w:b/>
                <w:bCs/>
                <w:sz w:val="24"/>
                <w:szCs w:val="28"/>
                <w:lang w:val="es-CO"/>
              </w:rPr>
            </w:pPr>
            <w:r>
              <w:rPr>
                <w:b/>
                <w:bCs/>
                <w:sz w:val="24"/>
                <w:szCs w:val="28"/>
                <w:lang w:val="es-CO"/>
              </w:rPr>
              <w:t>Revision 1 to</w:t>
            </w:r>
          </w:p>
          <w:p w14:paraId="312E180F" w14:textId="2B6AC3AF" w:rsidR="00AD509E" w:rsidRPr="008D2133" w:rsidRDefault="00AD509E" w:rsidP="008B2C7E">
            <w:pPr>
              <w:spacing w:after="0" w:line="240" w:lineRule="auto"/>
              <w:rPr>
                <w:b/>
                <w:bCs/>
                <w:sz w:val="24"/>
                <w:szCs w:val="28"/>
                <w:lang w:val="es-CO"/>
              </w:rPr>
            </w:pPr>
            <w:r w:rsidRPr="008D2133">
              <w:rPr>
                <w:b/>
                <w:bCs/>
                <w:sz w:val="24"/>
                <w:szCs w:val="28"/>
                <w:lang w:val="es-CO"/>
              </w:rPr>
              <w:t>Document TDAG-WG-Prep/18-E</w:t>
            </w:r>
          </w:p>
        </w:tc>
      </w:tr>
      <w:tr w:rsidR="00AD509E" w:rsidRPr="00997358" w14:paraId="57CDDD29" w14:textId="77777777" w:rsidTr="00AC4B50">
        <w:trPr>
          <w:cantSplit/>
        </w:trPr>
        <w:tc>
          <w:tcPr>
            <w:tcW w:w="6237" w:type="dxa"/>
            <w:gridSpan w:val="2"/>
          </w:tcPr>
          <w:p w14:paraId="390AC2E0" w14:textId="77777777" w:rsidR="00AD509E" w:rsidRPr="008D2133" w:rsidRDefault="00AD509E" w:rsidP="00AD509E">
            <w:pPr>
              <w:spacing w:after="0"/>
              <w:rPr>
                <w:b/>
                <w:bCs/>
                <w:sz w:val="20"/>
                <w:lang w:val="es-CO"/>
              </w:rPr>
            </w:pPr>
          </w:p>
        </w:tc>
        <w:tc>
          <w:tcPr>
            <w:tcW w:w="3651" w:type="dxa"/>
          </w:tcPr>
          <w:p w14:paraId="6CE2E73C" w14:textId="1048841B" w:rsidR="00AD509E" w:rsidRPr="00DD65EF" w:rsidRDefault="008B2C7E" w:rsidP="00AD509E">
            <w:pPr>
              <w:spacing w:after="0" w:line="240" w:lineRule="auto"/>
              <w:rPr>
                <w:b/>
                <w:bCs/>
                <w:sz w:val="24"/>
                <w:szCs w:val="28"/>
              </w:rPr>
            </w:pPr>
            <w:r>
              <w:rPr>
                <w:b/>
                <w:bCs/>
                <w:sz w:val="24"/>
                <w:szCs w:val="28"/>
              </w:rPr>
              <w:t>12</w:t>
            </w:r>
            <w:r w:rsidR="00AD509E">
              <w:rPr>
                <w:b/>
                <w:bCs/>
                <w:sz w:val="24"/>
                <w:szCs w:val="28"/>
              </w:rPr>
              <w:t xml:space="preserve"> October</w:t>
            </w:r>
            <w:r w:rsidR="00AD509E" w:rsidRPr="00DD65EF">
              <w:rPr>
                <w:b/>
                <w:bCs/>
                <w:sz w:val="24"/>
                <w:szCs w:val="28"/>
              </w:rPr>
              <w:t xml:space="preserve"> 2020</w:t>
            </w:r>
          </w:p>
        </w:tc>
      </w:tr>
      <w:tr w:rsidR="00AD509E" w:rsidRPr="00997358" w14:paraId="5B67B274" w14:textId="77777777" w:rsidTr="00AC4B50">
        <w:trPr>
          <w:cantSplit/>
        </w:trPr>
        <w:tc>
          <w:tcPr>
            <w:tcW w:w="6237" w:type="dxa"/>
            <w:gridSpan w:val="2"/>
          </w:tcPr>
          <w:p w14:paraId="0FAA4B2F" w14:textId="77777777" w:rsidR="00AD509E" w:rsidRPr="00997358" w:rsidRDefault="00AD509E" w:rsidP="00AD509E">
            <w:pPr>
              <w:spacing w:after="120" w:line="240" w:lineRule="auto"/>
              <w:rPr>
                <w:b/>
                <w:bCs/>
                <w:sz w:val="20"/>
              </w:rPr>
            </w:pPr>
          </w:p>
        </w:tc>
        <w:tc>
          <w:tcPr>
            <w:tcW w:w="3651" w:type="dxa"/>
          </w:tcPr>
          <w:p w14:paraId="13130306" w14:textId="77777777" w:rsidR="00AD509E" w:rsidRPr="00DD65EF" w:rsidRDefault="00AD509E" w:rsidP="00AD509E">
            <w:pPr>
              <w:spacing w:after="120" w:line="240" w:lineRule="auto"/>
              <w:rPr>
                <w:b/>
                <w:bCs/>
                <w:sz w:val="24"/>
                <w:szCs w:val="28"/>
              </w:rPr>
            </w:pPr>
            <w:r>
              <w:rPr>
                <w:b/>
                <w:bCs/>
                <w:sz w:val="24"/>
                <w:szCs w:val="28"/>
              </w:rPr>
              <w:t xml:space="preserve">Original: </w:t>
            </w:r>
            <w:r w:rsidRPr="00DD65EF">
              <w:rPr>
                <w:b/>
                <w:bCs/>
                <w:sz w:val="24"/>
                <w:szCs w:val="28"/>
              </w:rPr>
              <w:t>English</w:t>
            </w:r>
          </w:p>
        </w:tc>
      </w:tr>
      <w:tr w:rsidR="00AD509E" w:rsidRPr="00002716" w14:paraId="6AD673BF" w14:textId="77777777" w:rsidTr="00AC4B50">
        <w:trPr>
          <w:cantSplit/>
          <w:trHeight w:val="408"/>
        </w:trPr>
        <w:tc>
          <w:tcPr>
            <w:tcW w:w="1276" w:type="dxa"/>
          </w:tcPr>
          <w:p w14:paraId="3435EB9A" w14:textId="77777777" w:rsidR="00AD509E" w:rsidRPr="00DD65EF" w:rsidRDefault="00AD509E" w:rsidP="00AD509E">
            <w:pPr>
              <w:spacing w:before="80" w:after="80"/>
              <w:jc w:val="both"/>
              <w:rPr>
                <w:b/>
                <w:sz w:val="24"/>
                <w:szCs w:val="24"/>
              </w:rPr>
            </w:pPr>
            <w:r w:rsidRPr="00DD65EF">
              <w:rPr>
                <w:b/>
                <w:bCs/>
                <w:sz w:val="24"/>
                <w:szCs w:val="24"/>
              </w:rPr>
              <w:t>Source:</w:t>
            </w:r>
          </w:p>
        </w:tc>
        <w:tc>
          <w:tcPr>
            <w:tcW w:w="8612" w:type="dxa"/>
            <w:gridSpan w:val="2"/>
          </w:tcPr>
          <w:p w14:paraId="139C3629" w14:textId="2A762069" w:rsidR="00AD509E" w:rsidRPr="0058172E" w:rsidRDefault="0058172E" w:rsidP="00AD509E">
            <w:pPr>
              <w:spacing w:before="80" w:after="80"/>
              <w:rPr>
                <w:bCs/>
                <w:sz w:val="24"/>
                <w:szCs w:val="24"/>
              </w:rPr>
            </w:pPr>
            <w:r>
              <w:rPr>
                <w:bCs/>
                <w:sz w:val="24"/>
                <w:szCs w:val="24"/>
              </w:rPr>
              <w:t xml:space="preserve">Chairman of </w:t>
            </w:r>
            <w:r w:rsidRPr="00AD509E">
              <w:rPr>
                <w:sz w:val="24"/>
                <w:szCs w:val="24"/>
              </w:rPr>
              <w:t>TDAG Working Group on WTDC Preparations</w:t>
            </w:r>
          </w:p>
        </w:tc>
      </w:tr>
      <w:tr w:rsidR="00AD509E" w:rsidRPr="00002716" w14:paraId="09B8AC3C" w14:textId="77777777" w:rsidTr="00AC4B50">
        <w:trPr>
          <w:cantSplit/>
          <w:trHeight w:val="407"/>
        </w:trPr>
        <w:tc>
          <w:tcPr>
            <w:tcW w:w="1276" w:type="dxa"/>
            <w:tcBorders>
              <w:bottom w:val="single" w:sz="4" w:space="0" w:color="00B0F0"/>
            </w:tcBorders>
          </w:tcPr>
          <w:p w14:paraId="402350B6" w14:textId="77777777" w:rsidR="00AD509E" w:rsidRPr="00DD65EF" w:rsidRDefault="00AD509E" w:rsidP="00AD509E">
            <w:pPr>
              <w:spacing w:before="80" w:after="80"/>
              <w:jc w:val="both"/>
              <w:rPr>
                <w:b/>
                <w:bCs/>
                <w:sz w:val="24"/>
                <w:szCs w:val="24"/>
              </w:rPr>
            </w:pPr>
            <w:r w:rsidRPr="00DD65EF">
              <w:rPr>
                <w:b/>
                <w:bCs/>
                <w:sz w:val="24"/>
                <w:szCs w:val="24"/>
              </w:rPr>
              <w:t>Title:</w:t>
            </w:r>
          </w:p>
        </w:tc>
        <w:tc>
          <w:tcPr>
            <w:tcW w:w="8612" w:type="dxa"/>
            <w:gridSpan w:val="2"/>
            <w:tcBorders>
              <w:bottom w:val="single" w:sz="4" w:space="0" w:color="00B0F0"/>
            </w:tcBorders>
          </w:tcPr>
          <w:p w14:paraId="25DC265E" w14:textId="6EE2DF4A" w:rsidR="00AD509E" w:rsidRPr="00DD65EF" w:rsidRDefault="00AD509E" w:rsidP="00AD509E">
            <w:pPr>
              <w:spacing w:before="80" w:after="80"/>
              <w:jc w:val="both"/>
              <w:rPr>
                <w:bCs/>
                <w:sz w:val="24"/>
                <w:szCs w:val="24"/>
              </w:rPr>
            </w:pPr>
            <w:r w:rsidRPr="004B1B9E">
              <w:rPr>
                <w:bCs/>
                <w:sz w:val="24"/>
                <w:szCs w:val="24"/>
              </w:rPr>
              <w:t xml:space="preserve">Report on </w:t>
            </w:r>
            <w:r w:rsidR="005F1E51">
              <w:rPr>
                <w:bCs/>
                <w:sz w:val="24"/>
                <w:szCs w:val="24"/>
              </w:rPr>
              <w:t xml:space="preserve">the meeting of </w:t>
            </w:r>
            <w:r w:rsidRPr="004B1B9E">
              <w:rPr>
                <w:bCs/>
                <w:sz w:val="24"/>
                <w:szCs w:val="24"/>
              </w:rPr>
              <w:t>TDAG Working Group on WTDC Preparations</w:t>
            </w:r>
            <w:r w:rsidR="005F1E51">
              <w:rPr>
                <w:bCs/>
                <w:sz w:val="24"/>
                <w:szCs w:val="24"/>
              </w:rPr>
              <w:t xml:space="preserve">, </w:t>
            </w:r>
            <w:r w:rsidR="005F1E51">
              <w:rPr>
                <w:bCs/>
                <w:sz w:val="24"/>
                <w:szCs w:val="24"/>
              </w:rPr>
              <w:br/>
              <w:t>30 September 2020</w:t>
            </w:r>
          </w:p>
        </w:tc>
      </w:tr>
    </w:tbl>
    <w:p w14:paraId="7913AE79" w14:textId="7699A89E" w:rsidR="003B6D6D" w:rsidRPr="00AD509E" w:rsidRDefault="00E73525" w:rsidP="00D52CD6">
      <w:pPr>
        <w:spacing w:before="240" w:after="80" w:line="240" w:lineRule="auto"/>
        <w:rPr>
          <w:b/>
          <w:bCs/>
          <w:sz w:val="24"/>
          <w:szCs w:val="24"/>
        </w:rPr>
      </w:pPr>
      <w:r w:rsidRPr="00AD509E">
        <w:rPr>
          <w:b/>
          <w:bCs/>
          <w:sz w:val="24"/>
          <w:szCs w:val="24"/>
        </w:rPr>
        <w:t>Summar</w:t>
      </w:r>
      <w:r w:rsidR="003B6D6D" w:rsidRPr="00AD509E">
        <w:rPr>
          <w:b/>
          <w:bCs/>
          <w:sz w:val="24"/>
          <w:szCs w:val="24"/>
        </w:rPr>
        <w:t>y</w:t>
      </w:r>
    </w:p>
    <w:p w14:paraId="6B3D8327" w14:textId="77777777" w:rsidR="0032183F" w:rsidRPr="00AD509E" w:rsidRDefault="008F38D2" w:rsidP="00AD509E">
      <w:pPr>
        <w:spacing w:before="80" w:after="80" w:line="240" w:lineRule="auto"/>
        <w:rPr>
          <w:sz w:val="24"/>
          <w:szCs w:val="24"/>
          <w:shd w:val="clear" w:color="auto" w:fill="FFFFFF"/>
        </w:rPr>
      </w:pPr>
      <w:r w:rsidRPr="00AD509E">
        <w:rPr>
          <w:sz w:val="24"/>
          <w:szCs w:val="24"/>
        </w:rPr>
        <w:t xml:space="preserve">The third meeting of the TDAG Working Group on WTDC Preparations </w:t>
      </w:r>
      <w:r w:rsidRPr="00AD509E">
        <w:rPr>
          <w:color w:val="444444"/>
          <w:sz w:val="24"/>
          <w:szCs w:val="24"/>
          <w:shd w:val="clear" w:color="auto" w:fill="FFFFFF"/>
        </w:rPr>
        <w:t>(TDAG-WG-Prep) took place on 30 September 2020</w:t>
      </w:r>
      <w:r w:rsidR="00052924" w:rsidRPr="00AD509E">
        <w:rPr>
          <w:color w:val="444444"/>
          <w:sz w:val="24"/>
          <w:szCs w:val="24"/>
          <w:shd w:val="clear" w:color="auto" w:fill="FFFFFF"/>
        </w:rPr>
        <w:t>,</w:t>
      </w:r>
      <w:r w:rsidRPr="00AD509E">
        <w:rPr>
          <w:color w:val="444444"/>
          <w:sz w:val="24"/>
          <w:szCs w:val="24"/>
          <w:shd w:val="clear" w:color="auto" w:fill="FFFFFF"/>
        </w:rPr>
        <w:t xml:space="preserve"> </w:t>
      </w:r>
      <w:r w:rsidRPr="00AD509E">
        <w:rPr>
          <w:sz w:val="24"/>
          <w:szCs w:val="24"/>
        </w:rPr>
        <w:t>attended by more than 90 participants.</w:t>
      </w:r>
      <w:r w:rsidR="00052924" w:rsidRPr="00AD509E">
        <w:rPr>
          <w:sz w:val="24"/>
          <w:szCs w:val="24"/>
          <w:shd w:val="clear" w:color="auto" w:fill="FFFFFF"/>
        </w:rPr>
        <w:t xml:space="preserve"> </w:t>
      </w:r>
    </w:p>
    <w:p w14:paraId="07FD7D49" w14:textId="77777777" w:rsidR="0032183F" w:rsidRPr="00AD509E" w:rsidRDefault="0032183F" w:rsidP="00AD509E">
      <w:pPr>
        <w:spacing w:before="80" w:after="80" w:line="240" w:lineRule="auto"/>
        <w:rPr>
          <w:rFonts w:cstheme="minorHAnsi"/>
          <w:b/>
          <w:sz w:val="24"/>
          <w:szCs w:val="24"/>
        </w:rPr>
      </w:pPr>
      <w:r w:rsidRPr="00AD509E">
        <w:rPr>
          <w:rFonts w:cstheme="minorHAnsi"/>
          <w:b/>
          <w:sz w:val="24"/>
          <w:szCs w:val="24"/>
        </w:rPr>
        <w:t>Introduction</w:t>
      </w:r>
    </w:p>
    <w:p w14:paraId="0C46E03A" w14:textId="157550D2" w:rsidR="00CD5F29" w:rsidRPr="00A82050" w:rsidRDefault="001908CC" w:rsidP="007C72F4">
      <w:pPr>
        <w:pStyle w:val="NormalWeb"/>
        <w:shd w:val="clear" w:color="auto" w:fill="FFFFFF"/>
        <w:spacing w:before="80" w:beforeAutospacing="0" w:after="80" w:afterAutospacing="0"/>
        <w:textAlignment w:val="baseline"/>
        <w:rPr>
          <w:rFonts w:asciiTheme="minorHAnsi" w:hAnsiTheme="minorHAnsi" w:cstheme="minorHAnsi"/>
        </w:rPr>
      </w:pPr>
      <w:r w:rsidRPr="00AD509E">
        <w:rPr>
          <w:rFonts w:asciiTheme="minorHAnsi" w:hAnsiTheme="minorHAnsi" w:cstheme="minorHAnsi"/>
          <w:shd w:val="clear" w:color="auto" w:fill="FFFFFF"/>
        </w:rPr>
        <w:t>The Director of the ITU Telecommuni</w:t>
      </w:r>
      <w:r w:rsidR="00CE2379" w:rsidRPr="00AD509E">
        <w:rPr>
          <w:rFonts w:asciiTheme="minorHAnsi" w:hAnsiTheme="minorHAnsi" w:cstheme="minorHAnsi"/>
          <w:shd w:val="clear" w:color="auto" w:fill="FFFFFF"/>
        </w:rPr>
        <w:t>cation Development Bureau (BDT)</w:t>
      </w:r>
      <w:r w:rsidR="007C72F4">
        <w:rPr>
          <w:rFonts w:asciiTheme="minorHAnsi" w:hAnsiTheme="minorHAnsi" w:cstheme="minorHAnsi"/>
          <w:shd w:val="clear" w:color="auto" w:fill="FFFFFF"/>
        </w:rPr>
        <w:t xml:space="preserve">, </w:t>
      </w:r>
      <w:r w:rsidRPr="00AD509E">
        <w:rPr>
          <w:rFonts w:asciiTheme="minorHAnsi" w:hAnsiTheme="minorHAnsi" w:cstheme="minorHAnsi"/>
          <w:shd w:val="clear" w:color="auto" w:fill="FFFFFF"/>
        </w:rPr>
        <w:t>Ms</w:t>
      </w:r>
      <w:r w:rsidR="00CE2379" w:rsidRPr="00AD509E">
        <w:rPr>
          <w:rFonts w:asciiTheme="minorHAnsi" w:hAnsiTheme="minorHAnsi" w:cstheme="minorHAnsi"/>
          <w:shd w:val="clear" w:color="auto" w:fill="FFFFFF"/>
        </w:rPr>
        <w:t xml:space="preserve"> </w:t>
      </w:r>
      <w:r w:rsidRPr="00AD509E">
        <w:rPr>
          <w:rFonts w:asciiTheme="minorHAnsi" w:hAnsiTheme="minorHAnsi" w:cstheme="minorHAnsi"/>
          <w:shd w:val="clear" w:color="auto" w:fill="FFFFFF"/>
        </w:rPr>
        <w:t xml:space="preserve">Doreen Bogdan-Martin, welcomed participants </w:t>
      </w:r>
      <w:r w:rsidR="007C72F4">
        <w:rPr>
          <w:rFonts w:asciiTheme="minorHAnsi" w:hAnsiTheme="minorHAnsi" w:cstheme="minorHAnsi"/>
          <w:shd w:val="clear" w:color="auto" w:fill="FFFFFF"/>
        </w:rPr>
        <w:t xml:space="preserve">and highlighted the </w:t>
      </w:r>
      <w:r w:rsidR="000F1642">
        <w:rPr>
          <w:rFonts w:asciiTheme="minorHAnsi" w:hAnsiTheme="minorHAnsi" w:cstheme="minorHAnsi"/>
          <w:shd w:val="clear" w:color="auto" w:fill="FFFFFF"/>
        </w:rPr>
        <w:t xml:space="preserve">significance </w:t>
      </w:r>
      <w:r w:rsidR="007C72F4">
        <w:rPr>
          <w:rFonts w:asciiTheme="minorHAnsi" w:hAnsiTheme="minorHAnsi" w:cstheme="minorHAnsi"/>
          <w:shd w:val="clear" w:color="auto" w:fill="FFFFFF"/>
        </w:rPr>
        <w:t>of</w:t>
      </w:r>
      <w:r w:rsidRPr="00AD509E">
        <w:rPr>
          <w:rFonts w:asciiTheme="minorHAnsi" w:hAnsiTheme="minorHAnsi" w:cstheme="minorHAnsi"/>
          <w:shd w:val="clear" w:color="auto" w:fill="FFFFFF"/>
        </w:rPr>
        <w:t xml:space="preserve"> this </w:t>
      </w:r>
      <w:r w:rsidR="00052924" w:rsidRPr="00AD509E">
        <w:rPr>
          <w:rFonts w:asciiTheme="minorHAnsi" w:hAnsiTheme="minorHAnsi" w:cstheme="minorHAnsi"/>
        </w:rPr>
        <w:t>meeting</w:t>
      </w:r>
      <w:r w:rsidR="007C72F4">
        <w:rPr>
          <w:rFonts w:asciiTheme="minorHAnsi" w:hAnsiTheme="minorHAnsi" w:cstheme="minorHAnsi"/>
        </w:rPr>
        <w:t xml:space="preserve"> coming </w:t>
      </w:r>
      <w:r w:rsidRPr="00AD509E">
        <w:rPr>
          <w:rFonts w:asciiTheme="minorHAnsi" w:hAnsiTheme="minorHAnsi" w:cstheme="minorHAnsi"/>
        </w:rPr>
        <w:t xml:space="preserve">just after </w:t>
      </w:r>
      <w:r w:rsidR="00052924" w:rsidRPr="00AD509E">
        <w:rPr>
          <w:rFonts w:asciiTheme="minorHAnsi" w:hAnsiTheme="minorHAnsi" w:cstheme="minorHAnsi"/>
        </w:rPr>
        <w:t>a very busy week (21-25 September 2020)</w:t>
      </w:r>
      <w:r w:rsidRPr="00AD509E">
        <w:rPr>
          <w:rFonts w:asciiTheme="minorHAnsi" w:hAnsiTheme="minorHAnsi" w:cstheme="minorHAnsi"/>
        </w:rPr>
        <w:t xml:space="preserve"> of 40 high-level digital events </w:t>
      </w:r>
      <w:r w:rsidR="00052924" w:rsidRPr="00AD509E">
        <w:rPr>
          <w:rFonts w:asciiTheme="minorHAnsi" w:hAnsiTheme="minorHAnsi" w:cstheme="minorHAnsi"/>
        </w:rPr>
        <w:t>at the United Nations General Assemb</w:t>
      </w:r>
      <w:r w:rsidR="007C72F4">
        <w:rPr>
          <w:rFonts w:asciiTheme="minorHAnsi" w:hAnsiTheme="minorHAnsi" w:cstheme="minorHAnsi"/>
        </w:rPr>
        <w:t>ly.</w:t>
      </w:r>
      <w:r w:rsidR="00052924" w:rsidRPr="00AD509E">
        <w:rPr>
          <w:rFonts w:asciiTheme="minorHAnsi" w:hAnsiTheme="minorHAnsi" w:cstheme="minorHAnsi"/>
        </w:rPr>
        <w:t xml:space="preserve"> </w:t>
      </w:r>
      <w:r w:rsidR="007C72F4">
        <w:rPr>
          <w:rFonts w:asciiTheme="minorHAnsi" w:hAnsiTheme="minorHAnsi" w:cstheme="minorHAnsi"/>
        </w:rPr>
        <w:t xml:space="preserve">A number of </w:t>
      </w:r>
      <w:r w:rsidR="000F1642">
        <w:rPr>
          <w:rFonts w:asciiTheme="minorHAnsi" w:hAnsiTheme="minorHAnsi" w:cstheme="minorHAnsi"/>
        </w:rPr>
        <w:t xml:space="preserve">these events </w:t>
      </w:r>
      <w:r w:rsidR="00052924" w:rsidRPr="00AD509E">
        <w:rPr>
          <w:rFonts w:asciiTheme="minorHAnsi" w:hAnsiTheme="minorHAnsi" w:cstheme="minorHAnsi"/>
        </w:rPr>
        <w:t>underscored the importance of the World Telecommunication Development Conference in 2021 (WTDC-21)</w:t>
      </w:r>
      <w:r w:rsidR="00052924" w:rsidRPr="00AD509E">
        <w:rPr>
          <w:rFonts w:asciiTheme="minorHAnsi" w:hAnsiTheme="minorHAnsi" w:cstheme="minorHAnsi"/>
          <w:shd w:val="clear" w:color="auto" w:fill="FFFFFF"/>
        </w:rPr>
        <w:t>.</w:t>
      </w:r>
      <w:r w:rsidR="00B56555" w:rsidRPr="00AD509E">
        <w:rPr>
          <w:rFonts w:asciiTheme="minorHAnsi" w:hAnsiTheme="minorHAnsi" w:cstheme="minorHAnsi"/>
          <w:color w:val="444444"/>
        </w:rPr>
        <w:t xml:space="preserve"> </w:t>
      </w:r>
      <w:r w:rsidR="007C72F4">
        <w:rPr>
          <w:rFonts w:asciiTheme="minorHAnsi" w:hAnsiTheme="minorHAnsi" w:cstheme="minorHAnsi"/>
        </w:rPr>
        <w:t>T</w:t>
      </w:r>
      <w:r w:rsidR="00B56555" w:rsidRPr="007C72F4">
        <w:rPr>
          <w:rFonts w:asciiTheme="minorHAnsi" w:hAnsiTheme="minorHAnsi" w:cstheme="minorHAnsi"/>
        </w:rPr>
        <w:t xml:space="preserve">he </w:t>
      </w:r>
      <w:r w:rsidR="00CD5F29" w:rsidRPr="007C72F4">
        <w:rPr>
          <w:rFonts w:asciiTheme="minorHAnsi" w:hAnsiTheme="minorHAnsi" w:cstheme="minorHAnsi"/>
        </w:rPr>
        <w:t>world</w:t>
      </w:r>
      <w:r w:rsidR="000F1642">
        <w:rPr>
          <w:rFonts w:asciiTheme="minorHAnsi" w:hAnsiTheme="minorHAnsi" w:cstheme="minorHAnsi"/>
        </w:rPr>
        <w:t xml:space="preserve"> </w:t>
      </w:r>
      <w:r w:rsidR="00CD5F29" w:rsidRPr="007C72F4">
        <w:rPr>
          <w:rFonts w:asciiTheme="minorHAnsi" w:hAnsiTheme="minorHAnsi" w:cstheme="minorHAnsi"/>
        </w:rPr>
        <w:t xml:space="preserve">has woken up to the </w:t>
      </w:r>
      <w:r w:rsidR="00B56555" w:rsidRPr="007C72F4">
        <w:rPr>
          <w:rFonts w:asciiTheme="minorHAnsi" w:hAnsiTheme="minorHAnsi" w:cstheme="minorHAnsi"/>
          <w:color w:val="444444"/>
        </w:rPr>
        <w:t>harsh reality that</w:t>
      </w:r>
      <w:r w:rsidR="00CD5F29" w:rsidRPr="007C72F4">
        <w:rPr>
          <w:rFonts w:asciiTheme="minorHAnsi" w:hAnsiTheme="minorHAnsi" w:cstheme="minorHAnsi"/>
        </w:rPr>
        <w:t xml:space="preserve"> 3.6 billion people </w:t>
      </w:r>
      <w:r w:rsidRPr="007C72F4">
        <w:rPr>
          <w:rFonts w:asciiTheme="minorHAnsi" w:hAnsiTheme="minorHAnsi" w:cstheme="minorHAnsi"/>
        </w:rPr>
        <w:t xml:space="preserve">are </w:t>
      </w:r>
      <w:r w:rsidR="00CD5F29" w:rsidRPr="007C72F4">
        <w:rPr>
          <w:rFonts w:asciiTheme="minorHAnsi" w:hAnsiTheme="minorHAnsi" w:cstheme="minorHAnsi"/>
        </w:rPr>
        <w:t>not connected</w:t>
      </w:r>
      <w:r w:rsidR="00A82050">
        <w:rPr>
          <w:rFonts w:asciiTheme="minorHAnsi" w:hAnsiTheme="minorHAnsi" w:cstheme="minorHAnsi"/>
        </w:rPr>
        <w:t>. A</w:t>
      </w:r>
      <w:r w:rsidR="00CD5F29" w:rsidRPr="007C72F4">
        <w:rPr>
          <w:rFonts w:asciiTheme="minorHAnsi" w:hAnsiTheme="minorHAnsi" w:cstheme="minorHAnsi"/>
        </w:rPr>
        <w:t>nd what COVID</w:t>
      </w:r>
      <w:r w:rsidRPr="007C72F4">
        <w:rPr>
          <w:rFonts w:asciiTheme="minorHAnsi" w:hAnsiTheme="minorHAnsi" w:cstheme="minorHAnsi"/>
        </w:rPr>
        <w:t xml:space="preserve">-19 </w:t>
      </w:r>
      <w:r w:rsidR="00CD5F29" w:rsidRPr="007C72F4">
        <w:rPr>
          <w:rFonts w:asciiTheme="minorHAnsi" w:hAnsiTheme="minorHAnsi" w:cstheme="minorHAnsi"/>
        </w:rPr>
        <w:t>has meant to the unconnected voices</w:t>
      </w:r>
      <w:r w:rsidRPr="007C72F4">
        <w:rPr>
          <w:rFonts w:asciiTheme="minorHAnsi" w:hAnsiTheme="minorHAnsi" w:cstheme="minorHAnsi"/>
        </w:rPr>
        <w:t xml:space="preserve"> </w:t>
      </w:r>
      <w:r w:rsidR="00CD5F29" w:rsidRPr="007C72F4">
        <w:rPr>
          <w:rFonts w:asciiTheme="minorHAnsi" w:hAnsiTheme="minorHAnsi" w:cstheme="minorHAnsi"/>
        </w:rPr>
        <w:t>makes our work i</w:t>
      </w:r>
      <w:r w:rsidR="00E153FA" w:rsidRPr="007C72F4">
        <w:rPr>
          <w:rFonts w:asciiTheme="minorHAnsi" w:hAnsiTheme="minorHAnsi" w:cstheme="minorHAnsi"/>
        </w:rPr>
        <w:t xml:space="preserve">n this preparatory process and </w:t>
      </w:r>
      <w:r w:rsidR="00CD5F29" w:rsidRPr="007C72F4">
        <w:rPr>
          <w:rFonts w:asciiTheme="minorHAnsi" w:hAnsiTheme="minorHAnsi" w:cstheme="minorHAnsi"/>
        </w:rPr>
        <w:t xml:space="preserve">the </w:t>
      </w:r>
      <w:r w:rsidR="00E153FA" w:rsidRPr="007C72F4">
        <w:rPr>
          <w:rFonts w:asciiTheme="minorHAnsi" w:hAnsiTheme="minorHAnsi" w:cstheme="minorHAnsi"/>
        </w:rPr>
        <w:t>c</w:t>
      </w:r>
      <w:r w:rsidR="00CD5F29" w:rsidRPr="007C72F4">
        <w:rPr>
          <w:rFonts w:asciiTheme="minorHAnsi" w:hAnsiTheme="minorHAnsi" w:cstheme="minorHAnsi"/>
        </w:rPr>
        <w:t>onference itself more important than before</w:t>
      </w:r>
      <w:r w:rsidR="007C72F4">
        <w:rPr>
          <w:rFonts w:asciiTheme="minorHAnsi" w:hAnsiTheme="minorHAnsi" w:cstheme="minorHAnsi"/>
        </w:rPr>
        <w:t>,</w:t>
      </w:r>
      <w:r w:rsidR="00CD5F29" w:rsidRPr="007C72F4">
        <w:rPr>
          <w:rFonts w:asciiTheme="minorHAnsi" w:hAnsiTheme="minorHAnsi" w:cstheme="minorHAnsi"/>
        </w:rPr>
        <w:t xml:space="preserve"> as we need to conclude the </w:t>
      </w:r>
      <w:r w:rsidRPr="007C72F4">
        <w:rPr>
          <w:rFonts w:asciiTheme="minorHAnsi" w:hAnsiTheme="minorHAnsi" w:cstheme="minorHAnsi"/>
        </w:rPr>
        <w:t>c</w:t>
      </w:r>
      <w:r w:rsidR="00CD5F29" w:rsidRPr="007C72F4">
        <w:rPr>
          <w:rFonts w:asciiTheme="minorHAnsi" w:hAnsiTheme="minorHAnsi" w:cstheme="minorHAnsi"/>
        </w:rPr>
        <w:t>onference with a clear roadmap to connect the other half of the world</w:t>
      </w:r>
      <w:r w:rsidR="000F1642">
        <w:rPr>
          <w:rFonts w:asciiTheme="minorHAnsi" w:hAnsiTheme="minorHAnsi" w:cstheme="minorHAnsi"/>
          <w:shd w:val="clear" w:color="auto" w:fill="FFFFFF"/>
        </w:rPr>
        <w:t xml:space="preserve">, </w:t>
      </w:r>
      <w:r w:rsidR="000F1642">
        <w:rPr>
          <w:rFonts w:asciiTheme="minorHAnsi" w:hAnsiTheme="minorHAnsi" w:cstheme="minorHAnsi"/>
        </w:rPr>
        <w:t xml:space="preserve">Ms </w:t>
      </w:r>
      <w:r w:rsidR="000F1642" w:rsidRPr="007C72F4">
        <w:rPr>
          <w:rFonts w:asciiTheme="minorHAnsi" w:hAnsiTheme="minorHAnsi" w:cstheme="minorHAnsi"/>
          <w:shd w:val="clear" w:color="auto" w:fill="FFFFFF"/>
        </w:rPr>
        <w:t>Bogdan-Martin</w:t>
      </w:r>
      <w:r w:rsidR="000F1642">
        <w:rPr>
          <w:rFonts w:asciiTheme="minorHAnsi" w:hAnsiTheme="minorHAnsi" w:cstheme="minorHAnsi"/>
          <w:shd w:val="clear" w:color="auto" w:fill="FFFFFF"/>
        </w:rPr>
        <w:t xml:space="preserve"> told participants.</w:t>
      </w:r>
      <w:r w:rsidR="00B56555" w:rsidRPr="007C72F4">
        <w:rPr>
          <w:rFonts w:asciiTheme="minorHAnsi" w:hAnsiTheme="minorHAnsi" w:cstheme="minorHAnsi"/>
          <w:shd w:val="clear" w:color="auto" w:fill="FFFFFF"/>
        </w:rPr>
        <w:t xml:space="preserve"> </w:t>
      </w:r>
    </w:p>
    <w:p w14:paraId="057319D6" w14:textId="23A8313D" w:rsidR="00476091" w:rsidRPr="00AD509E" w:rsidRDefault="00BD7064" w:rsidP="00AD509E">
      <w:pPr>
        <w:pStyle w:val="Normal1"/>
        <w:widowControl/>
        <w:spacing w:before="80" w:after="80" w:line="240" w:lineRule="auto"/>
        <w:ind w:right="0" w:firstLine="0"/>
        <w:rPr>
          <w:rFonts w:asciiTheme="minorHAnsi" w:hAnsiTheme="minorHAnsi" w:cstheme="minorHAnsi"/>
        </w:rPr>
      </w:pPr>
      <w:r w:rsidRPr="00AD509E">
        <w:rPr>
          <w:rFonts w:asciiTheme="minorHAnsi" w:hAnsiTheme="minorHAnsi" w:cstheme="minorHAnsi"/>
        </w:rPr>
        <w:t>The Chairman of the TDAG Working Group on WTDC Preparations</w:t>
      </w:r>
      <w:r w:rsidR="00B56555" w:rsidRPr="00AD509E">
        <w:rPr>
          <w:rFonts w:asciiTheme="minorHAnsi" w:hAnsiTheme="minorHAnsi" w:cstheme="minorHAnsi"/>
        </w:rPr>
        <w:t>,</w:t>
      </w:r>
      <w:r w:rsidR="008F38D2" w:rsidRPr="00AD509E">
        <w:rPr>
          <w:rFonts w:asciiTheme="minorHAnsi" w:hAnsiTheme="minorHAnsi" w:cstheme="minorHAnsi"/>
          <w:color w:val="444444"/>
          <w:shd w:val="clear" w:color="auto" w:fill="FFFFFF"/>
        </w:rPr>
        <w:t xml:space="preserve"> </w:t>
      </w:r>
      <w:r w:rsidR="008F38D2" w:rsidRPr="00AD509E">
        <w:rPr>
          <w:rFonts w:asciiTheme="minorHAnsi" w:hAnsiTheme="minorHAnsi" w:cstheme="minorHAnsi"/>
          <w:shd w:val="clear" w:color="auto" w:fill="FFFFFF"/>
        </w:rPr>
        <w:t>Mr </w:t>
      </w:r>
      <w:r w:rsidR="008F38D2" w:rsidRPr="00AD509E">
        <w:rPr>
          <w:rFonts w:asciiTheme="minorHAnsi" w:hAnsiTheme="minorHAnsi" w:cstheme="minorHAnsi"/>
          <w:bCs/>
          <w:shd w:val="clear" w:color="auto" w:fill="FFFFFF"/>
        </w:rPr>
        <w:t>Santiago</w:t>
      </w:r>
      <w:r w:rsidR="008F38D2" w:rsidRPr="00AD509E">
        <w:rPr>
          <w:rFonts w:asciiTheme="minorHAnsi" w:hAnsiTheme="minorHAnsi" w:cstheme="minorHAnsi"/>
          <w:shd w:val="clear" w:color="auto" w:fill="FFFFFF"/>
        </w:rPr>
        <w:t> Reyes-Borda (Canada</w:t>
      </w:r>
      <w:r w:rsidR="00D9707E" w:rsidRPr="00AD509E">
        <w:rPr>
          <w:rFonts w:asciiTheme="minorHAnsi" w:hAnsiTheme="minorHAnsi" w:cstheme="minorHAnsi"/>
          <w:shd w:val="clear" w:color="auto" w:fill="FFFFFF"/>
        </w:rPr>
        <w:t>)</w:t>
      </w:r>
      <w:r w:rsidR="00B56555" w:rsidRPr="00AD509E">
        <w:rPr>
          <w:rFonts w:asciiTheme="minorHAnsi" w:hAnsiTheme="minorHAnsi" w:cstheme="minorHAnsi"/>
          <w:shd w:val="clear" w:color="auto" w:fill="FFFFFF"/>
        </w:rPr>
        <w:t>,</w:t>
      </w:r>
      <w:r w:rsidR="00D9707E" w:rsidRPr="00AD509E">
        <w:rPr>
          <w:rFonts w:asciiTheme="minorHAnsi" w:hAnsiTheme="minorHAnsi" w:cstheme="minorHAnsi"/>
          <w:shd w:val="clear" w:color="auto" w:fill="FFFFFF"/>
        </w:rPr>
        <w:t xml:space="preserve"> </w:t>
      </w:r>
      <w:r w:rsidRPr="00AD509E">
        <w:rPr>
          <w:rFonts w:asciiTheme="minorHAnsi" w:hAnsiTheme="minorHAnsi" w:cstheme="minorHAnsi"/>
        </w:rPr>
        <w:t xml:space="preserve">stressed that the world is </w:t>
      </w:r>
      <w:r w:rsidR="00053962" w:rsidRPr="00AD509E">
        <w:rPr>
          <w:rFonts w:asciiTheme="minorHAnsi" w:hAnsiTheme="minorHAnsi" w:cstheme="minorHAnsi"/>
        </w:rPr>
        <w:t>going through a very difficult situation, one</w:t>
      </w:r>
      <w:r w:rsidRPr="00AD509E">
        <w:rPr>
          <w:rFonts w:asciiTheme="minorHAnsi" w:hAnsiTheme="minorHAnsi" w:cstheme="minorHAnsi"/>
        </w:rPr>
        <w:t xml:space="preserve"> that has </w:t>
      </w:r>
      <w:r w:rsidR="00053962" w:rsidRPr="00AD509E">
        <w:rPr>
          <w:rFonts w:asciiTheme="minorHAnsi" w:hAnsiTheme="minorHAnsi" w:cstheme="minorHAnsi"/>
        </w:rPr>
        <w:t>highlighted the critical importance of connectivity, access and use and capacity building</w:t>
      </w:r>
      <w:r w:rsidR="00D9707E" w:rsidRPr="00AD509E">
        <w:rPr>
          <w:rFonts w:asciiTheme="minorHAnsi" w:hAnsiTheme="minorHAnsi" w:cstheme="minorHAnsi"/>
        </w:rPr>
        <w:t xml:space="preserve">. </w:t>
      </w:r>
      <w:r w:rsidR="00162DDD" w:rsidRPr="00AD509E">
        <w:rPr>
          <w:rFonts w:asciiTheme="minorHAnsi" w:hAnsiTheme="minorHAnsi" w:cstheme="minorHAnsi"/>
        </w:rPr>
        <w:t>He highlighted the t</w:t>
      </w:r>
      <w:r w:rsidR="00380AE5" w:rsidRPr="00AD509E">
        <w:rPr>
          <w:rFonts w:asciiTheme="minorHAnsi" w:hAnsiTheme="minorHAnsi" w:cstheme="minorHAnsi"/>
        </w:rPr>
        <w:t>hree contributions received for this meeting: a joint contribution from Lithuania and the United Kingdom, a multi-country contribution from Argentina, Brazil, Canada and the United States</w:t>
      </w:r>
      <w:r w:rsidR="00F27AC1">
        <w:rPr>
          <w:rFonts w:asciiTheme="minorHAnsi" w:hAnsiTheme="minorHAnsi" w:cstheme="minorHAnsi"/>
        </w:rPr>
        <w:t>,</w:t>
      </w:r>
      <w:r w:rsidR="00380AE5" w:rsidRPr="00AD509E">
        <w:rPr>
          <w:rFonts w:asciiTheme="minorHAnsi" w:hAnsiTheme="minorHAnsi" w:cstheme="minorHAnsi"/>
        </w:rPr>
        <w:t xml:space="preserve"> and a contribution from Egypt.</w:t>
      </w:r>
    </w:p>
    <w:p w14:paraId="42D78553" w14:textId="67B75F94" w:rsidR="00E73525" w:rsidRPr="00223654" w:rsidRDefault="00476091" w:rsidP="00AD509E">
      <w:pPr>
        <w:pStyle w:val="Normal1"/>
        <w:widowControl/>
        <w:spacing w:before="80" w:after="80" w:line="240" w:lineRule="auto"/>
        <w:ind w:right="0" w:firstLine="0"/>
        <w:rPr>
          <w:rFonts w:asciiTheme="minorHAnsi" w:hAnsiTheme="minorHAnsi" w:cstheme="minorHAnsi"/>
        </w:rPr>
      </w:pPr>
      <w:r w:rsidRPr="00223654">
        <w:rPr>
          <w:rFonts w:asciiTheme="minorHAnsi" w:hAnsiTheme="minorHAnsi" w:cstheme="minorHAnsi"/>
        </w:rPr>
        <w:t xml:space="preserve">In </w:t>
      </w:r>
      <w:r w:rsidR="00BA6722" w:rsidRPr="00223654">
        <w:rPr>
          <w:rFonts w:asciiTheme="minorHAnsi" w:hAnsiTheme="minorHAnsi" w:cstheme="minorHAnsi"/>
        </w:rPr>
        <w:t>total</w:t>
      </w:r>
      <w:r w:rsidRPr="00223654">
        <w:rPr>
          <w:rFonts w:asciiTheme="minorHAnsi" w:hAnsiTheme="minorHAnsi" w:cstheme="minorHAnsi"/>
        </w:rPr>
        <w:t xml:space="preserve">, </w:t>
      </w:r>
      <w:r w:rsidRPr="00223654">
        <w:rPr>
          <w:rFonts w:asciiTheme="minorHAnsi" w:hAnsiTheme="minorHAnsi" w:cstheme="minorHAnsi"/>
          <w:shd w:val="clear" w:color="auto" w:fill="FFFFFF"/>
        </w:rPr>
        <w:t>TDAG-WG-Prep</w:t>
      </w:r>
      <w:r w:rsidRPr="00223654">
        <w:rPr>
          <w:rFonts w:asciiTheme="minorHAnsi" w:hAnsiTheme="minorHAnsi" w:cstheme="minorHAnsi"/>
        </w:rPr>
        <w:t xml:space="preserve"> has received eight</w:t>
      </w:r>
      <w:r w:rsidR="00BA6722" w:rsidRPr="00223654">
        <w:rPr>
          <w:rFonts w:asciiTheme="minorHAnsi" w:hAnsiTheme="minorHAnsi" w:cstheme="minorHAnsi"/>
        </w:rPr>
        <w:t xml:space="preserve"> contributions to date,</w:t>
      </w:r>
      <w:r w:rsidR="00F36AD8" w:rsidRPr="00223654">
        <w:rPr>
          <w:rFonts w:asciiTheme="minorHAnsi" w:hAnsiTheme="minorHAnsi" w:cstheme="minorHAnsi"/>
        </w:rPr>
        <w:t xml:space="preserve"> </w:t>
      </w:r>
      <w:r w:rsidRPr="00223654">
        <w:rPr>
          <w:rFonts w:asciiTheme="minorHAnsi" w:hAnsiTheme="minorHAnsi" w:cstheme="minorHAnsi"/>
        </w:rPr>
        <w:t xml:space="preserve">including </w:t>
      </w:r>
      <w:r w:rsidR="00F36AD8" w:rsidRPr="00223654">
        <w:rPr>
          <w:rFonts w:asciiTheme="minorHAnsi" w:hAnsiTheme="minorHAnsi" w:cstheme="minorHAnsi"/>
        </w:rPr>
        <w:t xml:space="preserve">the five contributions received from the Russian Federation, Lithuania, EMEA Satellite Operators Association (ESOA) </w:t>
      </w:r>
      <w:r w:rsidRPr="00223654">
        <w:rPr>
          <w:rFonts w:asciiTheme="minorHAnsi" w:hAnsiTheme="minorHAnsi" w:cstheme="minorHAnsi"/>
        </w:rPr>
        <w:t xml:space="preserve">Indonesia </w:t>
      </w:r>
      <w:r w:rsidR="00F36AD8" w:rsidRPr="00223654">
        <w:rPr>
          <w:rFonts w:asciiTheme="minorHAnsi" w:hAnsiTheme="minorHAnsi" w:cstheme="minorHAnsi"/>
        </w:rPr>
        <w:t xml:space="preserve">and </w:t>
      </w:r>
      <w:r w:rsidR="00F36AD8" w:rsidRPr="00223654">
        <w:rPr>
          <w:rFonts w:asciiTheme="minorHAnsi" w:hAnsiTheme="minorHAnsi" w:cstheme="minorHAnsi"/>
          <w:lang w:val="en-ZW"/>
        </w:rPr>
        <w:t>Zimbabwe.</w:t>
      </w:r>
      <w:r w:rsidR="00E73525" w:rsidRPr="00223654">
        <w:rPr>
          <w:rFonts w:asciiTheme="minorHAnsi" w:hAnsiTheme="minorHAnsi" w:cstheme="minorHAnsi"/>
        </w:rPr>
        <w:t xml:space="preserve"> </w:t>
      </w:r>
    </w:p>
    <w:p w14:paraId="4CE3B2EA" w14:textId="3B367821" w:rsidR="004C5FC4" w:rsidRPr="00AD509E" w:rsidRDefault="004C5FC4" w:rsidP="00AD509E">
      <w:pPr>
        <w:pStyle w:val="Normal1"/>
        <w:widowControl/>
        <w:spacing w:before="80" w:after="80" w:line="240" w:lineRule="auto"/>
        <w:ind w:right="0" w:firstLine="0"/>
        <w:rPr>
          <w:rFonts w:asciiTheme="minorHAnsi" w:hAnsiTheme="minorHAnsi" w:cstheme="minorHAnsi"/>
        </w:rPr>
      </w:pPr>
      <w:r w:rsidRPr="00223654">
        <w:rPr>
          <w:rFonts w:asciiTheme="minorHAnsi" w:hAnsiTheme="minorHAnsi" w:cstheme="minorHAnsi"/>
        </w:rPr>
        <w:t xml:space="preserve">The group </w:t>
      </w:r>
      <w:r w:rsidR="00BA6722" w:rsidRPr="00AD509E">
        <w:rPr>
          <w:rFonts w:asciiTheme="minorHAnsi" w:hAnsiTheme="minorHAnsi" w:cstheme="minorHAnsi"/>
        </w:rPr>
        <w:t>will hold its fourth and final meeting on 20 October 2020</w:t>
      </w:r>
      <w:r w:rsidR="006C18D8">
        <w:rPr>
          <w:rFonts w:asciiTheme="minorHAnsi" w:hAnsiTheme="minorHAnsi" w:cstheme="minorHAnsi"/>
        </w:rPr>
        <w:t>,</w:t>
      </w:r>
      <w:r w:rsidR="00BA6722" w:rsidRPr="00AD509E">
        <w:rPr>
          <w:rFonts w:asciiTheme="minorHAnsi" w:hAnsiTheme="minorHAnsi" w:cstheme="minorHAnsi"/>
        </w:rPr>
        <w:t xml:space="preserve"> and has to submit </w:t>
      </w:r>
      <w:r w:rsidRPr="00AD509E">
        <w:rPr>
          <w:rFonts w:asciiTheme="minorHAnsi" w:hAnsiTheme="minorHAnsi" w:cstheme="minorHAnsi"/>
        </w:rPr>
        <w:t>its final report</w:t>
      </w:r>
      <w:r w:rsidR="00476091" w:rsidRPr="00AD509E">
        <w:rPr>
          <w:rFonts w:asciiTheme="minorHAnsi" w:hAnsiTheme="minorHAnsi" w:cstheme="minorHAnsi"/>
        </w:rPr>
        <w:t xml:space="preserve"> with recommendations</w:t>
      </w:r>
      <w:r w:rsidRPr="00AD509E">
        <w:rPr>
          <w:rFonts w:asciiTheme="minorHAnsi" w:hAnsiTheme="minorHAnsi" w:cstheme="minorHAnsi"/>
        </w:rPr>
        <w:t xml:space="preserve"> to the TDAG meeting of 23 November 2020</w:t>
      </w:r>
      <w:r w:rsidR="00476091" w:rsidRPr="00AD509E">
        <w:rPr>
          <w:rFonts w:asciiTheme="minorHAnsi" w:hAnsiTheme="minorHAnsi" w:cstheme="minorHAnsi"/>
        </w:rPr>
        <w:t xml:space="preserve"> on </w:t>
      </w:r>
      <w:r w:rsidR="00E73525" w:rsidRPr="00AD509E">
        <w:rPr>
          <w:rFonts w:asciiTheme="minorHAnsi" w:hAnsiTheme="minorHAnsi" w:cstheme="minorHAnsi"/>
        </w:rPr>
        <w:t>a way forward for WTDC preparations</w:t>
      </w:r>
      <w:r w:rsidR="00476091" w:rsidRPr="00AD509E">
        <w:rPr>
          <w:rFonts w:asciiTheme="minorHAnsi" w:hAnsiTheme="minorHAnsi" w:cstheme="minorHAnsi"/>
        </w:rPr>
        <w:t>.</w:t>
      </w:r>
    </w:p>
    <w:p w14:paraId="0A70F8AC" w14:textId="1A537FE3" w:rsidR="003B6D6D" w:rsidRPr="00AD509E" w:rsidRDefault="003B6D6D" w:rsidP="00223654">
      <w:pPr>
        <w:pStyle w:val="Fixed"/>
        <w:keepNext/>
        <w:widowControl/>
        <w:spacing w:before="80" w:after="80" w:line="240" w:lineRule="auto"/>
        <w:ind w:right="0" w:firstLine="0"/>
        <w:rPr>
          <w:rFonts w:asciiTheme="minorHAnsi" w:hAnsiTheme="minorHAnsi" w:cstheme="minorHAnsi"/>
          <w:b/>
        </w:rPr>
      </w:pPr>
      <w:r w:rsidRPr="00AD509E">
        <w:rPr>
          <w:rFonts w:asciiTheme="minorHAnsi" w:hAnsiTheme="minorHAnsi" w:cstheme="minorHAnsi"/>
          <w:b/>
        </w:rPr>
        <w:t>Approval of the agenda</w:t>
      </w:r>
    </w:p>
    <w:p w14:paraId="7577DE19" w14:textId="18A2F18D" w:rsidR="003B6D6D" w:rsidRPr="00AD509E" w:rsidRDefault="0066596E" w:rsidP="00AD509E">
      <w:pPr>
        <w:pStyle w:val="Fixed"/>
        <w:widowControl/>
        <w:spacing w:before="80" w:after="80" w:line="240" w:lineRule="auto"/>
        <w:ind w:right="0" w:firstLine="0"/>
        <w:rPr>
          <w:rFonts w:asciiTheme="minorHAnsi" w:hAnsiTheme="minorHAnsi" w:cstheme="minorHAnsi"/>
        </w:rPr>
      </w:pPr>
      <w:r w:rsidRPr="00AD509E">
        <w:rPr>
          <w:rFonts w:asciiTheme="minorHAnsi" w:hAnsiTheme="minorHAnsi" w:cstheme="minorHAnsi"/>
        </w:rPr>
        <w:t xml:space="preserve">The agenda in </w:t>
      </w:r>
      <w:hyperlink r:id="rId8" w:history="1">
        <w:r w:rsidRPr="00AD509E">
          <w:rPr>
            <w:rStyle w:val="Hyperlink"/>
            <w:rFonts w:asciiTheme="minorHAnsi" w:hAnsiTheme="minorHAnsi" w:cstheme="minorHAnsi"/>
          </w:rPr>
          <w:t>Document14</w:t>
        </w:r>
      </w:hyperlink>
      <w:r w:rsidRPr="00AD509E">
        <w:rPr>
          <w:rFonts w:asciiTheme="minorHAnsi" w:hAnsiTheme="minorHAnsi" w:cstheme="minorHAnsi"/>
        </w:rPr>
        <w:t xml:space="preserve"> </w:t>
      </w:r>
      <w:r w:rsidR="003B6D6D" w:rsidRPr="00AD509E">
        <w:rPr>
          <w:rFonts w:asciiTheme="minorHAnsi" w:hAnsiTheme="minorHAnsi" w:cstheme="minorHAnsi"/>
        </w:rPr>
        <w:t>was approved without change.</w:t>
      </w:r>
    </w:p>
    <w:p w14:paraId="7C575933" w14:textId="7C6534AA" w:rsidR="003B6D6D" w:rsidRPr="00AD509E" w:rsidRDefault="00FF5299" w:rsidP="00223654">
      <w:pPr>
        <w:pStyle w:val="Fixed"/>
        <w:keepNext/>
        <w:widowControl/>
        <w:spacing w:before="80" w:after="80" w:line="240" w:lineRule="auto"/>
        <w:ind w:right="0" w:firstLine="0"/>
        <w:rPr>
          <w:rFonts w:asciiTheme="minorHAnsi" w:hAnsiTheme="minorHAnsi" w:cstheme="minorHAnsi"/>
          <w:b/>
        </w:rPr>
      </w:pPr>
      <w:r w:rsidRPr="00AD509E">
        <w:rPr>
          <w:rFonts w:asciiTheme="minorHAnsi" w:hAnsiTheme="minorHAnsi" w:cstheme="minorHAnsi"/>
          <w:b/>
        </w:rPr>
        <w:lastRenderedPageBreak/>
        <w:t>Highlights from the p</w:t>
      </w:r>
      <w:r w:rsidR="003B6D6D" w:rsidRPr="00AD509E">
        <w:rPr>
          <w:rFonts w:asciiTheme="minorHAnsi" w:hAnsiTheme="minorHAnsi" w:cstheme="minorHAnsi"/>
          <w:b/>
        </w:rPr>
        <w:t>resentation of contributions</w:t>
      </w:r>
    </w:p>
    <w:p w14:paraId="5369B007" w14:textId="3CA240E9" w:rsidR="008C16B7" w:rsidRPr="00AD509E" w:rsidRDefault="006B2D75" w:rsidP="00AD509E">
      <w:pPr>
        <w:spacing w:before="80" w:after="80" w:line="240" w:lineRule="auto"/>
        <w:rPr>
          <w:rFonts w:cstheme="minorHAnsi"/>
          <w:b/>
          <w:sz w:val="24"/>
          <w:szCs w:val="24"/>
        </w:rPr>
      </w:pPr>
      <w:r w:rsidRPr="00AD509E">
        <w:rPr>
          <w:rFonts w:cstheme="minorHAnsi"/>
          <w:sz w:val="24"/>
          <w:szCs w:val="24"/>
        </w:rPr>
        <w:t>The Administrations of the United Kingdom and of Lithuania</w:t>
      </w:r>
      <w:r w:rsidR="00FA63AA" w:rsidRPr="00AD509E">
        <w:rPr>
          <w:rFonts w:cstheme="minorHAnsi"/>
          <w:sz w:val="24"/>
          <w:szCs w:val="24"/>
        </w:rPr>
        <w:t xml:space="preserve"> in their joint contribution </w:t>
      </w:r>
      <w:r w:rsidR="00C61867" w:rsidRPr="00AD509E">
        <w:rPr>
          <w:rFonts w:cstheme="minorHAnsi"/>
          <w:sz w:val="24"/>
          <w:szCs w:val="24"/>
        </w:rPr>
        <w:t xml:space="preserve">in </w:t>
      </w:r>
      <w:hyperlink r:id="rId9" w:history="1">
        <w:r w:rsidR="00C61867" w:rsidRPr="00AD509E">
          <w:rPr>
            <w:rStyle w:val="Hyperlink"/>
            <w:rFonts w:cstheme="minorHAnsi"/>
            <w:sz w:val="24"/>
            <w:szCs w:val="24"/>
          </w:rPr>
          <w:t>Document 15</w:t>
        </w:r>
      </w:hyperlink>
      <w:r w:rsidR="00476091" w:rsidRPr="00AD509E">
        <w:rPr>
          <w:rFonts w:cstheme="minorHAnsi"/>
          <w:sz w:val="24"/>
          <w:szCs w:val="24"/>
        </w:rPr>
        <w:t xml:space="preserve"> proposed </w:t>
      </w:r>
      <w:r w:rsidR="00FA63AA" w:rsidRPr="00AD509E">
        <w:rPr>
          <w:rFonts w:cstheme="minorHAnsi"/>
          <w:b/>
          <w:sz w:val="24"/>
          <w:szCs w:val="24"/>
        </w:rPr>
        <w:t>Building Back Better: Bridging the Digital Divide</w:t>
      </w:r>
      <w:r w:rsidR="00FA63AA" w:rsidRPr="00AD509E">
        <w:rPr>
          <w:rFonts w:cstheme="minorHAnsi"/>
          <w:sz w:val="24"/>
          <w:szCs w:val="24"/>
        </w:rPr>
        <w:t xml:space="preserve"> as the overall theme for WTDC-21.</w:t>
      </w:r>
      <w:r w:rsidR="00380AE5" w:rsidRPr="00AD509E">
        <w:rPr>
          <w:rFonts w:cstheme="minorHAnsi"/>
          <w:sz w:val="24"/>
          <w:szCs w:val="24"/>
        </w:rPr>
        <w:t xml:space="preserve"> </w:t>
      </w:r>
      <w:r w:rsidR="00FA63AA" w:rsidRPr="00AD509E">
        <w:rPr>
          <w:rFonts w:cstheme="minorHAnsi"/>
          <w:sz w:val="24"/>
          <w:szCs w:val="24"/>
        </w:rPr>
        <w:t xml:space="preserve">Presenting this theme, the </w:t>
      </w:r>
      <w:r w:rsidR="009B4883" w:rsidRPr="00AD509E">
        <w:rPr>
          <w:rFonts w:cstheme="minorHAnsi"/>
          <w:sz w:val="24"/>
          <w:szCs w:val="24"/>
        </w:rPr>
        <w:t xml:space="preserve">United Kingdom </w:t>
      </w:r>
      <w:r w:rsidR="00FA63AA" w:rsidRPr="00AD509E">
        <w:rPr>
          <w:rFonts w:cstheme="minorHAnsi"/>
          <w:sz w:val="24"/>
          <w:szCs w:val="24"/>
        </w:rPr>
        <w:t xml:space="preserve">stated </w:t>
      </w:r>
      <w:r w:rsidR="00053962" w:rsidRPr="00AD509E">
        <w:rPr>
          <w:rFonts w:cstheme="minorHAnsi"/>
          <w:sz w:val="24"/>
          <w:szCs w:val="24"/>
        </w:rPr>
        <w:t xml:space="preserve">there is nothing more important than closing the digital divide for the part of humanity that </w:t>
      </w:r>
      <w:r w:rsidR="009C64AE" w:rsidRPr="00AD509E">
        <w:rPr>
          <w:rFonts w:cstheme="minorHAnsi"/>
          <w:sz w:val="24"/>
          <w:szCs w:val="24"/>
        </w:rPr>
        <w:t xml:space="preserve">is </w:t>
      </w:r>
      <w:r w:rsidR="00053962" w:rsidRPr="00AD509E">
        <w:rPr>
          <w:rFonts w:cstheme="minorHAnsi"/>
          <w:sz w:val="24"/>
          <w:szCs w:val="24"/>
        </w:rPr>
        <w:t>still behind.</w:t>
      </w:r>
      <w:r w:rsidR="00AD509E">
        <w:rPr>
          <w:rFonts w:cstheme="minorHAnsi"/>
          <w:sz w:val="24"/>
          <w:szCs w:val="24"/>
        </w:rPr>
        <w:t xml:space="preserve"> </w:t>
      </w:r>
      <w:r w:rsidR="00FA63AA" w:rsidRPr="00AD509E">
        <w:rPr>
          <w:rFonts w:cstheme="minorHAnsi"/>
          <w:sz w:val="24"/>
          <w:szCs w:val="24"/>
        </w:rPr>
        <w:t xml:space="preserve">The COVID-19 </w:t>
      </w:r>
      <w:r w:rsidR="00053962" w:rsidRPr="00AD509E">
        <w:rPr>
          <w:rFonts w:cstheme="minorHAnsi"/>
          <w:sz w:val="24"/>
          <w:szCs w:val="24"/>
        </w:rPr>
        <w:t xml:space="preserve">pandemic </w:t>
      </w:r>
      <w:r w:rsidR="00FA63AA" w:rsidRPr="00AD509E">
        <w:rPr>
          <w:rFonts w:cstheme="minorHAnsi"/>
          <w:sz w:val="24"/>
          <w:szCs w:val="24"/>
        </w:rPr>
        <w:t>has</w:t>
      </w:r>
      <w:r w:rsidR="00AF0997" w:rsidRPr="00AD509E">
        <w:rPr>
          <w:rFonts w:cstheme="minorHAnsi"/>
          <w:sz w:val="24"/>
          <w:szCs w:val="24"/>
        </w:rPr>
        <w:t xml:space="preserve"> made starkly clear</w:t>
      </w:r>
      <w:r w:rsidR="00FA63AA" w:rsidRPr="00AD509E">
        <w:rPr>
          <w:rFonts w:cstheme="minorHAnsi"/>
          <w:sz w:val="24"/>
          <w:szCs w:val="24"/>
        </w:rPr>
        <w:t xml:space="preserve"> </w:t>
      </w:r>
      <w:r w:rsidR="00053962" w:rsidRPr="00AD509E">
        <w:rPr>
          <w:rFonts w:cstheme="minorHAnsi"/>
          <w:sz w:val="24"/>
          <w:szCs w:val="24"/>
        </w:rPr>
        <w:t>that digital connectivity, particularly affordable connectivity, affordable from the context of the user</w:t>
      </w:r>
      <w:r w:rsidR="00C61867" w:rsidRPr="00AD509E">
        <w:rPr>
          <w:rFonts w:cstheme="minorHAnsi"/>
          <w:sz w:val="24"/>
          <w:szCs w:val="24"/>
        </w:rPr>
        <w:t>,</w:t>
      </w:r>
      <w:r w:rsidR="00053962" w:rsidRPr="00AD509E">
        <w:rPr>
          <w:rFonts w:cstheme="minorHAnsi"/>
          <w:sz w:val="24"/>
          <w:szCs w:val="24"/>
        </w:rPr>
        <w:t xml:space="preserve"> is a prerequisite for economic participa</w:t>
      </w:r>
      <w:r w:rsidR="00AF0997" w:rsidRPr="00AD509E">
        <w:rPr>
          <w:rFonts w:cstheme="minorHAnsi"/>
          <w:sz w:val="24"/>
          <w:szCs w:val="24"/>
        </w:rPr>
        <w:t>tion.</w:t>
      </w:r>
      <w:r w:rsidR="009C64AE" w:rsidRPr="00AD509E">
        <w:rPr>
          <w:rFonts w:cstheme="minorHAnsi"/>
          <w:sz w:val="24"/>
          <w:szCs w:val="24"/>
        </w:rPr>
        <w:t xml:space="preserve"> </w:t>
      </w:r>
      <w:r w:rsidRPr="00AD509E">
        <w:rPr>
          <w:rFonts w:cstheme="minorHAnsi"/>
          <w:sz w:val="24"/>
          <w:szCs w:val="24"/>
        </w:rPr>
        <w:t>T</w:t>
      </w:r>
      <w:r w:rsidR="00053962" w:rsidRPr="00AD509E">
        <w:rPr>
          <w:rFonts w:cstheme="minorHAnsi"/>
          <w:sz w:val="24"/>
          <w:szCs w:val="24"/>
        </w:rPr>
        <w:t>his is the time for a laser</w:t>
      </w:r>
      <w:r w:rsidR="00053962" w:rsidRPr="00AD509E">
        <w:rPr>
          <w:rFonts w:cstheme="minorHAnsi"/>
          <w:sz w:val="24"/>
          <w:szCs w:val="24"/>
        </w:rPr>
        <w:noBreakHyphen/>
        <w:t xml:space="preserve">like focus to do whatever must be done and bring together the stakeholders from the financial institutions, development </w:t>
      </w:r>
      <w:r w:rsidR="00C63DAB" w:rsidRPr="00AD509E">
        <w:rPr>
          <w:rFonts w:cstheme="minorHAnsi"/>
          <w:sz w:val="24"/>
          <w:szCs w:val="24"/>
        </w:rPr>
        <w:t xml:space="preserve">banks, development agencies and, </w:t>
      </w:r>
      <w:r w:rsidR="00053962" w:rsidRPr="00AD509E">
        <w:rPr>
          <w:rFonts w:cstheme="minorHAnsi"/>
          <w:sz w:val="24"/>
          <w:szCs w:val="24"/>
        </w:rPr>
        <w:t>of course</w:t>
      </w:r>
      <w:r w:rsidR="00E73525" w:rsidRPr="00AD509E">
        <w:rPr>
          <w:rFonts w:cstheme="minorHAnsi"/>
          <w:sz w:val="24"/>
          <w:szCs w:val="24"/>
        </w:rPr>
        <w:t>,</w:t>
      </w:r>
      <w:r w:rsidR="00053962" w:rsidRPr="00AD509E">
        <w:rPr>
          <w:rFonts w:cstheme="minorHAnsi"/>
          <w:sz w:val="24"/>
          <w:szCs w:val="24"/>
        </w:rPr>
        <w:t xml:space="preserve"> the ITU membership </w:t>
      </w:r>
      <w:r w:rsidR="009C64AE" w:rsidRPr="00AD509E">
        <w:rPr>
          <w:rFonts w:cstheme="minorHAnsi"/>
          <w:sz w:val="24"/>
          <w:szCs w:val="24"/>
        </w:rPr>
        <w:t>to take stock of what is required to finally meet the challenge of ensuring affordable connectivity for all people everywhere</w:t>
      </w:r>
      <w:r w:rsidR="00C63DAB" w:rsidRPr="00AD509E">
        <w:rPr>
          <w:rFonts w:cstheme="minorHAnsi"/>
          <w:sz w:val="24"/>
          <w:szCs w:val="24"/>
        </w:rPr>
        <w:t xml:space="preserve"> and </w:t>
      </w:r>
      <w:r w:rsidR="008E32C0" w:rsidRPr="00AD509E">
        <w:rPr>
          <w:rFonts w:cstheme="minorHAnsi"/>
          <w:sz w:val="24"/>
          <w:szCs w:val="24"/>
        </w:rPr>
        <w:t>to collaborate on action.</w:t>
      </w:r>
      <w:r w:rsidR="00AD509E">
        <w:rPr>
          <w:rFonts w:cstheme="minorHAnsi"/>
          <w:sz w:val="24"/>
          <w:szCs w:val="24"/>
        </w:rPr>
        <w:t xml:space="preserve"> </w:t>
      </w:r>
    </w:p>
    <w:p w14:paraId="50A23890" w14:textId="1BE01CDC" w:rsidR="00747C71" w:rsidRPr="00AD509E" w:rsidRDefault="00F27F37" w:rsidP="00AD509E">
      <w:pPr>
        <w:pStyle w:val="Normal1"/>
        <w:widowControl/>
        <w:spacing w:before="80" w:after="80" w:line="240" w:lineRule="auto"/>
        <w:ind w:right="0" w:firstLine="0"/>
        <w:rPr>
          <w:rFonts w:asciiTheme="minorHAnsi" w:hAnsiTheme="minorHAnsi" w:cstheme="minorHAnsi"/>
        </w:rPr>
      </w:pPr>
      <w:r w:rsidRPr="00AD509E">
        <w:rPr>
          <w:rFonts w:asciiTheme="minorHAnsi" w:hAnsiTheme="minorHAnsi" w:cstheme="minorHAnsi"/>
        </w:rPr>
        <w:t>Brazil</w:t>
      </w:r>
      <w:r w:rsidR="008F7F18" w:rsidRPr="00AD509E">
        <w:rPr>
          <w:rFonts w:asciiTheme="minorHAnsi" w:hAnsiTheme="minorHAnsi" w:cstheme="minorHAnsi"/>
        </w:rPr>
        <w:t>,</w:t>
      </w:r>
      <w:r w:rsidRPr="00AD509E">
        <w:rPr>
          <w:rFonts w:asciiTheme="minorHAnsi" w:hAnsiTheme="minorHAnsi" w:cstheme="minorHAnsi"/>
        </w:rPr>
        <w:t xml:space="preserve"> as the CITEL focal </w:t>
      </w:r>
      <w:r w:rsidRPr="005D31B0">
        <w:rPr>
          <w:rFonts w:asciiTheme="minorHAnsi" w:hAnsiTheme="minorHAnsi" w:cstheme="minorHAnsi"/>
        </w:rPr>
        <w:t xml:space="preserve">point for </w:t>
      </w:r>
      <w:r w:rsidRPr="005D31B0">
        <w:rPr>
          <w:rFonts w:asciiTheme="minorHAnsi" w:hAnsiTheme="minorHAnsi" w:cstheme="minorHAnsi"/>
          <w:shd w:val="clear" w:color="auto" w:fill="FFFFFF"/>
        </w:rPr>
        <w:t>TDAG-WG-Prep</w:t>
      </w:r>
      <w:r w:rsidR="008F7F18" w:rsidRPr="005D31B0">
        <w:rPr>
          <w:rFonts w:asciiTheme="minorHAnsi" w:hAnsiTheme="minorHAnsi" w:cstheme="minorHAnsi"/>
          <w:shd w:val="clear" w:color="auto" w:fill="FFFFFF"/>
        </w:rPr>
        <w:t>,</w:t>
      </w:r>
      <w:r w:rsidRPr="005D31B0">
        <w:rPr>
          <w:rFonts w:asciiTheme="minorHAnsi" w:hAnsiTheme="minorHAnsi" w:cstheme="minorHAnsi"/>
        </w:rPr>
        <w:t xml:space="preserve"> presented the </w:t>
      </w:r>
      <w:r w:rsidR="00053962" w:rsidRPr="005D31B0">
        <w:rPr>
          <w:rFonts w:asciiTheme="minorHAnsi" w:hAnsiTheme="minorHAnsi" w:cstheme="minorHAnsi"/>
        </w:rPr>
        <w:t>multi</w:t>
      </w:r>
      <w:r w:rsidR="00967F38" w:rsidRPr="005D31B0">
        <w:rPr>
          <w:rFonts w:asciiTheme="minorHAnsi" w:hAnsiTheme="minorHAnsi" w:cstheme="minorHAnsi"/>
        </w:rPr>
        <w:t>-</w:t>
      </w:r>
      <w:r w:rsidR="00053962" w:rsidRPr="005D31B0">
        <w:rPr>
          <w:rFonts w:asciiTheme="minorHAnsi" w:hAnsiTheme="minorHAnsi" w:cstheme="minorHAnsi"/>
        </w:rPr>
        <w:t xml:space="preserve">country contribution </w:t>
      </w:r>
      <w:r w:rsidR="00C61867" w:rsidRPr="005D31B0">
        <w:rPr>
          <w:rFonts w:asciiTheme="minorHAnsi" w:hAnsiTheme="minorHAnsi" w:cstheme="minorHAnsi"/>
        </w:rPr>
        <w:t xml:space="preserve">in </w:t>
      </w:r>
      <w:hyperlink r:id="rId10" w:history="1">
        <w:r w:rsidR="00C61867" w:rsidRPr="005D31B0">
          <w:rPr>
            <w:rStyle w:val="Hyperlink"/>
            <w:rFonts w:asciiTheme="minorHAnsi" w:hAnsiTheme="minorHAnsi" w:cstheme="minorHAnsi"/>
          </w:rPr>
          <w:t>Document</w:t>
        </w:r>
        <w:r w:rsidR="005D31B0" w:rsidRPr="005D31B0">
          <w:rPr>
            <w:rStyle w:val="Hyperlink"/>
            <w:rFonts w:asciiTheme="minorHAnsi" w:hAnsiTheme="minorHAnsi" w:cstheme="minorHAnsi"/>
          </w:rPr>
          <w:t xml:space="preserve"> </w:t>
        </w:r>
        <w:r w:rsidR="00C61867" w:rsidRPr="005D31B0">
          <w:rPr>
            <w:rStyle w:val="Hyperlink"/>
            <w:rFonts w:asciiTheme="minorHAnsi" w:hAnsiTheme="minorHAnsi" w:cstheme="minorHAnsi"/>
          </w:rPr>
          <w:t>16</w:t>
        </w:r>
      </w:hyperlink>
      <w:r w:rsidR="00B44941" w:rsidRPr="005D31B0">
        <w:rPr>
          <w:rStyle w:val="Hyperlink"/>
          <w:rFonts w:asciiTheme="minorHAnsi" w:hAnsiTheme="minorHAnsi" w:cstheme="minorHAnsi"/>
          <w:color w:val="auto"/>
        </w:rPr>
        <w:t xml:space="preserve"> </w:t>
      </w:r>
      <w:r w:rsidRPr="005D31B0">
        <w:rPr>
          <w:rFonts w:asciiTheme="minorHAnsi" w:hAnsiTheme="minorHAnsi" w:cstheme="minorHAnsi"/>
        </w:rPr>
        <w:t>stressing that</w:t>
      </w:r>
      <w:r w:rsidR="00967F38" w:rsidRPr="005D31B0">
        <w:rPr>
          <w:rFonts w:asciiTheme="minorHAnsi" w:hAnsiTheme="minorHAnsi" w:cstheme="minorHAnsi"/>
        </w:rPr>
        <w:t xml:space="preserve"> </w:t>
      </w:r>
      <w:r w:rsidR="00E73525" w:rsidRPr="005D31B0">
        <w:rPr>
          <w:rFonts w:asciiTheme="minorHAnsi" w:hAnsiTheme="minorHAnsi" w:cstheme="minorHAnsi"/>
        </w:rPr>
        <w:t>WTDC-</w:t>
      </w:r>
      <w:r w:rsidR="00053962" w:rsidRPr="005D31B0">
        <w:rPr>
          <w:rFonts w:asciiTheme="minorHAnsi" w:hAnsiTheme="minorHAnsi" w:cstheme="minorHAnsi"/>
        </w:rPr>
        <w:t xml:space="preserve">21 </w:t>
      </w:r>
      <w:r w:rsidR="0009054C" w:rsidRPr="005D31B0">
        <w:rPr>
          <w:rFonts w:asciiTheme="minorHAnsi" w:hAnsiTheme="minorHAnsi" w:cstheme="minorHAnsi"/>
        </w:rPr>
        <w:t xml:space="preserve">should </w:t>
      </w:r>
      <w:r w:rsidR="00967F38" w:rsidRPr="005D31B0">
        <w:rPr>
          <w:rFonts w:asciiTheme="minorHAnsi" w:hAnsiTheme="minorHAnsi" w:cstheme="minorHAnsi"/>
        </w:rPr>
        <w:t xml:space="preserve">be </w:t>
      </w:r>
      <w:r w:rsidR="00053962" w:rsidRPr="005D31B0">
        <w:rPr>
          <w:rFonts w:asciiTheme="minorHAnsi" w:hAnsiTheme="minorHAnsi" w:cstheme="minorHAnsi"/>
        </w:rPr>
        <w:t>an action</w:t>
      </w:r>
      <w:r w:rsidR="00053962" w:rsidRPr="005D31B0">
        <w:rPr>
          <w:rFonts w:asciiTheme="minorHAnsi" w:hAnsiTheme="minorHAnsi" w:cstheme="minorHAnsi"/>
        </w:rPr>
        <w:noBreakHyphen/>
        <w:t xml:space="preserve">oriented environment with interactive dialogues between stakeholders </w:t>
      </w:r>
      <w:r w:rsidR="0009054C" w:rsidRPr="005D31B0">
        <w:rPr>
          <w:rFonts w:asciiTheme="minorHAnsi" w:hAnsiTheme="minorHAnsi" w:cstheme="minorHAnsi"/>
        </w:rPr>
        <w:t xml:space="preserve">aimed at </w:t>
      </w:r>
      <w:r w:rsidR="00053962" w:rsidRPr="005D31B0">
        <w:rPr>
          <w:rFonts w:asciiTheme="minorHAnsi" w:hAnsiTheme="minorHAnsi" w:cstheme="minorHAnsi"/>
        </w:rPr>
        <w:t xml:space="preserve">developing a shared understanding of existing barriers and advancing sustainable and innovative solutions for </w:t>
      </w:r>
      <w:r w:rsidR="0009054C" w:rsidRPr="005D31B0">
        <w:rPr>
          <w:rFonts w:asciiTheme="minorHAnsi" w:hAnsiTheme="minorHAnsi" w:cstheme="minorHAnsi"/>
        </w:rPr>
        <w:t>the</w:t>
      </w:r>
      <w:r w:rsidR="00053962" w:rsidRPr="005D31B0">
        <w:rPr>
          <w:rFonts w:asciiTheme="minorHAnsi" w:hAnsiTheme="minorHAnsi" w:cstheme="minorHAnsi"/>
        </w:rPr>
        <w:t xml:space="preserve"> expansion of connectivity throughout the world, particularly in </w:t>
      </w:r>
      <w:r w:rsidR="0009054C" w:rsidRPr="005D31B0">
        <w:rPr>
          <w:rFonts w:asciiTheme="minorHAnsi" w:hAnsiTheme="minorHAnsi" w:cstheme="minorHAnsi"/>
        </w:rPr>
        <w:t>d</w:t>
      </w:r>
      <w:r w:rsidR="00053962" w:rsidRPr="005D31B0">
        <w:rPr>
          <w:rFonts w:asciiTheme="minorHAnsi" w:hAnsiTheme="minorHAnsi" w:cstheme="minorHAnsi"/>
        </w:rPr>
        <w:t xml:space="preserve">eveloping </w:t>
      </w:r>
      <w:r w:rsidR="0009054C" w:rsidRPr="00AD509E">
        <w:rPr>
          <w:rFonts w:asciiTheme="minorHAnsi" w:hAnsiTheme="minorHAnsi" w:cstheme="minorHAnsi"/>
        </w:rPr>
        <w:t xml:space="preserve">countries. </w:t>
      </w:r>
      <w:r w:rsidR="00F24ECC" w:rsidRPr="00AD509E">
        <w:rPr>
          <w:rFonts w:asciiTheme="minorHAnsi" w:hAnsiTheme="minorHAnsi" w:cstheme="minorHAnsi"/>
        </w:rPr>
        <w:t xml:space="preserve">The presentation highlighted </w:t>
      </w:r>
      <w:r w:rsidRPr="00AD509E">
        <w:rPr>
          <w:rFonts w:asciiTheme="minorHAnsi" w:hAnsiTheme="minorHAnsi" w:cstheme="minorHAnsi"/>
        </w:rPr>
        <w:t>several proposals</w:t>
      </w:r>
      <w:r w:rsidR="008E337B">
        <w:rPr>
          <w:rFonts w:asciiTheme="minorHAnsi" w:hAnsiTheme="minorHAnsi" w:cstheme="minorHAnsi"/>
          <w:lang w:val="ru-RU"/>
        </w:rPr>
        <w:t>:</w:t>
      </w:r>
      <w:r w:rsidR="008E337B" w:rsidRPr="00AD509E">
        <w:rPr>
          <w:rFonts w:asciiTheme="minorHAnsi" w:hAnsiTheme="minorHAnsi" w:cstheme="minorHAnsi"/>
        </w:rPr>
        <w:t xml:space="preserve"> </w:t>
      </w:r>
    </w:p>
    <w:p w14:paraId="3B7E0E74" w14:textId="0CCA1B2A" w:rsidR="00EE7515" w:rsidRPr="00AD509E" w:rsidRDefault="0001496F" w:rsidP="008A358F">
      <w:pPr>
        <w:pStyle w:val="Normal1"/>
        <w:widowControl/>
        <w:numPr>
          <w:ilvl w:val="0"/>
          <w:numId w:val="3"/>
        </w:numPr>
        <w:spacing w:before="60" w:line="240" w:lineRule="auto"/>
        <w:ind w:left="567" w:right="0" w:hanging="567"/>
        <w:rPr>
          <w:rFonts w:asciiTheme="minorHAnsi" w:hAnsiTheme="minorHAnsi" w:cstheme="minorHAnsi"/>
        </w:rPr>
      </w:pPr>
      <w:r>
        <w:rPr>
          <w:rFonts w:asciiTheme="minorHAnsi" w:hAnsiTheme="minorHAnsi" w:cstheme="minorHAnsi"/>
        </w:rPr>
        <w:t>There is a</w:t>
      </w:r>
      <w:r w:rsidR="00E73525" w:rsidRPr="00AD509E">
        <w:rPr>
          <w:rFonts w:asciiTheme="minorHAnsi" w:hAnsiTheme="minorHAnsi" w:cstheme="minorHAnsi"/>
        </w:rPr>
        <w:t xml:space="preserve"> proposal</w:t>
      </w:r>
      <w:r w:rsidR="00F27F37" w:rsidRPr="00AD509E">
        <w:rPr>
          <w:rFonts w:asciiTheme="minorHAnsi" w:hAnsiTheme="minorHAnsi" w:cstheme="minorHAnsi"/>
        </w:rPr>
        <w:t xml:space="preserve"> to hold up to three interregional meetings (IRMs) before the conference</w:t>
      </w:r>
      <w:r>
        <w:rPr>
          <w:rFonts w:asciiTheme="minorHAnsi" w:hAnsiTheme="minorHAnsi" w:cstheme="minorHAnsi"/>
        </w:rPr>
        <w:t xml:space="preserve">. </w:t>
      </w:r>
      <w:r w:rsidR="00053962" w:rsidRPr="00AD509E">
        <w:rPr>
          <w:rFonts w:asciiTheme="minorHAnsi" w:hAnsiTheme="minorHAnsi" w:cstheme="minorHAnsi"/>
        </w:rPr>
        <w:t xml:space="preserve">The regional preparatory focus should </w:t>
      </w:r>
      <w:r w:rsidR="001751E0" w:rsidRPr="00AD509E">
        <w:rPr>
          <w:rFonts w:asciiTheme="minorHAnsi" w:hAnsiTheme="minorHAnsi" w:cstheme="minorHAnsi"/>
        </w:rPr>
        <w:t xml:space="preserve">be on </w:t>
      </w:r>
      <w:r w:rsidR="00053962" w:rsidRPr="00AD509E">
        <w:rPr>
          <w:rFonts w:asciiTheme="minorHAnsi" w:hAnsiTheme="minorHAnsi" w:cstheme="minorHAnsi"/>
        </w:rPr>
        <w:t>defining regional priorities or initiative</w:t>
      </w:r>
      <w:r w:rsidR="001751E0" w:rsidRPr="00AD509E">
        <w:rPr>
          <w:rFonts w:asciiTheme="minorHAnsi" w:hAnsiTheme="minorHAnsi" w:cstheme="minorHAnsi"/>
        </w:rPr>
        <w:t>s</w:t>
      </w:r>
      <w:r w:rsidR="00836E63" w:rsidRPr="00AD509E">
        <w:rPr>
          <w:rFonts w:asciiTheme="minorHAnsi" w:hAnsiTheme="minorHAnsi" w:cstheme="minorHAnsi"/>
        </w:rPr>
        <w:t>, revising or drafting time-</w:t>
      </w:r>
      <w:r w:rsidR="00053962" w:rsidRPr="00AD509E">
        <w:rPr>
          <w:rFonts w:asciiTheme="minorHAnsi" w:hAnsiTheme="minorHAnsi" w:cstheme="minorHAnsi"/>
        </w:rPr>
        <w:t xml:space="preserve">consuming resolutions, addressing </w:t>
      </w:r>
      <w:r w:rsidR="00F24ECC" w:rsidRPr="00AD509E">
        <w:rPr>
          <w:rFonts w:asciiTheme="minorHAnsi" w:hAnsiTheme="minorHAnsi" w:cstheme="minorHAnsi"/>
        </w:rPr>
        <w:t>s</w:t>
      </w:r>
      <w:r w:rsidR="00053962" w:rsidRPr="00AD509E">
        <w:rPr>
          <w:rFonts w:asciiTheme="minorHAnsi" w:hAnsiTheme="minorHAnsi" w:cstheme="minorHAnsi"/>
        </w:rPr>
        <w:t xml:space="preserve">tudy </w:t>
      </w:r>
      <w:r w:rsidR="00F24ECC" w:rsidRPr="00AD509E">
        <w:rPr>
          <w:rFonts w:asciiTheme="minorHAnsi" w:hAnsiTheme="minorHAnsi" w:cstheme="minorHAnsi"/>
        </w:rPr>
        <w:t>g</w:t>
      </w:r>
      <w:r w:rsidR="00053962" w:rsidRPr="00AD509E">
        <w:rPr>
          <w:rFonts w:asciiTheme="minorHAnsi" w:hAnsiTheme="minorHAnsi" w:cstheme="minorHAnsi"/>
        </w:rPr>
        <w:t xml:space="preserve">roups and study </w:t>
      </w:r>
      <w:r w:rsidR="00F24ECC" w:rsidRPr="00AD509E">
        <w:rPr>
          <w:rFonts w:asciiTheme="minorHAnsi" w:hAnsiTheme="minorHAnsi" w:cstheme="minorHAnsi"/>
        </w:rPr>
        <w:t>Q</w:t>
      </w:r>
      <w:r w:rsidR="00836E63" w:rsidRPr="00AD509E">
        <w:rPr>
          <w:rFonts w:asciiTheme="minorHAnsi" w:hAnsiTheme="minorHAnsi" w:cstheme="minorHAnsi"/>
        </w:rPr>
        <w:t>uestions-</w:t>
      </w:r>
      <w:r w:rsidR="00053962" w:rsidRPr="00AD509E">
        <w:rPr>
          <w:rFonts w:asciiTheme="minorHAnsi" w:hAnsiTheme="minorHAnsi" w:cstheme="minorHAnsi"/>
        </w:rPr>
        <w:t>related matters and developing guidelines for the declaration.</w:t>
      </w:r>
    </w:p>
    <w:p w14:paraId="361A5F68" w14:textId="4B8D2909" w:rsidR="001751E0" w:rsidRPr="008E337B" w:rsidRDefault="00C40795" w:rsidP="008A358F">
      <w:pPr>
        <w:pStyle w:val="Normal1"/>
        <w:widowControl/>
        <w:numPr>
          <w:ilvl w:val="0"/>
          <w:numId w:val="3"/>
        </w:numPr>
        <w:spacing w:before="60" w:line="240" w:lineRule="auto"/>
        <w:ind w:left="567" w:right="0" w:hanging="567"/>
        <w:rPr>
          <w:rFonts w:cstheme="minorHAnsi"/>
        </w:rPr>
      </w:pPr>
      <w:r w:rsidRPr="008E337B">
        <w:rPr>
          <w:rFonts w:asciiTheme="minorHAnsi" w:hAnsiTheme="minorHAnsi" w:cstheme="minorHAnsi"/>
        </w:rPr>
        <w:t>WTDC needs to attract new and more diverse participants from the private sector and potential donors. To this end, i</w:t>
      </w:r>
      <w:r w:rsidR="001751E0" w:rsidRPr="008E337B">
        <w:rPr>
          <w:rFonts w:asciiTheme="minorHAnsi" w:hAnsiTheme="minorHAnsi" w:cstheme="minorHAnsi"/>
        </w:rPr>
        <w:t xml:space="preserve">nstitutions such as the World Bank, Regional Development Banks, civil society organizations, representatives from marginalized communities, UN Women, </w:t>
      </w:r>
      <w:r w:rsidR="006D0184" w:rsidRPr="008E337B">
        <w:rPr>
          <w:rFonts w:asciiTheme="minorHAnsi" w:hAnsiTheme="minorHAnsi" w:cstheme="minorHAnsi"/>
        </w:rPr>
        <w:t>UNHCR</w:t>
      </w:r>
      <w:r w:rsidR="001751E0" w:rsidRPr="008E337B">
        <w:rPr>
          <w:rFonts w:asciiTheme="minorHAnsi" w:hAnsiTheme="minorHAnsi" w:cstheme="minorHAnsi"/>
        </w:rPr>
        <w:t>, UNICEF and others may be involved in the preparatory process, and take on speci</w:t>
      </w:r>
      <w:r w:rsidR="00114992" w:rsidRPr="008E337B">
        <w:rPr>
          <w:rFonts w:asciiTheme="minorHAnsi" w:hAnsiTheme="minorHAnsi" w:cstheme="minorHAnsi"/>
        </w:rPr>
        <w:t>fic roles during the conference</w:t>
      </w:r>
      <w:r w:rsidRPr="008E337B">
        <w:rPr>
          <w:rFonts w:asciiTheme="minorHAnsi" w:hAnsiTheme="minorHAnsi" w:cstheme="minorHAnsi"/>
        </w:rPr>
        <w:t xml:space="preserve">. </w:t>
      </w:r>
    </w:p>
    <w:p w14:paraId="2D27A223" w14:textId="0803B18C" w:rsidR="00D61DD4" w:rsidRPr="008E337B" w:rsidRDefault="0001496F" w:rsidP="008A358F">
      <w:pPr>
        <w:pStyle w:val="Normal1"/>
        <w:widowControl/>
        <w:numPr>
          <w:ilvl w:val="0"/>
          <w:numId w:val="3"/>
        </w:numPr>
        <w:spacing w:before="60" w:line="240" w:lineRule="auto"/>
        <w:ind w:left="567" w:right="0" w:hanging="567"/>
        <w:rPr>
          <w:rFonts w:cstheme="minorHAnsi"/>
        </w:rPr>
      </w:pPr>
      <w:r w:rsidRPr="008E337B">
        <w:rPr>
          <w:rFonts w:asciiTheme="minorHAnsi" w:hAnsiTheme="minorHAnsi" w:cstheme="minorHAnsi"/>
        </w:rPr>
        <w:t>C</w:t>
      </w:r>
      <w:r w:rsidR="00053962" w:rsidRPr="008E337B">
        <w:rPr>
          <w:rFonts w:asciiTheme="minorHAnsi" w:hAnsiTheme="minorHAnsi" w:cstheme="minorHAnsi"/>
        </w:rPr>
        <w:t xml:space="preserve">onsideration should be given to merging the </w:t>
      </w:r>
      <w:r w:rsidR="00EC074F" w:rsidRPr="008E337B">
        <w:rPr>
          <w:rFonts w:asciiTheme="minorHAnsi" w:hAnsiTheme="minorHAnsi" w:cstheme="minorHAnsi"/>
        </w:rPr>
        <w:t>H</w:t>
      </w:r>
      <w:r w:rsidR="00053962" w:rsidRPr="008E337B">
        <w:rPr>
          <w:rFonts w:asciiTheme="minorHAnsi" w:hAnsiTheme="minorHAnsi" w:cstheme="minorHAnsi"/>
        </w:rPr>
        <w:t>igh</w:t>
      </w:r>
      <w:r w:rsidR="00053962" w:rsidRPr="008E337B">
        <w:rPr>
          <w:rFonts w:asciiTheme="minorHAnsi" w:hAnsiTheme="minorHAnsi" w:cstheme="minorHAnsi"/>
        </w:rPr>
        <w:noBreakHyphen/>
      </w:r>
      <w:r w:rsidR="00EC074F" w:rsidRPr="008E337B">
        <w:rPr>
          <w:rFonts w:asciiTheme="minorHAnsi" w:hAnsiTheme="minorHAnsi" w:cstheme="minorHAnsi"/>
        </w:rPr>
        <w:t>L</w:t>
      </w:r>
      <w:r w:rsidR="00053962" w:rsidRPr="008E337B">
        <w:rPr>
          <w:rFonts w:asciiTheme="minorHAnsi" w:hAnsiTheme="minorHAnsi" w:cstheme="minorHAnsi"/>
        </w:rPr>
        <w:t xml:space="preserve">evel </w:t>
      </w:r>
      <w:r w:rsidRPr="008E337B">
        <w:rPr>
          <w:rFonts w:asciiTheme="minorHAnsi" w:hAnsiTheme="minorHAnsi" w:cstheme="minorHAnsi"/>
        </w:rPr>
        <w:t>S</w:t>
      </w:r>
      <w:r w:rsidR="00053962" w:rsidRPr="008E337B">
        <w:rPr>
          <w:rFonts w:asciiTheme="minorHAnsi" w:hAnsiTheme="minorHAnsi" w:cstheme="minorHAnsi"/>
        </w:rPr>
        <w:t>egment and the side events into the thematic</w:t>
      </w:r>
      <w:r w:rsidR="0000481F" w:rsidRPr="008E337B">
        <w:rPr>
          <w:rFonts w:asciiTheme="minorHAnsi" w:hAnsiTheme="minorHAnsi" w:cstheme="minorHAnsi"/>
        </w:rPr>
        <w:t xml:space="preserve"> events as a </w:t>
      </w:r>
      <w:r w:rsidR="00836E63" w:rsidRPr="008E337B">
        <w:rPr>
          <w:rFonts w:asciiTheme="minorHAnsi" w:hAnsiTheme="minorHAnsi" w:cstheme="minorHAnsi"/>
        </w:rPr>
        <w:t>D</w:t>
      </w:r>
      <w:r w:rsidR="0000481F" w:rsidRPr="008E337B">
        <w:rPr>
          <w:rFonts w:asciiTheme="minorHAnsi" w:hAnsiTheme="minorHAnsi" w:cstheme="minorHAnsi"/>
        </w:rPr>
        <w:t xml:space="preserve">evelopment </w:t>
      </w:r>
      <w:r w:rsidR="00836E63" w:rsidRPr="008E337B">
        <w:rPr>
          <w:rFonts w:asciiTheme="minorHAnsi" w:hAnsiTheme="minorHAnsi" w:cstheme="minorHAnsi"/>
        </w:rPr>
        <w:t>T</w:t>
      </w:r>
      <w:r w:rsidR="0000481F" w:rsidRPr="008E337B">
        <w:rPr>
          <w:rFonts w:asciiTheme="minorHAnsi" w:hAnsiTheme="minorHAnsi" w:cstheme="minorHAnsi"/>
        </w:rPr>
        <w:t xml:space="preserve">rack. </w:t>
      </w:r>
      <w:r w:rsidR="0000481F" w:rsidRPr="008A358F">
        <w:rPr>
          <w:rFonts w:asciiTheme="minorHAnsi" w:hAnsiTheme="minorHAnsi" w:cstheme="minorHAnsi"/>
        </w:rPr>
        <w:t>The thematic or development track should be separate from the administrative aspects of the conference, yet also incorporated into the work of WTDC-21.</w:t>
      </w:r>
      <w:r w:rsidR="0000481F" w:rsidRPr="008E337B">
        <w:rPr>
          <w:rFonts w:asciiTheme="minorHAnsi" w:hAnsiTheme="minorHAnsi" w:cstheme="minorHAnsi"/>
        </w:rPr>
        <w:t xml:space="preserve"> </w:t>
      </w:r>
      <w:r w:rsidR="00041106" w:rsidRPr="008E337B">
        <w:rPr>
          <w:rFonts w:asciiTheme="minorHAnsi" w:hAnsiTheme="minorHAnsi" w:cstheme="minorHAnsi"/>
        </w:rPr>
        <w:t xml:space="preserve">The development track should aim to conclude after </w:t>
      </w:r>
      <w:r w:rsidR="00F4741D" w:rsidRPr="008E337B">
        <w:rPr>
          <w:rFonts w:asciiTheme="minorHAnsi" w:hAnsiTheme="minorHAnsi" w:cstheme="minorHAnsi"/>
        </w:rPr>
        <w:t xml:space="preserve">two to three </w:t>
      </w:r>
      <w:r w:rsidR="005B0AFA" w:rsidRPr="008E337B">
        <w:rPr>
          <w:rFonts w:asciiTheme="minorHAnsi" w:hAnsiTheme="minorHAnsi" w:cstheme="minorHAnsi"/>
        </w:rPr>
        <w:t>days to maximize senior-</w:t>
      </w:r>
      <w:r w:rsidR="00041106" w:rsidRPr="008E337B">
        <w:rPr>
          <w:rFonts w:asciiTheme="minorHAnsi" w:hAnsiTheme="minorHAnsi" w:cstheme="minorHAnsi"/>
        </w:rPr>
        <w:t>level participation and attendance</w:t>
      </w:r>
      <w:r w:rsidR="00C80D89" w:rsidRPr="008E337B">
        <w:rPr>
          <w:rFonts w:asciiTheme="minorHAnsi" w:hAnsiTheme="minorHAnsi" w:cstheme="minorHAnsi"/>
        </w:rPr>
        <w:t>.</w:t>
      </w:r>
    </w:p>
    <w:p w14:paraId="159EBAF0" w14:textId="4D1EC08E" w:rsidR="00D61DD4" w:rsidRPr="00AD509E" w:rsidRDefault="0001496F" w:rsidP="008A358F">
      <w:pPr>
        <w:pStyle w:val="Normal1"/>
        <w:widowControl/>
        <w:numPr>
          <w:ilvl w:val="0"/>
          <w:numId w:val="3"/>
        </w:numPr>
        <w:spacing w:before="60" w:line="240" w:lineRule="auto"/>
        <w:ind w:left="567" w:right="0" w:hanging="567"/>
        <w:rPr>
          <w:rFonts w:asciiTheme="minorHAnsi" w:hAnsiTheme="minorHAnsi" w:cstheme="minorHAnsi"/>
        </w:rPr>
      </w:pPr>
      <w:r>
        <w:rPr>
          <w:rFonts w:asciiTheme="minorHAnsi" w:hAnsiTheme="minorHAnsi" w:cstheme="minorHAnsi"/>
        </w:rPr>
        <w:t>T</w:t>
      </w:r>
      <w:r w:rsidR="008B2CA4" w:rsidRPr="00AD509E">
        <w:rPr>
          <w:rFonts w:asciiTheme="minorHAnsi" w:hAnsiTheme="minorHAnsi" w:cstheme="minorHAnsi"/>
        </w:rPr>
        <w:t>he theme of WTDC-21</w:t>
      </w:r>
      <w:r w:rsidR="000B058B" w:rsidRPr="00AD509E">
        <w:rPr>
          <w:rFonts w:asciiTheme="minorHAnsi" w:hAnsiTheme="minorHAnsi" w:cstheme="minorHAnsi"/>
        </w:rPr>
        <w:t xml:space="preserve"> </w:t>
      </w:r>
      <w:r w:rsidR="00D61DD4" w:rsidRPr="00AD509E">
        <w:rPr>
          <w:rFonts w:asciiTheme="minorHAnsi" w:hAnsiTheme="minorHAnsi" w:cstheme="minorHAnsi"/>
        </w:rPr>
        <w:t xml:space="preserve">should </w:t>
      </w:r>
      <w:r w:rsidR="008B2CA4" w:rsidRPr="00AD509E">
        <w:rPr>
          <w:rFonts w:asciiTheme="minorHAnsi" w:hAnsiTheme="minorHAnsi" w:cstheme="minorHAnsi"/>
        </w:rPr>
        <w:t xml:space="preserve">focus on promoting universal, secure, affordable connectivity and connecting the unconnected, with due consideration </w:t>
      </w:r>
      <w:r w:rsidR="00D61DD4" w:rsidRPr="00AD509E">
        <w:rPr>
          <w:rFonts w:asciiTheme="minorHAnsi" w:hAnsiTheme="minorHAnsi" w:cstheme="minorHAnsi"/>
        </w:rPr>
        <w:t>of</w:t>
      </w:r>
      <w:r w:rsidR="008B2CA4" w:rsidRPr="00AD509E">
        <w:rPr>
          <w:rFonts w:asciiTheme="minorHAnsi" w:hAnsiTheme="minorHAnsi" w:cstheme="minorHAnsi"/>
        </w:rPr>
        <w:t xml:space="preserve"> the role of telecommunication/ICT connectivity in advancing the Sustainable Development Goals (SDGs), and addressing the particular needs of vulnerable sectors (indigenous populations, women, the elderly</w:t>
      </w:r>
      <w:r w:rsidR="001668DA" w:rsidRPr="00AD509E">
        <w:rPr>
          <w:rFonts w:asciiTheme="minorHAnsi" w:hAnsiTheme="minorHAnsi" w:cstheme="minorHAnsi"/>
        </w:rPr>
        <w:t>, people with disabilities, youth</w:t>
      </w:r>
      <w:r w:rsidR="00D61DD4" w:rsidRPr="00AD509E">
        <w:rPr>
          <w:rFonts w:asciiTheme="minorHAnsi" w:hAnsiTheme="minorHAnsi" w:cstheme="minorHAnsi"/>
        </w:rPr>
        <w:t xml:space="preserve"> and so on</w:t>
      </w:r>
      <w:r w:rsidR="008B2CA4" w:rsidRPr="00AD509E">
        <w:rPr>
          <w:rFonts w:asciiTheme="minorHAnsi" w:hAnsiTheme="minorHAnsi" w:cstheme="minorHAnsi"/>
        </w:rPr>
        <w:t xml:space="preserve">). </w:t>
      </w:r>
      <w:r w:rsidR="00D61DD4" w:rsidRPr="00AD509E">
        <w:rPr>
          <w:rFonts w:asciiTheme="minorHAnsi" w:hAnsiTheme="minorHAnsi" w:cstheme="minorHAnsi"/>
        </w:rPr>
        <w:t xml:space="preserve">In the light of COVID-19, the conference could focus on related experiences, challenges and opportunities and address </w:t>
      </w:r>
      <w:r w:rsidR="00D61DD4" w:rsidRPr="008A358F">
        <w:rPr>
          <w:rFonts w:asciiTheme="minorHAnsi" w:hAnsiTheme="minorHAnsi" w:cstheme="minorHAnsi"/>
        </w:rPr>
        <w:t>its impact on advancing telecommunication/ICT connectivity</w:t>
      </w:r>
      <w:r w:rsidR="00D61DD4" w:rsidRPr="00AD509E">
        <w:rPr>
          <w:rFonts w:asciiTheme="minorHAnsi" w:hAnsiTheme="minorHAnsi" w:cstheme="minorHAnsi"/>
        </w:rPr>
        <w:t xml:space="preserve">. </w:t>
      </w:r>
    </w:p>
    <w:p w14:paraId="4667FF34" w14:textId="1CE5D3F6" w:rsidR="00C74FFE" w:rsidRPr="008E337B" w:rsidRDefault="00053962" w:rsidP="008A358F">
      <w:pPr>
        <w:pStyle w:val="Normal1"/>
        <w:widowControl/>
        <w:numPr>
          <w:ilvl w:val="0"/>
          <w:numId w:val="3"/>
        </w:numPr>
        <w:spacing w:before="60" w:line="240" w:lineRule="auto"/>
        <w:ind w:left="567" w:right="0" w:hanging="567"/>
        <w:rPr>
          <w:rFonts w:cstheme="minorHAnsi"/>
        </w:rPr>
      </w:pPr>
      <w:r w:rsidRPr="008E337B">
        <w:rPr>
          <w:rFonts w:asciiTheme="minorHAnsi" w:hAnsiTheme="minorHAnsi" w:cstheme="minorHAnsi"/>
        </w:rPr>
        <w:t>Finally,</w:t>
      </w:r>
      <w:r w:rsidR="00AB10CA" w:rsidRPr="008E337B">
        <w:rPr>
          <w:rFonts w:asciiTheme="minorHAnsi" w:hAnsiTheme="minorHAnsi" w:cstheme="minorHAnsi"/>
        </w:rPr>
        <w:t xml:space="preserve"> i</w:t>
      </w:r>
      <w:r w:rsidRPr="008E337B">
        <w:rPr>
          <w:rFonts w:asciiTheme="minorHAnsi" w:hAnsiTheme="minorHAnsi" w:cstheme="minorHAnsi"/>
        </w:rPr>
        <w:t>t would be important to identify a list of special guests, including a short list of top or star guests. If the focus is on action</w:t>
      </w:r>
      <w:r w:rsidRPr="008E337B">
        <w:rPr>
          <w:rFonts w:asciiTheme="minorHAnsi" w:hAnsiTheme="minorHAnsi" w:cstheme="minorHAnsi"/>
        </w:rPr>
        <w:noBreakHyphen/>
        <w:t xml:space="preserve">oriented dialogues, experts with operational or execution experience should be considered. </w:t>
      </w:r>
      <w:r w:rsidR="00C74FFE" w:rsidRPr="008E337B">
        <w:rPr>
          <w:rFonts w:asciiTheme="minorHAnsi" w:hAnsiTheme="minorHAnsi" w:cstheme="minorHAnsi"/>
        </w:rPr>
        <w:t>These guests could lead specific sessions within the conference agenda, on topics such as financing of ICT development projects, operation of development agencies and banks and methodology to access their credit lines.</w:t>
      </w:r>
    </w:p>
    <w:p w14:paraId="2D3F2A71" w14:textId="48A611CD" w:rsidR="00427B89" w:rsidRPr="00250E3D" w:rsidRDefault="005631E4" w:rsidP="00AD509E">
      <w:pPr>
        <w:spacing w:before="80" w:after="80" w:line="240" w:lineRule="auto"/>
        <w:rPr>
          <w:rFonts w:cstheme="minorHAnsi"/>
          <w:sz w:val="24"/>
          <w:szCs w:val="24"/>
        </w:rPr>
      </w:pPr>
      <w:r w:rsidRPr="00AD509E">
        <w:rPr>
          <w:rFonts w:cstheme="minorHAnsi"/>
          <w:sz w:val="24"/>
          <w:szCs w:val="24"/>
        </w:rPr>
        <w:t>Egypt presented its contribution</w:t>
      </w:r>
      <w:r w:rsidR="00D921D1" w:rsidRPr="00AD509E">
        <w:rPr>
          <w:rFonts w:cstheme="minorHAnsi"/>
          <w:sz w:val="24"/>
          <w:szCs w:val="24"/>
        </w:rPr>
        <w:t xml:space="preserve"> </w:t>
      </w:r>
      <w:r w:rsidR="001F4D30" w:rsidRPr="00AD509E">
        <w:rPr>
          <w:rFonts w:cstheme="minorHAnsi"/>
          <w:sz w:val="24"/>
          <w:szCs w:val="24"/>
        </w:rPr>
        <w:t xml:space="preserve">in </w:t>
      </w:r>
      <w:hyperlink r:id="rId11" w:history="1">
        <w:r w:rsidR="001F4D30" w:rsidRPr="00AD509E">
          <w:rPr>
            <w:rStyle w:val="Hyperlink"/>
            <w:rFonts w:cstheme="minorHAnsi"/>
            <w:sz w:val="24"/>
            <w:szCs w:val="24"/>
          </w:rPr>
          <w:t>Document 17</w:t>
        </w:r>
      </w:hyperlink>
      <w:r w:rsidR="001F4D30" w:rsidRPr="00AD509E">
        <w:rPr>
          <w:rFonts w:cstheme="minorHAnsi"/>
          <w:sz w:val="24"/>
          <w:szCs w:val="24"/>
        </w:rPr>
        <w:t xml:space="preserve"> </w:t>
      </w:r>
      <w:r w:rsidR="008F7F18" w:rsidRPr="00AD509E">
        <w:rPr>
          <w:rFonts w:cstheme="minorHAnsi"/>
          <w:sz w:val="24"/>
          <w:szCs w:val="24"/>
        </w:rPr>
        <w:t>p</w:t>
      </w:r>
      <w:r w:rsidR="00D921D1" w:rsidRPr="00AD509E">
        <w:rPr>
          <w:rFonts w:cstheme="minorHAnsi"/>
          <w:sz w:val="24"/>
          <w:szCs w:val="24"/>
        </w:rPr>
        <w:t>ropos</w:t>
      </w:r>
      <w:r w:rsidR="008F7F18" w:rsidRPr="00AD509E">
        <w:rPr>
          <w:rFonts w:cstheme="minorHAnsi"/>
          <w:sz w:val="24"/>
          <w:szCs w:val="24"/>
        </w:rPr>
        <w:t>ing</w:t>
      </w:r>
      <w:r w:rsidR="00D921D1" w:rsidRPr="00AD509E">
        <w:rPr>
          <w:rFonts w:cstheme="minorHAnsi"/>
          <w:sz w:val="24"/>
          <w:szCs w:val="24"/>
        </w:rPr>
        <w:t xml:space="preserve"> to </w:t>
      </w:r>
      <w:r w:rsidR="00053962" w:rsidRPr="00AD509E">
        <w:rPr>
          <w:rFonts w:cstheme="minorHAnsi"/>
          <w:sz w:val="24"/>
          <w:szCs w:val="24"/>
        </w:rPr>
        <w:t xml:space="preserve">hold two IRMs, </w:t>
      </w:r>
      <w:r w:rsidR="00680337" w:rsidRPr="00AD509E">
        <w:rPr>
          <w:rFonts w:cstheme="minorHAnsi"/>
          <w:sz w:val="24"/>
          <w:szCs w:val="24"/>
        </w:rPr>
        <w:t xml:space="preserve">one </w:t>
      </w:r>
      <w:r w:rsidR="00053962" w:rsidRPr="00AD509E">
        <w:rPr>
          <w:rFonts w:cstheme="minorHAnsi"/>
          <w:sz w:val="24"/>
          <w:szCs w:val="24"/>
        </w:rPr>
        <w:t xml:space="preserve">during the first quarter of 2021 and the </w:t>
      </w:r>
      <w:r w:rsidR="00AC019A" w:rsidRPr="00AD509E">
        <w:rPr>
          <w:rFonts w:cstheme="minorHAnsi"/>
          <w:sz w:val="24"/>
          <w:szCs w:val="24"/>
        </w:rPr>
        <w:t>other</w:t>
      </w:r>
      <w:r w:rsidR="00053962" w:rsidRPr="00AD509E">
        <w:rPr>
          <w:rFonts w:cstheme="minorHAnsi"/>
          <w:sz w:val="24"/>
          <w:szCs w:val="24"/>
        </w:rPr>
        <w:t xml:space="preserve"> </w:t>
      </w:r>
      <w:r w:rsidR="00D921D1" w:rsidRPr="00AD509E">
        <w:rPr>
          <w:rFonts w:cstheme="minorHAnsi"/>
          <w:sz w:val="24"/>
          <w:szCs w:val="24"/>
        </w:rPr>
        <w:t>after the r</w:t>
      </w:r>
      <w:r w:rsidR="00053962" w:rsidRPr="00AD509E">
        <w:rPr>
          <w:rFonts w:cstheme="minorHAnsi"/>
          <w:sz w:val="24"/>
          <w:szCs w:val="24"/>
        </w:rPr>
        <w:t>ound of</w:t>
      </w:r>
      <w:r w:rsidR="00D921D1" w:rsidRPr="00AD509E">
        <w:rPr>
          <w:rFonts w:cstheme="minorHAnsi"/>
          <w:sz w:val="24"/>
          <w:szCs w:val="24"/>
        </w:rPr>
        <w:t xml:space="preserve"> regional preparatory meetings.</w:t>
      </w:r>
      <w:r w:rsidR="00680337" w:rsidRPr="00AD509E">
        <w:rPr>
          <w:rFonts w:cstheme="minorHAnsi"/>
          <w:sz w:val="24"/>
          <w:szCs w:val="24"/>
        </w:rPr>
        <w:t xml:space="preserve"> According to </w:t>
      </w:r>
      <w:r w:rsidR="00680337" w:rsidRPr="00AD509E">
        <w:rPr>
          <w:rFonts w:cstheme="minorHAnsi"/>
          <w:sz w:val="24"/>
          <w:szCs w:val="24"/>
        </w:rPr>
        <w:lastRenderedPageBreak/>
        <w:t>Egypt, h</w:t>
      </w:r>
      <w:r w:rsidR="00053962" w:rsidRPr="00AD509E">
        <w:rPr>
          <w:rFonts w:cstheme="minorHAnsi"/>
          <w:sz w:val="24"/>
          <w:szCs w:val="24"/>
        </w:rPr>
        <w:t>olding too many IRMs is not necessary</w:t>
      </w:r>
      <w:r w:rsidR="00680337" w:rsidRPr="00AD509E">
        <w:rPr>
          <w:rFonts w:cstheme="minorHAnsi"/>
          <w:sz w:val="24"/>
          <w:szCs w:val="24"/>
        </w:rPr>
        <w:t xml:space="preserve">, considering that </w:t>
      </w:r>
      <w:r w:rsidR="00053962" w:rsidRPr="00AD509E">
        <w:rPr>
          <w:rFonts w:cstheme="minorHAnsi"/>
          <w:sz w:val="24"/>
          <w:szCs w:val="24"/>
        </w:rPr>
        <w:t xml:space="preserve">regional telecommunication </w:t>
      </w:r>
      <w:r w:rsidR="00053962" w:rsidRPr="00250E3D">
        <w:rPr>
          <w:rFonts w:cstheme="minorHAnsi"/>
          <w:sz w:val="24"/>
          <w:szCs w:val="24"/>
        </w:rPr>
        <w:t>organizations will</w:t>
      </w:r>
      <w:r w:rsidR="00680337" w:rsidRPr="00250E3D">
        <w:rPr>
          <w:rFonts w:cstheme="minorHAnsi"/>
          <w:sz w:val="24"/>
          <w:szCs w:val="24"/>
        </w:rPr>
        <w:t xml:space="preserve"> </w:t>
      </w:r>
      <w:r w:rsidR="00053962" w:rsidRPr="00250E3D">
        <w:rPr>
          <w:rFonts w:cstheme="minorHAnsi"/>
          <w:sz w:val="24"/>
          <w:szCs w:val="24"/>
        </w:rPr>
        <w:t>need enough time to finalize their common proposal</w:t>
      </w:r>
      <w:r w:rsidR="00D921D1" w:rsidRPr="00250E3D">
        <w:rPr>
          <w:rFonts w:cstheme="minorHAnsi"/>
          <w:sz w:val="24"/>
          <w:szCs w:val="24"/>
        </w:rPr>
        <w:t>s</w:t>
      </w:r>
      <w:r w:rsidR="00053962" w:rsidRPr="00250E3D">
        <w:rPr>
          <w:rFonts w:cstheme="minorHAnsi"/>
          <w:sz w:val="24"/>
          <w:szCs w:val="24"/>
        </w:rPr>
        <w:t>.</w:t>
      </w:r>
      <w:r w:rsidR="00680337" w:rsidRPr="00250E3D">
        <w:rPr>
          <w:rFonts w:cstheme="minorHAnsi"/>
          <w:sz w:val="24"/>
          <w:szCs w:val="24"/>
        </w:rPr>
        <w:t xml:space="preserve"> </w:t>
      </w:r>
    </w:p>
    <w:p w14:paraId="568CA537" w14:textId="7B0AD9BD" w:rsidR="00427B89" w:rsidRPr="00AD509E" w:rsidRDefault="00427B89" w:rsidP="0072501A">
      <w:pPr>
        <w:pStyle w:val="Normal1"/>
        <w:widowControl/>
        <w:spacing w:before="80" w:after="80" w:line="240" w:lineRule="auto"/>
        <w:ind w:right="0" w:firstLine="0"/>
        <w:rPr>
          <w:rFonts w:asciiTheme="minorHAnsi" w:hAnsiTheme="minorHAnsi" w:cstheme="minorHAnsi"/>
        </w:rPr>
      </w:pPr>
      <w:r w:rsidRPr="00250E3D">
        <w:rPr>
          <w:rFonts w:asciiTheme="minorHAnsi" w:hAnsiTheme="minorHAnsi" w:cstheme="minorHAnsi"/>
        </w:rPr>
        <w:t xml:space="preserve">Egypt’s contribution states </w:t>
      </w:r>
      <w:r w:rsidR="00984F2B" w:rsidRPr="00250E3D">
        <w:rPr>
          <w:rFonts w:asciiTheme="minorHAnsi" w:hAnsiTheme="minorHAnsi" w:cstheme="minorHAnsi"/>
        </w:rPr>
        <w:t xml:space="preserve">that the </w:t>
      </w:r>
      <w:r w:rsidR="008F7F18" w:rsidRPr="00250E3D">
        <w:rPr>
          <w:rFonts w:asciiTheme="minorHAnsi" w:hAnsiTheme="minorHAnsi" w:cstheme="minorHAnsi"/>
        </w:rPr>
        <w:t>H</w:t>
      </w:r>
      <w:r w:rsidR="00984F2B" w:rsidRPr="00250E3D">
        <w:rPr>
          <w:rFonts w:asciiTheme="minorHAnsi" w:hAnsiTheme="minorHAnsi" w:cstheme="minorHAnsi"/>
        </w:rPr>
        <w:t>igh-</w:t>
      </w:r>
      <w:r w:rsidR="008F7F18" w:rsidRPr="00250E3D">
        <w:rPr>
          <w:rFonts w:asciiTheme="minorHAnsi" w:hAnsiTheme="minorHAnsi" w:cstheme="minorHAnsi"/>
        </w:rPr>
        <w:t>L</w:t>
      </w:r>
      <w:r w:rsidR="00984F2B" w:rsidRPr="00250E3D">
        <w:rPr>
          <w:rFonts w:asciiTheme="minorHAnsi" w:hAnsiTheme="minorHAnsi" w:cstheme="minorHAnsi"/>
        </w:rPr>
        <w:t xml:space="preserve">evel </w:t>
      </w:r>
      <w:r w:rsidR="008F7F18" w:rsidRPr="00250E3D">
        <w:rPr>
          <w:rFonts w:asciiTheme="minorHAnsi" w:hAnsiTheme="minorHAnsi" w:cstheme="minorHAnsi"/>
        </w:rPr>
        <w:t>S</w:t>
      </w:r>
      <w:r w:rsidR="00984F2B" w:rsidRPr="00250E3D">
        <w:rPr>
          <w:rFonts w:asciiTheme="minorHAnsi" w:hAnsiTheme="minorHAnsi" w:cstheme="minorHAnsi"/>
        </w:rPr>
        <w:t>egment can be changed to become more interactive, and i</w:t>
      </w:r>
      <w:r w:rsidR="00ED6444" w:rsidRPr="00250E3D">
        <w:rPr>
          <w:rFonts w:asciiTheme="minorHAnsi" w:hAnsiTheme="minorHAnsi" w:cstheme="minorHAnsi"/>
        </w:rPr>
        <w:t xml:space="preserve">nvolve different stakeholders. </w:t>
      </w:r>
      <w:r w:rsidR="00984F2B" w:rsidRPr="00250E3D">
        <w:rPr>
          <w:rFonts w:asciiTheme="minorHAnsi" w:hAnsiTheme="minorHAnsi" w:cstheme="minorHAnsi"/>
        </w:rPr>
        <w:t xml:space="preserve">The first day of the </w:t>
      </w:r>
      <w:r w:rsidRPr="00250E3D">
        <w:rPr>
          <w:rFonts w:asciiTheme="minorHAnsi" w:hAnsiTheme="minorHAnsi" w:cstheme="minorHAnsi"/>
        </w:rPr>
        <w:t xml:space="preserve">conference could </w:t>
      </w:r>
      <w:r w:rsidR="00984F2B" w:rsidRPr="00250E3D">
        <w:rPr>
          <w:rFonts w:asciiTheme="minorHAnsi" w:hAnsiTheme="minorHAnsi" w:cstheme="minorHAnsi"/>
        </w:rPr>
        <w:t>be assigned to the High</w:t>
      </w:r>
      <w:r w:rsidRPr="00250E3D">
        <w:rPr>
          <w:rFonts w:asciiTheme="minorHAnsi" w:hAnsiTheme="minorHAnsi" w:cstheme="minorHAnsi"/>
        </w:rPr>
        <w:t>-L</w:t>
      </w:r>
      <w:r w:rsidR="00984F2B" w:rsidRPr="00250E3D">
        <w:rPr>
          <w:rFonts w:asciiTheme="minorHAnsi" w:hAnsiTheme="minorHAnsi" w:cstheme="minorHAnsi"/>
        </w:rPr>
        <w:t xml:space="preserve">evel </w:t>
      </w:r>
      <w:r w:rsidRPr="00250E3D">
        <w:rPr>
          <w:rFonts w:asciiTheme="minorHAnsi" w:hAnsiTheme="minorHAnsi" w:cstheme="minorHAnsi"/>
        </w:rPr>
        <w:t>S</w:t>
      </w:r>
      <w:r w:rsidR="00984F2B" w:rsidRPr="00250E3D">
        <w:rPr>
          <w:rFonts w:asciiTheme="minorHAnsi" w:hAnsiTheme="minorHAnsi" w:cstheme="minorHAnsi"/>
        </w:rPr>
        <w:t>egment, which could be in the form of a panel discussion that includes</w:t>
      </w:r>
      <w:r w:rsidRPr="00250E3D">
        <w:rPr>
          <w:rFonts w:asciiTheme="minorHAnsi" w:hAnsiTheme="minorHAnsi" w:cstheme="minorHAnsi"/>
        </w:rPr>
        <w:t xml:space="preserve"> high-l</w:t>
      </w:r>
      <w:r w:rsidR="00984F2B" w:rsidRPr="00250E3D">
        <w:rPr>
          <w:rFonts w:asciiTheme="minorHAnsi" w:hAnsiTheme="minorHAnsi" w:cstheme="minorHAnsi"/>
        </w:rPr>
        <w:t xml:space="preserve">evel participants attending the </w:t>
      </w:r>
      <w:r w:rsidRPr="00250E3D">
        <w:rPr>
          <w:rFonts w:asciiTheme="minorHAnsi" w:hAnsiTheme="minorHAnsi" w:cstheme="minorHAnsi"/>
        </w:rPr>
        <w:t>c</w:t>
      </w:r>
      <w:r w:rsidR="00984F2B" w:rsidRPr="00250E3D">
        <w:rPr>
          <w:rFonts w:asciiTheme="minorHAnsi" w:hAnsiTheme="minorHAnsi" w:cstheme="minorHAnsi"/>
        </w:rPr>
        <w:t xml:space="preserve">onference. Topics of discussion would be decided beforehand. </w:t>
      </w:r>
      <w:r w:rsidR="000B058B" w:rsidRPr="00250E3D">
        <w:rPr>
          <w:rFonts w:asciiTheme="minorHAnsi" w:hAnsiTheme="minorHAnsi" w:cstheme="minorHAnsi"/>
        </w:rPr>
        <w:t>The proposal underlines that</w:t>
      </w:r>
      <w:r w:rsidR="00FA7ACF" w:rsidRPr="00250E3D">
        <w:rPr>
          <w:rFonts w:asciiTheme="minorHAnsi" w:hAnsiTheme="minorHAnsi" w:cstheme="minorHAnsi"/>
        </w:rPr>
        <w:t xml:space="preserve"> p</w:t>
      </w:r>
      <w:r w:rsidR="00984F2B" w:rsidRPr="00250E3D">
        <w:rPr>
          <w:rFonts w:asciiTheme="minorHAnsi" w:hAnsiTheme="minorHAnsi" w:cstheme="minorHAnsi"/>
        </w:rPr>
        <w:t xml:space="preserve">olicy statements </w:t>
      </w:r>
      <w:r w:rsidRPr="00250E3D">
        <w:rPr>
          <w:rFonts w:asciiTheme="minorHAnsi" w:hAnsiTheme="minorHAnsi" w:cstheme="minorHAnsi"/>
        </w:rPr>
        <w:t xml:space="preserve">are considered important for Member States to be able to share their experiences and </w:t>
      </w:r>
      <w:r w:rsidR="000B058B" w:rsidRPr="00250E3D">
        <w:rPr>
          <w:rFonts w:asciiTheme="minorHAnsi" w:hAnsiTheme="minorHAnsi" w:cstheme="minorHAnsi"/>
        </w:rPr>
        <w:t xml:space="preserve">that </w:t>
      </w:r>
      <w:r w:rsidRPr="00250E3D">
        <w:rPr>
          <w:rFonts w:asciiTheme="minorHAnsi" w:hAnsiTheme="minorHAnsi" w:cstheme="minorHAnsi"/>
        </w:rPr>
        <w:t xml:space="preserve">WTDC is a good venue for that. In view of this importance, </w:t>
      </w:r>
      <w:r w:rsidR="00C40795" w:rsidRPr="00250E3D">
        <w:rPr>
          <w:rFonts w:asciiTheme="minorHAnsi" w:hAnsiTheme="minorHAnsi" w:cstheme="minorHAnsi"/>
        </w:rPr>
        <w:t xml:space="preserve">it is suggested that </w:t>
      </w:r>
      <w:r w:rsidRPr="00250E3D">
        <w:rPr>
          <w:rFonts w:asciiTheme="minorHAnsi" w:hAnsiTheme="minorHAnsi" w:cstheme="minorHAnsi"/>
        </w:rPr>
        <w:t>policy</w:t>
      </w:r>
      <w:r w:rsidRPr="00AD509E">
        <w:rPr>
          <w:rFonts w:asciiTheme="minorHAnsi" w:hAnsiTheme="minorHAnsi" w:cstheme="minorHAnsi"/>
        </w:rPr>
        <w:t xml:space="preserve"> statements </w:t>
      </w:r>
      <w:r w:rsidR="00984F2B" w:rsidRPr="00AD509E">
        <w:rPr>
          <w:rFonts w:asciiTheme="minorHAnsi" w:hAnsiTheme="minorHAnsi" w:cstheme="minorHAnsi"/>
        </w:rPr>
        <w:t xml:space="preserve">may be recorded and run on screens in the conference venue as well as on the WTDC online portal. </w:t>
      </w:r>
      <w:r w:rsidRPr="00AD509E">
        <w:rPr>
          <w:rFonts w:asciiTheme="minorHAnsi" w:hAnsiTheme="minorHAnsi" w:cstheme="minorHAnsi"/>
        </w:rPr>
        <w:t xml:space="preserve">In this regard more work would </w:t>
      </w:r>
      <w:r w:rsidR="00C40795">
        <w:rPr>
          <w:rFonts w:asciiTheme="minorHAnsi" w:hAnsiTheme="minorHAnsi" w:cstheme="minorHAnsi"/>
        </w:rPr>
        <w:t>need to be done</w:t>
      </w:r>
      <w:r w:rsidRPr="00AD509E">
        <w:rPr>
          <w:rFonts w:asciiTheme="minorHAnsi" w:hAnsiTheme="minorHAnsi" w:cstheme="minorHAnsi"/>
        </w:rPr>
        <w:t xml:space="preserve"> to make the online portal more interactive.</w:t>
      </w:r>
    </w:p>
    <w:p w14:paraId="09B4703D" w14:textId="0F58FB8D" w:rsidR="00B6337C" w:rsidRPr="00AD509E" w:rsidRDefault="000B7084" w:rsidP="00AD509E">
      <w:pPr>
        <w:tabs>
          <w:tab w:val="left" w:pos="567"/>
          <w:tab w:val="left" w:pos="1134"/>
          <w:tab w:val="left" w:pos="1701"/>
        </w:tabs>
        <w:spacing w:before="80" w:after="80" w:line="240" w:lineRule="auto"/>
        <w:rPr>
          <w:rFonts w:eastAsia="Calibri" w:cstheme="minorHAnsi"/>
          <w:sz w:val="24"/>
          <w:szCs w:val="24"/>
        </w:rPr>
      </w:pPr>
      <w:r w:rsidRPr="00AD509E">
        <w:rPr>
          <w:rFonts w:cstheme="minorHAnsi"/>
          <w:sz w:val="24"/>
          <w:szCs w:val="24"/>
        </w:rPr>
        <w:t>The secretariat present</w:t>
      </w:r>
      <w:r w:rsidR="00555AE6" w:rsidRPr="00AD509E">
        <w:rPr>
          <w:rFonts w:cstheme="minorHAnsi"/>
          <w:sz w:val="24"/>
          <w:szCs w:val="24"/>
        </w:rPr>
        <w:t>ed a c</w:t>
      </w:r>
      <w:r w:rsidR="00426D6A" w:rsidRPr="00AD509E">
        <w:rPr>
          <w:rFonts w:cstheme="minorHAnsi"/>
          <w:color w:val="000000"/>
          <w:sz w:val="24"/>
          <w:szCs w:val="24"/>
          <w:shd w:val="clear" w:color="auto" w:fill="FFFFFF"/>
        </w:rPr>
        <w:t>oncept note for WTDC-21, the Youth Summit and the preparatory process</w:t>
      </w:r>
      <w:r w:rsidR="00555AE6" w:rsidRPr="00AD509E">
        <w:rPr>
          <w:rFonts w:cstheme="minorHAnsi"/>
          <w:color w:val="000000"/>
          <w:sz w:val="24"/>
          <w:szCs w:val="24"/>
          <w:shd w:val="clear" w:color="auto" w:fill="FFFFFF"/>
        </w:rPr>
        <w:t xml:space="preserve"> in </w:t>
      </w:r>
      <w:hyperlink r:id="rId12" w:history="1">
        <w:r w:rsidR="00555AE6" w:rsidRPr="00AD509E">
          <w:rPr>
            <w:rStyle w:val="Hyperlink"/>
            <w:rFonts w:cstheme="minorHAnsi"/>
            <w:sz w:val="24"/>
            <w:szCs w:val="24"/>
            <w:shd w:val="clear" w:color="auto" w:fill="FFFFFF"/>
          </w:rPr>
          <w:t xml:space="preserve">Document DT/4. </w:t>
        </w:r>
      </w:hyperlink>
      <w:r w:rsidR="00555AE6" w:rsidRPr="00AD509E">
        <w:rPr>
          <w:rFonts w:cstheme="minorHAnsi"/>
          <w:color w:val="000000"/>
          <w:sz w:val="24"/>
          <w:szCs w:val="24"/>
          <w:shd w:val="clear" w:color="auto" w:fill="FFFFFF"/>
        </w:rPr>
        <w:t xml:space="preserve">This document </w:t>
      </w:r>
      <w:r w:rsidR="00B1161D" w:rsidRPr="00AD509E">
        <w:rPr>
          <w:rFonts w:cstheme="minorHAnsi"/>
          <w:sz w:val="24"/>
          <w:szCs w:val="24"/>
        </w:rPr>
        <w:t>is a compilation of the contributions received, focused specifically on the request</w:t>
      </w:r>
      <w:r w:rsidR="00B1161D" w:rsidRPr="00AD509E">
        <w:rPr>
          <w:rFonts w:cstheme="minorHAnsi"/>
          <w:color w:val="000000"/>
          <w:sz w:val="24"/>
          <w:szCs w:val="24"/>
          <w:shd w:val="clear" w:color="auto" w:fill="FFFFFF"/>
        </w:rPr>
        <w:t xml:space="preserve"> </w:t>
      </w:r>
      <w:r w:rsidR="00555AE6" w:rsidRPr="00AD509E">
        <w:rPr>
          <w:rFonts w:cstheme="minorHAnsi"/>
          <w:sz w:val="24"/>
          <w:szCs w:val="24"/>
        </w:rPr>
        <w:t xml:space="preserve">of </w:t>
      </w:r>
      <w:r w:rsidR="00B1161D" w:rsidRPr="00AD509E">
        <w:rPr>
          <w:rFonts w:cstheme="minorHAnsi"/>
          <w:sz w:val="24"/>
          <w:szCs w:val="24"/>
        </w:rPr>
        <w:t>p</w:t>
      </w:r>
      <w:r w:rsidR="00555AE6" w:rsidRPr="00AD509E">
        <w:rPr>
          <w:rFonts w:cstheme="minorHAnsi"/>
          <w:sz w:val="24"/>
          <w:szCs w:val="24"/>
        </w:rPr>
        <w:t xml:space="preserve">articipants at </w:t>
      </w:r>
      <w:r w:rsidR="00B81BE9" w:rsidRPr="00AD509E">
        <w:rPr>
          <w:rFonts w:cstheme="minorHAnsi"/>
          <w:sz w:val="24"/>
          <w:szCs w:val="24"/>
        </w:rPr>
        <w:t xml:space="preserve">the last two meetings of the group </w:t>
      </w:r>
      <w:r w:rsidR="00D674E2" w:rsidRPr="00AD509E">
        <w:rPr>
          <w:rFonts w:cstheme="minorHAnsi"/>
          <w:sz w:val="24"/>
          <w:szCs w:val="24"/>
        </w:rPr>
        <w:t xml:space="preserve">calling for </w:t>
      </w:r>
      <w:r w:rsidR="00B1161D" w:rsidRPr="00AD509E">
        <w:rPr>
          <w:rFonts w:cstheme="minorHAnsi"/>
          <w:sz w:val="24"/>
          <w:szCs w:val="24"/>
        </w:rPr>
        <w:t>a clear vision</w:t>
      </w:r>
      <w:r w:rsidR="00ED6444" w:rsidRPr="00AD509E">
        <w:rPr>
          <w:rFonts w:cstheme="minorHAnsi"/>
          <w:sz w:val="24"/>
          <w:szCs w:val="24"/>
        </w:rPr>
        <w:t xml:space="preserve"> of how future WTDCs might look</w:t>
      </w:r>
      <w:r w:rsidR="00B1161D" w:rsidRPr="00AD509E">
        <w:rPr>
          <w:rFonts w:cstheme="minorHAnsi"/>
          <w:sz w:val="24"/>
          <w:szCs w:val="24"/>
        </w:rPr>
        <w:t>.</w:t>
      </w:r>
      <w:r w:rsidR="003D2772" w:rsidRPr="00AD509E">
        <w:rPr>
          <w:rFonts w:cstheme="minorHAnsi"/>
          <w:sz w:val="24"/>
          <w:szCs w:val="24"/>
        </w:rPr>
        <w:t xml:space="preserve"> </w:t>
      </w:r>
      <w:r w:rsidR="00D674E2" w:rsidRPr="00AD509E">
        <w:rPr>
          <w:rFonts w:cstheme="minorHAnsi"/>
          <w:sz w:val="24"/>
          <w:szCs w:val="24"/>
        </w:rPr>
        <w:t xml:space="preserve">Essentially, the concept note proposes two </w:t>
      </w:r>
      <w:r w:rsidR="003D2772" w:rsidRPr="00AD509E">
        <w:rPr>
          <w:rFonts w:cstheme="minorHAnsi"/>
          <w:sz w:val="24"/>
          <w:szCs w:val="24"/>
        </w:rPr>
        <w:t>s</w:t>
      </w:r>
      <w:r w:rsidR="00D674E2" w:rsidRPr="00AD509E">
        <w:rPr>
          <w:rFonts w:cstheme="minorHAnsi"/>
          <w:sz w:val="24"/>
          <w:szCs w:val="24"/>
        </w:rPr>
        <w:t>egments for the conference</w:t>
      </w:r>
      <w:r w:rsidR="003D2772" w:rsidRPr="00AD509E">
        <w:rPr>
          <w:rFonts w:cstheme="minorHAnsi"/>
          <w:sz w:val="24"/>
          <w:szCs w:val="24"/>
        </w:rPr>
        <w:t>: a</w:t>
      </w:r>
      <w:r w:rsidR="003D2772" w:rsidRPr="00AD509E">
        <w:rPr>
          <w:rFonts w:eastAsia="Calibri" w:cstheme="minorHAnsi"/>
          <w:sz w:val="24"/>
          <w:szCs w:val="24"/>
        </w:rPr>
        <w:t xml:space="preserve"> “Partnership Segment”</w:t>
      </w:r>
      <w:r w:rsidR="003D2772" w:rsidRPr="00AD509E">
        <w:rPr>
          <w:rFonts w:cstheme="minorHAnsi"/>
          <w:sz w:val="24"/>
          <w:szCs w:val="24"/>
        </w:rPr>
        <w:t xml:space="preserve"> and an </w:t>
      </w:r>
      <w:r w:rsidR="003D2772" w:rsidRPr="00AD509E">
        <w:rPr>
          <w:rFonts w:eastAsia="Calibri" w:cstheme="minorHAnsi"/>
          <w:sz w:val="24"/>
          <w:szCs w:val="24"/>
        </w:rPr>
        <w:t>Administrative Segment</w:t>
      </w:r>
      <w:r w:rsidR="003D2772" w:rsidRPr="00AD509E">
        <w:rPr>
          <w:rFonts w:cstheme="minorHAnsi"/>
          <w:sz w:val="24"/>
          <w:szCs w:val="24"/>
        </w:rPr>
        <w:t>.</w:t>
      </w:r>
      <w:r w:rsidR="00B6337C" w:rsidRPr="00AD509E">
        <w:rPr>
          <w:rFonts w:cstheme="minorHAnsi"/>
          <w:sz w:val="24"/>
          <w:szCs w:val="24"/>
        </w:rPr>
        <w:t xml:space="preserve"> </w:t>
      </w:r>
      <w:r w:rsidR="00B6337C" w:rsidRPr="00AD509E">
        <w:rPr>
          <w:rFonts w:eastAsia="Calibri" w:cstheme="minorHAnsi"/>
          <w:sz w:val="24"/>
          <w:szCs w:val="24"/>
        </w:rPr>
        <w:t xml:space="preserve">The Administrative Segment is the statutory part of WTDC. </w:t>
      </w:r>
      <w:r w:rsidR="00C40795">
        <w:rPr>
          <w:rFonts w:eastAsia="Calibri" w:cstheme="minorHAnsi"/>
          <w:sz w:val="24"/>
          <w:szCs w:val="24"/>
        </w:rPr>
        <w:t xml:space="preserve">(Note: </w:t>
      </w:r>
      <w:r w:rsidR="00C40795" w:rsidRPr="00AD509E">
        <w:rPr>
          <w:rFonts w:eastAsia="Calibri" w:cstheme="minorHAnsi"/>
          <w:sz w:val="24"/>
          <w:szCs w:val="24"/>
        </w:rPr>
        <w:t>“Partnership Segment”</w:t>
      </w:r>
      <w:r w:rsidR="00C40795">
        <w:rPr>
          <w:rFonts w:eastAsia="Calibri" w:cstheme="minorHAnsi"/>
          <w:sz w:val="24"/>
          <w:szCs w:val="24"/>
        </w:rPr>
        <w:t xml:space="preserve"> and “Development Track” are used interchangeably in this report.)</w:t>
      </w:r>
    </w:p>
    <w:p w14:paraId="2DB7F435" w14:textId="4568CEEF" w:rsidR="006B7E37" w:rsidRPr="00AD509E" w:rsidRDefault="00F85C12" w:rsidP="00AD509E">
      <w:pPr>
        <w:pStyle w:val="Normal1"/>
        <w:widowControl/>
        <w:spacing w:before="80" w:after="80" w:line="240" w:lineRule="auto"/>
        <w:ind w:right="0" w:firstLine="0"/>
        <w:rPr>
          <w:rFonts w:asciiTheme="minorHAnsi" w:eastAsia="Calibri" w:hAnsiTheme="minorHAnsi" w:cstheme="minorHAnsi"/>
        </w:rPr>
      </w:pPr>
      <w:r w:rsidRPr="00AD509E">
        <w:rPr>
          <w:rFonts w:asciiTheme="minorHAnsi" w:eastAsia="Calibri" w:hAnsiTheme="minorHAnsi" w:cstheme="minorHAnsi"/>
        </w:rPr>
        <w:t xml:space="preserve">The </w:t>
      </w:r>
      <w:r w:rsidR="00740380" w:rsidRPr="00AD509E">
        <w:rPr>
          <w:rFonts w:asciiTheme="minorHAnsi" w:eastAsia="Calibri" w:hAnsiTheme="minorHAnsi" w:cstheme="minorHAnsi"/>
        </w:rPr>
        <w:t xml:space="preserve">“Partnership Segment” </w:t>
      </w:r>
      <w:r w:rsidRPr="00AD509E">
        <w:rPr>
          <w:rFonts w:asciiTheme="minorHAnsi" w:eastAsia="Calibri" w:hAnsiTheme="minorHAnsi" w:cstheme="minorHAnsi"/>
        </w:rPr>
        <w:t>would be created through the merger of the High-Level Segment of the conference and the side events</w:t>
      </w:r>
      <w:r w:rsidR="00B04865" w:rsidRPr="00AD509E">
        <w:rPr>
          <w:rFonts w:asciiTheme="minorHAnsi" w:eastAsia="Calibri" w:hAnsiTheme="minorHAnsi" w:cstheme="minorHAnsi"/>
        </w:rPr>
        <w:t xml:space="preserve"> and would be open to collaboration with other ITU Bureaux and departments and with external organizations, both in the public and private sectors. </w:t>
      </w:r>
    </w:p>
    <w:p w14:paraId="2EEAB41F" w14:textId="77777777" w:rsidR="00D44F7D" w:rsidRDefault="00B04865" w:rsidP="00AD509E">
      <w:pPr>
        <w:pStyle w:val="Normal1"/>
        <w:widowControl/>
        <w:spacing w:before="80" w:after="80" w:line="240" w:lineRule="auto"/>
        <w:ind w:right="0" w:firstLine="0"/>
        <w:rPr>
          <w:rFonts w:asciiTheme="minorHAnsi" w:eastAsia="Calibri" w:hAnsiTheme="minorHAnsi" w:cstheme="minorHAnsi"/>
          <w:lang w:val="en-ZW"/>
        </w:rPr>
      </w:pPr>
      <w:r w:rsidRPr="00AD509E">
        <w:rPr>
          <w:rFonts w:asciiTheme="minorHAnsi" w:hAnsiTheme="minorHAnsi" w:cstheme="minorHAnsi"/>
        </w:rPr>
        <w:t xml:space="preserve">One new element </w:t>
      </w:r>
      <w:r w:rsidR="00FA2CEB" w:rsidRPr="00AD509E">
        <w:rPr>
          <w:rFonts w:asciiTheme="minorHAnsi" w:hAnsiTheme="minorHAnsi" w:cstheme="minorHAnsi"/>
        </w:rPr>
        <w:t>n</w:t>
      </w:r>
      <w:r w:rsidR="00B1161D" w:rsidRPr="00AD509E">
        <w:rPr>
          <w:rFonts w:asciiTheme="minorHAnsi" w:hAnsiTheme="minorHAnsi" w:cstheme="minorHAnsi"/>
        </w:rPr>
        <w:t xml:space="preserve">ot directly derived from </w:t>
      </w:r>
      <w:r w:rsidR="00FA2CEB" w:rsidRPr="00AD509E">
        <w:rPr>
          <w:rFonts w:asciiTheme="minorHAnsi" w:hAnsiTheme="minorHAnsi" w:cstheme="minorHAnsi"/>
        </w:rPr>
        <w:t xml:space="preserve">earlier </w:t>
      </w:r>
      <w:r w:rsidR="00B1161D" w:rsidRPr="00AD509E">
        <w:rPr>
          <w:rFonts w:asciiTheme="minorHAnsi" w:hAnsiTheme="minorHAnsi" w:cstheme="minorHAnsi"/>
        </w:rPr>
        <w:t xml:space="preserve">contributions </w:t>
      </w:r>
      <w:r w:rsidR="00FA2CEB" w:rsidRPr="00AD509E">
        <w:rPr>
          <w:rFonts w:asciiTheme="minorHAnsi" w:hAnsiTheme="minorHAnsi" w:cstheme="minorHAnsi"/>
        </w:rPr>
        <w:t>from m</w:t>
      </w:r>
      <w:r w:rsidR="00B1161D" w:rsidRPr="00AD509E">
        <w:rPr>
          <w:rFonts w:asciiTheme="minorHAnsi" w:hAnsiTheme="minorHAnsi" w:cstheme="minorHAnsi"/>
        </w:rPr>
        <w:t xml:space="preserve">embership is the </w:t>
      </w:r>
      <w:r w:rsidR="00FA2CEB" w:rsidRPr="00AD509E">
        <w:rPr>
          <w:rFonts w:asciiTheme="minorHAnsi" w:hAnsiTheme="minorHAnsi" w:cstheme="minorHAnsi"/>
        </w:rPr>
        <w:t>Y</w:t>
      </w:r>
      <w:r w:rsidR="00B1161D" w:rsidRPr="00AD509E">
        <w:rPr>
          <w:rFonts w:asciiTheme="minorHAnsi" w:hAnsiTheme="minorHAnsi" w:cstheme="minorHAnsi"/>
        </w:rPr>
        <w:t xml:space="preserve">outh </w:t>
      </w:r>
      <w:r w:rsidR="00FA2CEB" w:rsidRPr="00AD509E">
        <w:rPr>
          <w:rFonts w:asciiTheme="minorHAnsi" w:hAnsiTheme="minorHAnsi" w:cstheme="minorHAnsi"/>
        </w:rPr>
        <w:t>S</w:t>
      </w:r>
      <w:r w:rsidR="00B1161D" w:rsidRPr="00AD509E">
        <w:rPr>
          <w:rFonts w:asciiTheme="minorHAnsi" w:hAnsiTheme="minorHAnsi" w:cstheme="minorHAnsi"/>
        </w:rPr>
        <w:t>ummit</w:t>
      </w:r>
      <w:r w:rsidR="003E1280" w:rsidRPr="00AD509E">
        <w:rPr>
          <w:rFonts w:asciiTheme="minorHAnsi" w:hAnsiTheme="minorHAnsi" w:cstheme="minorHAnsi"/>
        </w:rPr>
        <w:t xml:space="preserve">, which </w:t>
      </w:r>
      <w:r w:rsidR="00740380" w:rsidRPr="00AD509E">
        <w:rPr>
          <w:rFonts w:asciiTheme="minorHAnsi" w:eastAsia="Calibri" w:hAnsiTheme="minorHAnsi" w:cstheme="minorHAnsi"/>
          <w:lang w:val="en-ZW"/>
        </w:rPr>
        <w:t>ITU plans to hold during the two days before WTDC-21. Young people are the ones who will inherit the world that technology is now shaping. It is vital that ITU hears their voices, listens to what they want from technology and that they become part of the solution to the challenges the world is facing.</w:t>
      </w:r>
    </w:p>
    <w:p w14:paraId="70C3FADA" w14:textId="16B945FE" w:rsidR="00C8255B" w:rsidRPr="00DC3819" w:rsidRDefault="00C8255B" w:rsidP="00223654">
      <w:pPr>
        <w:keepNext/>
        <w:autoSpaceDE w:val="0"/>
        <w:autoSpaceDN w:val="0"/>
        <w:adjustRightInd w:val="0"/>
        <w:spacing w:before="80" w:after="80" w:line="240" w:lineRule="auto"/>
        <w:rPr>
          <w:rFonts w:cstheme="minorHAnsi"/>
          <w:b/>
          <w:sz w:val="24"/>
          <w:szCs w:val="24"/>
          <w:lang w:val="fr-FR"/>
        </w:rPr>
      </w:pPr>
      <w:r w:rsidRPr="00DC3819">
        <w:rPr>
          <w:rFonts w:cstheme="minorHAnsi"/>
          <w:b/>
          <w:sz w:val="24"/>
          <w:szCs w:val="24"/>
          <w:lang w:val="fr-FR"/>
        </w:rPr>
        <w:t>Comments, observations and questions</w:t>
      </w:r>
    </w:p>
    <w:p w14:paraId="27039378" w14:textId="18B2B803" w:rsidR="00FF5299" w:rsidRPr="00AD509E" w:rsidRDefault="00FF5299" w:rsidP="00AD509E">
      <w:pPr>
        <w:pStyle w:val="Normal1"/>
        <w:widowControl/>
        <w:spacing w:before="80" w:after="80" w:line="240" w:lineRule="auto"/>
        <w:ind w:right="0" w:firstLine="0"/>
        <w:rPr>
          <w:rFonts w:asciiTheme="minorHAnsi" w:hAnsiTheme="minorHAnsi" w:cstheme="minorHAnsi"/>
        </w:rPr>
      </w:pPr>
      <w:r w:rsidRPr="00AD509E">
        <w:rPr>
          <w:rFonts w:asciiTheme="minorHAnsi" w:hAnsiTheme="minorHAnsi" w:cstheme="minorHAnsi"/>
          <w:b/>
        </w:rPr>
        <w:t>Building Back Better: Bridging the Digital Divide</w:t>
      </w:r>
      <w:r w:rsidRPr="00D960BC">
        <w:rPr>
          <w:rFonts w:asciiTheme="minorHAnsi" w:hAnsiTheme="minorHAnsi" w:cstheme="minorHAnsi"/>
        </w:rPr>
        <w:t xml:space="preserve">, </w:t>
      </w:r>
      <w:r w:rsidRPr="00AD509E">
        <w:rPr>
          <w:rFonts w:asciiTheme="minorHAnsi" w:hAnsiTheme="minorHAnsi" w:cstheme="minorHAnsi"/>
        </w:rPr>
        <w:t xml:space="preserve">proposed by the United Kingdom and Lithuania </w:t>
      </w:r>
      <w:r w:rsidR="000A6A21">
        <w:rPr>
          <w:rFonts w:asciiTheme="minorHAnsi" w:hAnsiTheme="minorHAnsi" w:cstheme="minorHAnsi"/>
        </w:rPr>
        <w:t>as an overall theme for WTDC-21</w:t>
      </w:r>
      <w:r w:rsidR="00F41A67">
        <w:rPr>
          <w:rFonts w:asciiTheme="minorHAnsi" w:hAnsiTheme="minorHAnsi" w:cstheme="minorHAnsi"/>
        </w:rPr>
        <w:t>,</w:t>
      </w:r>
      <w:r w:rsidR="000A6A21">
        <w:rPr>
          <w:rFonts w:asciiTheme="minorHAnsi" w:hAnsiTheme="minorHAnsi" w:cstheme="minorHAnsi"/>
        </w:rPr>
        <w:t xml:space="preserve"> </w:t>
      </w:r>
      <w:r w:rsidR="00F41A67">
        <w:rPr>
          <w:rFonts w:asciiTheme="minorHAnsi" w:hAnsiTheme="minorHAnsi" w:cstheme="minorHAnsi"/>
        </w:rPr>
        <w:t xml:space="preserve">received support, with one suggestion that </w:t>
      </w:r>
      <w:r w:rsidRPr="00AD509E">
        <w:rPr>
          <w:rFonts w:asciiTheme="minorHAnsi" w:hAnsiTheme="minorHAnsi" w:cstheme="minorHAnsi"/>
        </w:rPr>
        <w:t>the expression “</w:t>
      </w:r>
      <w:r w:rsidR="00F41A67">
        <w:rPr>
          <w:rFonts w:asciiTheme="minorHAnsi" w:hAnsiTheme="minorHAnsi" w:cstheme="minorHAnsi"/>
        </w:rPr>
        <w:t xml:space="preserve">bridging </w:t>
      </w:r>
      <w:r w:rsidR="00D960BC">
        <w:rPr>
          <w:rFonts w:asciiTheme="minorHAnsi" w:hAnsiTheme="minorHAnsi" w:cstheme="minorHAnsi"/>
        </w:rPr>
        <w:t xml:space="preserve">the </w:t>
      </w:r>
      <w:r w:rsidRPr="00AD509E">
        <w:rPr>
          <w:rFonts w:asciiTheme="minorHAnsi" w:hAnsiTheme="minorHAnsi" w:cstheme="minorHAnsi"/>
        </w:rPr>
        <w:t xml:space="preserve">digital divide” is old terminology and should be replaced </w:t>
      </w:r>
      <w:r w:rsidR="000B058B" w:rsidRPr="00AD509E">
        <w:rPr>
          <w:rFonts w:asciiTheme="minorHAnsi" w:hAnsiTheme="minorHAnsi" w:cstheme="minorHAnsi"/>
        </w:rPr>
        <w:t>with</w:t>
      </w:r>
      <w:r w:rsidRPr="00AD509E">
        <w:rPr>
          <w:rFonts w:asciiTheme="minorHAnsi" w:hAnsiTheme="minorHAnsi" w:cstheme="minorHAnsi"/>
        </w:rPr>
        <w:t xml:space="preserve"> </w:t>
      </w:r>
      <w:r w:rsidR="00F41A67">
        <w:rPr>
          <w:rFonts w:asciiTheme="minorHAnsi" w:hAnsiTheme="minorHAnsi" w:cstheme="minorHAnsi"/>
        </w:rPr>
        <w:t xml:space="preserve">a </w:t>
      </w:r>
      <w:r w:rsidRPr="00AD509E">
        <w:rPr>
          <w:rFonts w:asciiTheme="minorHAnsi" w:hAnsiTheme="minorHAnsi" w:cstheme="minorHAnsi"/>
        </w:rPr>
        <w:t>more current expression such as “leaving no one behind.”</w:t>
      </w:r>
    </w:p>
    <w:p w14:paraId="6081413F" w14:textId="73555357" w:rsidR="005632F2" w:rsidRPr="007F2684" w:rsidRDefault="00DA4AA7" w:rsidP="00AD509E">
      <w:pPr>
        <w:spacing w:before="80" w:after="80" w:line="240" w:lineRule="auto"/>
        <w:rPr>
          <w:rFonts w:cstheme="minorHAnsi"/>
          <w:sz w:val="24"/>
          <w:szCs w:val="24"/>
        </w:rPr>
      </w:pPr>
      <w:r>
        <w:rPr>
          <w:rFonts w:cstheme="minorHAnsi"/>
          <w:sz w:val="24"/>
          <w:szCs w:val="24"/>
        </w:rPr>
        <w:t xml:space="preserve">Egypt </w:t>
      </w:r>
      <w:r w:rsidR="000A6A21" w:rsidRPr="007F2684">
        <w:rPr>
          <w:rFonts w:cstheme="minorHAnsi"/>
          <w:sz w:val="24"/>
          <w:szCs w:val="24"/>
        </w:rPr>
        <w:t xml:space="preserve">welcomed the proposal to hold a Youth Summit, acclaiming it as an </w:t>
      </w:r>
      <w:r w:rsidR="005632F2" w:rsidRPr="007F2684">
        <w:rPr>
          <w:rFonts w:cstheme="minorHAnsi"/>
          <w:sz w:val="24"/>
          <w:szCs w:val="24"/>
        </w:rPr>
        <w:t>excellent way to engage youth in the work of WTDC and the telecommunication/ICT environment</w:t>
      </w:r>
      <w:r w:rsidR="000A6A21" w:rsidRPr="007F2684">
        <w:rPr>
          <w:rFonts w:cstheme="minorHAnsi"/>
          <w:sz w:val="24"/>
          <w:szCs w:val="24"/>
        </w:rPr>
        <w:t xml:space="preserve"> as a whole</w:t>
      </w:r>
      <w:r w:rsidR="005632F2" w:rsidRPr="007F2684">
        <w:rPr>
          <w:rFonts w:cstheme="minorHAnsi"/>
          <w:sz w:val="24"/>
          <w:szCs w:val="24"/>
        </w:rPr>
        <w:t xml:space="preserve">. </w:t>
      </w:r>
      <w:r w:rsidR="0072501A">
        <w:rPr>
          <w:rFonts w:cstheme="minorHAnsi"/>
          <w:sz w:val="24"/>
          <w:szCs w:val="24"/>
        </w:rPr>
        <w:t xml:space="preserve">Egypt </w:t>
      </w:r>
      <w:r w:rsidR="00D960BC" w:rsidRPr="007F2684">
        <w:rPr>
          <w:rFonts w:cstheme="minorHAnsi"/>
          <w:sz w:val="24"/>
          <w:szCs w:val="24"/>
        </w:rPr>
        <w:t xml:space="preserve">was also expressed </w:t>
      </w:r>
      <w:r w:rsidR="0072501A">
        <w:rPr>
          <w:rFonts w:cstheme="minorHAnsi"/>
          <w:sz w:val="24"/>
          <w:szCs w:val="24"/>
        </w:rPr>
        <w:t xml:space="preserve">support </w:t>
      </w:r>
      <w:r w:rsidR="00D960BC" w:rsidRPr="007F2684">
        <w:rPr>
          <w:rFonts w:cstheme="minorHAnsi"/>
          <w:sz w:val="24"/>
          <w:szCs w:val="24"/>
        </w:rPr>
        <w:t>the idea of o</w:t>
      </w:r>
      <w:r w:rsidR="000A6A21" w:rsidRPr="007F2684">
        <w:rPr>
          <w:rFonts w:cstheme="minorHAnsi"/>
          <w:sz w:val="24"/>
          <w:szCs w:val="24"/>
        </w:rPr>
        <w:t>rganizing a hackathon with the private sec</w:t>
      </w:r>
      <w:r w:rsidR="00D960BC" w:rsidRPr="007F2684">
        <w:rPr>
          <w:rFonts w:cstheme="minorHAnsi"/>
          <w:sz w:val="24"/>
          <w:szCs w:val="24"/>
        </w:rPr>
        <w:t xml:space="preserve">tor as part of the Youth Summit, as suggested in the multi-country proposal from Argentina, Brazil, Canada and the United States. </w:t>
      </w:r>
    </w:p>
    <w:p w14:paraId="634FDD8C" w14:textId="703A2D7B" w:rsidR="000244D7" w:rsidRPr="00AD509E" w:rsidRDefault="00FA1764" w:rsidP="00AD509E">
      <w:pPr>
        <w:pStyle w:val="Normal1"/>
        <w:widowControl/>
        <w:spacing w:before="80" w:after="80" w:line="240" w:lineRule="auto"/>
        <w:ind w:right="0" w:firstLine="0"/>
        <w:rPr>
          <w:rFonts w:asciiTheme="minorHAnsi" w:hAnsiTheme="minorHAnsi" w:cstheme="minorHAnsi"/>
        </w:rPr>
      </w:pPr>
      <w:r w:rsidRPr="007F2684">
        <w:rPr>
          <w:rFonts w:asciiTheme="minorHAnsi" w:hAnsiTheme="minorHAnsi" w:cstheme="minorHAnsi"/>
        </w:rPr>
        <w:t>Participants asked a range of</w:t>
      </w:r>
      <w:r w:rsidR="00092BF2">
        <w:rPr>
          <w:rFonts w:asciiTheme="minorHAnsi" w:hAnsiTheme="minorHAnsi" w:cstheme="minorHAnsi"/>
        </w:rPr>
        <w:t xml:space="preserve"> </w:t>
      </w:r>
      <w:r w:rsidRPr="007F2684">
        <w:rPr>
          <w:rFonts w:asciiTheme="minorHAnsi" w:hAnsiTheme="minorHAnsi" w:cstheme="minorHAnsi"/>
        </w:rPr>
        <w:t xml:space="preserve">questions. Of particular note, the </w:t>
      </w:r>
      <w:r w:rsidR="00AA43E7" w:rsidRPr="007F2684">
        <w:rPr>
          <w:rFonts w:asciiTheme="minorHAnsi" w:hAnsiTheme="minorHAnsi" w:cstheme="minorHAnsi"/>
        </w:rPr>
        <w:t>Russian Federation asked</w:t>
      </w:r>
      <w:r w:rsidR="00216BC7" w:rsidRPr="007F2684">
        <w:rPr>
          <w:rFonts w:asciiTheme="minorHAnsi" w:hAnsiTheme="minorHAnsi" w:cstheme="minorHAnsi"/>
        </w:rPr>
        <w:t xml:space="preserve"> </w:t>
      </w:r>
      <w:r w:rsidR="00A9494F" w:rsidRPr="007F2684">
        <w:rPr>
          <w:rFonts w:asciiTheme="minorHAnsi" w:hAnsiTheme="minorHAnsi" w:cstheme="minorHAnsi"/>
        </w:rPr>
        <w:t>“</w:t>
      </w:r>
      <w:r w:rsidRPr="007F2684">
        <w:rPr>
          <w:rFonts w:asciiTheme="minorHAnsi" w:hAnsiTheme="minorHAnsi" w:cstheme="minorHAnsi"/>
        </w:rPr>
        <w:t>w</w:t>
      </w:r>
      <w:r w:rsidR="00053962" w:rsidRPr="007F2684">
        <w:rPr>
          <w:rFonts w:asciiTheme="minorHAnsi" w:hAnsiTheme="minorHAnsi" w:cstheme="minorHAnsi"/>
        </w:rPr>
        <w:t xml:space="preserve">hat is the purpose of the </w:t>
      </w:r>
      <w:r w:rsidR="007D7AD9" w:rsidRPr="007F2684">
        <w:rPr>
          <w:rFonts w:asciiTheme="minorHAnsi" w:hAnsiTheme="minorHAnsi" w:cstheme="minorHAnsi"/>
        </w:rPr>
        <w:t>c</w:t>
      </w:r>
      <w:r w:rsidR="00C8255B" w:rsidRPr="007F2684">
        <w:rPr>
          <w:rFonts w:asciiTheme="minorHAnsi" w:hAnsiTheme="minorHAnsi" w:cstheme="minorHAnsi"/>
        </w:rPr>
        <w:t>onference</w:t>
      </w:r>
      <w:r w:rsidR="00A9494F" w:rsidRPr="007F2684">
        <w:rPr>
          <w:rFonts w:asciiTheme="minorHAnsi" w:hAnsiTheme="minorHAnsi" w:cstheme="minorHAnsi"/>
        </w:rPr>
        <w:t>”</w:t>
      </w:r>
      <w:r w:rsidRPr="007F2684">
        <w:rPr>
          <w:rFonts w:asciiTheme="minorHAnsi" w:hAnsiTheme="minorHAnsi" w:cstheme="minorHAnsi"/>
        </w:rPr>
        <w:t xml:space="preserve"> and went on to underline that this purpose </w:t>
      </w:r>
      <w:r w:rsidR="00053962" w:rsidRPr="007F2684">
        <w:rPr>
          <w:rFonts w:asciiTheme="minorHAnsi" w:hAnsiTheme="minorHAnsi" w:cstheme="minorHAnsi"/>
        </w:rPr>
        <w:t xml:space="preserve">is clearly defined in </w:t>
      </w:r>
      <w:r w:rsidR="00FA2CEB" w:rsidRPr="007F2684">
        <w:rPr>
          <w:rFonts w:asciiTheme="minorHAnsi" w:hAnsiTheme="minorHAnsi" w:cstheme="minorHAnsi"/>
        </w:rPr>
        <w:t>the ITU C</w:t>
      </w:r>
      <w:r w:rsidR="00053962" w:rsidRPr="007F2684">
        <w:rPr>
          <w:rFonts w:asciiTheme="minorHAnsi" w:hAnsiTheme="minorHAnsi" w:cstheme="minorHAnsi"/>
        </w:rPr>
        <w:t xml:space="preserve">onstitution, </w:t>
      </w:r>
      <w:r w:rsidR="000B7084" w:rsidRPr="007F2684">
        <w:rPr>
          <w:rFonts w:asciiTheme="minorHAnsi" w:hAnsiTheme="minorHAnsi" w:cstheme="minorHAnsi"/>
        </w:rPr>
        <w:t xml:space="preserve">the </w:t>
      </w:r>
      <w:r w:rsidR="00FA2CEB" w:rsidRPr="007F2684">
        <w:rPr>
          <w:rFonts w:asciiTheme="minorHAnsi" w:hAnsiTheme="minorHAnsi" w:cstheme="minorHAnsi"/>
        </w:rPr>
        <w:t>C</w:t>
      </w:r>
      <w:r w:rsidR="00053962" w:rsidRPr="007F2684">
        <w:rPr>
          <w:rFonts w:asciiTheme="minorHAnsi" w:hAnsiTheme="minorHAnsi" w:cstheme="minorHAnsi"/>
        </w:rPr>
        <w:t xml:space="preserve">onvention, </w:t>
      </w:r>
      <w:r w:rsidR="000B7084" w:rsidRPr="007F2684">
        <w:rPr>
          <w:rFonts w:asciiTheme="minorHAnsi" w:hAnsiTheme="minorHAnsi" w:cstheme="minorHAnsi"/>
        </w:rPr>
        <w:t xml:space="preserve">the </w:t>
      </w:r>
      <w:r w:rsidR="00053962" w:rsidRPr="007F2684">
        <w:rPr>
          <w:rFonts w:asciiTheme="minorHAnsi" w:hAnsiTheme="minorHAnsi" w:cstheme="minorHAnsi"/>
        </w:rPr>
        <w:t xml:space="preserve">general </w:t>
      </w:r>
      <w:r w:rsidR="000B7084" w:rsidRPr="007F2684">
        <w:rPr>
          <w:rFonts w:asciiTheme="minorHAnsi" w:hAnsiTheme="minorHAnsi" w:cstheme="minorHAnsi"/>
        </w:rPr>
        <w:t xml:space="preserve">rules of </w:t>
      </w:r>
      <w:r w:rsidR="007D7AD9" w:rsidRPr="007F2684">
        <w:rPr>
          <w:rFonts w:asciiTheme="minorHAnsi" w:hAnsiTheme="minorHAnsi" w:cstheme="minorHAnsi"/>
        </w:rPr>
        <w:t>conferences, assemblies and meetings of the Union</w:t>
      </w:r>
      <w:r w:rsidR="00FA2CEB" w:rsidRPr="007F2684">
        <w:rPr>
          <w:rFonts w:asciiTheme="minorHAnsi" w:hAnsiTheme="minorHAnsi" w:cstheme="minorHAnsi"/>
        </w:rPr>
        <w:t xml:space="preserve"> and</w:t>
      </w:r>
      <w:r w:rsidR="00FA2CEB" w:rsidRPr="00AD509E">
        <w:rPr>
          <w:rFonts w:asciiTheme="minorHAnsi" w:hAnsiTheme="minorHAnsi" w:cstheme="minorHAnsi"/>
        </w:rPr>
        <w:t xml:space="preserve"> </w:t>
      </w:r>
      <w:r>
        <w:rPr>
          <w:rFonts w:asciiTheme="minorHAnsi" w:hAnsiTheme="minorHAnsi" w:cstheme="minorHAnsi"/>
        </w:rPr>
        <w:t xml:space="preserve">in </w:t>
      </w:r>
      <w:r w:rsidR="00FA2CEB" w:rsidRPr="00AD509E">
        <w:rPr>
          <w:rFonts w:asciiTheme="minorHAnsi" w:hAnsiTheme="minorHAnsi" w:cstheme="minorHAnsi"/>
        </w:rPr>
        <w:t xml:space="preserve">Resolution 1 of WTDC. </w:t>
      </w:r>
      <w:r w:rsidR="00AA43E7" w:rsidRPr="00AD509E">
        <w:rPr>
          <w:rFonts w:asciiTheme="minorHAnsi" w:hAnsiTheme="minorHAnsi" w:cstheme="minorHAnsi"/>
        </w:rPr>
        <w:t xml:space="preserve">Will there be </w:t>
      </w:r>
      <w:r w:rsidR="00C8255B" w:rsidRPr="00AD509E">
        <w:rPr>
          <w:rFonts w:asciiTheme="minorHAnsi" w:hAnsiTheme="minorHAnsi" w:cstheme="minorHAnsi"/>
        </w:rPr>
        <w:t xml:space="preserve">policy statements? </w:t>
      </w:r>
      <w:r w:rsidR="00053962" w:rsidRPr="00AD509E">
        <w:rPr>
          <w:rFonts w:asciiTheme="minorHAnsi" w:hAnsiTheme="minorHAnsi" w:cstheme="minorHAnsi"/>
        </w:rPr>
        <w:t xml:space="preserve">If </w:t>
      </w:r>
      <w:r>
        <w:rPr>
          <w:rFonts w:asciiTheme="minorHAnsi" w:hAnsiTheme="minorHAnsi" w:cstheme="minorHAnsi"/>
        </w:rPr>
        <w:t xml:space="preserve">the plan is </w:t>
      </w:r>
      <w:r w:rsidR="00053962" w:rsidRPr="00AD509E">
        <w:rPr>
          <w:rFonts w:asciiTheme="minorHAnsi" w:hAnsiTheme="minorHAnsi" w:cstheme="minorHAnsi"/>
        </w:rPr>
        <w:t>to have p</w:t>
      </w:r>
      <w:r w:rsidR="000B7084" w:rsidRPr="00AD509E">
        <w:rPr>
          <w:rFonts w:asciiTheme="minorHAnsi" w:hAnsiTheme="minorHAnsi" w:cstheme="minorHAnsi"/>
        </w:rPr>
        <w:t xml:space="preserve">olicy </w:t>
      </w:r>
      <w:r w:rsidR="00AA43E7" w:rsidRPr="00AD509E">
        <w:rPr>
          <w:rFonts w:asciiTheme="minorHAnsi" w:hAnsiTheme="minorHAnsi" w:cstheme="minorHAnsi"/>
        </w:rPr>
        <w:t xml:space="preserve">statements </w:t>
      </w:r>
      <w:r>
        <w:rPr>
          <w:rFonts w:asciiTheme="minorHAnsi" w:hAnsiTheme="minorHAnsi" w:cstheme="minorHAnsi"/>
        </w:rPr>
        <w:t xml:space="preserve">within </w:t>
      </w:r>
      <w:r w:rsidR="00FA2CEB" w:rsidRPr="00AD509E">
        <w:rPr>
          <w:rFonts w:asciiTheme="minorHAnsi" w:hAnsiTheme="minorHAnsi" w:cstheme="minorHAnsi"/>
        </w:rPr>
        <w:t xml:space="preserve">the </w:t>
      </w:r>
      <w:r>
        <w:rPr>
          <w:rFonts w:asciiTheme="minorHAnsi" w:hAnsiTheme="minorHAnsi" w:cstheme="minorHAnsi"/>
        </w:rPr>
        <w:t>“</w:t>
      </w:r>
      <w:r w:rsidR="00AA43E7" w:rsidRPr="00AD509E">
        <w:rPr>
          <w:rFonts w:asciiTheme="minorHAnsi" w:hAnsiTheme="minorHAnsi" w:cstheme="minorHAnsi"/>
        </w:rPr>
        <w:t>P</w:t>
      </w:r>
      <w:r w:rsidR="000B7084" w:rsidRPr="00AD509E">
        <w:rPr>
          <w:rFonts w:asciiTheme="minorHAnsi" w:hAnsiTheme="minorHAnsi" w:cstheme="minorHAnsi"/>
        </w:rPr>
        <w:t>artner</w:t>
      </w:r>
      <w:r w:rsidR="00053962" w:rsidRPr="00AD509E">
        <w:rPr>
          <w:rFonts w:asciiTheme="minorHAnsi" w:hAnsiTheme="minorHAnsi" w:cstheme="minorHAnsi"/>
        </w:rPr>
        <w:t xml:space="preserve">ship </w:t>
      </w:r>
      <w:r w:rsidR="00AA43E7" w:rsidRPr="00AD509E">
        <w:rPr>
          <w:rFonts w:asciiTheme="minorHAnsi" w:hAnsiTheme="minorHAnsi" w:cstheme="minorHAnsi"/>
        </w:rPr>
        <w:t>Segment</w:t>
      </w:r>
      <w:r>
        <w:rPr>
          <w:rFonts w:asciiTheme="minorHAnsi" w:hAnsiTheme="minorHAnsi" w:cstheme="minorHAnsi"/>
        </w:rPr>
        <w:t>”</w:t>
      </w:r>
      <w:r w:rsidR="00AA43E7" w:rsidRPr="00AD509E">
        <w:rPr>
          <w:rFonts w:asciiTheme="minorHAnsi" w:hAnsiTheme="minorHAnsi" w:cstheme="minorHAnsi"/>
        </w:rPr>
        <w:t>,</w:t>
      </w:r>
      <w:r w:rsidR="00216BC7" w:rsidRPr="00AD509E">
        <w:rPr>
          <w:rFonts w:asciiTheme="minorHAnsi" w:hAnsiTheme="minorHAnsi" w:cstheme="minorHAnsi"/>
        </w:rPr>
        <w:t xml:space="preserve"> </w:t>
      </w:r>
      <w:r w:rsidR="00AA43E7" w:rsidRPr="00AD509E">
        <w:rPr>
          <w:rFonts w:asciiTheme="minorHAnsi" w:hAnsiTheme="minorHAnsi" w:cstheme="minorHAnsi"/>
        </w:rPr>
        <w:t xml:space="preserve">will </w:t>
      </w:r>
      <w:r w:rsidR="00053962" w:rsidRPr="00AD509E">
        <w:rPr>
          <w:rFonts w:asciiTheme="minorHAnsi" w:hAnsiTheme="minorHAnsi" w:cstheme="minorHAnsi"/>
        </w:rPr>
        <w:t>high</w:t>
      </w:r>
      <w:r w:rsidR="00053962" w:rsidRPr="00AD509E">
        <w:rPr>
          <w:rFonts w:asciiTheme="minorHAnsi" w:hAnsiTheme="minorHAnsi" w:cstheme="minorHAnsi"/>
        </w:rPr>
        <w:noBreakHyphen/>
        <w:t xml:space="preserve">level </w:t>
      </w:r>
      <w:r w:rsidR="00AA43E7" w:rsidRPr="00AD509E">
        <w:rPr>
          <w:rFonts w:asciiTheme="minorHAnsi" w:hAnsiTheme="minorHAnsi" w:cstheme="minorHAnsi"/>
        </w:rPr>
        <w:t xml:space="preserve">participants </w:t>
      </w:r>
      <w:r w:rsidR="00053962" w:rsidRPr="00AD509E">
        <w:rPr>
          <w:rFonts w:asciiTheme="minorHAnsi" w:hAnsiTheme="minorHAnsi" w:cstheme="minorHAnsi"/>
        </w:rPr>
        <w:t xml:space="preserve">agree to </w:t>
      </w:r>
      <w:r w:rsidR="00A9494F">
        <w:rPr>
          <w:rFonts w:asciiTheme="minorHAnsi" w:hAnsiTheme="minorHAnsi" w:cstheme="minorHAnsi"/>
        </w:rPr>
        <w:t xml:space="preserve">make these statements </w:t>
      </w:r>
      <w:r w:rsidR="00AA43E7" w:rsidRPr="00AD509E">
        <w:rPr>
          <w:rFonts w:asciiTheme="minorHAnsi" w:hAnsiTheme="minorHAnsi" w:cstheme="minorHAnsi"/>
        </w:rPr>
        <w:t xml:space="preserve">outside the </w:t>
      </w:r>
      <w:r>
        <w:rPr>
          <w:rFonts w:asciiTheme="minorHAnsi" w:hAnsiTheme="minorHAnsi" w:cstheme="minorHAnsi"/>
        </w:rPr>
        <w:t xml:space="preserve">plenary sessions </w:t>
      </w:r>
      <w:r w:rsidR="00053962" w:rsidRPr="00AD509E">
        <w:rPr>
          <w:rFonts w:asciiTheme="minorHAnsi" w:hAnsiTheme="minorHAnsi" w:cstheme="minorHAnsi"/>
        </w:rPr>
        <w:t xml:space="preserve">of </w:t>
      </w:r>
      <w:r w:rsidR="00AA43E7" w:rsidRPr="00AD509E">
        <w:rPr>
          <w:rFonts w:asciiTheme="minorHAnsi" w:hAnsiTheme="minorHAnsi" w:cstheme="minorHAnsi"/>
        </w:rPr>
        <w:t xml:space="preserve">the </w:t>
      </w:r>
      <w:r w:rsidR="00BF0E6D" w:rsidRPr="00AD509E">
        <w:rPr>
          <w:rFonts w:asciiTheme="minorHAnsi" w:hAnsiTheme="minorHAnsi" w:cstheme="minorHAnsi"/>
        </w:rPr>
        <w:t>c</w:t>
      </w:r>
      <w:r w:rsidR="00053962" w:rsidRPr="00AD509E">
        <w:rPr>
          <w:rFonts w:asciiTheme="minorHAnsi" w:hAnsiTheme="minorHAnsi" w:cstheme="minorHAnsi"/>
        </w:rPr>
        <w:t>onference</w:t>
      </w:r>
      <w:r w:rsidR="00AA43E7" w:rsidRPr="00AD509E">
        <w:rPr>
          <w:rFonts w:asciiTheme="minorHAnsi" w:hAnsiTheme="minorHAnsi" w:cstheme="minorHAnsi"/>
        </w:rPr>
        <w:t xml:space="preserve">? </w:t>
      </w:r>
      <w:r w:rsidR="000B7084" w:rsidRPr="00AD509E">
        <w:rPr>
          <w:rFonts w:asciiTheme="minorHAnsi" w:hAnsiTheme="minorHAnsi" w:cstheme="minorHAnsi"/>
        </w:rPr>
        <w:t>W</w:t>
      </w:r>
      <w:r w:rsidR="00053962" w:rsidRPr="00AD509E">
        <w:rPr>
          <w:rFonts w:asciiTheme="minorHAnsi" w:hAnsiTheme="minorHAnsi" w:cstheme="minorHAnsi"/>
        </w:rPr>
        <w:t>ho will pay</w:t>
      </w:r>
      <w:r w:rsidR="000B7084" w:rsidRPr="00AD509E">
        <w:rPr>
          <w:rFonts w:asciiTheme="minorHAnsi" w:hAnsiTheme="minorHAnsi" w:cstheme="minorHAnsi"/>
        </w:rPr>
        <w:t xml:space="preserve"> for </w:t>
      </w:r>
      <w:r w:rsidR="00053962" w:rsidRPr="00AD509E">
        <w:rPr>
          <w:rFonts w:asciiTheme="minorHAnsi" w:hAnsiTheme="minorHAnsi" w:cstheme="minorHAnsi"/>
        </w:rPr>
        <w:t>the additional event</w:t>
      </w:r>
      <w:r w:rsidR="00BF0E6D" w:rsidRPr="00AD509E">
        <w:rPr>
          <w:rFonts w:asciiTheme="minorHAnsi" w:hAnsiTheme="minorHAnsi" w:cstheme="minorHAnsi"/>
        </w:rPr>
        <w:t>s</w:t>
      </w:r>
      <w:r w:rsidR="000B7084" w:rsidRPr="00AD509E">
        <w:rPr>
          <w:rFonts w:asciiTheme="minorHAnsi" w:hAnsiTheme="minorHAnsi" w:cstheme="minorHAnsi"/>
        </w:rPr>
        <w:t xml:space="preserve">? </w:t>
      </w:r>
      <w:r w:rsidR="00336B06">
        <w:rPr>
          <w:rFonts w:asciiTheme="minorHAnsi" w:hAnsiTheme="minorHAnsi" w:cstheme="minorHAnsi"/>
        </w:rPr>
        <w:t xml:space="preserve">The future conference </w:t>
      </w:r>
      <w:r w:rsidR="00053962" w:rsidRPr="00AD509E">
        <w:rPr>
          <w:rFonts w:asciiTheme="minorHAnsi" w:hAnsiTheme="minorHAnsi" w:cstheme="minorHAnsi"/>
        </w:rPr>
        <w:t xml:space="preserve">is </w:t>
      </w:r>
      <w:r w:rsidR="000B7084" w:rsidRPr="00AD509E">
        <w:rPr>
          <w:rFonts w:asciiTheme="minorHAnsi" w:hAnsiTheme="minorHAnsi" w:cstheme="minorHAnsi"/>
        </w:rPr>
        <w:t>beginning to</w:t>
      </w:r>
      <w:r w:rsidR="00BF0E6D" w:rsidRPr="00AD509E">
        <w:rPr>
          <w:rFonts w:asciiTheme="minorHAnsi" w:hAnsiTheme="minorHAnsi" w:cstheme="minorHAnsi"/>
        </w:rPr>
        <w:t xml:space="preserve"> look more like </w:t>
      </w:r>
      <w:r w:rsidR="00336B06">
        <w:rPr>
          <w:rFonts w:asciiTheme="minorHAnsi" w:hAnsiTheme="minorHAnsi" w:cstheme="minorHAnsi"/>
        </w:rPr>
        <w:t>a</w:t>
      </w:r>
      <w:r w:rsidR="00BF0E6D" w:rsidRPr="00AD509E">
        <w:rPr>
          <w:rFonts w:asciiTheme="minorHAnsi" w:hAnsiTheme="minorHAnsi" w:cstheme="minorHAnsi"/>
        </w:rPr>
        <w:t xml:space="preserve"> WSIS </w:t>
      </w:r>
      <w:r w:rsidR="00336B06">
        <w:rPr>
          <w:rFonts w:asciiTheme="minorHAnsi" w:hAnsiTheme="minorHAnsi" w:cstheme="minorHAnsi"/>
        </w:rPr>
        <w:t>F</w:t>
      </w:r>
      <w:r w:rsidR="00AF151B">
        <w:rPr>
          <w:rFonts w:asciiTheme="minorHAnsi" w:hAnsiTheme="minorHAnsi" w:cstheme="minorHAnsi"/>
        </w:rPr>
        <w:t>orum</w:t>
      </w:r>
      <w:r w:rsidR="00BF0E6D" w:rsidRPr="00AD509E">
        <w:rPr>
          <w:rFonts w:asciiTheme="minorHAnsi" w:hAnsiTheme="minorHAnsi" w:cstheme="minorHAnsi"/>
        </w:rPr>
        <w:t>.</w:t>
      </w:r>
      <w:r w:rsidR="004371E7" w:rsidRPr="00AD509E">
        <w:rPr>
          <w:rFonts w:asciiTheme="minorHAnsi" w:hAnsiTheme="minorHAnsi" w:cstheme="minorHAnsi"/>
        </w:rPr>
        <w:t xml:space="preserve"> </w:t>
      </w:r>
      <w:r w:rsidR="000244D7" w:rsidRPr="00AD509E">
        <w:rPr>
          <w:rFonts w:asciiTheme="minorHAnsi" w:hAnsiTheme="minorHAnsi" w:cstheme="minorHAnsi"/>
        </w:rPr>
        <w:t xml:space="preserve">While fully agreeing on the </w:t>
      </w:r>
      <w:r w:rsidR="00053962" w:rsidRPr="00AD509E">
        <w:rPr>
          <w:rFonts w:asciiTheme="minorHAnsi" w:hAnsiTheme="minorHAnsi" w:cstheme="minorHAnsi"/>
        </w:rPr>
        <w:t xml:space="preserve">need to involve </w:t>
      </w:r>
      <w:r w:rsidR="000244D7" w:rsidRPr="00AD509E">
        <w:rPr>
          <w:rFonts w:asciiTheme="minorHAnsi" w:hAnsiTheme="minorHAnsi" w:cstheme="minorHAnsi"/>
        </w:rPr>
        <w:t xml:space="preserve">the </w:t>
      </w:r>
      <w:r w:rsidR="00053962" w:rsidRPr="00AD509E">
        <w:rPr>
          <w:rFonts w:asciiTheme="minorHAnsi" w:hAnsiTheme="minorHAnsi" w:cstheme="minorHAnsi"/>
        </w:rPr>
        <w:t xml:space="preserve">private </w:t>
      </w:r>
      <w:r w:rsidR="004371E7" w:rsidRPr="00AD509E">
        <w:rPr>
          <w:rFonts w:asciiTheme="minorHAnsi" w:hAnsiTheme="minorHAnsi" w:cstheme="minorHAnsi"/>
        </w:rPr>
        <w:t xml:space="preserve">sector and other organizations and </w:t>
      </w:r>
      <w:r w:rsidR="00053962" w:rsidRPr="00AD509E">
        <w:rPr>
          <w:rFonts w:asciiTheme="minorHAnsi" w:hAnsiTheme="minorHAnsi" w:cstheme="minorHAnsi"/>
        </w:rPr>
        <w:t>financial</w:t>
      </w:r>
      <w:r w:rsidR="004371E7" w:rsidRPr="00AD509E">
        <w:rPr>
          <w:rFonts w:asciiTheme="minorHAnsi" w:hAnsiTheme="minorHAnsi" w:cstheme="minorHAnsi"/>
        </w:rPr>
        <w:t xml:space="preserve"> institutions</w:t>
      </w:r>
      <w:r w:rsidR="00053962" w:rsidRPr="00AD509E">
        <w:rPr>
          <w:rFonts w:asciiTheme="minorHAnsi" w:hAnsiTheme="minorHAnsi" w:cstheme="minorHAnsi"/>
        </w:rPr>
        <w:t xml:space="preserve">, </w:t>
      </w:r>
      <w:r w:rsidR="00336B06">
        <w:rPr>
          <w:rFonts w:asciiTheme="minorHAnsi" w:hAnsiTheme="minorHAnsi" w:cstheme="minorHAnsi"/>
        </w:rPr>
        <w:t xml:space="preserve">the </w:t>
      </w:r>
      <w:r w:rsidR="00336B06">
        <w:rPr>
          <w:rFonts w:asciiTheme="minorHAnsi" w:hAnsiTheme="minorHAnsi" w:cstheme="minorHAnsi"/>
        </w:rPr>
        <w:lastRenderedPageBreak/>
        <w:t xml:space="preserve">Russian Federation went on to suggest that </w:t>
      </w:r>
      <w:r w:rsidR="000244D7" w:rsidRPr="00AD509E">
        <w:rPr>
          <w:rFonts w:asciiTheme="minorHAnsi" w:hAnsiTheme="minorHAnsi" w:cstheme="minorHAnsi"/>
        </w:rPr>
        <w:t xml:space="preserve">perhaps the format </w:t>
      </w:r>
      <w:r w:rsidR="00336B06">
        <w:rPr>
          <w:rFonts w:asciiTheme="minorHAnsi" w:hAnsiTheme="minorHAnsi" w:cstheme="minorHAnsi"/>
        </w:rPr>
        <w:t xml:space="preserve">of the </w:t>
      </w:r>
      <w:r w:rsidR="00DE730F" w:rsidRPr="009C5137">
        <w:rPr>
          <w:rFonts w:asciiTheme="minorHAnsi" w:hAnsiTheme="minorHAnsi" w:cstheme="minorHAnsi"/>
        </w:rPr>
        <w:t>Partnership</w:t>
      </w:r>
      <w:r w:rsidR="009C5137">
        <w:rPr>
          <w:rFonts w:eastAsia="Calibri" w:cstheme="minorHAnsi"/>
        </w:rPr>
        <w:t xml:space="preserve"> </w:t>
      </w:r>
      <w:r w:rsidR="00336B06">
        <w:rPr>
          <w:rFonts w:asciiTheme="minorHAnsi" w:hAnsiTheme="minorHAnsi" w:cstheme="minorHAnsi"/>
        </w:rPr>
        <w:t>Segment</w:t>
      </w:r>
      <w:r w:rsidR="009C5137">
        <w:rPr>
          <w:rFonts w:asciiTheme="minorHAnsi" w:hAnsiTheme="minorHAnsi" w:cstheme="minorHAnsi"/>
        </w:rPr>
        <w:t xml:space="preserve"> </w:t>
      </w:r>
      <w:r w:rsidR="000244D7" w:rsidRPr="00AD509E">
        <w:rPr>
          <w:rFonts w:asciiTheme="minorHAnsi" w:hAnsiTheme="minorHAnsi" w:cstheme="minorHAnsi"/>
        </w:rPr>
        <w:t xml:space="preserve">could be </w:t>
      </w:r>
      <w:r w:rsidR="00FB09DE" w:rsidRPr="00AD509E">
        <w:rPr>
          <w:rFonts w:asciiTheme="minorHAnsi" w:hAnsiTheme="minorHAnsi" w:cstheme="minorHAnsi"/>
        </w:rPr>
        <w:t xml:space="preserve">a </w:t>
      </w:r>
      <w:r w:rsidR="00053962" w:rsidRPr="00AD509E">
        <w:rPr>
          <w:rFonts w:asciiTheme="minorHAnsi" w:hAnsiTheme="minorHAnsi" w:cstheme="minorHAnsi"/>
        </w:rPr>
        <w:t xml:space="preserve">global development forum just before the </w:t>
      </w:r>
      <w:r w:rsidR="00FB09DE" w:rsidRPr="00AD509E">
        <w:rPr>
          <w:rFonts w:asciiTheme="minorHAnsi" w:hAnsiTheme="minorHAnsi" w:cstheme="minorHAnsi"/>
        </w:rPr>
        <w:t>c</w:t>
      </w:r>
      <w:r w:rsidR="00053962" w:rsidRPr="00AD509E">
        <w:rPr>
          <w:rFonts w:asciiTheme="minorHAnsi" w:hAnsiTheme="minorHAnsi" w:cstheme="minorHAnsi"/>
        </w:rPr>
        <w:t xml:space="preserve">onference </w:t>
      </w:r>
      <w:r w:rsidR="000244D7" w:rsidRPr="00AD509E">
        <w:rPr>
          <w:rFonts w:asciiTheme="minorHAnsi" w:hAnsiTheme="minorHAnsi" w:cstheme="minorHAnsi"/>
        </w:rPr>
        <w:t xml:space="preserve">or after the </w:t>
      </w:r>
      <w:r w:rsidR="00FB09DE" w:rsidRPr="00AD509E">
        <w:rPr>
          <w:rFonts w:asciiTheme="minorHAnsi" w:hAnsiTheme="minorHAnsi" w:cstheme="minorHAnsi"/>
        </w:rPr>
        <w:t>c</w:t>
      </w:r>
      <w:r w:rsidR="00053962" w:rsidRPr="00AD509E">
        <w:rPr>
          <w:rFonts w:asciiTheme="minorHAnsi" w:hAnsiTheme="minorHAnsi" w:cstheme="minorHAnsi"/>
        </w:rPr>
        <w:t>onference</w:t>
      </w:r>
      <w:r w:rsidR="000244D7" w:rsidRPr="00AD509E">
        <w:rPr>
          <w:rFonts w:asciiTheme="minorHAnsi" w:hAnsiTheme="minorHAnsi" w:cstheme="minorHAnsi"/>
        </w:rPr>
        <w:t xml:space="preserve">. </w:t>
      </w:r>
    </w:p>
    <w:p w14:paraId="3ECC9858" w14:textId="4817883F" w:rsidR="00FF5299" w:rsidRPr="00AD509E" w:rsidRDefault="004371E7" w:rsidP="00AD509E">
      <w:pPr>
        <w:pStyle w:val="Normal1"/>
        <w:widowControl/>
        <w:spacing w:before="80" w:after="80" w:line="240" w:lineRule="auto"/>
        <w:ind w:right="0" w:firstLine="0"/>
        <w:rPr>
          <w:rFonts w:asciiTheme="minorHAnsi" w:hAnsiTheme="minorHAnsi" w:cstheme="minorHAnsi"/>
        </w:rPr>
      </w:pPr>
      <w:r w:rsidRPr="00AD509E">
        <w:rPr>
          <w:rFonts w:asciiTheme="minorHAnsi" w:hAnsiTheme="minorHAnsi" w:cstheme="minorHAnsi"/>
        </w:rPr>
        <w:t xml:space="preserve">Saudi Arabia asked how thematic events </w:t>
      </w:r>
      <w:r w:rsidR="00C80D89" w:rsidRPr="00AD509E">
        <w:rPr>
          <w:rFonts w:asciiTheme="minorHAnsi" w:hAnsiTheme="minorHAnsi" w:cstheme="minorHAnsi"/>
        </w:rPr>
        <w:t xml:space="preserve">will </w:t>
      </w:r>
      <w:r w:rsidRPr="00AD509E">
        <w:rPr>
          <w:rFonts w:asciiTheme="minorHAnsi" w:hAnsiTheme="minorHAnsi" w:cstheme="minorHAnsi"/>
        </w:rPr>
        <w:t>influence the outcomes of a contribution-driven conference</w:t>
      </w:r>
      <w:r w:rsidR="00C80D89" w:rsidRPr="00AD509E">
        <w:rPr>
          <w:rFonts w:asciiTheme="minorHAnsi" w:hAnsiTheme="minorHAnsi" w:cstheme="minorHAnsi"/>
        </w:rPr>
        <w:t xml:space="preserve">. </w:t>
      </w:r>
      <w:r w:rsidR="004F4654" w:rsidRPr="00AD509E">
        <w:rPr>
          <w:rFonts w:asciiTheme="minorHAnsi" w:hAnsiTheme="minorHAnsi" w:cstheme="minorHAnsi"/>
        </w:rPr>
        <w:t xml:space="preserve">How would bringing additional outcomes from non-members </w:t>
      </w:r>
      <w:r w:rsidR="004F4654">
        <w:rPr>
          <w:rFonts w:asciiTheme="minorHAnsi" w:hAnsiTheme="minorHAnsi" w:cstheme="minorHAnsi"/>
        </w:rPr>
        <w:t>in</w:t>
      </w:r>
      <w:r w:rsidR="004F4654" w:rsidRPr="00AD509E">
        <w:rPr>
          <w:rFonts w:asciiTheme="minorHAnsi" w:hAnsiTheme="minorHAnsi" w:cstheme="minorHAnsi"/>
        </w:rPr>
        <w:t xml:space="preserve">to the conference work from a legal standpoint? </w:t>
      </w:r>
      <w:r w:rsidRPr="00AD509E">
        <w:rPr>
          <w:rFonts w:asciiTheme="minorHAnsi" w:hAnsiTheme="minorHAnsi" w:cstheme="minorHAnsi"/>
        </w:rPr>
        <w:t xml:space="preserve">It should be clear that a conference is a conference and side events are side events. </w:t>
      </w:r>
      <w:r w:rsidR="004F4654">
        <w:rPr>
          <w:rFonts w:asciiTheme="minorHAnsi" w:hAnsiTheme="minorHAnsi" w:cstheme="minorHAnsi"/>
        </w:rPr>
        <w:t>In other words, by definition, m</w:t>
      </w:r>
      <w:r w:rsidRPr="00AD509E">
        <w:rPr>
          <w:rFonts w:asciiTheme="minorHAnsi" w:hAnsiTheme="minorHAnsi" w:cstheme="minorHAnsi"/>
        </w:rPr>
        <w:t xml:space="preserve">embers pay their membership </w:t>
      </w:r>
      <w:r w:rsidR="004F4654">
        <w:rPr>
          <w:rFonts w:asciiTheme="minorHAnsi" w:hAnsiTheme="minorHAnsi" w:cstheme="minorHAnsi"/>
        </w:rPr>
        <w:t xml:space="preserve">fees </w:t>
      </w:r>
      <w:r w:rsidRPr="00AD509E">
        <w:rPr>
          <w:rFonts w:asciiTheme="minorHAnsi" w:hAnsiTheme="minorHAnsi" w:cstheme="minorHAnsi"/>
        </w:rPr>
        <w:t>to ITU. How will non</w:t>
      </w:r>
      <w:r w:rsidRPr="00AD509E">
        <w:rPr>
          <w:rFonts w:asciiTheme="minorHAnsi" w:hAnsiTheme="minorHAnsi" w:cstheme="minorHAnsi"/>
        </w:rPr>
        <w:noBreakHyphen/>
        <w:t>members participate?</w:t>
      </w:r>
      <w:r w:rsidR="00AD509E">
        <w:rPr>
          <w:rFonts w:asciiTheme="minorHAnsi" w:hAnsiTheme="minorHAnsi" w:cstheme="minorHAnsi"/>
        </w:rPr>
        <w:t xml:space="preserve"> </w:t>
      </w:r>
      <w:r w:rsidRPr="00AD509E">
        <w:rPr>
          <w:rFonts w:asciiTheme="minorHAnsi" w:hAnsiTheme="minorHAnsi" w:cstheme="minorHAnsi"/>
        </w:rPr>
        <w:t xml:space="preserve">The mainstreaming of side events </w:t>
      </w:r>
      <w:r w:rsidR="004F4654">
        <w:rPr>
          <w:rFonts w:asciiTheme="minorHAnsi" w:hAnsiTheme="minorHAnsi" w:cstheme="minorHAnsi"/>
        </w:rPr>
        <w:t>(n</w:t>
      </w:r>
      <w:r w:rsidR="004F4654" w:rsidRPr="00AD509E">
        <w:rPr>
          <w:rFonts w:asciiTheme="minorHAnsi" w:hAnsiTheme="minorHAnsi" w:cstheme="minorHAnsi"/>
        </w:rPr>
        <w:t xml:space="preserve">ormally </w:t>
      </w:r>
      <w:r w:rsidR="004F4654">
        <w:rPr>
          <w:rFonts w:asciiTheme="minorHAnsi" w:hAnsiTheme="minorHAnsi" w:cstheme="minorHAnsi"/>
        </w:rPr>
        <w:t>held over lunch</w:t>
      </w:r>
      <w:r w:rsidR="004F4654" w:rsidRPr="00AD509E">
        <w:rPr>
          <w:rFonts w:asciiTheme="minorHAnsi" w:hAnsiTheme="minorHAnsi" w:cstheme="minorHAnsi"/>
        </w:rPr>
        <w:t>time</w:t>
      </w:r>
      <w:r w:rsidR="004F4654">
        <w:rPr>
          <w:rFonts w:asciiTheme="minorHAnsi" w:hAnsiTheme="minorHAnsi" w:cstheme="minorHAnsi"/>
        </w:rPr>
        <w:t xml:space="preserve">) </w:t>
      </w:r>
      <w:r w:rsidRPr="00AD509E">
        <w:rPr>
          <w:rFonts w:asciiTheme="minorHAnsi" w:hAnsiTheme="minorHAnsi" w:cstheme="minorHAnsi"/>
        </w:rPr>
        <w:t>into the conferen</w:t>
      </w:r>
      <w:r w:rsidR="007A30CA">
        <w:rPr>
          <w:rFonts w:asciiTheme="minorHAnsi" w:hAnsiTheme="minorHAnsi" w:cstheme="minorHAnsi"/>
        </w:rPr>
        <w:t>ce would increase costs to ITU. Who will pay these additional costs?</w:t>
      </w:r>
      <w:r w:rsidR="00FF5CFC">
        <w:rPr>
          <w:rFonts w:asciiTheme="minorHAnsi" w:hAnsiTheme="minorHAnsi" w:cstheme="minorHAnsi"/>
        </w:rPr>
        <w:t xml:space="preserve"> </w:t>
      </w:r>
      <w:r w:rsidR="00FF5CFC" w:rsidRPr="00AD509E">
        <w:rPr>
          <w:rFonts w:asciiTheme="minorHAnsi" w:hAnsiTheme="minorHAnsi" w:cstheme="minorHAnsi"/>
        </w:rPr>
        <w:t xml:space="preserve">With different accreditation schemes, how will </w:t>
      </w:r>
      <w:r w:rsidR="00FF5CFC">
        <w:rPr>
          <w:rFonts w:asciiTheme="minorHAnsi" w:hAnsiTheme="minorHAnsi" w:cstheme="minorHAnsi"/>
        </w:rPr>
        <w:t xml:space="preserve">ITU draw the </w:t>
      </w:r>
      <w:r w:rsidR="00FF5CFC" w:rsidRPr="00AD509E">
        <w:rPr>
          <w:rFonts w:asciiTheme="minorHAnsi" w:hAnsiTheme="minorHAnsi" w:cstheme="minorHAnsi"/>
        </w:rPr>
        <w:t>distinction</w:t>
      </w:r>
      <w:r w:rsidR="00FF5CFC">
        <w:rPr>
          <w:rFonts w:asciiTheme="minorHAnsi" w:hAnsiTheme="minorHAnsi" w:cstheme="minorHAnsi"/>
        </w:rPr>
        <w:t xml:space="preserve"> </w:t>
      </w:r>
      <w:r w:rsidR="00FF5CFC" w:rsidRPr="00AD509E">
        <w:rPr>
          <w:rFonts w:asciiTheme="minorHAnsi" w:hAnsiTheme="minorHAnsi" w:cstheme="minorHAnsi"/>
        </w:rPr>
        <w:t>between members and non</w:t>
      </w:r>
      <w:r w:rsidR="00FF5CFC" w:rsidRPr="00AD509E">
        <w:rPr>
          <w:rFonts w:asciiTheme="minorHAnsi" w:hAnsiTheme="minorHAnsi" w:cstheme="minorHAnsi"/>
        </w:rPr>
        <w:noBreakHyphen/>
        <w:t>members?</w:t>
      </w:r>
    </w:p>
    <w:p w14:paraId="5D85455D" w14:textId="0ACFF126" w:rsidR="00C93373" w:rsidRPr="00AD509E" w:rsidRDefault="007A30CA" w:rsidP="00AD509E">
      <w:pPr>
        <w:pStyle w:val="Normal1"/>
        <w:widowControl/>
        <w:spacing w:before="80" w:after="80" w:line="240" w:lineRule="auto"/>
        <w:ind w:right="0" w:firstLine="0"/>
        <w:rPr>
          <w:rFonts w:asciiTheme="minorHAnsi" w:hAnsiTheme="minorHAnsi" w:cstheme="minorHAnsi"/>
        </w:rPr>
      </w:pPr>
      <w:r>
        <w:rPr>
          <w:rFonts w:asciiTheme="minorHAnsi" w:hAnsiTheme="minorHAnsi" w:cstheme="minorHAnsi"/>
        </w:rPr>
        <w:t xml:space="preserve">While </w:t>
      </w:r>
      <w:r w:rsidR="00FF5CFC">
        <w:rPr>
          <w:rFonts w:asciiTheme="minorHAnsi" w:hAnsiTheme="minorHAnsi" w:cstheme="minorHAnsi"/>
        </w:rPr>
        <w:t xml:space="preserve">Saudi Arabia welcomes </w:t>
      </w:r>
      <w:r w:rsidR="00FF5299" w:rsidRPr="00AD509E">
        <w:rPr>
          <w:rFonts w:asciiTheme="minorHAnsi" w:hAnsiTheme="minorHAnsi" w:cstheme="minorHAnsi"/>
        </w:rPr>
        <w:t>innovation</w:t>
      </w:r>
      <w:r w:rsidR="00FF5CFC">
        <w:rPr>
          <w:rFonts w:asciiTheme="minorHAnsi" w:hAnsiTheme="minorHAnsi" w:cstheme="minorHAnsi"/>
        </w:rPr>
        <w:t xml:space="preserve">, it expressed the concern that </w:t>
      </w:r>
      <w:r w:rsidR="00FF5299" w:rsidRPr="00AD509E">
        <w:rPr>
          <w:rFonts w:asciiTheme="minorHAnsi" w:hAnsiTheme="minorHAnsi" w:cstheme="minorHAnsi"/>
        </w:rPr>
        <w:t xml:space="preserve">just because the door is wide open does not mean that the conference should </w:t>
      </w:r>
      <w:r w:rsidR="00954D82">
        <w:rPr>
          <w:rFonts w:asciiTheme="minorHAnsi" w:hAnsiTheme="minorHAnsi" w:cstheme="minorHAnsi"/>
        </w:rPr>
        <w:t xml:space="preserve">embrace </w:t>
      </w:r>
      <w:r w:rsidR="00FF5299" w:rsidRPr="00AD509E">
        <w:rPr>
          <w:rFonts w:asciiTheme="minorHAnsi" w:hAnsiTheme="minorHAnsi" w:cstheme="minorHAnsi"/>
        </w:rPr>
        <w:t xml:space="preserve">activities </w:t>
      </w:r>
      <w:r w:rsidR="00954D82">
        <w:rPr>
          <w:rFonts w:asciiTheme="minorHAnsi" w:hAnsiTheme="minorHAnsi" w:cstheme="minorHAnsi"/>
        </w:rPr>
        <w:t xml:space="preserve">which fall outside its purview and which could </w:t>
      </w:r>
      <w:r w:rsidR="00FF5299" w:rsidRPr="00AD509E">
        <w:rPr>
          <w:rFonts w:asciiTheme="minorHAnsi" w:hAnsiTheme="minorHAnsi" w:cstheme="minorHAnsi"/>
        </w:rPr>
        <w:t>take membership away from its main goal and objectives</w:t>
      </w:r>
      <w:r w:rsidR="00FF5CFC">
        <w:rPr>
          <w:rFonts w:asciiTheme="minorHAnsi" w:hAnsiTheme="minorHAnsi" w:cstheme="minorHAnsi"/>
        </w:rPr>
        <w:t>. S</w:t>
      </w:r>
      <w:r w:rsidR="00B81BE9" w:rsidRPr="00AD509E">
        <w:rPr>
          <w:rFonts w:asciiTheme="minorHAnsi" w:hAnsiTheme="minorHAnsi" w:cstheme="minorHAnsi"/>
        </w:rPr>
        <w:t>audi Arabia announced that it would submit a contribution to</w:t>
      </w:r>
      <w:r w:rsidR="00ED00D8" w:rsidRPr="00AD509E">
        <w:rPr>
          <w:rFonts w:asciiTheme="minorHAnsi" w:hAnsiTheme="minorHAnsi" w:cstheme="minorHAnsi"/>
        </w:rPr>
        <w:t xml:space="preserve"> the fourth and final meeting of </w:t>
      </w:r>
      <w:r w:rsidR="00ED00D8" w:rsidRPr="00AD509E">
        <w:rPr>
          <w:rFonts w:asciiTheme="minorHAnsi" w:hAnsiTheme="minorHAnsi" w:cstheme="minorHAnsi"/>
          <w:shd w:val="clear" w:color="auto" w:fill="FFFFFF"/>
        </w:rPr>
        <w:t>TDAG-WG-Prep</w:t>
      </w:r>
      <w:r w:rsidR="00ED00D8" w:rsidRPr="00AD509E">
        <w:rPr>
          <w:rFonts w:asciiTheme="minorHAnsi" w:hAnsiTheme="minorHAnsi" w:cstheme="minorHAnsi"/>
        </w:rPr>
        <w:t xml:space="preserve">. Meanwhile, it holds the view that </w:t>
      </w:r>
      <w:r w:rsidR="00053962" w:rsidRPr="00AD509E">
        <w:rPr>
          <w:rFonts w:asciiTheme="minorHAnsi" w:hAnsiTheme="minorHAnsi" w:cstheme="minorHAnsi"/>
        </w:rPr>
        <w:t xml:space="preserve">as a </w:t>
      </w:r>
      <w:r w:rsidR="00ED00D8" w:rsidRPr="00AD509E">
        <w:rPr>
          <w:rFonts w:asciiTheme="minorHAnsi" w:hAnsiTheme="minorHAnsi" w:cstheme="minorHAnsi"/>
        </w:rPr>
        <w:t>c</w:t>
      </w:r>
      <w:r w:rsidR="00053962" w:rsidRPr="00AD509E">
        <w:rPr>
          <w:rFonts w:asciiTheme="minorHAnsi" w:hAnsiTheme="minorHAnsi" w:cstheme="minorHAnsi"/>
        </w:rPr>
        <w:t>onference</w:t>
      </w:r>
      <w:r w:rsidR="007D7AD9" w:rsidRPr="00AD509E">
        <w:rPr>
          <w:rFonts w:asciiTheme="minorHAnsi" w:hAnsiTheme="minorHAnsi" w:cstheme="minorHAnsi"/>
        </w:rPr>
        <w:t>, WTDC</w:t>
      </w:r>
      <w:r w:rsidR="00053962" w:rsidRPr="00AD509E">
        <w:rPr>
          <w:rFonts w:asciiTheme="minorHAnsi" w:hAnsiTheme="minorHAnsi" w:cstheme="minorHAnsi"/>
        </w:rPr>
        <w:t xml:space="preserve"> should stick to the traditional format of conducting business and negotiating on resolution</w:t>
      </w:r>
      <w:r w:rsidR="007D7AD9" w:rsidRPr="00AD509E">
        <w:rPr>
          <w:rFonts w:asciiTheme="minorHAnsi" w:hAnsiTheme="minorHAnsi" w:cstheme="minorHAnsi"/>
        </w:rPr>
        <w:t xml:space="preserve">s. </w:t>
      </w:r>
      <w:r w:rsidR="00B6564C" w:rsidRPr="00AD509E">
        <w:rPr>
          <w:rFonts w:asciiTheme="minorHAnsi" w:hAnsiTheme="minorHAnsi" w:cstheme="minorHAnsi"/>
        </w:rPr>
        <w:t>H</w:t>
      </w:r>
      <w:r w:rsidR="007D7AD9" w:rsidRPr="00AD509E">
        <w:rPr>
          <w:rFonts w:asciiTheme="minorHAnsi" w:hAnsiTheme="minorHAnsi" w:cstheme="minorHAnsi"/>
        </w:rPr>
        <w:t xml:space="preserve">ow </w:t>
      </w:r>
      <w:r w:rsidR="00053962" w:rsidRPr="00AD509E">
        <w:rPr>
          <w:rFonts w:asciiTheme="minorHAnsi" w:hAnsiTheme="minorHAnsi" w:cstheme="minorHAnsi"/>
        </w:rPr>
        <w:t>high</w:t>
      </w:r>
      <w:r w:rsidR="00053962" w:rsidRPr="00AD509E">
        <w:rPr>
          <w:rFonts w:asciiTheme="minorHAnsi" w:hAnsiTheme="minorHAnsi" w:cstheme="minorHAnsi"/>
        </w:rPr>
        <w:noBreakHyphen/>
        <w:t>level representative</w:t>
      </w:r>
      <w:r w:rsidR="007D7AD9" w:rsidRPr="00AD509E">
        <w:rPr>
          <w:rFonts w:asciiTheme="minorHAnsi" w:hAnsiTheme="minorHAnsi" w:cstheme="minorHAnsi"/>
        </w:rPr>
        <w:t>s</w:t>
      </w:r>
      <w:r w:rsidR="00053962" w:rsidRPr="00AD509E">
        <w:rPr>
          <w:rFonts w:asciiTheme="minorHAnsi" w:hAnsiTheme="minorHAnsi" w:cstheme="minorHAnsi"/>
        </w:rPr>
        <w:t xml:space="preserve"> </w:t>
      </w:r>
      <w:r w:rsidR="00954D82">
        <w:rPr>
          <w:rFonts w:asciiTheme="minorHAnsi" w:hAnsiTheme="minorHAnsi" w:cstheme="minorHAnsi"/>
        </w:rPr>
        <w:t xml:space="preserve">would </w:t>
      </w:r>
      <w:r w:rsidR="00053962" w:rsidRPr="00AD509E">
        <w:rPr>
          <w:rFonts w:asciiTheme="minorHAnsi" w:hAnsiTheme="minorHAnsi" w:cstheme="minorHAnsi"/>
        </w:rPr>
        <w:t>deliver their statement</w:t>
      </w:r>
      <w:r w:rsidR="00A70D95" w:rsidRPr="00AD509E">
        <w:rPr>
          <w:rFonts w:asciiTheme="minorHAnsi" w:hAnsiTheme="minorHAnsi" w:cstheme="minorHAnsi"/>
        </w:rPr>
        <w:t>s</w:t>
      </w:r>
      <w:r w:rsidR="00954D82">
        <w:rPr>
          <w:rFonts w:asciiTheme="minorHAnsi" w:hAnsiTheme="minorHAnsi" w:cstheme="minorHAnsi"/>
        </w:rPr>
        <w:t xml:space="preserve"> needs to be addressed carefully, as the High-Level Segment is one of </w:t>
      </w:r>
      <w:r w:rsidR="00053962" w:rsidRPr="00AD509E">
        <w:rPr>
          <w:rFonts w:asciiTheme="minorHAnsi" w:hAnsiTheme="minorHAnsi" w:cstheme="minorHAnsi"/>
        </w:rPr>
        <w:t>the most important element</w:t>
      </w:r>
      <w:r w:rsidR="00515E83">
        <w:rPr>
          <w:rFonts w:asciiTheme="minorHAnsi" w:hAnsiTheme="minorHAnsi" w:cstheme="minorHAnsi"/>
        </w:rPr>
        <w:t>s</w:t>
      </w:r>
      <w:r w:rsidR="00053962" w:rsidRPr="00AD509E">
        <w:rPr>
          <w:rFonts w:asciiTheme="minorHAnsi" w:hAnsiTheme="minorHAnsi" w:cstheme="minorHAnsi"/>
        </w:rPr>
        <w:t xml:space="preserve"> of the </w:t>
      </w:r>
      <w:r w:rsidR="00A70D95" w:rsidRPr="00AD509E">
        <w:rPr>
          <w:rFonts w:asciiTheme="minorHAnsi" w:hAnsiTheme="minorHAnsi" w:cstheme="minorHAnsi"/>
        </w:rPr>
        <w:t>c</w:t>
      </w:r>
      <w:r w:rsidR="00E8325E" w:rsidRPr="00AD509E">
        <w:rPr>
          <w:rFonts w:asciiTheme="minorHAnsi" w:hAnsiTheme="minorHAnsi" w:cstheme="minorHAnsi"/>
        </w:rPr>
        <w:t>onference</w:t>
      </w:r>
      <w:r w:rsidR="00053962" w:rsidRPr="00AD509E">
        <w:rPr>
          <w:rFonts w:asciiTheme="minorHAnsi" w:hAnsiTheme="minorHAnsi" w:cstheme="minorHAnsi"/>
        </w:rPr>
        <w:t>.</w:t>
      </w:r>
      <w:r w:rsidR="00C93373" w:rsidRPr="00AD509E">
        <w:rPr>
          <w:rFonts w:asciiTheme="minorHAnsi" w:hAnsiTheme="minorHAnsi" w:cstheme="minorHAnsi"/>
        </w:rPr>
        <w:t xml:space="preserve"> </w:t>
      </w:r>
    </w:p>
    <w:p w14:paraId="03191A18" w14:textId="7D020A67" w:rsidR="00B67824" w:rsidRPr="001A00E4" w:rsidRDefault="00B67824" w:rsidP="00AD509E">
      <w:pPr>
        <w:pStyle w:val="Normal1"/>
        <w:widowControl/>
        <w:spacing w:before="80" w:after="80" w:line="240" w:lineRule="auto"/>
        <w:ind w:right="0" w:firstLine="0"/>
        <w:rPr>
          <w:rFonts w:asciiTheme="minorHAnsi" w:hAnsiTheme="minorHAnsi" w:cstheme="minorHAnsi"/>
        </w:rPr>
      </w:pPr>
      <w:r>
        <w:rPr>
          <w:rFonts w:asciiTheme="minorHAnsi" w:hAnsiTheme="minorHAnsi" w:cstheme="minorHAnsi"/>
        </w:rPr>
        <w:t xml:space="preserve">Recalling the </w:t>
      </w:r>
      <w:r w:rsidR="00515E83">
        <w:rPr>
          <w:rFonts w:asciiTheme="minorHAnsi" w:hAnsiTheme="minorHAnsi" w:cstheme="minorHAnsi"/>
        </w:rPr>
        <w:t xml:space="preserve">agreement reached </w:t>
      </w:r>
      <w:r w:rsidR="00B00D41" w:rsidRPr="00AD509E">
        <w:rPr>
          <w:rFonts w:asciiTheme="minorHAnsi" w:hAnsiTheme="minorHAnsi" w:cstheme="minorHAnsi"/>
        </w:rPr>
        <w:t xml:space="preserve">at the </w:t>
      </w:r>
      <w:r w:rsidR="00B00D41" w:rsidRPr="001A00E4">
        <w:rPr>
          <w:rFonts w:asciiTheme="minorHAnsi" w:hAnsiTheme="minorHAnsi" w:cstheme="minorHAnsi"/>
        </w:rPr>
        <w:t xml:space="preserve">first </w:t>
      </w:r>
      <w:r w:rsidR="00943645" w:rsidRPr="001A00E4">
        <w:rPr>
          <w:rFonts w:asciiTheme="minorHAnsi" w:hAnsiTheme="minorHAnsi" w:cstheme="minorHAnsi"/>
        </w:rPr>
        <w:t xml:space="preserve">meeting of </w:t>
      </w:r>
      <w:r w:rsidR="00515E83" w:rsidRPr="001A00E4">
        <w:rPr>
          <w:rFonts w:asciiTheme="minorHAnsi" w:hAnsiTheme="minorHAnsi" w:cstheme="minorHAnsi"/>
          <w:shd w:val="clear" w:color="auto" w:fill="FFFFFF"/>
        </w:rPr>
        <w:t>TDAG-WG-Prep</w:t>
      </w:r>
      <w:r w:rsidR="00515E83" w:rsidRPr="001A00E4">
        <w:rPr>
          <w:rFonts w:asciiTheme="minorHAnsi" w:hAnsiTheme="minorHAnsi" w:cstheme="minorHAnsi"/>
        </w:rPr>
        <w:t xml:space="preserve"> </w:t>
      </w:r>
      <w:r w:rsidRPr="001A00E4">
        <w:rPr>
          <w:rFonts w:asciiTheme="minorHAnsi" w:hAnsiTheme="minorHAnsi" w:cstheme="minorHAnsi"/>
        </w:rPr>
        <w:t xml:space="preserve">recommending </w:t>
      </w:r>
      <w:r w:rsidR="00943645" w:rsidRPr="001A00E4">
        <w:rPr>
          <w:rFonts w:asciiTheme="minorHAnsi" w:hAnsiTheme="minorHAnsi" w:cstheme="minorHAnsi"/>
        </w:rPr>
        <w:t xml:space="preserve">that </w:t>
      </w:r>
      <w:r w:rsidR="00B00D41" w:rsidRPr="001A00E4">
        <w:rPr>
          <w:rFonts w:asciiTheme="minorHAnsi" w:hAnsiTheme="minorHAnsi" w:cstheme="minorHAnsi"/>
        </w:rPr>
        <w:t xml:space="preserve">interpretation </w:t>
      </w:r>
      <w:r w:rsidRPr="001A00E4">
        <w:rPr>
          <w:rFonts w:asciiTheme="minorHAnsi" w:hAnsiTheme="minorHAnsi" w:cstheme="minorHAnsi"/>
        </w:rPr>
        <w:t xml:space="preserve">should </w:t>
      </w:r>
      <w:r w:rsidR="00B00D41" w:rsidRPr="001A00E4">
        <w:rPr>
          <w:rFonts w:asciiTheme="minorHAnsi" w:hAnsiTheme="minorHAnsi" w:cstheme="minorHAnsi"/>
        </w:rPr>
        <w:t xml:space="preserve">be provided </w:t>
      </w:r>
      <w:r w:rsidR="00A70D95" w:rsidRPr="001A00E4">
        <w:rPr>
          <w:rFonts w:asciiTheme="minorHAnsi" w:hAnsiTheme="minorHAnsi" w:cstheme="minorHAnsi"/>
        </w:rPr>
        <w:t xml:space="preserve">in all </w:t>
      </w:r>
      <w:r w:rsidR="00B00D41" w:rsidRPr="001A00E4">
        <w:rPr>
          <w:rFonts w:asciiTheme="minorHAnsi" w:hAnsiTheme="minorHAnsi" w:cstheme="minorHAnsi"/>
        </w:rPr>
        <w:t xml:space="preserve">the </w:t>
      </w:r>
      <w:r w:rsidR="00A70D95" w:rsidRPr="001A00E4">
        <w:rPr>
          <w:rFonts w:asciiTheme="minorHAnsi" w:hAnsiTheme="minorHAnsi" w:cstheme="minorHAnsi"/>
        </w:rPr>
        <w:t xml:space="preserve">six </w:t>
      </w:r>
      <w:r w:rsidR="00B00D41" w:rsidRPr="001A00E4">
        <w:rPr>
          <w:rFonts w:asciiTheme="minorHAnsi" w:hAnsiTheme="minorHAnsi" w:cstheme="minorHAnsi"/>
        </w:rPr>
        <w:t xml:space="preserve">official </w:t>
      </w:r>
      <w:r w:rsidR="00053962" w:rsidRPr="001A00E4">
        <w:rPr>
          <w:rFonts w:asciiTheme="minorHAnsi" w:hAnsiTheme="minorHAnsi" w:cstheme="minorHAnsi"/>
        </w:rPr>
        <w:t>languages</w:t>
      </w:r>
      <w:r w:rsidR="00B00D41" w:rsidRPr="001A00E4">
        <w:rPr>
          <w:rFonts w:asciiTheme="minorHAnsi" w:hAnsiTheme="minorHAnsi" w:cstheme="minorHAnsi"/>
        </w:rPr>
        <w:t xml:space="preserve"> of the Union and that in the absence of a budget, the group’s meetings would be conducted in English only</w:t>
      </w:r>
      <w:r w:rsidRPr="001A00E4">
        <w:rPr>
          <w:rFonts w:asciiTheme="minorHAnsi" w:hAnsiTheme="minorHAnsi" w:cstheme="minorHAnsi"/>
        </w:rPr>
        <w:t>, some delegations reiterated the need to provide interpretation in all six languages for the next meeting</w:t>
      </w:r>
      <w:r w:rsidR="004774C6">
        <w:rPr>
          <w:rFonts w:asciiTheme="minorHAnsi" w:hAnsiTheme="minorHAnsi" w:cstheme="minorHAnsi"/>
        </w:rPr>
        <w:t>, given that it will be the groups’ last</w:t>
      </w:r>
      <w:r w:rsidR="007B5046">
        <w:rPr>
          <w:rFonts w:asciiTheme="minorHAnsi" w:hAnsiTheme="minorHAnsi" w:cstheme="minorHAnsi"/>
        </w:rPr>
        <w:t xml:space="preserve"> and it will discuss the report to be submitted to TDAG-20/3</w:t>
      </w:r>
      <w:r w:rsidRPr="001A00E4">
        <w:rPr>
          <w:rFonts w:asciiTheme="minorHAnsi" w:hAnsiTheme="minorHAnsi" w:cstheme="minorHAnsi"/>
        </w:rPr>
        <w:t>.</w:t>
      </w:r>
    </w:p>
    <w:p w14:paraId="78F2066E" w14:textId="6DB84EB1" w:rsidR="00441240" w:rsidRDefault="00441240" w:rsidP="00441240">
      <w:pPr>
        <w:spacing w:before="80" w:after="80" w:line="240" w:lineRule="auto"/>
        <w:rPr>
          <w:rFonts w:cstheme="minorHAnsi"/>
          <w:sz w:val="24"/>
          <w:szCs w:val="24"/>
        </w:rPr>
      </w:pPr>
      <w:r w:rsidRPr="001A00E4">
        <w:rPr>
          <w:sz w:val="24"/>
          <w:szCs w:val="24"/>
        </w:rPr>
        <w:t>Responding to the questions of the Russian Federation, the secretariat</w:t>
      </w:r>
      <w:r w:rsidR="00AF151B" w:rsidRPr="001A00E4">
        <w:rPr>
          <w:sz w:val="24"/>
          <w:szCs w:val="24"/>
        </w:rPr>
        <w:t xml:space="preserve"> stated </w:t>
      </w:r>
      <w:r w:rsidRPr="001A00E4">
        <w:rPr>
          <w:sz w:val="24"/>
          <w:szCs w:val="24"/>
        </w:rPr>
        <w:t>that the purpose of WTDC has not changed. When reviewing contributions and brainstorming internally, the secretariat has been mindful to ensure that the administrative conference is maintained in the way it is currently done – that is, as a contribution</w:t>
      </w:r>
      <w:r w:rsidRPr="001A00E4">
        <w:rPr>
          <w:sz w:val="24"/>
          <w:szCs w:val="24"/>
        </w:rPr>
        <w:noBreakHyphen/>
        <w:t xml:space="preserve">driven member-led and member-focused conference. </w:t>
      </w:r>
      <w:r w:rsidRPr="001A00E4">
        <w:rPr>
          <w:rFonts w:cs="Courier New"/>
          <w:sz w:val="24"/>
          <w:szCs w:val="24"/>
        </w:rPr>
        <w:t xml:space="preserve">Regarding the </w:t>
      </w:r>
      <w:r w:rsidR="00AF151B" w:rsidRPr="001A00E4">
        <w:rPr>
          <w:rFonts w:cs="Courier New"/>
          <w:sz w:val="24"/>
          <w:szCs w:val="24"/>
        </w:rPr>
        <w:t>timing of events</w:t>
      </w:r>
      <w:r w:rsidRPr="001A00E4">
        <w:rPr>
          <w:rFonts w:cs="Courier New"/>
          <w:sz w:val="24"/>
          <w:szCs w:val="24"/>
        </w:rPr>
        <w:t xml:space="preserve">, the secretariat </w:t>
      </w:r>
      <w:r w:rsidRPr="001A00E4">
        <w:rPr>
          <w:sz w:val="24"/>
          <w:szCs w:val="24"/>
        </w:rPr>
        <w:t>stated that at this point, the assumption is that the Administrative Segment of the conference would make available two to three days for the Development Track, which will include the High</w:t>
      </w:r>
      <w:r w:rsidRPr="001A00E4">
        <w:rPr>
          <w:sz w:val="24"/>
          <w:szCs w:val="24"/>
        </w:rPr>
        <w:noBreakHyphen/>
        <w:t xml:space="preserve">Level Segment. But this will, of course, depend on how much time is saved through a more effective preparatory process. At any rate, every effort would be made to avoid the situation of the late-night sessions faced at WTDC-17, </w:t>
      </w:r>
      <w:r w:rsidRPr="001A00E4">
        <w:rPr>
          <w:rFonts w:cstheme="minorHAnsi"/>
          <w:sz w:val="24"/>
          <w:szCs w:val="24"/>
        </w:rPr>
        <w:t>where, as the Russian Federation pointed out</w:t>
      </w:r>
      <w:r w:rsidR="00EE7186" w:rsidRPr="001A00E4">
        <w:rPr>
          <w:rFonts w:cstheme="minorHAnsi"/>
          <w:sz w:val="24"/>
          <w:szCs w:val="24"/>
        </w:rPr>
        <w:t>,</w:t>
      </w:r>
      <w:r w:rsidRPr="001A00E4">
        <w:rPr>
          <w:rFonts w:cstheme="minorHAnsi"/>
          <w:sz w:val="24"/>
          <w:szCs w:val="24"/>
        </w:rPr>
        <w:t xml:space="preserve"> some documents were submitted to the Editorial Committee </w:t>
      </w:r>
      <w:r w:rsidR="00EE7186" w:rsidRPr="001A00E4">
        <w:rPr>
          <w:rFonts w:cstheme="minorHAnsi"/>
          <w:sz w:val="24"/>
          <w:szCs w:val="24"/>
        </w:rPr>
        <w:t xml:space="preserve">too late for it to complete the </w:t>
      </w:r>
      <w:r w:rsidRPr="001A00E4">
        <w:rPr>
          <w:rFonts w:cstheme="minorHAnsi"/>
          <w:sz w:val="24"/>
          <w:szCs w:val="24"/>
        </w:rPr>
        <w:t>final report</w:t>
      </w:r>
      <w:r w:rsidR="00EE7186" w:rsidRPr="001A00E4">
        <w:rPr>
          <w:rFonts w:cstheme="minorHAnsi"/>
          <w:sz w:val="24"/>
          <w:szCs w:val="24"/>
        </w:rPr>
        <w:t xml:space="preserve"> of the conference.</w:t>
      </w:r>
    </w:p>
    <w:p w14:paraId="6BC2B541" w14:textId="18A242D0" w:rsidR="00E54CC0" w:rsidRPr="00DC3819" w:rsidRDefault="00E54CC0" w:rsidP="00E54CC0">
      <w:pPr>
        <w:pStyle w:val="Normal1"/>
        <w:widowControl/>
        <w:spacing w:before="80" w:after="80" w:line="240" w:lineRule="auto"/>
        <w:ind w:right="0" w:firstLine="0"/>
        <w:rPr>
          <w:rFonts w:asciiTheme="minorHAnsi" w:eastAsia="Calibri" w:hAnsiTheme="minorHAnsi" w:cstheme="minorHAnsi"/>
          <w:lang w:val="en-GB"/>
        </w:rPr>
      </w:pPr>
      <w:r w:rsidRPr="00DC3819">
        <w:rPr>
          <w:rFonts w:asciiTheme="minorHAnsi" w:eastAsia="Calibri" w:hAnsiTheme="minorHAnsi" w:cstheme="minorHAnsi"/>
          <w:lang w:val="en-GB"/>
        </w:rPr>
        <w:t xml:space="preserve">Several participants </w:t>
      </w:r>
      <w:r>
        <w:rPr>
          <w:rFonts w:asciiTheme="minorHAnsi" w:eastAsia="Calibri" w:hAnsiTheme="minorHAnsi" w:cstheme="minorHAnsi"/>
          <w:lang w:val="en-GB"/>
        </w:rPr>
        <w:t>express</w:t>
      </w:r>
      <w:r w:rsidR="003C2FB2">
        <w:rPr>
          <w:rFonts w:asciiTheme="minorHAnsi" w:eastAsia="Calibri" w:hAnsiTheme="minorHAnsi" w:cstheme="minorHAnsi"/>
          <w:lang w:val="en-GB"/>
        </w:rPr>
        <w:t>ed during their interventions</w:t>
      </w:r>
      <w:r>
        <w:rPr>
          <w:rFonts w:asciiTheme="minorHAnsi" w:eastAsia="Calibri" w:hAnsiTheme="minorHAnsi" w:cstheme="minorHAnsi"/>
          <w:lang w:val="en-GB"/>
        </w:rPr>
        <w:t xml:space="preserve"> their support for the inclusion of Youth in the conference.</w:t>
      </w:r>
    </w:p>
    <w:p w14:paraId="69A17D9E" w14:textId="28297336" w:rsidR="0048191A" w:rsidRPr="001A00E4" w:rsidRDefault="0048191A" w:rsidP="00223654">
      <w:pPr>
        <w:pStyle w:val="Normal1"/>
        <w:keepNext/>
        <w:widowControl/>
        <w:spacing w:before="80" w:after="80" w:line="240" w:lineRule="auto"/>
        <w:ind w:right="0" w:firstLine="0"/>
        <w:rPr>
          <w:rFonts w:asciiTheme="minorHAnsi" w:hAnsiTheme="minorHAnsi" w:cstheme="minorHAnsi"/>
          <w:b/>
        </w:rPr>
      </w:pPr>
      <w:r w:rsidRPr="001A00E4">
        <w:rPr>
          <w:rFonts w:asciiTheme="minorHAnsi" w:hAnsiTheme="minorHAnsi" w:cstheme="minorHAnsi"/>
          <w:b/>
        </w:rPr>
        <w:t>D</w:t>
      </w:r>
      <w:r w:rsidR="00053962" w:rsidRPr="001A00E4">
        <w:rPr>
          <w:rFonts w:asciiTheme="minorHAnsi" w:hAnsiTheme="minorHAnsi" w:cstheme="minorHAnsi"/>
          <w:b/>
        </w:rPr>
        <w:t>raft time management plan</w:t>
      </w:r>
      <w:r w:rsidR="00B6564C" w:rsidRPr="001A00E4">
        <w:rPr>
          <w:rFonts w:asciiTheme="minorHAnsi" w:hAnsiTheme="minorHAnsi" w:cstheme="minorHAnsi"/>
          <w:b/>
        </w:rPr>
        <w:t xml:space="preserve"> for WTDC-21</w:t>
      </w:r>
      <w:r w:rsidR="00053962" w:rsidRPr="001A00E4">
        <w:rPr>
          <w:rFonts w:asciiTheme="minorHAnsi" w:hAnsiTheme="minorHAnsi" w:cstheme="minorHAnsi"/>
          <w:b/>
        </w:rPr>
        <w:t xml:space="preserve"> </w:t>
      </w:r>
    </w:p>
    <w:p w14:paraId="58605158" w14:textId="6B59F8F5" w:rsidR="005C13E9" w:rsidRDefault="00AF151B" w:rsidP="00AD509E">
      <w:pPr>
        <w:spacing w:before="80" w:after="80" w:line="240" w:lineRule="auto"/>
        <w:rPr>
          <w:rFonts w:cstheme="minorHAnsi"/>
          <w:sz w:val="24"/>
          <w:szCs w:val="24"/>
        </w:rPr>
      </w:pPr>
      <w:r>
        <w:rPr>
          <w:rFonts w:cstheme="minorHAnsi"/>
          <w:sz w:val="24"/>
          <w:szCs w:val="24"/>
        </w:rPr>
        <w:t xml:space="preserve">Discussion then revolved around </w:t>
      </w:r>
      <w:r w:rsidR="00441240">
        <w:rPr>
          <w:rFonts w:cstheme="minorHAnsi"/>
          <w:sz w:val="24"/>
          <w:szCs w:val="24"/>
        </w:rPr>
        <w:t>a</w:t>
      </w:r>
      <w:r w:rsidR="00BB60F3" w:rsidRPr="00AD509E">
        <w:rPr>
          <w:rFonts w:cstheme="minorHAnsi"/>
          <w:sz w:val="24"/>
          <w:szCs w:val="24"/>
        </w:rPr>
        <w:t xml:space="preserve"> </w:t>
      </w:r>
      <w:r w:rsidR="00811249" w:rsidRPr="00AD509E">
        <w:rPr>
          <w:rFonts w:cstheme="minorHAnsi"/>
          <w:sz w:val="24"/>
          <w:szCs w:val="24"/>
        </w:rPr>
        <w:t xml:space="preserve">preliminary </w:t>
      </w:r>
      <w:r w:rsidR="00811249" w:rsidRPr="00AD509E">
        <w:rPr>
          <w:rFonts w:cstheme="minorHAnsi"/>
          <w:noProof/>
          <w:sz w:val="24"/>
          <w:szCs w:val="24"/>
        </w:rPr>
        <w:t xml:space="preserve">draft Time Management Plan </w:t>
      </w:r>
      <w:r w:rsidR="00BB60F3" w:rsidRPr="00AD509E">
        <w:rPr>
          <w:rFonts w:cstheme="minorHAnsi"/>
          <w:noProof/>
          <w:sz w:val="24"/>
          <w:szCs w:val="24"/>
        </w:rPr>
        <w:t>for WTDC-21</w:t>
      </w:r>
      <w:r w:rsidR="00BA092B" w:rsidRPr="00AD509E">
        <w:rPr>
          <w:rFonts w:cstheme="minorHAnsi"/>
          <w:sz w:val="24"/>
          <w:szCs w:val="24"/>
        </w:rPr>
        <w:t xml:space="preserve"> (</w:t>
      </w:r>
      <w:hyperlink r:id="rId13" w:history="1">
        <w:r w:rsidR="00BA092B" w:rsidRPr="00AD509E">
          <w:rPr>
            <w:rStyle w:val="Hyperlink"/>
            <w:rFonts w:cstheme="minorHAnsi"/>
            <w:sz w:val="24"/>
            <w:szCs w:val="24"/>
          </w:rPr>
          <w:t>DT/5),</w:t>
        </w:r>
      </w:hyperlink>
      <w:r w:rsidR="00BA092B" w:rsidRPr="00AD509E">
        <w:rPr>
          <w:rFonts w:cstheme="minorHAnsi"/>
          <w:sz w:val="24"/>
          <w:szCs w:val="24"/>
        </w:rPr>
        <w:t xml:space="preserve"> </w:t>
      </w:r>
      <w:r w:rsidR="00BA092B">
        <w:rPr>
          <w:rFonts w:cstheme="minorHAnsi"/>
          <w:sz w:val="24"/>
          <w:szCs w:val="24"/>
        </w:rPr>
        <w:t>presented</w:t>
      </w:r>
      <w:r>
        <w:rPr>
          <w:rFonts w:cstheme="minorHAnsi"/>
          <w:sz w:val="24"/>
          <w:szCs w:val="24"/>
        </w:rPr>
        <w:t xml:space="preserve"> by the secretariat</w:t>
      </w:r>
      <w:r w:rsidR="009275FE" w:rsidRPr="00AD509E">
        <w:rPr>
          <w:rFonts w:cstheme="minorHAnsi"/>
          <w:sz w:val="24"/>
          <w:szCs w:val="24"/>
        </w:rPr>
        <w:t xml:space="preserve">. </w:t>
      </w:r>
      <w:r w:rsidR="007F103A" w:rsidRPr="00AD509E">
        <w:rPr>
          <w:rFonts w:cstheme="minorHAnsi"/>
          <w:sz w:val="24"/>
          <w:szCs w:val="24"/>
        </w:rPr>
        <w:t xml:space="preserve">The Administrative Segment of the conference is coded </w:t>
      </w:r>
      <w:r w:rsidR="00811249" w:rsidRPr="00AD509E">
        <w:rPr>
          <w:rFonts w:cstheme="minorHAnsi"/>
          <w:sz w:val="24"/>
          <w:szCs w:val="24"/>
        </w:rPr>
        <w:t xml:space="preserve">yellow </w:t>
      </w:r>
      <w:r w:rsidR="007F103A" w:rsidRPr="00AD509E">
        <w:rPr>
          <w:rFonts w:cstheme="minorHAnsi"/>
          <w:sz w:val="24"/>
          <w:szCs w:val="24"/>
        </w:rPr>
        <w:t>and the thematic events are coded in blue</w:t>
      </w:r>
      <w:r w:rsidR="00114992" w:rsidRPr="00AD509E">
        <w:rPr>
          <w:rFonts w:cstheme="minorHAnsi"/>
          <w:sz w:val="24"/>
          <w:szCs w:val="24"/>
        </w:rPr>
        <w:t>.</w:t>
      </w:r>
      <w:r w:rsidR="009275FE" w:rsidRPr="00AD509E">
        <w:rPr>
          <w:rFonts w:cstheme="minorHAnsi"/>
          <w:sz w:val="24"/>
          <w:szCs w:val="24"/>
        </w:rPr>
        <w:t xml:space="preserve"> </w:t>
      </w:r>
    </w:p>
    <w:p w14:paraId="5A3C3000" w14:textId="0A8E0089" w:rsidR="00114992" w:rsidRPr="00434207" w:rsidRDefault="00305FA6" w:rsidP="00AD509E">
      <w:pPr>
        <w:pStyle w:val="Normal1"/>
        <w:widowControl/>
        <w:spacing w:before="80" w:after="80" w:line="240" w:lineRule="auto"/>
        <w:ind w:right="0" w:firstLine="0"/>
        <w:rPr>
          <w:rFonts w:asciiTheme="minorHAnsi" w:hAnsiTheme="minorHAnsi" w:cstheme="minorHAnsi"/>
        </w:rPr>
      </w:pPr>
      <w:r w:rsidRPr="00434207">
        <w:rPr>
          <w:rFonts w:asciiTheme="minorHAnsi" w:hAnsiTheme="minorHAnsi" w:cstheme="minorHAnsi"/>
        </w:rPr>
        <w:t xml:space="preserve">The Chairman of TDAG commented that this plan </w:t>
      </w:r>
      <w:r w:rsidR="00114992" w:rsidRPr="00434207">
        <w:rPr>
          <w:rFonts w:asciiTheme="minorHAnsi" w:hAnsiTheme="minorHAnsi" w:cstheme="minorHAnsi"/>
        </w:rPr>
        <w:t>is where the rubber meets the road</w:t>
      </w:r>
      <w:r w:rsidR="00EE7186" w:rsidRPr="00434207">
        <w:rPr>
          <w:rFonts w:asciiTheme="minorHAnsi" w:hAnsiTheme="minorHAnsi" w:cstheme="minorHAnsi"/>
        </w:rPr>
        <w:t>,</w:t>
      </w:r>
      <w:r w:rsidR="00114992" w:rsidRPr="00434207">
        <w:rPr>
          <w:rFonts w:asciiTheme="minorHAnsi" w:hAnsiTheme="minorHAnsi" w:cstheme="minorHAnsi"/>
        </w:rPr>
        <w:t xml:space="preserve"> as people try to envision how the conference would work and </w:t>
      </w:r>
      <w:r w:rsidR="00FC1FA2" w:rsidRPr="00434207">
        <w:rPr>
          <w:rFonts w:asciiTheme="minorHAnsi" w:hAnsiTheme="minorHAnsi" w:cstheme="minorHAnsi"/>
        </w:rPr>
        <w:t xml:space="preserve">how </w:t>
      </w:r>
      <w:r w:rsidR="00114992" w:rsidRPr="00434207">
        <w:rPr>
          <w:rFonts w:asciiTheme="minorHAnsi" w:hAnsiTheme="minorHAnsi" w:cstheme="minorHAnsi"/>
        </w:rPr>
        <w:t xml:space="preserve">all of the important work </w:t>
      </w:r>
      <w:r w:rsidR="00FC1FA2" w:rsidRPr="00434207">
        <w:rPr>
          <w:rFonts w:asciiTheme="minorHAnsi" w:hAnsiTheme="minorHAnsi" w:cstheme="minorHAnsi"/>
        </w:rPr>
        <w:t xml:space="preserve">would get </w:t>
      </w:r>
      <w:r w:rsidR="00114992" w:rsidRPr="00434207">
        <w:rPr>
          <w:rFonts w:asciiTheme="minorHAnsi" w:hAnsiTheme="minorHAnsi" w:cstheme="minorHAnsi"/>
        </w:rPr>
        <w:t xml:space="preserve">done. </w:t>
      </w:r>
      <w:r w:rsidR="00441240" w:rsidRPr="00434207">
        <w:rPr>
          <w:rFonts w:asciiTheme="minorHAnsi" w:hAnsiTheme="minorHAnsi" w:cstheme="minorHAnsi"/>
        </w:rPr>
        <w:t xml:space="preserve">She made the observation that the </w:t>
      </w:r>
      <w:r w:rsidR="00114992" w:rsidRPr="00434207">
        <w:rPr>
          <w:rFonts w:asciiTheme="minorHAnsi" w:hAnsiTheme="minorHAnsi" w:cstheme="minorHAnsi"/>
        </w:rPr>
        <w:t xml:space="preserve">purpose of thematic events </w:t>
      </w:r>
      <w:r w:rsidR="00433580" w:rsidRPr="00434207">
        <w:rPr>
          <w:rFonts w:asciiTheme="minorHAnsi" w:hAnsiTheme="minorHAnsi" w:cstheme="minorHAnsi"/>
        </w:rPr>
        <w:t xml:space="preserve">and their timing </w:t>
      </w:r>
      <w:r w:rsidR="00114992" w:rsidRPr="00434207">
        <w:rPr>
          <w:rFonts w:asciiTheme="minorHAnsi" w:hAnsiTheme="minorHAnsi" w:cstheme="minorHAnsi"/>
        </w:rPr>
        <w:t xml:space="preserve">need to be </w:t>
      </w:r>
      <w:r w:rsidR="00114992" w:rsidRPr="00434207">
        <w:rPr>
          <w:rFonts w:asciiTheme="minorHAnsi" w:hAnsiTheme="minorHAnsi" w:cstheme="minorHAnsi"/>
        </w:rPr>
        <w:lastRenderedPageBreak/>
        <w:t>made clearer</w:t>
      </w:r>
      <w:r w:rsidR="00433580" w:rsidRPr="00434207">
        <w:rPr>
          <w:rFonts w:asciiTheme="minorHAnsi" w:hAnsiTheme="minorHAnsi" w:cstheme="minorHAnsi"/>
        </w:rPr>
        <w:t xml:space="preserve"> in upcoming discussions</w:t>
      </w:r>
      <w:r w:rsidR="00441240" w:rsidRPr="00434207">
        <w:rPr>
          <w:rFonts w:asciiTheme="minorHAnsi" w:hAnsiTheme="minorHAnsi" w:cstheme="minorHAnsi"/>
        </w:rPr>
        <w:t xml:space="preserve"> and also, </w:t>
      </w:r>
      <w:r w:rsidR="00433580" w:rsidRPr="00434207">
        <w:rPr>
          <w:rFonts w:asciiTheme="minorHAnsi" w:hAnsiTheme="minorHAnsi" w:cstheme="minorHAnsi"/>
        </w:rPr>
        <w:t xml:space="preserve">that </w:t>
      </w:r>
      <w:r w:rsidR="00114992" w:rsidRPr="00434207">
        <w:rPr>
          <w:rFonts w:asciiTheme="minorHAnsi" w:hAnsiTheme="minorHAnsi" w:cstheme="minorHAnsi"/>
        </w:rPr>
        <w:t xml:space="preserve">having </w:t>
      </w:r>
      <w:r w:rsidR="0075000D" w:rsidRPr="00434207">
        <w:rPr>
          <w:rFonts w:asciiTheme="minorHAnsi" w:hAnsiTheme="minorHAnsi" w:cstheme="minorHAnsi"/>
        </w:rPr>
        <w:t xml:space="preserve">so many </w:t>
      </w:r>
      <w:r w:rsidR="00441240" w:rsidRPr="00434207">
        <w:rPr>
          <w:rFonts w:asciiTheme="minorHAnsi" w:hAnsiTheme="minorHAnsi" w:cstheme="minorHAnsi"/>
        </w:rPr>
        <w:t xml:space="preserve">thematic events </w:t>
      </w:r>
      <w:r w:rsidR="00114992" w:rsidRPr="00434207">
        <w:rPr>
          <w:rFonts w:asciiTheme="minorHAnsi" w:hAnsiTheme="minorHAnsi" w:cstheme="minorHAnsi"/>
        </w:rPr>
        <w:t xml:space="preserve">makes it harder to </w:t>
      </w:r>
      <w:r w:rsidR="0075000D" w:rsidRPr="00434207">
        <w:rPr>
          <w:rFonts w:asciiTheme="minorHAnsi" w:hAnsiTheme="minorHAnsi" w:cstheme="minorHAnsi"/>
          <w:shd w:val="clear" w:color="auto" w:fill="FFFFFF"/>
        </w:rPr>
        <w:t xml:space="preserve">achieve the impact </w:t>
      </w:r>
      <w:r w:rsidR="00A064A5" w:rsidRPr="00434207">
        <w:rPr>
          <w:rFonts w:asciiTheme="minorHAnsi" w:hAnsiTheme="minorHAnsi" w:cstheme="minorHAnsi"/>
          <w:shd w:val="clear" w:color="auto" w:fill="FFFFFF"/>
        </w:rPr>
        <w:t>TDAG aspires to see through WTDC</w:t>
      </w:r>
      <w:r w:rsidR="00114992" w:rsidRPr="00434207">
        <w:rPr>
          <w:rFonts w:asciiTheme="minorHAnsi" w:hAnsiTheme="minorHAnsi" w:cstheme="minorHAnsi"/>
        </w:rPr>
        <w:t xml:space="preserve">. </w:t>
      </w:r>
    </w:p>
    <w:p w14:paraId="489CC0C3" w14:textId="6F96D267" w:rsidR="00780144" w:rsidRPr="0026146B" w:rsidRDefault="00780144" w:rsidP="00780144">
      <w:pPr>
        <w:rPr>
          <w:rFonts w:cstheme="minorHAnsi"/>
          <w:sz w:val="24"/>
          <w:szCs w:val="24"/>
        </w:rPr>
      </w:pPr>
      <w:r w:rsidRPr="00780144">
        <w:rPr>
          <w:sz w:val="24"/>
          <w:szCs w:val="24"/>
        </w:rPr>
        <w:t xml:space="preserve">When should the Development Track take place? Two days before the conference, two days after the conference opening or two days before the conference closing? </w:t>
      </w:r>
      <w:r w:rsidR="00F85E04" w:rsidRPr="00780144">
        <w:rPr>
          <w:rFonts w:cstheme="minorHAnsi"/>
          <w:sz w:val="24"/>
          <w:szCs w:val="24"/>
        </w:rPr>
        <w:t>Egypt proposed</w:t>
      </w:r>
      <w:r w:rsidR="004F6C3B" w:rsidRPr="00780144">
        <w:rPr>
          <w:rFonts w:cstheme="minorHAnsi"/>
          <w:sz w:val="24"/>
          <w:szCs w:val="24"/>
        </w:rPr>
        <w:t xml:space="preserve"> the first day, </w:t>
      </w:r>
      <w:r w:rsidR="004F6C3B" w:rsidRPr="0026146B">
        <w:rPr>
          <w:rFonts w:cstheme="minorHAnsi"/>
          <w:sz w:val="24"/>
          <w:szCs w:val="24"/>
        </w:rPr>
        <w:t xml:space="preserve">while Jordan proposed the last two days of the conference, where </w:t>
      </w:r>
      <w:r w:rsidR="00433580" w:rsidRPr="0026146B">
        <w:rPr>
          <w:rFonts w:cstheme="minorHAnsi"/>
          <w:sz w:val="24"/>
          <w:szCs w:val="24"/>
        </w:rPr>
        <w:t xml:space="preserve">a </w:t>
      </w:r>
      <w:r w:rsidR="004F6C3B" w:rsidRPr="0026146B">
        <w:rPr>
          <w:rFonts w:cstheme="minorHAnsi"/>
          <w:sz w:val="24"/>
          <w:szCs w:val="24"/>
        </w:rPr>
        <w:t xml:space="preserve">draft declaration </w:t>
      </w:r>
      <w:r w:rsidR="00433580" w:rsidRPr="0026146B">
        <w:rPr>
          <w:rFonts w:cstheme="minorHAnsi"/>
          <w:sz w:val="24"/>
          <w:szCs w:val="24"/>
        </w:rPr>
        <w:t xml:space="preserve">or some other key document(s) </w:t>
      </w:r>
      <w:r w:rsidR="004F6C3B" w:rsidRPr="0026146B">
        <w:rPr>
          <w:rFonts w:cstheme="minorHAnsi"/>
          <w:sz w:val="24"/>
          <w:szCs w:val="24"/>
        </w:rPr>
        <w:t>may have been agreed upon</w:t>
      </w:r>
      <w:r w:rsidR="00433580" w:rsidRPr="0026146B">
        <w:rPr>
          <w:rFonts w:cstheme="minorHAnsi"/>
          <w:sz w:val="24"/>
          <w:szCs w:val="24"/>
        </w:rPr>
        <w:t xml:space="preserve">, which would </w:t>
      </w:r>
      <w:r w:rsidR="004F6C3B" w:rsidRPr="0026146B">
        <w:rPr>
          <w:rFonts w:cstheme="minorHAnsi"/>
          <w:sz w:val="24"/>
          <w:szCs w:val="24"/>
        </w:rPr>
        <w:t xml:space="preserve">help engage with the other stakeholders </w:t>
      </w:r>
      <w:r w:rsidR="0017124E" w:rsidRPr="0026146B">
        <w:rPr>
          <w:rFonts w:cstheme="minorHAnsi"/>
          <w:sz w:val="24"/>
          <w:szCs w:val="24"/>
        </w:rPr>
        <w:t>more constructively</w:t>
      </w:r>
      <w:r w:rsidR="004F6C3B" w:rsidRPr="0026146B">
        <w:rPr>
          <w:rFonts w:cstheme="minorHAnsi"/>
          <w:sz w:val="24"/>
          <w:szCs w:val="24"/>
        </w:rPr>
        <w:t>.</w:t>
      </w:r>
      <w:r w:rsidR="00F41A67" w:rsidRPr="0026146B">
        <w:rPr>
          <w:rFonts w:cstheme="minorHAnsi"/>
          <w:sz w:val="24"/>
          <w:szCs w:val="24"/>
        </w:rPr>
        <w:t xml:space="preserve"> Jordan finds the first week of the conference</w:t>
      </w:r>
      <w:r w:rsidR="00F85E04" w:rsidRPr="0026146B">
        <w:rPr>
          <w:rFonts w:cstheme="minorHAnsi"/>
          <w:sz w:val="24"/>
          <w:szCs w:val="24"/>
        </w:rPr>
        <w:t xml:space="preserve"> (</w:t>
      </w:r>
      <w:r w:rsidR="00F41A67" w:rsidRPr="0026146B">
        <w:rPr>
          <w:rFonts w:cstheme="minorHAnsi"/>
          <w:sz w:val="24"/>
          <w:szCs w:val="24"/>
        </w:rPr>
        <w:t>the middle days</w:t>
      </w:r>
      <w:r w:rsidR="00F85E04" w:rsidRPr="0026146B">
        <w:rPr>
          <w:rFonts w:cstheme="minorHAnsi"/>
          <w:sz w:val="24"/>
          <w:szCs w:val="24"/>
        </w:rPr>
        <w:t>)</w:t>
      </w:r>
      <w:r w:rsidR="00F41A67" w:rsidRPr="0026146B">
        <w:rPr>
          <w:rFonts w:cstheme="minorHAnsi"/>
          <w:sz w:val="24"/>
          <w:szCs w:val="24"/>
        </w:rPr>
        <w:t xml:space="preserve"> a good approach, if members want to build on more contributions from other stakeholders.</w:t>
      </w:r>
      <w:r w:rsidR="00BB0AB0">
        <w:rPr>
          <w:rFonts w:cstheme="minorHAnsi"/>
          <w:sz w:val="24"/>
          <w:szCs w:val="24"/>
        </w:rPr>
        <w:t xml:space="preserve"> Jordan and </w:t>
      </w:r>
      <w:r w:rsidR="002133DA">
        <w:rPr>
          <w:rFonts w:cstheme="minorHAnsi"/>
          <w:sz w:val="24"/>
          <w:szCs w:val="24"/>
        </w:rPr>
        <w:t xml:space="preserve">the </w:t>
      </w:r>
      <w:r w:rsidR="00BB0AB0">
        <w:rPr>
          <w:rFonts w:cstheme="minorHAnsi"/>
          <w:sz w:val="24"/>
          <w:szCs w:val="24"/>
        </w:rPr>
        <w:t xml:space="preserve">Russian Federation, taking into account the experience of WTDC-17, expressed concerns on the possible reduction of time of the work of WTDC by </w:t>
      </w:r>
      <w:r w:rsidR="00125316">
        <w:rPr>
          <w:rFonts w:cstheme="minorHAnsi"/>
          <w:sz w:val="24"/>
          <w:szCs w:val="24"/>
        </w:rPr>
        <w:t xml:space="preserve">the </w:t>
      </w:r>
      <w:r w:rsidR="00BB0AB0">
        <w:rPr>
          <w:rFonts w:cstheme="minorHAnsi"/>
          <w:sz w:val="24"/>
          <w:szCs w:val="24"/>
        </w:rPr>
        <w:t>implementation of any side-events in the general schedule.</w:t>
      </w:r>
      <w:r w:rsidRPr="0026146B">
        <w:rPr>
          <w:rFonts w:cstheme="minorHAnsi"/>
          <w:sz w:val="24"/>
          <w:szCs w:val="24"/>
        </w:rPr>
        <w:t xml:space="preserve"> </w:t>
      </w:r>
      <w:r w:rsidR="00433580" w:rsidRPr="0026146B">
        <w:rPr>
          <w:rFonts w:cstheme="minorHAnsi"/>
          <w:sz w:val="24"/>
          <w:szCs w:val="24"/>
        </w:rPr>
        <w:t>In this regard, the secretariat commented that t</w:t>
      </w:r>
      <w:r w:rsidRPr="0026146B">
        <w:rPr>
          <w:sz w:val="24"/>
          <w:szCs w:val="24"/>
        </w:rPr>
        <w:t xml:space="preserve">he question of whether the Development Track would be contribution driven is a matter </w:t>
      </w:r>
      <w:r w:rsidR="00433580" w:rsidRPr="0026146B">
        <w:rPr>
          <w:sz w:val="24"/>
          <w:szCs w:val="24"/>
        </w:rPr>
        <w:t xml:space="preserve">for </w:t>
      </w:r>
      <w:r w:rsidRPr="0026146B">
        <w:rPr>
          <w:sz w:val="24"/>
          <w:szCs w:val="24"/>
        </w:rPr>
        <w:t xml:space="preserve">membership </w:t>
      </w:r>
      <w:r w:rsidR="00433580" w:rsidRPr="0026146B">
        <w:rPr>
          <w:sz w:val="24"/>
          <w:szCs w:val="24"/>
        </w:rPr>
        <w:t>to</w:t>
      </w:r>
      <w:r w:rsidRPr="0026146B">
        <w:rPr>
          <w:sz w:val="24"/>
          <w:szCs w:val="24"/>
        </w:rPr>
        <w:t xml:space="preserve"> consider. </w:t>
      </w:r>
    </w:p>
    <w:p w14:paraId="31C77DEF" w14:textId="06C760D8" w:rsidR="00780144" w:rsidRPr="0026146B" w:rsidRDefault="00CE2379" w:rsidP="00780144">
      <w:pPr>
        <w:pStyle w:val="Normal1"/>
        <w:widowControl/>
        <w:spacing w:before="80" w:after="80" w:line="240" w:lineRule="auto"/>
        <w:ind w:right="0" w:firstLine="0"/>
        <w:rPr>
          <w:rFonts w:asciiTheme="minorHAnsi" w:hAnsiTheme="minorHAnsi" w:cstheme="minorHAnsi"/>
        </w:rPr>
      </w:pPr>
      <w:r w:rsidRPr="0026146B">
        <w:rPr>
          <w:rFonts w:asciiTheme="minorHAnsi" w:hAnsiTheme="minorHAnsi" w:cstheme="minorHAnsi"/>
        </w:rPr>
        <w:t>Participants requested the secretariat to map the preliminary daft Time Management Plan to that of WTDC-17</w:t>
      </w:r>
      <w:r w:rsidR="00FE5FA8" w:rsidRPr="0026146B">
        <w:rPr>
          <w:rFonts w:asciiTheme="minorHAnsi" w:hAnsiTheme="minorHAnsi" w:cstheme="minorHAnsi"/>
        </w:rPr>
        <w:t xml:space="preserve"> </w:t>
      </w:r>
      <w:r w:rsidRPr="0026146B">
        <w:rPr>
          <w:rFonts w:asciiTheme="minorHAnsi" w:hAnsiTheme="minorHAnsi" w:cstheme="minorHAnsi"/>
        </w:rPr>
        <w:t xml:space="preserve">to see how they compare and </w:t>
      </w:r>
      <w:r w:rsidR="00747C71" w:rsidRPr="0026146B">
        <w:rPr>
          <w:rFonts w:asciiTheme="minorHAnsi" w:hAnsiTheme="minorHAnsi" w:cstheme="minorHAnsi"/>
        </w:rPr>
        <w:t xml:space="preserve">what needs to be </w:t>
      </w:r>
      <w:r w:rsidRPr="0026146B">
        <w:rPr>
          <w:rFonts w:asciiTheme="minorHAnsi" w:hAnsiTheme="minorHAnsi" w:cstheme="minorHAnsi"/>
        </w:rPr>
        <w:t>improved</w:t>
      </w:r>
      <w:r w:rsidR="00780144" w:rsidRPr="0026146B">
        <w:rPr>
          <w:rFonts w:asciiTheme="minorHAnsi" w:hAnsiTheme="minorHAnsi" w:cstheme="minorHAnsi"/>
        </w:rPr>
        <w:t xml:space="preserve">. </w:t>
      </w:r>
      <w:r w:rsidR="00780144" w:rsidRPr="0026146B">
        <w:rPr>
          <w:rFonts w:asciiTheme="minorHAnsi" w:hAnsiTheme="minorHAnsi"/>
        </w:rPr>
        <w:t xml:space="preserve">In the words of the Chairman of </w:t>
      </w:r>
      <w:r w:rsidR="00780144" w:rsidRPr="0026146B">
        <w:rPr>
          <w:rFonts w:asciiTheme="minorHAnsi" w:hAnsiTheme="minorHAnsi" w:cstheme="minorHAnsi"/>
          <w:shd w:val="clear" w:color="auto" w:fill="FFFFFF"/>
        </w:rPr>
        <w:t>TDAG-WG-Prep</w:t>
      </w:r>
      <w:r w:rsidR="00780144" w:rsidRPr="0026146B">
        <w:rPr>
          <w:rFonts w:asciiTheme="minorHAnsi" w:hAnsiTheme="minorHAnsi"/>
        </w:rPr>
        <w:t xml:space="preserve">, the </w:t>
      </w:r>
      <w:r w:rsidR="00780144" w:rsidRPr="0026146B">
        <w:rPr>
          <w:rFonts w:asciiTheme="minorHAnsi" w:hAnsiTheme="minorHAnsi"/>
          <w:noProof/>
        </w:rPr>
        <w:t>draft Time Management Plan</w:t>
      </w:r>
      <w:r w:rsidR="00780144" w:rsidRPr="0026146B">
        <w:rPr>
          <w:rFonts w:asciiTheme="minorHAnsi" w:hAnsiTheme="minorHAnsi"/>
        </w:rPr>
        <w:t xml:space="preserve"> will help efforts to structure the flow of the conference in a manner that is consistent with all the very good ideas and suggestions and contributions, taking into account the nature of the conference, the Constitution, the Convention and Resolution 1 of WTDC.</w:t>
      </w:r>
    </w:p>
    <w:p w14:paraId="323C17DC" w14:textId="2A62BDAF" w:rsidR="00225FB3" w:rsidRPr="0026146B" w:rsidRDefault="00092ABD" w:rsidP="00223654">
      <w:pPr>
        <w:pStyle w:val="Normal1"/>
        <w:keepNext/>
        <w:widowControl/>
        <w:spacing w:before="80" w:after="80" w:line="240" w:lineRule="auto"/>
        <w:ind w:right="0" w:firstLine="0"/>
        <w:rPr>
          <w:rFonts w:asciiTheme="minorHAnsi" w:hAnsiTheme="minorHAnsi" w:cstheme="minorHAnsi"/>
          <w:b/>
        </w:rPr>
      </w:pPr>
      <w:r w:rsidRPr="0026146B">
        <w:rPr>
          <w:rFonts w:asciiTheme="minorHAnsi" w:hAnsiTheme="minorHAnsi" w:cstheme="minorHAnsi"/>
          <w:b/>
        </w:rPr>
        <w:t>Conclusion</w:t>
      </w:r>
    </w:p>
    <w:p w14:paraId="098227E5" w14:textId="01C8FD46" w:rsidR="00225FB3" w:rsidRPr="0026146B" w:rsidRDefault="00F85E04" w:rsidP="00AD509E">
      <w:pPr>
        <w:pStyle w:val="Normal1"/>
        <w:widowControl/>
        <w:spacing w:before="80" w:after="80" w:line="240" w:lineRule="auto"/>
        <w:ind w:right="0" w:firstLine="0"/>
        <w:rPr>
          <w:rFonts w:asciiTheme="minorHAnsi" w:hAnsiTheme="minorHAnsi" w:cstheme="minorHAnsi"/>
        </w:rPr>
      </w:pPr>
      <w:r w:rsidRPr="0026146B">
        <w:rPr>
          <w:rFonts w:asciiTheme="minorHAnsi" w:hAnsiTheme="minorHAnsi" w:cstheme="minorHAnsi"/>
        </w:rPr>
        <w:t xml:space="preserve">Participants agreed that the final report of the group </w:t>
      </w:r>
      <w:r w:rsidRPr="00223654">
        <w:rPr>
          <w:rFonts w:asciiTheme="minorHAnsi" w:hAnsiTheme="minorHAnsi" w:cstheme="minorHAnsi"/>
        </w:rPr>
        <w:t>should be structured in line with its terms of reference</w:t>
      </w:r>
      <w:r w:rsidR="003F1CA9">
        <w:rPr>
          <w:rFonts w:asciiTheme="minorHAnsi" w:hAnsiTheme="minorHAnsi" w:cstheme="minorHAnsi"/>
        </w:rPr>
        <w:t xml:space="preserve"> and provide specific recommendations to TDAG, to be discussed and adopted at its </w:t>
      </w:r>
      <w:r w:rsidR="008D2133">
        <w:rPr>
          <w:rFonts w:asciiTheme="minorHAnsi" w:hAnsiTheme="minorHAnsi" w:cstheme="minorHAnsi"/>
        </w:rPr>
        <w:t>23 </w:t>
      </w:r>
      <w:r w:rsidR="003F1CA9">
        <w:rPr>
          <w:rFonts w:asciiTheme="minorHAnsi" w:hAnsiTheme="minorHAnsi" w:cstheme="minorHAnsi"/>
        </w:rPr>
        <w:t>November 2020 meeting.</w:t>
      </w:r>
      <w:r w:rsidRPr="00223654">
        <w:rPr>
          <w:rFonts w:asciiTheme="minorHAnsi" w:hAnsiTheme="minorHAnsi" w:cstheme="minorHAnsi"/>
        </w:rPr>
        <w:t xml:space="preserve"> </w:t>
      </w:r>
      <w:r w:rsidR="002C3301" w:rsidRPr="00223654">
        <w:rPr>
          <w:rFonts w:asciiTheme="minorHAnsi" w:hAnsiTheme="minorHAnsi" w:cstheme="minorHAnsi"/>
        </w:rPr>
        <w:t xml:space="preserve">The Chairman and the BDT </w:t>
      </w:r>
      <w:r w:rsidR="00210B8B" w:rsidRPr="00223654">
        <w:rPr>
          <w:rFonts w:asciiTheme="minorHAnsi" w:hAnsiTheme="minorHAnsi" w:cstheme="minorHAnsi"/>
        </w:rPr>
        <w:t>se</w:t>
      </w:r>
      <w:r w:rsidR="002C3301" w:rsidRPr="00223654">
        <w:rPr>
          <w:rFonts w:asciiTheme="minorHAnsi" w:hAnsiTheme="minorHAnsi" w:cstheme="minorHAnsi"/>
        </w:rPr>
        <w:t xml:space="preserve">cretariat </w:t>
      </w:r>
      <w:r w:rsidR="00053962" w:rsidRPr="00223654">
        <w:rPr>
          <w:rFonts w:asciiTheme="minorHAnsi" w:hAnsiTheme="minorHAnsi" w:cstheme="minorHAnsi"/>
        </w:rPr>
        <w:t xml:space="preserve">will prepare and publish </w:t>
      </w:r>
      <w:r w:rsidR="002929E6" w:rsidRPr="00223654">
        <w:rPr>
          <w:rFonts w:asciiTheme="minorHAnsi" w:hAnsiTheme="minorHAnsi" w:cstheme="minorHAnsi"/>
        </w:rPr>
        <w:t>on</w:t>
      </w:r>
      <w:r w:rsidR="00053962" w:rsidRPr="00223654">
        <w:rPr>
          <w:rFonts w:asciiTheme="minorHAnsi" w:hAnsiTheme="minorHAnsi" w:cstheme="minorHAnsi"/>
        </w:rPr>
        <w:t xml:space="preserve"> </w:t>
      </w:r>
      <w:r w:rsidR="002C3301" w:rsidRPr="00223654">
        <w:rPr>
          <w:rFonts w:asciiTheme="minorHAnsi" w:hAnsiTheme="minorHAnsi" w:cstheme="minorHAnsi"/>
        </w:rPr>
        <w:t>9</w:t>
      </w:r>
      <w:r w:rsidR="008D2133">
        <w:rPr>
          <w:rFonts w:asciiTheme="minorHAnsi" w:hAnsiTheme="minorHAnsi" w:cstheme="minorHAnsi"/>
        </w:rPr>
        <w:t> </w:t>
      </w:r>
      <w:r w:rsidR="002C3301" w:rsidRPr="00223654">
        <w:rPr>
          <w:rFonts w:asciiTheme="minorHAnsi" w:hAnsiTheme="minorHAnsi" w:cstheme="minorHAnsi"/>
        </w:rPr>
        <w:t>October 2020</w:t>
      </w:r>
      <w:r w:rsidR="00053962" w:rsidRPr="00223654">
        <w:rPr>
          <w:rFonts w:asciiTheme="minorHAnsi" w:hAnsiTheme="minorHAnsi" w:cstheme="minorHAnsi"/>
        </w:rPr>
        <w:t xml:space="preserve"> a</w:t>
      </w:r>
      <w:r w:rsidR="00210B8B" w:rsidRPr="00223654">
        <w:rPr>
          <w:rFonts w:asciiTheme="minorHAnsi" w:hAnsiTheme="minorHAnsi" w:cstheme="minorHAnsi"/>
        </w:rPr>
        <w:t xml:space="preserve"> draft final report of </w:t>
      </w:r>
      <w:r w:rsidR="005632F2" w:rsidRPr="00223654">
        <w:rPr>
          <w:rFonts w:asciiTheme="minorHAnsi" w:hAnsiTheme="minorHAnsi" w:cstheme="minorHAnsi"/>
          <w:shd w:val="clear" w:color="auto" w:fill="FFFFFF"/>
        </w:rPr>
        <w:t>TDAG-WG-Prep</w:t>
      </w:r>
      <w:r w:rsidR="00053962" w:rsidRPr="00223654">
        <w:rPr>
          <w:rFonts w:asciiTheme="minorHAnsi" w:hAnsiTheme="minorHAnsi" w:cstheme="minorHAnsi"/>
        </w:rPr>
        <w:t xml:space="preserve">, </w:t>
      </w:r>
      <w:r w:rsidR="002929E6" w:rsidRPr="00223654">
        <w:rPr>
          <w:rFonts w:asciiTheme="minorHAnsi" w:hAnsiTheme="minorHAnsi" w:cstheme="minorHAnsi"/>
        </w:rPr>
        <w:t>structured in line with the terms of reference of the group</w:t>
      </w:r>
      <w:r w:rsidR="00225FB3" w:rsidRPr="00223654">
        <w:rPr>
          <w:rFonts w:asciiTheme="minorHAnsi" w:hAnsiTheme="minorHAnsi" w:cstheme="minorHAnsi"/>
        </w:rPr>
        <w:t xml:space="preserve"> and fully reflective of all contributions</w:t>
      </w:r>
      <w:r w:rsidR="00EE7186" w:rsidRPr="00223654">
        <w:rPr>
          <w:rFonts w:asciiTheme="minorHAnsi" w:hAnsiTheme="minorHAnsi" w:cstheme="minorHAnsi"/>
        </w:rPr>
        <w:t xml:space="preserve">, proposals </w:t>
      </w:r>
      <w:r w:rsidR="00225FB3" w:rsidRPr="00223654">
        <w:rPr>
          <w:rFonts w:asciiTheme="minorHAnsi" w:hAnsiTheme="minorHAnsi" w:cstheme="minorHAnsi"/>
        </w:rPr>
        <w:t>and interventions</w:t>
      </w:r>
      <w:r w:rsidR="00B81D53" w:rsidRPr="00223654">
        <w:rPr>
          <w:rFonts w:asciiTheme="minorHAnsi" w:hAnsiTheme="minorHAnsi" w:cstheme="minorHAnsi"/>
        </w:rPr>
        <w:t xml:space="preserve"> made throughout </w:t>
      </w:r>
      <w:r w:rsidR="00290DFA" w:rsidRPr="00223654">
        <w:rPr>
          <w:rFonts w:asciiTheme="minorHAnsi" w:hAnsiTheme="minorHAnsi" w:cstheme="minorHAnsi"/>
        </w:rPr>
        <w:t>the</w:t>
      </w:r>
      <w:r w:rsidR="00B81D53" w:rsidRPr="00223654">
        <w:rPr>
          <w:rFonts w:asciiTheme="minorHAnsi" w:hAnsiTheme="minorHAnsi" w:cstheme="minorHAnsi"/>
        </w:rPr>
        <w:t xml:space="preserve"> four </w:t>
      </w:r>
      <w:r w:rsidR="00B81D53" w:rsidRPr="0026146B">
        <w:rPr>
          <w:rFonts w:asciiTheme="minorHAnsi" w:hAnsiTheme="minorHAnsi" w:cstheme="minorHAnsi"/>
        </w:rPr>
        <w:t>meetings</w:t>
      </w:r>
      <w:r w:rsidR="00290DFA" w:rsidRPr="0026146B">
        <w:rPr>
          <w:rFonts w:asciiTheme="minorHAnsi" w:hAnsiTheme="minorHAnsi" w:cstheme="minorHAnsi"/>
        </w:rPr>
        <w:t xml:space="preserve"> of the group</w:t>
      </w:r>
      <w:r w:rsidR="00225FB3" w:rsidRPr="0026146B">
        <w:rPr>
          <w:rFonts w:asciiTheme="minorHAnsi" w:hAnsiTheme="minorHAnsi" w:cstheme="minorHAnsi"/>
        </w:rPr>
        <w:t>.</w:t>
      </w:r>
      <w:r w:rsidR="001F4D30" w:rsidRPr="0026146B">
        <w:rPr>
          <w:rFonts w:asciiTheme="minorHAnsi" w:hAnsiTheme="minorHAnsi" w:cstheme="minorHAnsi"/>
        </w:rPr>
        <w:t xml:space="preserve"> </w:t>
      </w:r>
    </w:p>
    <w:p w14:paraId="3863D33B" w14:textId="304B362C" w:rsidR="00092ABD" w:rsidRPr="0026146B" w:rsidRDefault="002929E6" w:rsidP="00AD509E">
      <w:pPr>
        <w:pStyle w:val="Normal1"/>
        <w:widowControl/>
        <w:spacing w:before="80" w:after="80" w:line="240" w:lineRule="auto"/>
        <w:ind w:right="0" w:firstLine="0"/>
        <w:rPr>
          <w:rFonts w:asciiTheme="minorHAnsi" w:hAnsiTheme="minorHAnsi" w:cstheme="minorHAnsi"/>
        </w:rPr>
      </w:pPr>
      <w:r w:rsidRPr="0026146B">
        <w:rPr>
          <w:rFonts w:asciiTheme="minorHAnsi" w:hAnsiTheme="minorHAnsi" w:cstheme="minorHAnsi"/>
        </w:rPr>
        <w:t xml:space="preserve">The deadline for </w:t>
      </w:r>
      <w:r w:rsidR="00290DFA" w:rsidRPr="0026146B">
        <w:rPr>
          <w:rFonts w:asciiTheme="minorHAnsi" w:hAnsiTheme="minorHAnsi" w:cstheme="minorHAnsi"/>
        </w:rPr>
        <w:t xml:space="preserve">additional </w:t>
      </w:r>
      <w:r w:rsidRPr="0026146B">
        <w:rPr>
          <w:rFonts w:asciiTheme="minorHAnsi" w:hAnsiTheme="minorHAnsi" w:cstheme="minorHAnsi"/>
        </w:rPr>
        <w:t xml:space="preserve">contributions is 11 October 2020. </w:t>
      </w:r>
      <w:r w:rsidR="00796023" w:rsidRPr="0026146B">
        <w:rPr>
          <w:rFonts w:asciiTheme="minorHAnsi" w:hAnsiTheme="minorHAnsi" w:cstheme="minorHAnsi"/>
        </w:rPr>
        <w:t>Any contributions received after 7</w:t>
      </w:r>
      <w:r w:rsidR="005B22DF">
        <w:rPr>
          <w:rFonts w:asciiTheme="minorHAnsi" w:hAnsiTheme="minorHAnsi" w:cstheme="minorHAnsi"/>
        </w:rPr>
        <w:t> </w:t>
      </w:r>
      <w:r w:rsidR="00796023" w:rsidRPr="0026146B">
        <w:rPr>
          <w:rFonts w:asciiTheme="minorHAnsi" w:hAnsiTheme="minorHAnsi" w:cstheme="minorHAnsi"/>
        </w:rPr>
        <w:t>October 2020 will be reflected in a version two of the draft final report</w:t>
      </w:r>
      <w:r w:rsidR="00780144" w:rsidRPr="0026146B">
        <w:rPr>
          <w:rFonts w:asciiTheme="minorHAnsi" w:hAnsiTheme="minorHAnsi" w:cstheme="minorHAnsi"/>
        </w:rPr>
        <w:t xml:space="preserve">, which </w:t>
      </w:r>
      <w:r w:rsidR="00796023" w:rsidRPr="0026146B">
        <w:rPr>
          <w:rFonts w:asciiTheme="minorHAnsi" w:hAnsiTheme="minorHAnsi" w:cstheme="minorHAnsi"/>
        </w:rPr>
        <w:t xml:space="preserve">will be </w:t>
      </w:r>
      <w:r w:rsidR="007636E0" w:rsidRPr="0026146B">
        <w:rPr>
          <w:rFonts w:asciiTheme="minorHAnsi" w:hAnsiTheme="minorHAnsi" w:cstheme="minorHAnsi"/>
        </w:rPr>
        <w:t xml:space="preserve">considered at the </w:t>
      </w:r>
      <w:r w:rsidR="00796023" w:rsidRPr="0026146B">
        <w:rPr>
          <w:rFonts w:asciiTheme="minorHAnsi" w:hAnsiTheme="minorHAnsi" w:cstheme="minorHAnsi"/>
        </w:rPr>
        <w:t>final meeting of</w:t>
      </w:r>
      <w:r w:rsidR="006D0184" w:rsidRPr="0026146B">
        <w:rPr>
          <w:rFonts w:asciiTheme="minorHAnsi" w:hAnsiTheme="minorHAnsi" w:cstheme="minorHAnsi"/>
        </w:rPr>
        <w:t xml:space="preserve"> </w:t>
      </w:r>
      <w:r w:rsidR="006D0184" w:rsidRPr="0026146B">
        <w:rPr>
          <w:rFonts w:asciiTheme="minorHAnsi" w:hAnsiTheme="minorHAnsi" w:cstheme="minorHAnsi"/>
          <w:shd w:val="clear" w:color="auto" w:fill="FFFFFF"/>
        </w:rPr>
        <w:t>TDAG-WG-Prep</w:t>
      </w:r>
      <w:r w:rsidR="00796023" w:rsidRPr="0026146B">
        <w:rPr>
          <w:rFonts w:asciiTheme="minorHAnsi" w:hAnsiTheme="minorHAnsi" w:cstheme="minorHAnsi"/>
        </w:rPr>
        <w:t xml:space="preserve"> on 20 October 2020</w:t>
      </w:r>
      <w:r w:rsidR="00210B8B" w:rsidRPr="0026146B">
        <w:rPr>
          <w:rFonts w:asciiTheme="minorHAnsi" w:hAnsiTheme="minorHAnsi" w:cstheme="minorHAnsi"/>
        </w:rPr>
        <w:t xml:space="preserve">. </w:t>
      </w:r>
    </w:p>
    <w:p w14:paraId="6EF7DA9A" w14:textId="77777777" w:rsidR="00BE48A0" w:rsidRDefault="00BE48A0" w:rsidP="00AD509E">
      <w:pPr>
        <w:pStyle w:val="Fixed"/>
        <w:spacing w:line="240" w:lineRule="auto"/>
        <w:ind w:right="0" w:firstLine="0"/>
        <w:jc w:val="center"/>
        <w:rPr>
          <w:rFonts w:asciiTheme="minorHAnsi" w:hAnsiTheme="minorHAnsi" w:cstheme="minorHAnsi"/>
        </w:rPr>
      </w:pPr>
    </w:p>
    <w:p w14:paraId="28EBA4AD" w14:textId="16A910D8" w:rsidR="00AD509E" w:rsidRPr="0026146B" w:rsidRDefault="00AD509E" w:rsidP="00AD509E">
      <w:pPr>
        <w:pStyle w:val="Fixed"/>
        <w:spacing w:line="240" w:lineRule="auto"/>
        <w:ind w:right="0" w:firstLine="0"/>
        <w:jc w:val="center"/>
        <w:rPr>
          <w:rFonts w:asciiTheme="minorHAnsi" w:hAnsiTheme="minorHAnsi" w:cstheme="minorHAnsi"/>
        </w:rPr>
      </w:pPr>
      <w:r w:rsidRPr="0026146B">
        <w:rPr>
          <w:rFonts w:asciiTheme="minorHAnsi" w:hAnsiTheme="minorHAnsi" w:cstheme="minorHAnsi"/>
        </w:rPr>
        <w:t>________________</w:t>
      </w:r>
    </w:p>
    <w:sectPr w:rsidR="00AD509E" w:rsidRPr="0026146B" w:rsidSect="00AD509E">
      <w:headerReference w:type="default" r:id="rId14"/>
      <w:footerReference w:type="first" r:id="rId15"/>
      <w:pgSz w:w="11907" w:h="16840" w:code="9"/>
      <w:pgMar w:top="1440"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020EE" w14:textId="77777777" w:rsidR="009937BF" w:rsidRDefault="009937BF" w:rsidP="00AD509E">
      <w:pPr>
        <w:spacing w:after="0" w:line="240" w:lineRule="auto"/>
      </w:pPr>
      <w:r>
        <w:separator/>
      </w:r>
    </w:p>
  </w:endnote>
  <w:endnote w:type="continuationSeparator" w:id="0">
    <w:p w14:paraId="66F756DE" w14:textId="77777777" w:rsidR="009937BF" w:rsidRDefault="009937BF" w:rsidP="00AD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30" w:type="dxa"/>
      <w:tblLayout w:type="fixed"/>
      <w:tblLook w:val="04A0" w:firstRow="1" w:lastRow="0" w:firstColumn="1" w:lastColumn="0" w:noHBand="0" w:noVBand="1"/>
    </w:tblPr>
    <w:tblGrid>
      <w:gridCol w:w="1527"/>
      <w:gridCol w:w="2412"/>
      <w:gridCol w:w="5991"/>
    </w:tblGrid>
    <w:tr w:rsidR="00AD509E" w14:paraId="1936DF89" w14:textId="77777777" w:rsidTr="00AC4B50">
      <w:tc>
        <w:tcPr>
          <w:tcW w:w="1527" w:type="dxa"/>
          <w:tcBorders>
            <w:top w:val="single" w:sz="4" w:space="0" w:color="000000"/>
            <w:left w:val="nil"/>
            <w:bottom w:val="nil"/>
            <w:right w:val="nil"/>
          </w:tcBorders>
          <w:hideMark/>
        </w:tcPr>
        <w:p w14:paraId="00C15B38" w14:textId="77777777" w:rsidR="00AD509E" w:rsidRDefault="00AD509E" w:rsidP="00AD509E">
          <w:pPr>
            <w:pStyle w:val="FirstFooter"/>
            <w:tabs>
              <w:tab w:val="left" w:pos="1559"/>
              <w:tab w:val="left" w:pos="3828"/>
            </w:tabs>
            <w:rPr>
              <w:sz w:val="18"/>
              <w:szCs w:val="18"/>
            </w:rPr>
          </w:pPr>
          <w:r>
            <w:rPr>
              <w:sz w:val="18"/>
              <w:szCs w:val="18"/>
              <w:lang w:val="en-US"/>
            </w:rPr>
            <w:t>Contact:</w:t>
          </w:r>
        </w:p>
      </w:tc>
      <w:tc>
        <w:tcPr>
          <w:tcW w:w="2412" w:type="dxa"/>
          <w:tcBorders>
            <w:top w:val="single" w:sz="4" w:space="0" w:color="000000"/>
            <w:left w:val="nil"/>
            <w:bottom w:val="nil"/>
            <w:right w:val="nil"/>
          </w:tcBorders>
          <w:hideMark/>
        </w:tcPr>
        <w:p w14:paraId="14D53715" w14:textId="77777777" w:rsidR="00AD509E" w:rsidRDefault="00AD509E" w:rsidP="00AD509E">
          <w:pPr>
            <w:pStyle w:val="FirstFooter"/>
            <w:tabs>
              <w:tab w:val="left" w:pos="2302"/>
            </w:tabs>
            <w:ind w:left="2302" w:hanging="2302"/>
            <w:rPr>
              <w:sz w:val="18"/>
              <w:szCs w:val="18"/>
              <w:lang w:val="en-US"/>
            </w:rPr>
          </w:pPr>
          <w:r>
            <w:rPr>
              <w:sz w:val="18"/>
              <w:szCs w:val="18"/>
              <w:lang w:val="en-US"/>
            </w:rPr>
            <w:t>Name/Organization/Entity:</w:t>
          </w:r>
        </w:p>
      </w:tc>
      <w:tc>
        <w:tcPr>
          <w:tcW w:w="5991" w:type="dxa"/>
          <w:tcBorders>
            <w:top w:val="single" w:sz="4" w:space="0" w:color="000000"/>
            <w:left w:val="nil"/>
            <w:bottom w:val="nil"/>
            <w:right w:val="nil"/>
          </w:tcBorders>
        </w:tcPr>
        <w:p w14:paraId="52AEDBE6" w14:textId="77777777" w:rsidR="00AD509E" w:rsidRDefault="00AD509E" w:rsidP="00AD509E">
          <w:pPr>
            <w:pStyle w:val="FirstFooter"/>
            <w:tabs>
              <w:tab w:val="left" w:pos="2302"/>
            </w:tabs>
            <w:rPr>
              <w:sz w:val="18"/>
              <w:szCs w:val="18"/>
              <w:lang w:val="en-US"/>
            </w:rPr>
          </w:pPr>
          <w:r w:rsidRPr="00D8064E">
            <w:rPr>
              <w:sz w:val="18"/>
              <w:szCs w:val="18"/>
              <w:lang w:val="en-US"/>
            </w:rPr>
            <w:t>M</w:t>
          </w:r>
          <w:r>
            <w:rPr>
              <w:sz w:val="18"/>
              <w:szCs w:val="18"/>
              <w:lang w:val="en-US"/>
            </w:rPr>
            <w:t>r</w:t>
          </w:r>
          <w:r w:rsidRPr="00D8064E">
            <w:rPr>
              <w:sz w:val="18"/>
              <w:szCs w:val="18"/>
              <w:lang w:val="en-US"/>
            </w:rPr>
            <w:t xml:space="preserve"> </w:t>
          </w:r>
          <w:r>
            <w:rPr>
              <w:sz w:val="18"/>
              <w:szCs w:val="18"/>
              <w:lang w:val="en-US"/>
            </w:rPr>
            <w:t>Stephen Bereaux</w:t>
          </w:r>
          <w:r w:rsidRPr="00D8064E">
            <w:rPr>
              <w:sz w:val="18"/>
              <w:szCs w:val="18"/>
              <w:lang w:val="en-US"/>
            </w:rPr>
            <w:t>,</w:t>
          </w:r>
          <w:r>
            <w:rPr>
              <w:sz w:val="18"/>
              <w:szCs w:val="18"/>
              <w:lang w:val="en-US"/>
            </w:rPr>
            <w:t xml:space="preserve"> </w:t>
          </w:r>
          <w:r w:rsidRPr="006554AC">
            <w:rPr>
              <w:sz w:val="18"/>
              <w:szCs w:val="18"/>
              <w:lang w:val="en-US"/>
            </w:rPr>
            <w:t>Deputy to the Director</w:t>
          </w:r>
          <w:r w:rsidRPr="00D8064E">
            <w:rPr>
              <w:sz w:val="18"/>
              <w:szCs w:val="18"/>
              <w:lang w:val="en-US"/>
            </w:rPr>
            <w:t xml:space="preserve">, </w:t>
          </w:r>
          <w:r w:rsidRPr="00D8064E">
            <w:rPr>
              <w:sz w:val="18"/>
              <w:szCs w:val="18"/>
              <w:lang w:val="en-GB"/>
            </w:rPr>
            <w:t>Telecommunication Development Bureau</w:t>
          </w:r>
        </w:p>
      </w:tc>
      <w:bookmarkStart w:id="0" w:name="OrgName"/>
      <w:bookmarkEnd w:id="0"/>
    </w:tr>
    <w:tr w:rsidR="00AD509E" w14:paraId="73AA4F4F" w14:textId="77777777" w:rsidTr="00AC4B50">
      <w:tc>
        <w:tcPr>
          <w:tcW w:w="1527" w:type="dxa"/>
        </w:tcPr>
        <w:p w14:paraId="692A45D0" w14:textId="77777777" w:rsidR="00AD509E" w:rsidRDefault="00AD509E" w:rsidP="00AD509E">
          <w:pPr>
            <w:pStyle w:val="FirstFooter"/>
            <w:tabs>
              <w:tab w:val="left" w:pos="1559"/>
              <w:tab w:val="left" w:pos="3828"/>
            </w:tabs>
            <w:rPr>
              <w:sz w:val="20"/>
              <w:lang w:val="en-US"/>
            </w:rPr>
          </w:pPr>
        </w:p>
      </w:tc>
      <w:tc>
        <w:tcPr>
          <w:tcW w:w="2412" w:type="dxa"/>
          <w:hideMark/>
        </w:tcPr>
        <w:p w14:paraId="15C51B80" w14:textId="77777777" w:rsidR="00AD509E" w:rsidRDefault="00AD509E" w:rsidP="00AD509E">
          <w:pPr>
            <w:pStyle w:val="FirstFooter"/>
            <w:tabs>
              <w:tab w:val="left" w:pos="2302"/>
            </w:tabs>
            <w:rPr>
              <w:sz w:val="18"/>
              <w:szCs w:val="18"/>
              <w:lang w:val="en-US"/>
            </w:rPr>
          </w:pPr>
          <w:r>
            <w:rPr>
              <w:sz w:val="18"/>
              <w:szCs w:val="18"/>
              <w:lang w:val="en-US"/>
            </w:rPr>
            <w:t>Phone number:</w:t>
          </w:r>
        </w:p>
      </w:tc>
      <w:tc>
        <w:tcPr>
          <w:tcW w:w="5991" w:type="dxa"/>
        </w:tcPr>
        <w:p w14:paraId="45BCB64C" w14:textId="77777777" w:rsidR="00AD509E" w:rsidRDefault="00AD509E" w:rsidP="00AD509E">
          <w:pPr>
            <w:pStyle w:val="FirstFooter"/>
            <w:tabs>
              <w:tab w:val="left" w:pos="2302"/>
            </w:tabs>
            <w:rPr>
              <w:sz w:val="18"/>
              <w:szCs w:val="18"/>
              <w:lang w:val="en-US"/>
            </w:rPr>
          </w:pPr>
          <w:r w:rsidRPr="00523FA7">
            <w:rPr>
              <w:sz w:val="18"/>
              <w:szCs w:val="18"/>
              <w:lang w:val="en-US"/>
            </w:rPr>
            <w:t>+</w:t>
          </w:r>
          <w:r w:rsidRPr="00D934D7">
            <w:rPr>
              <w:sz w:val="18"/>
              <w:szCs w:val="18"/>
              <w:lang w:val="en-US"/>
            </w:rPr>
            <w:t>41 22 730 5131</w:t>
          </w:r>
        </w:p>
      </w:tc>
      <w:bookmarkStart w:id="1" w:name="PhoneNo"/>
      <w:bookmarkEnd w:id="1"/>
    </w:tr>
    <w:tr w:rsidR="00AD509E" w14:paraId="574BF2CE" w14:textId="77777777" w:rsidTr="00AC4B50">
      <w:tc>
        <w:tcPr>
          <w:tcW w:w="1527" w:type="dxa"/>
        </w:tcPr>
        <w:p w14:paraId="67B17166" w14:textId="77777777" w:rsidR="00AD509E" w:rsidRDefault="00AD509E" w:rsidP="00AD509E">
          <w:pPr>
            <w:pStyle w:val="FirstFooter"/>
            <w:tabs>
              <w:tab w:val="left" w:pos="1559"/>
              <w:tab w:val="left" w:pos="3828"/>
            </w:tabs>
            <w:rPr>
              <w:sz w:val="20"/>
              <w:lang w:val="en-US"/>
            </w:rPr>
          </w:pPr>
        </w:p>
      </w:tc>
      <w:tc>
        <w:tcPr>
          <w:tcW w:w="2412" w:type="dxa"/>
          <w:hideMark/>
        </w:tcPr>
        <w:p w14:paraId="1D583EE2" w14:textId="77777777" w:rsidR="00AD509E" w:rsidRDefault="00AD509E" w:rsidP="00AD509E">
          <w:pPr>
            <w:pStyle w:val="FirstFooter"/>
            <w:tabs>
              <w:tab w:val="left" w:pos="2302"/>
            </w:tabs>
            <w:rPr>
              <w:sz w:val="18"/>
              <w:szCs w:val="18"/>
              <w:lang w:val="en-US"/>
            </w:rPr>
          </w:pPr>
          <w:r>
            <w:rPr>
              <w:sz w:val="18"/>
              <w:szCs w:val="18"/>
              <w:lang w:val="en-US"/>
            </w:rPr>
            <w:t>E-mail:</w:t>
          </w:r>
        </w:p>
      </w:tc>
      <w:tc>
        <w:tcPr>
          <w:tcW w:w="5991" w:type="dxa"/>
        </w:tcPr>
        <w:p w14:paraId="5D711BFF" w14:textId="77777777" w:rsidR="00AD509E" w:rsidRDefault="009937BF" w:rsidP="00AD509E">
          <w:pPr>
            <w:pStyle w:val="FirstFooter"/>
            <w:tabs>
              <w:tab w:val="left" w:pos="2302"/>
            </w:tabs>
            <w:rPr>
              <w:sz w:val="18"/>
              <w:szCs w:val="18"/>
              <w:lang w:val="en-US"/>
            </w:rPr>
          </w:pPr>
          <w:hyperlink r:id="rId1" w:history="1">
            <w:r w:rsidR="00AD509E" w:rsidRPr="00D934D7">
              <w:rPr>
                <w:rStyle w:val="Hyperlink"/>
                <w:sz w:val="18"/>
                <w:szCs w:val="22"/>
              </w:rPr>
              <w:t>stephen.bereaux@itu.int</w:t>
            </w:r>
          </w:hyperlink>
          <w:r w:rsidR="00AD509E" w:rsidRPr="00D934D7">
            <w:rPr>
              <w:sz w:val="18"/>
              <w:szCs w:val="22"/>
            </w:rPr>
            <w:t xml:space="preserve"> </w:t>
          </w:r>
        </w:p>
      </w:tc>
      <w:bookmarkStart w:id="2" w:name="Email"/>
      <w:bookmarkEnd w:id="2"/>
    </w:tr>
  </w:tbl>
  <w:p w14:paraId="7B7DBE7C" w14:textId="3688E480" w:rsidR="00AD509E" w:rsidRDefault="00AD509E" w:rsidP="00AD509E">
    <w:pPr>
      <w:tabs>
        <w:tab w:val="center" w:pos="4678"/>
        <w:tab w:val="right" w:pos="9639"/>
      </w:tabs>
      <w:spacing w:before="120" w:after="0" w:line="240" w:lineRule="auto"/>
    </w:pPr>
    <w:r w:rsidRPr="00972BCD">
      <w:tab/>
    </w:r>
    <w:hyperlink r:id="rId2" w:history="1">
      <w:r w:rsidRPr="00BE53BF">
        <w:rPr>
          <w:rStyle w:val="Hyperlink"/>
          <w:sz w:val="18"/>
          <w:szCs w:val="18"/>
        </w:rPr>
        <w:t>TDAG-WG-Prep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4F33E" w14:textId="77777777" w:rsidR="009937BF" w:rsidRDefault="009937BF" w:rsidP="00AD509E">
      <w:pPr>
        <w:spacing w:after="0" w:line="240" w:lineRule="auto"/>
      </w:pPr>
      <w:r>
        <w:separator/>
      </w:r>
    </w:p>
  </w:footnote>
  <w:footnote w:type="continuationSeparator" w:id="0">
    <w:p w14:paraId="68801EF6" w14:textId="77777777" w:rsidR="009937BF" w:rsidRDefault="009937BF" w:rsidP="00AD5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239AE" w14:textId="3E917974" w:rsidR="00AD509E" w:rsidRPr="00AD509E" w:rsidRDefault="00AD509E" w:rsidP="00AD509E">
    <w:pPr>
      <w:pStyle w:val="Header"/>
      <w:ind w:right="-45"/>
      <w:rPr>
        <w:rFonts w:asciiTheme="minorHAnsi" w:hAnsiTheme="minorHAnsi" w:cstheme="minorHAnsi"/>
      </w:rPr>
    </w:pPr>
    <w:r w:rsidRPr="00AD509E">
      <w:rPr>
        <w:rStyle w:val="PageNumber"/>
        <w:rFonts w:asciiTheme="minorHAnsi" w:hAnsiTheme="minorHAnsi" w:cstheme="minorHAnsi"/>
        <w:sz w:val="18"/>
        <w:szCs w:val="18"/>
      </w:rPr>
      <w:t>TDAG-WG-Prep/1</w:t>
    </w:r>
    <w:r>
      <w:rPr>
        <w:rStyle w:val="PageNumber"/>
        <w:rFonts w:asciiTheme="minorHAnsi" w:hAnsiTheme="minorHAnsi" w:cstheme="minorHAnsi"/>
        <w:sz w:val="18"/>
        <w:szCs w:val="18"/>
      </w:rPr>
      <w:t>8</w:t>
    </w:r>
    <w:r w:rsidR="00BE48A0">
      <w:rPr>
        <w:rStyle w:val="PageNumber"/>
        <w:rFonts w:asciiTheme="minorHAnsi" w:hAnsiTheme="minorHAnsi" w:cstheme="minorHAnsi"/>
        <w:sz w:val="18"/>
        <w:szCs w:val="18"/>
      </w:rPr>
      <w:t>(Rev.1)</w:t>
    </w:r>
    <w:r w:rsidRPr="00AD509E">
      <w:rPr>
        <w:rStyle w:val="PageNumber"/>
        <w:rFonts w:asciiTheme="minorHAnsi" w:hAnsiTheme="minorHAnsi" w:cstheme="minorHAnsi"/>
        <w:sz w:val="18"/>
        <w:szCs w:val="18"/>
      </w:rPr>
      <w:t>-E</w:t>
    </w:r>
    <w:r w:rsidRPr="00AD509E">
      <w:rPr>
        <w:rStyle w:val="PageNumber"/>
        <w:rFonts w:asciiTheme="minorHAnsi" w:hAnsiTheme="minorHAnsi" w:cstheme="minorHAnsi"/>
        <w:sz w:val="18"/>
        <w:szCs w:val="18"/>
      </w:rPr>
      <w:br/>
      <w:t>-</w:t>
    </w:r>
    <w:r w:rsidRPr="00AD509E">
      <w:rPr>
        <w:rStyle w:val="PageNumber"/>
        <w:rFonts w:asciiTheme="minorHAnsi" w:hAnsiTheme="minorHAnsi" w:cstheme="minorHAnsi"/>
        <w:sz w:val="18"/>
        <w:szCs w:val="18"/>
      </w:rPr>
      <w:fldChar w:fldCharType="begin"/>
    </w:r>
    <w:r w:rsidRPr="00AD509E">
      <w:rPr>
        <w:rStyle w:val="PageNumber"/>
        <w:rFonts w:asciiTheme="minorHAnsi" w:hAnsiTheme="minorHAnsi" w:cstheme="minorHAnsi"/>
        <w:sz w:val="18"/>
        <w:szCs w:val="18"/>
      </w:rPr>
      <w:instrText xml:space="preserve"> PAGE   \* MERGEFORMAT </w:instrText>
    </w:r>
    <w:r w:rsidRPr="00AD509E">
      <w:rPr>
        <w:rStyle w:val="PageNumber"/>
        <w:rFonts w:asciiTheme="minorHAnsi" w:hAnsiTheme="minorHAnsi" w:cstheme="minorHAnsi"/>
        <w:sz w:val="18"/>
        <w:szCs w:val="18"/>
      </w:rPr>
      <w:fldChar w:fldCharType="separate"/>
    </w:r>
    <w:r w:rsidR="009B37D7">
      <w:rPr>
        <w:rStyle w:val="PageNumber"/>
        <w:rFonts w:asciiTheme="minorHAnsi" w:hAnsiTheme="minorHAnsi" w:cstheme="minorHAnsi"/>
        <w:noProof/>
        <w:sz w:val="18"/>
        <w:szCs w:val="18"/>
      </w:rPr>
      <w:t>4</w:t>
    </w:r>
    <w:r w:rsidRPr="00AD509E">
      <w:rPr>
        <w:rStyle w:val="PageNumber"/>
        <w:rFonts w:asciiTheme="minorHAnsi" w:hAnsiTheme="minorHAnsi" w:cstheme="minorHAnsi"/>
        <w:noProof/>
        <w:sz w:val="18"/>
        <w:szCs w:val="18"/>
      </w:rPr>
      <w:fldChar w:fldCharType="end"/>
    </w:r>
    <w:r w:rsidRPr="00AD509E">
      <w:rPr>
        <w:rStyle w:val="PageNumber"/>
        <w:rFonts w:asciiTheme="minorHAnsi" w:hAnsiTheme="minorHAnsi"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7E0C"/>
    <w:multiLevelType w:val="hybridMultilevel"/>
    <w:tmpl w:val="EA02DF26"/>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CE0EFA"/>
    <w:multiLevelType w:val="hybridMultilevel"/>
    <w:tmpl w:val="3A368DD0"/>
    <w:lvl w:ilvl="0" w:tplc="D8AA70E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C884CB1"/>
    <w:multiLevelType w:val="hybridMultilevel"/>
    <w:tmpl w:val="C3B8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6C"/>
    <w:rsid w:val="0000481F"/>
    <w:rsid w:val="00006896"/>
    <w:rsid w:val="0001496F"/>
    <w:rsid w:val="00022262"/>
    <w:rsid w:val="000244D7"/>
    <w:rsid w:val="000348ED"/>
    <w:rsid w:val="00041106"/>
    <w:rsid w:val="00052924"/>
    <w:rsid w:val="00053962"/>
    <w:rsid w:val="00084AFB"/>
    <w:rsid w:val="00085D2E"/>
    <w:rsid w:val="0009054C"/>
    <w:rsid w:val="00092ABD"/>
    <w:rsid w:val="00092BF2"/>
    <w:rsid w:val="000A1FE3"/>
    <w:rsid w:val="000A23A9"/>
    <w:rsid w:val="000A6A21"/>
    <w:rsid w:val="000B058B"/>
    <w:rsid w:val="000B3364"/>
    <w:rsid w:val="000B7084"/>
    <w:rsid w:val="000E3F89"/>
    <w:rsid w:val="000F1642"/>
    <w:rsid w:val="00114992"/>
    <w:rsid w:val="00125316"/>
    <w:rsid w:val="00146CBE"/>
    <w:rsid w:val="001548DB"/>
    <w:rsid w:val="00162DDD"/>
    <w:rsid w:val="0016560D"/>
    <w:rsid w:val="001664D7"/>
    <w:rsid w:val="001668DA"/>
    <w:rsid w:val="0017124E"/>
    <w:rsid w:val="001751E0"/>
    <w:rsid w:val="00180024"/>
    <w:rsid w:val="001908CC"/>
    <w:rsid w:val="001A00E4"/>
    <w:rsid w:val="001A17F1"/>
    <w:rsid w:val="001A5E3E"/>
    <w:rsid w:val="001B4BEB"/>
    <w:rsid w:val="001D404F"/>
    <w:rsid w:val="001E2D89"/>
    <w:rsid w:val="001F26A3"/>
    <w:rsid w:val="001F4D30"/>
    <w:rsid w:val="002005A6"/>
    <w:rsid w:val="00210B8B"/>
    <w:rsid w:val="00210E79"/>
    <w:rsid w:val="002133DA"/>
    <w:rsid w:val="00216BC7"/>
    <w:rsid w:val="00223654"/>
    <w:rsid w:val="00225FB3"/>
    <w:rsid w:val="002338A5"/>
    <w:rsid w:val="00233C76"/>
    <w:rsid w:val="00250E3D"/>
    <w:rsid w:val="0026146B"/>
    <w:rsid w:val="00274644"/>
    <w:rsid w:val="00290DFA"/>
    <w:rsid w:val="002929E6"/>
    <w:rsid w:val="002C3301"/>
    <w:rsid w:val="002C7D8D"/>
    <w:rsid w:val="002D59AC"/>
    <w:rsid w:val="002F536B"/>
    <w:rsid w:val="00305FA6"/>
    <w:rsid w:val="00307E51"/>
    <w:rsid w:val="0032183F"/>
    <w:rsid w:val="00336B06"/>
    <w:rsid w:val="00357F90"/>
    <w:rsid w:val="00366D63"/>
    <w:rsid w:val="00380AE5"/>
    <w:rsid w:val="00391E66"/>
    <w:rsid w:val="00392E5B"/>
    <w:rsid w:val="003B01D1"/>
    <w:rsid w:val="003B6D6D"/>
    <w:rsid w:val="003C2FB2"/>
    <w:rsid w:val="003C70CE"/>
    <w:rsid w:val="003D2772"/>
    <w:rsid w:val="003E1280"/>
    <w:rsid w:val="003F1CA9"/>
    <w:rsid w:val="00426D6A"/>
    <w:rsid w:val="00427B89"/>
    <w:rsid w:val="00433580"/>
    <w:rsid w:val="00434207"/>
    <w:rsid w:val="0043522C"/>
    <w:rsid w:val="004371E7"/>
    <w:rsid w:val="00441240"/>
    <w:rsid w:val="00476091"/>
    <w:rsid w:val="004774C6"/>
    <w:rsid w:val="0048191A"/>
    <w:rsid w:val="004B7E05"/>
    <w:rsid w:val="004C3403"/>
    <w:rsid w:val="004C5722"/>
    <w:rsid w:val="004C5FC4"/>
    <w:rsid w:val="004F4654"/>
    <w:rsid w:val="004F6C3B"/>
    <w:rsid w:val="00502368"/>
    <w:rsid w:val="00510C8F"/>
    <w:rsid w:val="00512E8A"/>
    <w:rsid w:val="00515E83"/>
    <w:rsid w:val="0053132C"/>
    <w:rsid w:val="00531AC2"/>
    <w:rsid w:val="005428F4"/>
    <w:rsid w:val="0055123E"/>
    <w:rsid w:val="00555AE6"/>
    <w:rsid w:val="005631E4"/>
    <w:rsid w:val="005632F2"/>
    <w:rsid w:val="0057216C"/>
    <w:rsid w:val="0058172E"/>
    <w:rsid w:val="005B0AFA"/>
    <w:rsid w:val="005B22DF"/>
    <w:rsid w:val="005C13E9"/>
    <w:rsid w:val="005C6BD7"/>
    <w:rsid w:val="005D07C1"/>
    <w:rsid w:val="005D31B0"/>
    <w:rsid w:val="005F1E51"/>
    <w:rsid w:val="00610C6C"/>
    <w:rsid w:val="006225A2"/>
    <w:rsid w:val="0066596E"/>
    <w:rsid w:val="00673937"/>
    <w:rsid w:val="00680337"/>
    <w:rsid w:val="0069493E"/>
    <w:rsid w:val="006B2D75"/>
    <w:rsid w:val="006B7E37"/>
    <w:rsid w:val="006C18D8"/>
    <w:rsid w:val="006D0184"/>
    <w:rsid w:val="006D235A"/>
    <w:rsid w:val="00706378"/>
    <w:rsid w:val="00722986"/>
    <w:rsid w:val="0072501A"/>
    <w:rsid w:val="007362BE"/>
    <w:rsid w:val="00740380"/>
    <w:rsid w:val="007432A5"/>
    <w:rsid w:val="00747C71"/>
    <w:rsid w:val="0075000D"/>
    <w:rsid w:val="007636E0"/>
    <w:rsid w:val="0077422A"/>
    <w:rsid w:val="00780144"/>
    <w:rsid w:val="00791EE2"/>
    <w:rsid w:val="00796023"/>
    <w:rsid w:val="00797171"/>
    <w:rsid w:val="007A30CA"/>
    <w:rsid w:val="007B24E7"/>
    <w:rsid w:val="007B29C5"/>
    <w:rsid w:val="007B5046"/>
    <w:rsid w:val="007C72F4"/>
    <w:rsid w:val="007D7AD9"/>
    <w:rsid w:val="007F103A"/>
    <w:rsid w:val="007F2684"/>
    <w:rsid w:val="007F3303"/>
    <w:rsid w:val="00811249"/>
    <w:rsid w:val="008223D5"/>
    <w:rsid w:val="00836E63"/>
    <w:rsid w:val="00846F1C"/>
    <w:rsid w:val="00875D3B"/>
    <w:rsid w:val="00884101"/>
    <w:rsid w:val="0088799C"/>
    <w:rsid w:val="008A358F"/>
    <w:rsid w:val="008B2C7E"/>
    <w:rsid w:val="008B2CA4"/>
    <w:rsid w:val="008C16B7"/>
    <w:rsid w:val="008D2133"/>
    <w:rsid w:val="008E32C0"/>
    <w:rsid w:val="008E337B"/>
    <w:rsid w:val="008F2AA5"/>
    <w:rsid w:val="008F38D2"/>
    <w:rsid w:val="008F7F18"/>
    <w:rsid w:val="00916209"/>
    <w:rsid w:val="009275FE"/>
    <w:rsid w:val="00943645"/>
    <w:rsid w:val="00952E6E"/>
    <w:rsid w:val="00954D82"/>
    <w:rsid w:val="009566A3"/>
    <w:rsid w:val="0096146F"/>
    <w:rsid w:val="00967F38"/>
    <w:rsid w:val="00984622"/>
    <w:rsid w:val="00984F2B"/>
    <w:rsid w:val="009937BF"/>
    <w:rsid w:val="009A2C9B"/>
    <w:rsid w:val="009B37D7"/>
    <w:rsid w:val="009B4883"/>
    <w:rsid w:val="009C5137"/>
    <w:rsid w:val="009C64AE"/>
    <w:rsid w:val="009E54D8"/>
    <w:rsid w:val="009F6847"/>
    <w:rsid w:val="00A064A5"/>
    <w:rsid w:val="00A10D95"/>
    <w:rsid w:val="00A414F6"/>
    <w:rsid w:val="00A6603D"/>
    <w:rsid w:val="00A66154"/>
    <w:rsid w:val="00A70D95"/>
    <w:rsid w:val="00A82050"/>
    <w:rsid w:val="00A9494F"/>
    <w:rsid w:val="00AA43E7"/>
    <w:rsid w:val="00AA4CE5"/>
    <w:rsid w:val="00AB10CA"/>
    <w:rsid w:val="00AC019A"/>
    <w:rsid w:val="00AD509E"/>
    <w:rsid w:val="00AF0997"/>
    <w:rsid w:val="00AF151B"/>
    <w:rsid w:val="00AF4F75"/>
    <w:rsid w:val="00B00D41"/>
    <w:rsid w:val="00B04865"/>
    <w:rsid w:val="00B055C3"/>
    <w:rsid w:val="00B1161D"/>
    <w:rsid w:val="00B44941"/>
    <w:rsid w:val="00B56555"/>
    <w:rsid w:val="00B6337C"/>
    <w:rsid w:val="00B6564C"/>
    <w:rsid w:val="00B67824"/>
    <w:rsid w:val="00B81BE9"/>
    <w:rsid w:val="00B81D53"/>
    <w:rsid w:val="00B87B2C"/>
    <w:rsid w:val="00BA092B"/>
    <w:rsid w:val="00BA570A"/>
    <w:rsid w:val="00BA6722"/>
    <w:rsid w:val="00BB0AB0"/>
    <w:rsid w:val="00BB60F3"/>
    <w:rsid w:val="00BC046B"/>
    <w:rsid w:val="00BD7064"/>
    <w:rsid w:val="00BE47CD"/>
    <w:rsid w:val="00BE48A0"/>
    <w:rsid w:val="00BF0E6D"/>
    <w:rsid w:val="00C14155"/>
    <w:rsid w:val="00C30DBA"/>
    <w:rsid w:val="00C37031"/>
    <w:rsid w:val="00C40795"/>
    <w:rsid w:val="00C41A40"/>
    <w:rsid w:val="00C61867"/>
    <w:rsid w:val="00C63DAB"/>
    <w:rsid w:val="00C74FFE"/>
    <w:rsid w:val="00C8026C"/>
    <w:rsid w:val="00C80D89"/>
    <w:rsid w:val="00C8255B"/>
    <w:rsid w:val="00C93373"/>
    <w:rsid w:val="00CC34E2"/>
    <w:rsid w:val="00CD5F29"/>
    <w:rsid w:val="00CE2379"/>
    <w:rsid w:val="00D15516"/>
    <w:rsid w:val="00D37EEA"/>
    <w:rsid w:val="00D44F7D"/>
    <w:rsid w:val="00D52CD6"/>
    <w:rsid w:val="00D606CA"/>
    <w:rsid w:val="00D61DD4"/>
    <w:rsid w:val="00D674E2"/>
    <w:rsid w:val="00D84486"/>
    <w:rsid w:val="00D91C5E"/>
    <w:rsid w:val="00D921D1"/>
    <w:rsid w:val="00D960BC"/>
    <w:rsid w:val="00D9707E"/>
    <w:rsid w:val="00DA4AA7"/>
    <w:rsid w:val="00DB7620"/>
    <w:rsid w:val="00DC3819"/>
    <w:rsid w:val="00DC3D0A"/>
    <w:rsid w:val="00DE730F"/>
    <w:rsid w:val="00DF259D"/>
    <w:rsid w:val="00E153FA"/>
    <w:rsid w:val="00E31412"/>
    <w:rsid w:val="00E52AA7"/>
    <w:rsid w:val="00E54CC0"/>
    <w:rsid w:val="00E56655"/>
    <w:rsid w:val="00E720A7"/>
    <w:rsid w:val="00E73525"/>
    <w:rsid w:val="00E7455B"/>
    <w:rsid w:val="00E8325E"/>
    <w:rsid w:val="00E87C62"/>
    <w:rsid w:val="00EA01EC"/>
    <w:rsid w:val="00EB262A"/>
    <w:rsid w:val="00EC074F"/>
    <w:rsid w:val="00EC56AB"/>
    <w:rsid w:val="00ED00D8"/>
    <w:rsid w:val="00ED6444"/>
    <w:rsid w:val="00EE7186"/>
    <w:rsid w:val="00EE7515"/>
    <w:rsid w:val="00F11830"/>
    <w:rsid w:val="00F24ECC"/>
    <w:rsid w:val="00F27AC1"/>
    <w:rsid w:val="00F27F37"/>
    <w:rsid w:val="00F36AD8"/>
    <w:rsid w:val="00F412AF"/>
    <w:rsid w:val="00F41A67"/>
    <w:rsid w:val="00F4741D"/>
    <w:rsid w:val="00F85C12"/>
    <w:rsid w:val="00F85E04"/>
    <w:rsid w:val="00FA1764"/>
    <w:rsid w:val="00FA2CEB"/>
    <w:rsid w:val="00FA63AA"/>
    <w:rsid w:val="00FA7ACF"/>
    <w:rsid w:val="00FB09DE"/>
    <w:rsid w:val="00FC1FA2"/>
    <w:rsid w:val="00FE5FA8"/>
    <w:rsid w:val="00FF5299"/>
    <w:rsid w:val="00FF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66598E"/>
  <w14:defaultImageDpi w14:val="0"/>
  <w15:docId w15:val="{695DDC05-8EB4-4CF5-B0B4-35E94B02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720" w:firstLine="720"/>
    </w:pPr>
    <w:rPr>
      <w:rFonts w:ascii="Courier New" w:hAnsi="Courier New" w:cs="Courier New"/>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pPr>
      <w:ind w:left="288" w:right="1152" w:firstLine="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720" w:firstLine="432"/>
    </w:pPr>
  </w:style>
  <w:style w:type="paragraph" w:customStyle="1" w:styleId="ContinA">
    <w:name w:val="Contin A"/>
    <w:basedOn w:val="Fixed"/>
    <w:next w:val="Fixed"/>
    <w:uiPriority w:val="99"/>
    <w:pPr>
      <w:ind w:right="1152" w:firstLine="432"/>
    </w:pPr>
  </w:style>
  <w:style w:type="paragraph" w:customStyle="1" w:styleId="ContinCol">
    <w:name w:val="Contin Col"/>
    <w:basedOn w:val="Fixed"/>
    <w:next w:val="Fixed"/>
    <w:uiPriority w:val="99"/>
    <w:pPr>
      <w:ind w:right="1152" w:firstLine="432"/>
    </w:pPr>
  </w:style>
  <w:style w:type="paragraph" w:customStyle="1" w:styleId="Parenthetical">
    <w:name w:val="Parenthetical"/>
    <w:basedOn w:val="Fixed"/>
    <w:next w:val="Fixed"/>
    <w:uiPriority w:val="99"/>
  </w:style>
  <w:style w:type="paragraph" w:customStyle="1" w:styleId="Centered">
    <w:name w:val="Centered"/>
    <w:basedOn w:val="Fixed"/>
    <w:next w:val="Fixed"/>
    <w:uiPriority w:val="99"/>
    <w:pPr>
      <w:ind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pPr>
      <w:ind w:firstLine="864"/>
    </w:pPr>
  </w:style>
  <w:style w:type="paragraph" w:customStyle="1" w:styleId="Normal3">
    <w:name w:val="Normal 3"/>
    <w:basedOn w:val="Fixed"/>
    <w:next w:val="Fixed"/>
    <w:uiPriority w:val="99"/>
    <w:pPr>
      <w:ind w:right="1152" w:firstLine="432"/>
    </w:pPr>
  </w:style>
  <w:style w:type="paragraph" w:customStyle="1" w:styleId="Normal4">
    <w:name w:val="Normal 4"/>
    <w:basedOn w:val="Fixed"/>
    <w:next w:val="Fixed"/>
    <w:uiPriority w:val="99"/>
    <w:pPr>
      <w:ind w:right="1152" w:firstLine="432"/>
    </w:pPr>
  </w:style>
  <w:style w:type="paragraph" w:customStyle="1" w:styleId="Normal5">
    <w:name w:val="Normal 5"/>
    <w:basedOn w:val="Fixed"/>
    <w:next w:val="Fixed"/>
    <w:uiPriority w:val="99"/>
    <w:pPr>
      <w:ind w:right="1152" w:firstLine="432"/>
    </w:pPr>
  </w:style>
  <w:style w:type="paragraph" w:customStyle="1" w:styleId="Normal6">
    <w:name w:val="Normal 6"/>
    <w:basedOn w:val="Fixed"/>
    <w:next w:val="Fixed"/>
    <w:uiPriority w:val="99"/>
    <w:pPr>
      <w:ind w:right="1152" w:firstLine="144"/>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right="1152" w:firstLine="432"/>
    </w:pPr>
  </w:style>
  <w:style w:type="paragraph" w:customStyle="1" w:styleId="Answerquoted">
    <w:name w:val="Answer (quoted)"/>
    <w:basedOn w:val="Fixed"/>
    <w:next w:val="Fixed"/>
    <w:uiPriority w:val="99"/>
    <w:pPr>
      <w:ind w:right="1152" w:firstLine="432"/>
    </w:pPr>
  </w:style>
  <w:style w:type="paragraph" w:customStyle="1" w:styleId="Speakerquoted">
    <w:name w:val="Speaker (quoted)"/>
    <w:basedOn w:val="Fixed"/>
    <w:next w:val="Fixed"/>
    <w:uiPriority w:val="99"/>
    <w:pPr>
      <w:ind w:right="1152" w:firstLine="432"/>
    </w:pPr>
  </w:style>
  <w:style w:type="paragraph" w:customStyle="1" w:styleId="questionPghquoted">
    <w:name w:val="question Pgh (quoted)"/>
    <w:basedOn w:val="Fixed"/>
    <w:next w:val="Fixed"/>
    <w:uiPriority w:val="99"/>
    <w:pPr>
      <w:ind w:right="1152" w:firstLine="432"/>
    </w:pPr>
  </w:style>
  <w:style w:type="paragraph" w:customStyle="1" w:styleId="answerPghquoted">
    <w:name w:val="answer Pgh (quoted)"/>
    <w:basedOn w:val="Fixed"/>
    <w:next w:val="Fixed"/>
    <w:uiPriority w:val="99"/>
    <w:pPr>
      <w:ind w:right="1152" w:firstLine="432"/>
    </w:pPr>
  </w:style>
  <w:style w:type="paragraph" w:customStyle="1" w:styleId="speakerPghquoted">
    <w:name w:val="speaker Pgh (quoted)"/>
    <w:basedOn w:val="Fixed"/>
    <w:next w:val="Fixed"/>
    <w:uiPriority w:val="99"/>
    <w:pPr>
      <w:ind w:right="1152" w:firstLine="432"/>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 w:type="paragraph" w:styleId="ListParagraph">
    <w:name w:val="List Paragraph"/>
    <w:basedOn w:val="Normal"/>
    <w:link w:val="ListParagraphChar"/>
    <w:uiPriority w:val="34"/>
    <w:qFormat/>
    <w:rsid w:val="006B2D75"/>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imes New Roman" w:cs="Times New Roman"/>
      <w:sz w:val="24"/>
      <w:szCs w:val="20"/>
      <w:lang w:val="en-GB"/>
    </w:rPr>
  </w:style>
  <w:style w:type="character" w:customStyle="1" w:styleId="ListParagraphChar">
    <w:name w:val="List Paragraph Char"/>
    <w:link w:val="ListParagraph"/>
    <w:uiPriority w:val="34"/>
    <w:locked/>
    <w:rsid w:val="006B2D75"/>
    <w:rPr>
      <w:rFonts w:eastAsia="Times New Roman" w:cs="Times New Roman"/>
      <w:sz w:val="24"/>
      <w:szCs w:val="20"/>
      <w:lang w:val="en-GB"/>
    </w:rPr>
  </w:style>
  <w:style w:type="paragraph" w:styleId="TOC8">
    <w:name w:val="toc 8"/>
    <w:basedOn w:val="TOC4"/>
    <w:semiHidden/>
    <w:rsid w:val="00D921D1"/>
    <w:pPr>
      <w:keepLines/>
      <w:tabs>
        <w:tab w:val="left" w:pos="964"/>
        <w:tab w:val="left" w:leader="dot" w:pos="8647"/>
        <w:tab w:val="center" w:pos="9526"/>
      </w:tabs>
      <w:overflowPunct w:val="0"/>
      <w:autoSpaceDE w:val="0"/>
      <w:autoSpaceDN w:val="0"/>
      <w:adjustRightInd w:val="0"/>
      <w:spacing w:before="120" w:after="0" w:line="240" w:lineRule="auto"/>
      <w:ind w:left="964" w:hanging="964"/>
      <w:textAlignment w:val="baseline"/>
    </w:pPr>
    <w:rPr>
      <w:rFonts w:eastAsia="Times New Roman" w:cs="Times New Roman"/>
      <w:sz w:val="24"/>
      <w:szCs w:val="20"/>
      <w:lang w:val="en-GB"/>
    </w:rPr>
  </w:style>
  <w:style w:type="paragraph" w:styleId="TOC4">
    <w:name w:val="toc 4"/>
    <w:basedOn w:val="Normal"/>
    <w:next w:val="Normal"/>
    <w:autoRedefine/>
    <w:uiPriority w:val="39"/>
    <w:semiHidden/>
    <w:unhideWhenUsed/>
    <w:rsid w:val="00D921D1"/>
    <w:pPr>
      <w:spacing w:after="100"/>
      <w:ind w:left="660"/>
    </w:pPr>
  </w:style>
  <w:style w:type="character" w:styleId="Hyperlink">
    <w:name w:val="Hyperlink"/>
    <w:basedOn w:val="DefaultParagraphFont"/>
    <w:uiPriority w:val="99"/>
    <w:unhideWhenUsed/>
    <w:rsid w:val="002F536B"/>
    <w:rPr>
      <w:color w:val="0563C1" w:themeColor="hyperlink"/>
      <w:u w:val="single"/>
    </w:rPr>
  </w:style>
  <w:style w:type="table" w:styleId="TableGrid">
    <w:name w:val="Table Grid"/>
    <w:basedOn w:val="TableNormal"/>
    <w:rsid w:val="007F103A"/>
    <w:pPr>
      <w:spacing w:after="0" w:line="240" w:lineRule="auto"/>
    </w:pPr>
    <w:rPr>
      <w:rFonts w:ascii="CG Times" w:eastAsia="Times New Roman" w:hAnsi="CG Times"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84AF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32C0"/>
    <w:rPr>
      <w:color w:val="954F72" w:themeColor="followedHyperlink"/>
      <w:u w:val="single"/>
    </w:rPr>
  </w:style>
  <w:style w:type="character" w:styleId="PageNumber">
    <w:name w:val="page number"/>
    <w:basedOn w:val="DefaultParagraphFont"/>
    <w:unhideWhenUsed/>
    <w:rsid w:val="00AD509E"/>
    <w:rPr>
      <w:rFonts w:cs="Times New Roman"/>
    </w:rPr>
  </w:style>
  <w:style w:type="paragraph" w:customStyle="1" w:styleId="FirstFooter">
    <w:name w:val="FirstFooter"/>
    <w:basedOn w:val="Footer"/>
    <w:rsid w:val="00AD509E"/>
    <w:pPr>
      <w:widowControl/>
      <w:autoSpaceDE/>
      <w:autoSpaceDN/>
      <w:adjustRightInd/>
      <w:spacing w:before="40" w:line="240" w:lineRule="auto"/>
      <w:ind w:right="0"/>
      <w:jc w:val="left"/>
    </w:pPr>
    <w:rPr>
      <w:rFonts w:asciiTheme="minorHAnsi" w:eastAsia="Times New Roman" w:hAnsiTheme="minorHAnsi" w:cs="Times New Roman"/>
      <w:sz w:val="16"/>
      <w:szCs w:val="20"/>
      <w:lang w:val="fr-FR"/>
    </w:rPr>
  </w:style>
  <w:style w:type="character" w:customStyle="1" w:styleId="UnresolvedMention1">
    <w:name w:val="Unresolved Mention1"/>
    <w:basedOn w:val="DefaultParagraphFont"/>
    <w:uiPriority w:val="99"/>
    <w:semiHidden/>
    <w:unhideWhenUsed/>
    <w:rsid w:val="005D31B0"/>
    <w:rPr>
      <w:color w:val="605E5C"/>
      <w:shd w:val="clear" w:color="auto" w:fill="E1DFDD"/>
    </w:rPr>
  </w:style>
  <w:style w:type="paragraph" w:styleId="BalloonText">
    <w:name w:val="Balloon Text"/>
    <w:basedOn w:val="Normal"/>
    <w:link w:val="BalloonTextChar"/>
    <w:uiPriority w:val="99"/>
    <w:semiHidden/>
    <w:unhideWhenUsed/>
    <w:rsid w:val="008E3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7B"/>
    <w:rPr>
      <w:rFonts w:ascii="Segoe UI" w:hAnsi="Segoe UI" w:cs="Segoe UI"/>
      <w:sz w:val="18"/>
      <w:szCs w:val="18"/>
    </w:rPr>
  </w:style>
  <w:style w:type="character" w:styleId="CommentReference">
    <w:name w:val="annotation reference"/>
    <w:basedOn w:val="DefaultParagraphFont"/>
    <w:uiPriority w:val="99"/>
    <w:semiHidden/>
    <w:unhideWhenUsed/>
    <w:rsid w:val="008E337B"/>
    <w:rPr>
      <w:sz w:val="16"/>
      <w:szCs w:val="16"/>
    </w:rPr>
  </w:style>
  <w:style w:type="paragraph" w:styleId="CommentText">
    <w:name w:val="annotation text"/>
    <w:basedOn w:val="Normal"/>
    <w:link w:val="CommentTextChar"/>
    <w:uiPriority w:val="99"/>
    <w:semiHidden/>
    <w:unhideWhenUsed/>
    <w:rsid w:val="008E337B"/>
    <w:pPr>
      <w:spacing w:line="240" w:lineRule="auto"/>
    </w:pPr>
    <w:rPr>
      <w:sz w:val="20"/>
      <w:szCs w:val="20"/>
    </w:rPr>
  </w:style>
  <w:style w:type="character" w:customStyle="1" w:styleId="CommentTextChar">
    <w:name w:val="Comment Text Char"/>
    <w:basedOn w:val="DefaultParagraphFont"/>
    <w:link w:val="CommentText"/>
    <w:uiPriority w:val="99"/>
    <w:semiHidden/>
    <w:rsid w:val="008E337B"/>
    <w:rPr>
      <w:sz w:val="20"/>
      <w:szCs w:val="20"/>
    </w:rPr>
  </w:style>
  <w:style w:type="paragraph" w:styleId="CommentSubject">
    <w:name w:val="annotation subject"/>
    <w:basedOn w:val="CommentText"/>
    <w:next w:val="CommentText"/>
    <w:link w:val="CommentSubjectChar"/>
    <w:uiPriority w:val="99"/>
    <w:semiHidden/>
    <w:unhideWhenUsed/>
    <w:rsid w:val="008E337B"/>
    <w:rPr>
      <w:b/>
      <w:bCs/>
    </w:rPr>
  </w:style>
  <w:style w:type="character" w:customStyle="1" w:styleId="CommentSubjectChar">
    <w:name w:val="Comment Subject Char"/>
    <w:basedOn w:val="CommentTextChar"/>
    <w:link w:val="CommentSubject"/>
    <w:uiPriority w:val="99"/>
    <w:semiHidden/>
    <w:rsid w:val="008E337B"/>
    <w:rPr>
      <w:b/>
      <w:bCs/>
      <w:sz w:val="20"/>
      <w:szCs w:val="20"/>
    </w:rPr>
  </w:style>
  <w:style w:type="paragraph" w:styleId="Revision">
    <w:name w:val="Revision"/>
    <w:hidden/>
    <w:uiPriority w:val="99"/>
    <w:semiHidden/>
    <w:rsid w:val="00E72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7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8-TDAG27.WP-C-0014/en" TargetMode="External"/><Relationship Id="rId13" Type="http://schemas.openxmlformats.org/officeDocument/2006/relationships/hyperlink" Target="https://www.itu.int/md/D18-TDAG27.WP-200930-TD-0005/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D18-TDAG27.WP-200930-TD-0004/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TDAG27.WP-C-0017/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md/D18-TDAG27.WP-C-0016/en" TargetMode="External"/><Relationship Id="rId4" Type="http://schemas.openxmlformats.org/officeDocument/2006/relationships/webSettings" Target="webSettings.xml"/><Relationship Id="rId9" Type="http://schemas.openxmlformats.org/officeDocument/2006/relationships/hyperlink" Target="https://www.itu.int/md/D18-TDAG27.WP-C-0015/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itu.int/en/ITU-D/Conferences/TDAG/Pages/TDAG_WG_WTDC_Prep.aspx" TargetMode="External"/><Relationship Id="rId1" Type="http://schemas.openxmlformats.org/officeDocument/2006/relationships/hyperlink" Target="mailto:stephen.bereaux@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Linkowski</dc:creator>
  <cp:keywords/>
  <dc:description/>
  <cp:lastModifiedBy>Comas Barnes, Maite</cp:lastModifiedBy>
  <cp:revision>7</cp:revision>
  <dcterms:created xsi:type="dcterms:W3CDTF">2020-10-13T14:49:00Z</dcterms:created>
  <dcterms:modified xsi:type="dcterms:W3CDTF">2020-10-13T14:52:00Z</dcterms:modified>
</cp:coreProperties>
</file>