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961"/>
        <w:gridCol w:w="3651"/>
      </w:tblGrid>
      <w:tr w:rsidR="003552EF" w14:paraId="6610DFEB" w14:textId="77777777" w:rsidTr="00720213">
        <w:trPr>
          <w:cantSplit/>
          <w:trHeight w:val="1134"/>
        </w:trPr>
        <w:tc>
          <w:tcPr>
            <w:tcW w:w="9888" w:type="dxa"/>
            <w:gridSpan w:val="3"/>
            <w:tcBorders>
              <w:bottom w:val="single" w:sz="2" w:space="0" w:color="00B0F0"/>
            </w:tcBorders>
          </w:tcPr>
          <w:p w14:paraId="7003A1EC" w14:textId="77777777" w:rsidR="003552EF" w:rsidRPr="003552EF" w:rsidRDefault="003552EF" w:rsidP="00720213">
            <w:pPr>
              <w:spacing w:before="240"/>
              <w:ind w:left="34"/>
              <w:rPr>
                <w:rFonts w:asciiTheme="minorHAnsi" w:hAnsiTheme="minorHAnsi" w:cstheme="minorHAnsi"/>
                <w:b/>
                <w:bCs/>
                <w:sz w:val="32"/>
                <w:szCs w:val="32"/>
              </w:rPr>
            </w:pPr>
            <w:r w:rsidRPr="003552EF">
              <w:rPr>
                <w:rFonts w:asciiTheme="minorHAnsi" w:hAnsiTheme="minorHAnsi" w:cstheme="minorHAnsi"/>
                <w:noProof/>
                <w:color w:val="3399FF"/>
                <w:sz w:val="32"/>
                <w:szCs w:val="32"/>
                <w:lang w:val="pt-BR" w:eastAsia="pt-BR"/>
              </w:rPr>
              <w:drawing>
                <wp:anchor distT="0" distB="0" distL="114300" distR="114300" simplePos="0" relativeHeight="251659264" behindDoc="0" locked="0" layoutInCell="1" allowOverlap="1" wp14:anchorId="6E1901D8" wp14:editId="5068AD95">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3552EF">
              <w:rPr>
                <w:rFonts w:asciiTheme="minorHAnsi" w:hAnsiTheme="minorHAnsi" w:cstheme="minorHAnsi"/>
                <w:b/>
                <w:bCs/>
                <w:sz w:val="32"/>
                <w:szCs w:val="32"/>
              </w:rPr>
              <w:t>TDAG Working Group on WTDC Preparations</w:t>
            </w:r>
          </w:p>
          <w:p w14:paraId="5667C582" w14:textId="77777777" w:rsidR="003552EF" w:rsidRPr="003552EF" w:rsidRDefault="003552EF" w:rsidP="00720213">
            <w:pPr>
              <w:spacing w:before="120"/>
              <w:ind w:right="142"/>
              <w:rPr>
                <w:rFonts w:asciiTheme="minorHAnsi" w:hAnsiTheme="minorHAnsi" w:cstheme="minorHAnsi"/>
                <w:sz w:val="26"/>
                <w:szCs w:val="26"/>
              </w:rPr>
            </w:pPr>
            <w:r w:rsidRPr="003552EF">
              <w:rPr>
                <w:rFonts w:asciiTheme="minorHAnsi" w:hAnsiTheme="minorHAnsi" w:cstheme="minorHAnsi"/>
                <w:b/>
                <w:bCs/>
                <w:sz w:val="26"/>
                <w:szCs w:val="26"/>
              </w:rPr>
              <w:t>30 September 2020, Virtual</w:t>
            </w:r>
          </w:p>
        </w:tc>
      </w:tr>
      <w:tr w:rsidR="003552EF" w:rsidRPr="00463D57" w14:paraId="65D0514E" w14:textId="77777777" w:rsidTr="00720213">
        <w:trPr>
          <w:cantSplit/>
        </w:trPr>
        <w:tc>
          <w:tcPr>
            <w:tcW w:w="6237" w:type="dxa"/>
            <w:gridSpan w:val="2"/>
            <w:tcBorders>
              <w:top w:val="single" w:sz="2" w:space="0" w:color="00B0F0"/>
            </w:tcBorders>
          </w:tcPr>
          <w:p w14:paraId="306B3674" w14:textId="77777777" w:rsidR="003552EF" w:rsidRPr="003552EF" w:rsidRDefault="003552EF" w:rsidP="00720213">
            <w:pPr>
              <w:rPr>
                <w:rFonts w:asciiTheme="minorHAnsi" w:hAnsiTheme="minorHAnsi" w:cstheme="minorHAnsi"/>
                <w:b/>
                <w:bCs/>
                <w:sz w:val="24"/>
                <w:szCs w:val="24"/>
              </w:rPr>
            </w:pPr>
          </w:p>
        </w:tc>
        <w:tc>
          <w:tcPr>
            <w:tcW w:w="3651" w:type="dxa"/>
            <w:tcBorders>
              <w:top w:val="single" w:sz="2" w:space="0" w:color="00B0F0"/>
            </w:tcBorders>
          </w:tcPr>
          <w:p w14:paraId="1C14D231" w14:textId="1D93D282" w:rsidR="003552EF" w:rsidRPr="00463D57" w:rsidRDefault="003552EF" w:rsidP="00720213">
            <w:pPr>
              <w:spacing w:before="120"/>
              <w:rPr>
                <w:rFonts w:asciiTheme="minorHAnsi" w:hAnsiTheme="minorHAnsi" w:cstheme="minorHAnsi"/>
                <w:b/>
                <w:bCs/>
                <w:sz w:val="24"/>
                <w:szCs w:val="24"/>
                <w:lang w:val="pt-BR"/>
              </w:rPr>
            </w:pPr>
            <w:r w:rsidRPr="00463D57">
              <w:rPr>
                <w:rFonts w:asciiTheme="minorHAnsi" w:hAnsiTheme="minorHAnsi" w:cstheme="minorHAnsi"/>
                <w:b/>
                <w:bCs/>
                <w:sz w:val="24"/>
                <w:szCs w:val="24"/>
                <w:lang w:val="pt-BR"/>
              </w:rPr>
              <w:t>Document TDAG-WG-Prep/1</w:t>
            </w:r>
            <w:r w:rsidR="00B114FB" w:rsidRPr="00463D57">
              <w:rPr>
                <w:rFonts w:asciiTheme="minorHAnsi" w:hAnsiTheme="minorHAnsi" w:cstheme="minorHAnsi"/>
                <w:b/>
                <w:bCs/>
                <w:sz w:val="24"/>
                <w:szCs w:val="24"/>
                <w:lang w:val="pt-BR"/>
              </w:rPr>
              <w:t>6</w:t>
            </w:r>
            <w:r w:rsidRPr="00463D57">
              <w:rPr>
                <w:rFonts w:asciiTheme="minorHAnsi" w:hAnsiTheme="minorHAnsi" w:cstheme="minorHAnsi"/>
                <w:b/>
                <w:bCs/>
                <w:sz w:val="24"/>
                <w:szCs w:val="24"/>
                <w:lang w:val="pt-BR"/>
              </w:rPr>
              <w:t>-E</w:t>
            </w:r>
          </w:p>
        </w:tc>
      </w:tr>
      <w:tr w:rsidR="003552EF" w:rsidRPr="00997358" w14:paraId="0496C33F" w14:textId="77777777" w:rsidTr="00720213">
        <w:trPr>
          <w:cantSplit/>
        </w:trPr>
        <w:tc>
          <w:tcPr>
            <w:tcW w:w="6237" w:type="dxa"/>
            <w:gridSpan w:val="2"/>
          </w:tcPr>
          <w:p w14:paraId="03CBFD53" w14:textId="77777777" w:rsidR="003552EF" w:rsidRPr="00463D57" w:rsidRDefault="003552EF" w:rsidP="00720213">
            <w:pPr>
              <w:rPr>
                <w:rFonts w:asciiTheme="minorHAnsi" w:hAnsiTheme="minorHAnsi" w:cstheme="minorHAnsi"/>
                <w:b/>
                <w:bCs/>
                <w:sz w:val="24"/>
                <w:szCs w:val="24"/>
                <w:lang w:val="pt-BR"/>
              </w:rPr>
            </w:pPr>
          </w:p>
        </w:tc>
        <w:tc>
          <w:tcPr>
            <w:tcW w:w="3651" w:type="dxa"/>
          </w:tcPr>
          <w:p w14:paraId="43C2006A" w14:textId="77777777" w:rsidR="003552EF" w:rsidRPr="003552EF" w:rsidRDefault="003552EF" w:rsidP="00720213">
            <w:pPr>
              <w:rPr>
                <w:rFonts w:asciiTheme="minorHAnsi" w:hAnsiTheme="minorHAnsi" w:cstheme="minorHAnsi"/>
                <w:b/>
                <w:bCs/>
                <w:sz w:val="24"/>
                <w:szCs w:val="24"/>
              </w:rPr>
            </w:pPr>
            <w:r w:rsidRPr="003552EF">
              <w:rPr>
                <w:rFonts w:asciiTheme="minorHAnsi" w:hAnsiTheme="minorHAnsi" w:cstheme="minorHAnsi"/>
                <w:b/>
                <w:bCs/>
                <w:sz w:val="24"/>
                <w:szCs w:val="24"/>
              </w:rPr>
              <w:t>20 September 2020</w:t>
            </w:r>
          </w:p>
        </w:tc>
      </w:tr>
      <w:tr w:rsidR="003552EF" w:rsidRPr="00997358" w14:paraId="490C43FE" w14:textId="77777777" w:rsidTr="00720213">
        <w:trPr>
          <w:cantSplit/>
        </w:trPr>
        <w:tc>
          <w:tcPr>
            <w:tcW w:w="6237" w:type="dxa"/>
            <w:gridSpan w:val="2"/>
          </w:tcPr>
          <w:p w14:paraId="26CCE81C" w14:textId="77777777" w:rsidR="003552EF" w:rsidRPr="003552EF" w:rsidRDefault="003552EF" w:rsidP="00720213">
            <w:pPr>
              <w:rPr>
                <w:rFonts w:asciiTheme="minorHAnsi" w:hAnsiTheme="minorHAnsi" w:cstheme="minorHAnsi"/>
                <w:b/>
                <w:bCs/>
                <w:sz w:val="24"/>
                <w:szCs w:val="24"/>
              </w:rPr>
            </w:pPr>
          </w:p>
        </w:tc>
        <w:tc>
          <w:tcPr>
            <w:tcW w:w="3651" w:type="dxa"/>
          </w:tcPr>
          <w:p w14:paraId="1DF131B2" w14:textId="77777777" w:rsidR="003552EF" w:rsidRPr="003552EF" w:rsidRDefault="003552EF" w:rsidP="00720213">
            <w:pPr>
              <w:spacing w:after="120"/>
              <w:rPr>
                <w:rFonts w:asciiTheme="minorHAnsi" w:hAnsiTheme="minorHAnsi" w:cstheme="minorHAnsi"/>
                <w:b/>
                <w:bCs/>
                <w:sz w:val="24"/>
                <w:szCs w:val="24"/>
              </w:rPr>
            </w:pPr>
            <w:r w:rsidRPr="003552EF">
              <w:rPr>
                <w:rFonts w:asciiTheme="minorHAnsi" w:hAnsiTheme="minorHAnsi" w:cstheme="minorHAnsi"/>
                <w:b/>
                <w:bCs/>
                <w:sz w:val="24"/>
                <w:szCs w:val="24"/>
              </w:rPr>
              <w:t>Original: English</w:t>
            </w:r>
          </w:p>
        </w:tc>
      </w:tr>
      <w:tr w:rsidR="003552EF" w:rsidRPr="00002716" w14:paraId="1945CB4D" w14:textId="77777777" w:rsidTr="00720213">
        <w:trPr>
          <w:cantSplit/>
          <w:trHeight w:val="408"/>
        </w:trPr>
        <w:tc>
          <w:tcPr>
            <w:tcW w:w="1276" w:type="dxa"/>
          </w:tcPr>
          <w:p w14:paraId="7699484D" w14:textId="77777777" w:rsidR="003552EF" w:rsidRPr="003552EF" w:rsidRDefault="003552EF" w:rsidP="00720213">
            <w:pPr>
              <w:spacing w:before="80" w:after="80"/>
              <w:jc w:val="both"/>
              <w:rPr>
                <w:rFonts w:asciiTheme="minorHAnsi" w:hAnsiTheme="minorHAnsi" w:cstheme="minorHAnsi"/>
                <w:b/>
                <w:sz w:val="24"/>
                <w:szCs w:val="24"/>
              </w:rPr>
            </w:pPr>
            <w:r w:rsidRPr="003552EF">
              <w:rPr>
                <w:rFonts w:asciiTheme="minorHAnsi" w:hAnsiTheme="minorHAnsi" w:cstheme="minorHAnsi"/>
                <w:b/>
                <w:bCs/>
                <w:sz w:val="24"/>
                <w:szCs w:val="24"/>
              </w:rPr>
              <w:t>Source:</w:t>
            </w:r>
          </w:p>
        </w:tc>
        <w:tc>
          <w:tcPr>
            <w:tcW w:w="8612" w:type="dxa"/>
            <w:gridSpan w:val="2"/>
          </w:tcPr>
          <w:p w14:paraId="7177BACA" w14:textId="206327A3" w:rsidR="003552EF" w:rsidRPr="003552EF" w:rsidRDefault="003552EF" w:rsidP="00720213">
            <w:pPr>
              <w:spacing w:before="80" w:after="80"/>
              <w:rPr>
                <w:rFonts w:asciiTheme="minorHAnsi" w:hAnsiTheme="minorHAnsi" w:cstheme="minorHAnsi"/>
                <w:bCs/>
                <w:sz w:val="24"/>
                <w:szCs w:val="24"/>
              </w:rPr>
            </w:pPr>
            <w:r w:rsidRPr="003552EF">
              <w:rPr>
                <w:rFonts w:asciiTheme="minorHAnsi" w:hAnsiTheme="minorHAnsi" w:cstheme="minorHAnsi"/>
                <w:bCs/>
                <w:sz w:val="24"/>
                <w:szCs w:val="24"/>
              </w:rPr>
              <w:t>Argentina, Brazil, Canada and the United States of America</w:t>
            </w:r>
          </w:p>
        </w:tc>
      </w:tr>
      <w:tr w:rsidR="003552EF" w:rsidRPr="00002716" w14:paraId="6EFCAA2A" w14:textId="77777777" w:rsidTr="00720213">
        <w:trPr>
          <w:cantSplit/>
          <w:trHeight w:val="407"/>
        </w:trPr>
        <w:tc>
          <w:tcPr>
            <w:tcW w:w="1276" w:type="dxa"/>
            <w:tcBorders>
              <w:bottom w:val="single" w:sz="4" w:space="0" w:color="00B0F0"/>
            </w:tcBorders>
          </w:tcPr>
          <w:p w14:paraId="2594FC73" w14:textId="77777777" w:rsidR="003552EF" w:rsidRPr="003552EF" w:rsidRDefault="003552EF" w:rsidP="00720213">
            <w:pPr>
              <w:spacing w:before="80" w:after="80"/>
              <w:jc w:val="both"/>
              <w:rPr>
                <w:rFonts w:asciiTheme="minorHAnsi" w:hAnsiTheme="minorHAnsi" w:cstheme="minorHAnsi"/>
                <w:b/>
                <w:bCs/>
                <w:sz w:val="24"/>
                <w:szCs w:val="24"/>
              </w:rPr>
            </w:pPr>
            <w:r w:rsidRPr="003552EF">
              <w:rPr>
                <w:rFonts w:asciiTheme="minorHAnsi" w:hAnsiTheme="minorHAnsi" w:cstheme="minorHAnsi"/>
                <w:b/>
                <w:bCs/>
                <w:sz w:val="24"/>
                <w:szCs w:val="24"/>
              </w:rPr>
              <w:t>Title:</w:t>
            </w:r>
          </w:p>
        </w:tc>
        <w:tc>
          <w:tcPr>
            <w:tcW w:w="8612" w:type="dxa"/>
            <w:gridSpan w:val="2"/>
            <w:tcBorders>
              <w:bottom w:val="single" w:sz="4" w:space="0" w:color="00B0F0"/>
            </w:tcBorders>
          </w:tcPr>
          <w:p w14:paraId="5FA59973" w14:textId="18F2C51F" w:rsidR="003552EF" w:rsidRPr="003552EF" w:rsidRDefault="003552EF" w:rsidP="00720213">
            <w:pPr>
              <w:spacing w:before="80" w:after="80"/>
              <w:jc w:val="both"/>
              <w:rPr>
                <w:rFonts w:asciiTheme="minorHAnsi" w:hAnsiTheme="minorHAnsi" w:cstheme="minorHAnsi"/>
                <w:bCs/>
                <w:sz w:val="24"/>
                <w:szCs w:val="24"/>
              </w:rPr>
            </w:pPr>
            <w:r w:rsidRPr="003552EF">
              <w:rPr>
                <w:rFonts w:asciiTheme="minorHAnsi" w:hAnsiTheme="minorHAnsi" w:cstheme="minorHAnsi"/>
                <w:bCs/>
                <w:sz w:val="24"/>
                <w:szCs w:val="24"/>
              </w:rPr>
              <w:t>Contribution to the TDAG-WG-PREP meeting of 30 September 2020</w:t>
            </w:r>
          </w:p>
        </w:tc>
      </w:tr>
    </w:tbl>
    <w:p w14:paraId="7AFB6103" w14:textId="77777777" w:rsidR="000732C1" w:rsidRPr="000732C1" w:rsidRDefault="003552EF" w:rsidP="000732C1">
      <w:pPr>
        <w:keepNext/>
        <w:spacing w:before="240" w:after="120"/>
        <w:rPr>
          <w:rFonts w:asciiTheme="minorHAnsi" w:hAnsiTheme="minorHAnsi" w:cstheme="minorHAnsi"/>
          <w:b/>
          <w:bCs/>
          <w:sz w:val="24"/>
          <w:szCs w:val="24"/>
        </w:rPr>
      </w:pPr>
      <w:r w:rsidRPr="000732C1">
        <w:rPr>
          <w:rFonts w:asciiTheme="minorHAnsi" w:hAnsiTheme="minorHAnsi" w:cstheme="minorHAnsi"/>
          <w:b/>
          <w:bCs/>
          <w:sz w:val="24"/>
          <w:szCs w:val="24"/>
        </w:rPr>
        <w:t xml:space="preserve">Summary: </w:t>
      </w:r>
    </w:p>
    <w:p w14:paraId="08EB3BFD" w14:textId="1066D4BF" w:rsidR="003552EF" w:rsidRPr="000732C1" w:rsidRDefault="003552EF" w:rsidP="003552EF">
      <w:pPr>
        <w:spacing w:before="120" w:after="120"/>
        <w:rPr>
          <w:rFonts w:asciiTheme="minorHAnsi" w:hAnsiTheme="minorHAnsi" w:cstheme="minorHAnsi"/>
          <w:sz w:val="24"/>
          <w:szCs w:val="24"/>
        </w:rPr>
      </w:pPr>
      <w:r w:rsidRPr="000732C1">
        <w:rPr>
          <w:rFonts w:asciiTheme="minorHAnsi" w:hAnsiTheme="minorHAnsi" w:cstheme="minorHAnsi"/>
          <w:sz w:val="24"/>
          <w:szCs w:val="24"/>
        </w:rPr>
        <w:t xml:space="preserve">This document </w:t>
      </w:r>
      <w:r w:rsidR="000732C1" w:rsidRPr="000732C1">
        <w:rPr>
          <w:rFonts w:asciiTheme="minorHAnsi" w:hAnsiTheme="minorHAnsi" w:cstheme="minorHAnsi"/>
          <w:sz w:val="24"/>
          <w:szCs w:val="24"/>
        </w:rPr>
        <w:t>contains proposals for the advancement of the work of the TDAG Working Group on WTDC Preparations.</w:t>
      </w:r>
    </w:p>
    <w:p w14:paraId="72AFE2ED" w14:textId="77777777" w:rsidR="000732C1" w:rsidRPr="000732C1" w:rsidRDefault="003552EF" w:rsidP="000732C1">
      <w:pPr>
        <w:keepNext/>
        <w:spacing w:before="120" w:after="120"/>
        <w:rPr>
          <w:rFonts w:asciiTheme="minorHAnsi" w:hAnsiTheme="minorHAnsi" w:cstheme="minorHAnsi"/>
          <w:b/>
          <w:bCs/>
          <w:sz w:val="24"/>
          <w:szCs w:val="24"/>
        </w:rPr>
      </w:pPr>
      <w:r w:rsidRPr="000732C1">
        <w:rPr>
          <w:rFonts w:asciiTheme="minorHAnsi" w:hAnsiTheme="minorHAnsi" w:cstheme="minorHAnsi"/>
          <w:b/>
          <w:bCs/>
          <w:sz w:val="24"/>
          <w:szCs w:val="24"/>
        </w:rPr>
        <w:t xml:space="preserve">Action required: </w:t>
      </w:r>
    </w:p>
    <w:p w14:paraId="43691899" w14:textId="075AFED4" w:rsidR="003552EF" w:rsidRPr="003552EF" w:rsidRDefault="000732C1" w:rsidP="003552EF">
      <w:pPr>
        <w:spacing w:before="120" w:after="120"/>
        <w:rPr>
          <w:rFonts w:asciiTheme="minorHAnsi" w:hAnsiTheme="minorHAnsi" w:cstheme="minorHAnsi"/>
          <w:sz w:val="24"/>
          <w:szCs w:val="24"/>
        </w:rPr>
      </w:pPr>
      <w:r w:rsidRPr="000732C1">
        <w:rPr>
          <w:rFonts w:asciiTheme="minorHAnsi" w:hAnsiTheme="minorHAnsi" w:cstheme="minorHAnsi"/>
          <w:sz w:val="24"/>
          <w:szCs w:val="24"/>
        </w:rPr>
        <w:t>TDAG-WG-Prep is invited to endorse the proposals contained in this document for inclusion in the report to TDAG-20/3.</w:t>
      </w:r>
    </w:p>
    <w:p w14:paraId="11879477" w14:textId="5E93CFE0" w:rsidR="003552EF" w:rsidRPr="003552EF" w:rsidRDefault="003552EF" w:rsidP="000732C1">
      <w:pPr>
        <w:keepNext/>
        <w:spacing w:before="360" w:after="120"/>
        <w:rPr>
          <w:rFonts w:asciiTheme="minorHAnsi" w:hAnsiTheme="minorHAnsi" w:cstheme="minorHAnsi"/>
          <w:b/>
          <w:bCs/>
          <w:caps/>
          <w:sz w:val="24"/>
          <w:szCs w:val="24"/>
        </w:rPr>
      </w:pPr>
      <w:r w:rsidRPr="003552EF">
        <w:rPr>
          <w:rFonts w:asciiTheme="minorHAnsi" w:hAnsiTheme="minorHAnsi" w:cstheme="minorHAnsi"/>
          <w:b/>
          <w:bCs/>
          <w:caps/>
          <w:sz w:val="24"/>
          <w:szCs w:val="24"/>
        </w:rPr>
        <w:t>Introduction</w:t>
      </w:r>
    </w:p>
    <w:p w14:paraId="59C3CA01" w14:textId="475135BE"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 xml:space="preserve">The COVID-19 pandemic has highlighted the fundamental importance of </w:t>
      </w:r>
      <w:r w:rsidR="001D04E0" w:rsidRPr="003552EF">
        <w:rPr>
          <w:rFonts w:asciiTheme="minorHAnsi" w:hAnsiTheme="minorHAnsi" w:cstheme="minorHAnsi"/>
          <w:sz w:val="24"/>
          <w:szCs w:val="24"/>
        </w:rPr>
        <w:t>telecommunications/</w:t>
      </w:r>
      <w:r w:rsidRPr="003552EF">
        <w:rPr>
          <w:rFonts w:asciiTheme="minorHAnsi" w:hAnsiTheme="minorHAnsi" w:cstheme="minorHAnsi"/>
          <w:sz w:val="24"/>
          <w:szCs w:val="24"/>
        </w:rPr>
        <w:t>Information and Communication Technologies (ICTs) in all aspects of people's lives, such as health, education, work and entertainment. In this sense, the universalization and affordability of connectivity and ICTs should not continue to be something of an aspirational nature, but a concrete, implementable and mandatory objective in national development plans.</w:t>
      </w:r>
    </w:p>
    <w:p w14:paraId="71ACF8B6" w14:textId="4B486CC8" w:rsidR="00B1260C" w:rsidRPr="003552EF" w:rsidRDefault="00B1260C" w:rsidP="007C13E4">
      <w:pPr>
        <w:spacing w:before="120"/>
        <w:rPr>
          <w:rFonts w:asciiTheme="minorHAnsi" w:hAnsiTheme="minorHAnsi" w:cstheme="minorHAnsi"/>
          <w:sz w:val="24"/>
          <w:szCs w:val="24"/>
        </w:rPr>
      </w:pPr>
      <w:r w:rsidRPr="003552EF">
        <w:rPr>
          <w:rFonts w:asciiTheme="minorHAnsi" w:hAnsiTheme="minorHAnsi" w:cstheme="minorHAnsi"/>
          <w:sz w:val="24"/>
          <w:szCs w:val="24"/>
        </w:rPr>
        <w:t>It is essential that the forthcoming ITU World Telecommunication Development Conference (WTDC-21) be an action-oriented environment with interactive dialogues between stakeholders aimed at developing a shared understanding of existing barriers and advancing effective, sustainable and innovative solutions for the expansion of connectivity throughout the world, particularly in developing countries. To this end, the structure and content of the WTDC-21 should be tailored around identifying and addressing critical telecommunication/ICT development issues identified by the regions.</w:t>
      </w:r>
      <w:r w:rsidR="003552EF">
        <w:rPr>
          <w:rFonts w:asciiTheme="minorHAnsi" w:hAnsiTheme="minorHAnsi" w:cstheme="minorHAnsi"/>
          <w:sz w:val="24"/>
          <w:szCs w:val="24"/>
        </w:rPr>
        <w:t xml:space="preserve"> </w:t>
      </w:r>
      <w:r w:rsidRPr="003552EF">
        <w:rPr>
          <w:rFonts w:asciiTheme="minorHAnsi" w:hAnsiTheme="minorHAnsi" w:cstheme="minorHAnsi"/>
          <w:sz w:val="24"/>
          <w:szCs w:val="24"/>
        </w:rPr>
        <w:t>The Conference Structure should merge these future-looking aspects with the administrative elements and a celebration of the ITU-D’s work since Buenos Aires, all with a look towards building an ITU community within/among countries.</w:t>
      </w:r>
    </w:p>
    <w:p w14:paraId="198F57BB" w14:textId="649C157D"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It is also expected that the WTDC will be the key international multi</w:t>
      </w:r>
      <w:r w:rsidR="000732C1">
        <w:rPr>
          <w:rFonts w:asciiTheme="minorHAnsi" w:hAnsiTheme="minorHAnsi" w:cstheme="minorHAnsi"/>
          <w:sz w:val="24"/>
          <w:szCs w:val="24"/>
        </w:rPr>
        <w:t>-</w:t>
      </w:r>
      <w:r w:rsidRPr="003552EF">
        <w:rPr>
          <w:rFonts w:asciiTheme="minorHAnsi" w:hAnsiTheme="minorHAnsi" w:cstheme="minorHAnsi"/>
          <w:sz w:val="24"/>
          <w:szCs w:val="24"/>
        </w:rPr>
        <w:t xml:space="preserve">stakeholder conference that reflects coordinated efforts and </w:t>
      </w:r>
      <w:r w:rsidR="00141F54" w:rsidRPr="003552EF">
        <w:rPr>
          <w:rFonts w:asciiTheme="minorHAnsi" w:hAnsiTheme="minorHAnsi" w:cstheme="minorHAnsi"/>
          <w:sz w:val="24"/>
          <w:szCs w:val="24"/>
        </w:rPr>
        <w:t xml:space="preserve">innovative approaches </w:t>
      </w:r>
      <w:r w:rsidR="00A86A65" w:rsidRPr="003552EF">
        <w:rPr>
          <w:rFonts w:asciiTheme="minorHAnsi" w:hAnsiTheme="minorHAnsi" w:cstheme="minorHAnsi"/>
          <w:sz w:val="24"/>
          <w:szCs w:val="24"/>
        </w:rPr>
        <w:t>a</w:t>
      </w:r>
      <w:r w:rsidRPr="003552EF">
        <w:rPr>
          <w:rFonts w:asciiTheme="minorHAnsi" w:hAnsiTheme="minorHAnsi" w:cstheme="minorHAnsi"/>
          <w:sz w:val="24"/>
          <w:szCs w:val="24"/>
        </w:rPr>
        <w:t xml:space="preserve">mong all the stakeholders involved in the ITU Development Sector, including Member States (policy makers), Sector Members, Non-Governmental Organizations, </w:t>
      </w:r>
      <w:r w:rsidR="00AD75EA" w:rsidRPr="003552EF">
        <w:rPr>
          <w:rFonts w:asciiTheme="minorHAnsi" w:hAnsiTheme="minorHAnsi" w:cstheme="minorHAnsi"/>
          <w:sz w:val="24"/>
          <w:szCs w:val="24"/>
        </w:rPr>
        <w:t xml:space="preserve">Academy, </w:t>
      </w:r>
      <w:r w:rsidRPr="003552EF">
        <w:rPr>
          <w:rFonts w:asciiTheme="minorHAnsi" w:hAnsiTheme="minorHAnsi" w:cstheme="minorHAnsi"/>
          <w:sz w:val="24"/>
          <w:szCs w:val="24"/>
        </w:rPr>
        <w:t xml:space="preserve">Financial Institutions and development banks, etc. </w:t>
      </w:r>
      <w:r w:rsidR="008A4D42" w:rsidRPr="003552EF">
        <w:rPr>
          <w:rFonts w:asciiTheme="minorHAnsi" w:hAnsiTheme="minorHAnsi" w:cstheme="minorHAnsi"/>
          <w:sz w:val="24"/>
          <w:szCs w:val="24"/>
        </w:rPr>
        <w:t xml:space="preserve">Likewise, we also consider it of great importance for the WTDC to recognize the roles and needs of all stakeholders, whose insights and experiences are fundamental for understanding where to prioritize our collective </w:t>
      </w:r>
      <w:r w:rsidR="008A4D42" w:rsidRPr="003552EF">
        <w:rPr>
          <w:rFonts w:asciiTheme="minorHAnsi" w:hAnsiTheme="minorHAnsi" w:cstheme="minorHAnsi"/>
          <w:sz w:val="24"/>
          <w:szCs w:val="24"/>
        </w:rPr>
        <w:lastRenderedPageBreak/>
        <w:t>efforts for maximum impact and to increase the relevanc</w:t>
      </w:r>
      <w:r w:rsidR="007C13E4">
        <w:rPr>
          <w:rFonts w:asciiTheme="minorHAnsi" w:hAnsiTheme="minorHAnsi" w:cstheme="minorHAnsi"/>
          <w:sz w:val="24"/>
          <w:szCs w:val="24"/>
        </w:rPr>
        <w:t>e</w:t>
      </w:r>
      <w:r w:rsidR="008A4D42" w:rsidRPr="003552EF">
        <w:rPr>
          <w:rFonts w:asciiTheme="minorHAnsi" w:hAnsiTheme="minorHAnsi" w:cstheme="minorHAnsi"/>
          <w:sz w:val="24"/>
          <w:szCs w:val="24"/>
        </w:rPr>
        <w:t xml:space="preserve"> of BDT activities to stimulate broader stakeholder participation</w:t>
      </w:r>
      <w:r w:rsidRPr="003552EF">
        <w:rPr>
          <w:rFonts w:asciiTheme="minorHAnsi" w:hAnsiTheme="minorHAnsi" w:cstheme="minorHAnsi"/>
          <w:sz w:val="24"/>
          <w:szCs w:val="24"/>
        </w:rPr>
        <w:t>.</w:t>
      </w:r>
    </w:p>
    <w:p w14:paraId="51E1F4CA" w14:textId="100C3063"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 xml:space="preserve">With a view to </w:t>
      </w:r>
      <w:r w:rsidR="008A4D42" w:rsidRPr="003552EF">
        <w:rPr>
          <w:rFonts w:asciiTheme="minorHAnsi" w:hAnsiTheme="minorHAnsi" w:cstheme="minorHAnsi"/>
          <w:sz w:val="24"/>
          <w:szCs w:val="24"/>
        </w:rPr>
        <w:t>advancing</w:t>
      </w:r>
      <w:r w:rsidRPr="003552EF">
        <w:rPr>
          <w:rFonts w:asciiTheme="minorHAnsi" w:hAnsiTheme="minorHAnsi" w:cstheme="minorHAnsi"/>
          <w:sz w:val="24"/>
          <w:szCs w:val="24"/>
        </w:rPr>
        <w:t xml:space="preserve"> the discussion on how to organize the logistics and thematic structures of WTDC-21, </w:t>
      </w:r>
      <w:r w:rsidR="00930477" w:rsidRPr="003552EF">
        <w:rPr>
          <w:rFonts w:asciiTheme="minorHAnsi" w:hAnsiTheme="minorHAnsi" w:cstheme="minorHAnsi"/>
          <w:sz w:val="24"/>
          <w:szCs w:val="24"/>
        </w:rPr>
        <w:t xml:space="preserve">to address the above </w:t>
      </w:r>
      <w:r w:rsidRPr="003552EF">
        <w:rPr>
          <w:rFonts w:asciiTheme="minorHAnsi" w:hAnsiTheme="minorHAnsi" w:cstheme="minorHAnsi"/>
          <w:sz w:val="24"/>
          <w:szCs w:val="24"/>
        </w:rPr>
        <w:t>based on Annex IV of the Circular BDT/DDR/TDAG/052, dated 3 August 2020, the following proposals</w:t>
      </w:r>
      <w:r w:rsidR="006D4773">
        <w:rPr>
          <w:rFonts w:asciiTheme="minorHAnsi" w:hAnsiTheme="minorHAnsi" w:cstheme="minorHAnsi"/>
          <w:sz w:val="24"/>
          <w:szCs w:val="24"/>
        </w:rPr>
        <w:t xml:space="preserve"> are presented</w:t>
      </w:r>
      <w:r w:rsidRPr="003552EF">
        <w:rPr>
          <w:rFonts w:asciiTheme="minorHAnsi" w:hAnsiTheme="minorHAnsi" w:cstheme="minorHAnsi"/>
          <w:sz w:val="24"/>
          <w:szCs w:val="24"/>
        </w:rPr>
        <w:t>:</w:t>
      </w:r>
    </w:p>
    <w:p w14:paraId="5FF11DEF" w14:textId="78AD2A69" w:rsidR="001540A2" w:rsidRPr="003552EF" w:rsidRDefault="001540A2" w:rsidP="007C13E4">
      <w:pPr>
        <w:keepNext/>
        <w:spacing w:before="240" w:after="120"/>
        <w:rPr>
          <w:rFonts w:asciiTheme="minorHAnsi" w:hAnsiTheme="minorHAnsi" w:cstheme="minorHAnsi"/>
          <w:b/>
          <w:caps/>
          <w:sz w:val="24"/>
          <w:szCs w:val="24"/>
          <w:u w:val="single"/>
        </w:rPr>
      </w:pPr>
      <w:r w:rsidRPr="003552EF">
        <w:rPr>
          <w:rFonts w:asciiTheme="minorHAnsi" w:hAnsiTheme="minorHAnsi" w:cstheme="minorHAnsi"/>
          <w:b/>
          <w:caps/>
          <w:sz w:val="24"/>
          <w:szCs w:val="24"/>
        </w:rPr>
        <w:t>B</w:t>
      </w:r>
      <w:r w:rsidR="003552EF" w:rsidRPr="003552EF">
        <w:rPr>
          <w:rFonts w:asciiTheme="minorHAnsi" w:hAnsiTheme="minorHAnsi" w:cstheme="minorHAnsi"/>
          <w:b/>
          <w:caps/>
          <w:sz w:val="24"/>
          <w:szCs w:val="24"/>
        </w:rPr>
        <w:t>efore the conference</w:t>
      </w:r>
    </w:p>
    <w:p w14:paraId="4016335D" w14:textId="77777777" w:rsidR="001540A2" w:rsidRPr="003552EF" w:rsidRDefault="001540A2" w:rsidP="007C13E4">
      <w:pPr>
        <w:keepNext/>
        <w:spacing w:before="120"/>
        <w:rPr>
          <w:rFonts w:asciiTheme="minorHAnsi" w:hAnsiTheme="minorHAnsi" w:cstheme="minorHAnsi"/>
          <w:b/>
          <w:sz w:val="24"/>
          <w:szCs w:val="24"/>
          <w:u w:val="single"/>
        </w:rPr>
      </w:pPr>
      <w:r w:rsidRPr="003552EF">
        <w:rPr>
          <w:rFonts w:asciiTheme="minorHAnsi" w:hAnsiTheme="minorHAnsi" w:cstheme="minorHAnsi"/>
          <w:b/>
          <w:sz w:val="24"/>
          <w:szCs w:val="24"/>
          <w:u w:val="single"/>
        </w:rPr>
        <w:t>Inter-Regional Coordination Meetings (IRMs)</w:t>
      </w:r>
    </w:p>
    <w:p w14:paraId="3023F7CA" w14:textId="77777777" w:rsidR="001540A2" w:rsidRPr="003552EF" w:rsidRDefault="001540A2" w:rsidP="007C13E4">
      <w:pPr>
        <w:pStyle w:val="ListParagraph"/>
        <w:keepNext/>
        <w:numPr>
          <w:ilvl w:val="0"/>
          <w:numId w:val="7"/>
        </w:numPr>
        <w:spacing w:before="120" w:after="0"/>
        <w:ind w:left="357" w:hanging="357"/>
        <w:rPr>
          <w:rFonts w:cstheme="minorHAnsi"/>
          <w:sz w:val="24"/>
          <w:szCs w:val="24"/>
          <w:lang w:val="en-US"/>
        </w:rPr>
      </w:pPr>
      <w:r w:rsidRPr="003552EF">
        <w:rPr>
          <w:rFonts w:cstheme="minorHAnsi"/>
          <w:sz w:val="24"/>
          <w:szCs w:val="24"/>
          <w:lang w:val="en-US"/>
        </w:rPr>
        <w:t xml:space="preserve">How many IRMs should be held and when? </w:t>
      </w:r>
    </w:p>
    <w:p w14:paraId="6EE5CD1B" w14:textId="74A6E803"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 xml:space="preserve">Interregional meetings are a good step in improving the preparatory process to </w:t>
      </w:r>
      <w:r w:rsidRPr="003552EF">
        <w:rPr>
          <w:rFonts w:asciiTheme="minorHAnsi" w:hAnsiTheme="minorHAnsi" w:cstheme="minorHAnsi"/>
          <w:color w:val="000000"/>
          <w:sz w:val="24"/>
          <w:szCs w:val="24"/>
        </w:rPr>
        <w:t xml:space="preserve">foster </w:t>
      </w:r>
      <w:r w:rsidR="005E38D0" w:rsidRPr="003552EF">
        <w:rPr>
          <w:rFonts w:asciiTheme="minorHAnsi" w:hAnsiTheme="minorHAnsi" w:cstheme="minorHAnsi"/>
          <w:color w:val="000000"/>
          <w:sz w:val="24"/>
          <w:szCs w:val="24"/>
        </w:rPr>
        <w:t>consensus</w:t>
      </w:r>
      <w:r w:rsidR="005E38D0" w:rsidRPr="003552EF" w:rsidDel="005E38D0">
        <w:rPr>
          <w:rFonts w:asciiTheme="minorHAnsi" w:hAnsiTheme="minorHAnsi" w:cstheme="minorHAnsi"/>
          <w:color w:val="000000"/>
          <w:sz w:val="24"/>
          <w:szCs w:val="24"/>
        </w:rPr>
        <w:t xml:space="preserve"> </w:t>
      </w:r>
      <w:r w:rsidRPr="003552EF">
        <w:rPr>
          <w:rFonts w:asciiTheme="minorHAnsi" w:hAnsiTheme="minorHAnsi" w:cstheme="minorHAnsi"/>
          <w:color w:val="000000"/>
          <w:sz w:val="24"/>
          <w:szCs w:val="24"/>
        </w:rPr>
        <w:t>t ahead of WTDC-21 to free up conference time to discuss critical</w:t>
      </w:r>
      <w:r w:rsidR="005E38D0" w:rsidRPr="003552EF">
        <w:rPr>
          <w:rFonts w:asciiTheme="minorHAnsi" w:hAnsiTheme="minorHAnsi" w:cstheme="minorHAnsi"/>
          <w:color w:val="000000"/>
          <w:sz w:val="24"/>
          <w:szCs w:val="24"/>
        </w:rPr>
        <w:t xml:space="preserve"> telecommunication/</w:t>
      </w:r>
      <w:r w:rsidRPr="003552EF">
        <w:rPr>
          <w:rFonts w:asciiTheme="minorHAnsi" w:hAnsiTheme="minorHAnsi" w:cstheme="minorHAnsi"/>
          <w:color w:val="000000"/>
          <w:sz w:val="24"/>
          <w:szCs w:val="24"/>
        </w:rPr>
        <w:t xml:space="preserve">ICT development issues. </w:t>
      </w:r>
      <w:r w:rsidR="006D4773">
        <w:rPr>
          <w:rFonts w:asciiTheme="minorHAnsi" w:hAnsiTheme="minorHAnsi" w:cstheme="minorHAnsi"/>
          <w:sz w:val="24"/>
          <w:szCs w:val="24"/>
        </w:rPr>
        <w:t>We</w:t>
      </w:r>
      <w:r w:rsidRPr="003552EF">
        <w:rPr>
          <w:rFonts w:asciiTheme="minorHAnsi" w:hAnsiTheme="minorHAnsi" w:cstheme="minorHAnsi"/>
          <w:sz w:val="24"/>
          <w:szCs w:val="24"/>
        </w:rPr>
        <w:t xml:space="preserve"> suggest the realization of </w:t>
      </w:r>
      <w:r w:rsidR="00CF18E3" w:rsidRPr="003552EF">
        <w:rPr>
          <w:rFonts w:asciiTheme="minorHAnsi" w:hAnsiTheme="minorHAnsi" w:cstheme="minorHAnsi"/>
          <w:sz w:val="24"/>
          <w:szCs w:val="24"/>
        </w:rPr>
        <w:t xml:space="preserve">up to </w:t>
      </w:r>
      <w:r w:rsidRPr="003552EF">
        <w:rPr>
          <w:rFonts w:asciiTheme="minorHAnsi" w:hAnsiTheme="minorHAnsi" w:cstheme="minorHAnsi"/>
          <w:sz w:val="24"/>
          <w:szCs w:val="24"/>
        </w:rPr>
        <w:t>3 IRMs, to be held back-to-back with RPMs</w:t>
      </w:r>
      <w:r w:rsidR="00CF18E3" w:rsidRPr="003552EF">
        <w:rPr>
          <w:rFonts w:asciiTheme="minorHAnsi" w:hAnsiTheme="minorHAnsi" w:cstheme="minorHAnsi"/>
          <w:sz w:val="24"/>
          <w:szCs w:val="24"/>
        </w:rPr>
        <w:t>, to be determined.</w:t>
      </w:r>
      <w:r w:rsidR="0088105F" w:rsidRPr="003552EF">
        <w:rPr>
          <w:rFonts w:asciiTheme="minorHAnsi" w:hAnsiTheme="minorHAnsi" w:cstheme="minorHAnsi"/>
          <w:sz w:val="24"/>
          <w:szCs w:val="24"/>
        </w:rPr>
        <w:t xml:space="preserve"> </w:t>
      </w:r>
      <w:r w:rsidRPr="003552EF">
        <w:rPr>
          <w:rFonts w:asciiTheme="minorHAnsi" w:hAnsiTheme="minorHAnsi" w:cstheme="minorHAnsi"/>
          <w:sz w:val="24"/>
          <w:szCs w:val="24"/>
        </w:rPr>
        <w:t xml:space="preserve">One of those IRMs could be held right before TDAG Meeting in May 2021, as appropriate. </w:t>
      </w:r>
    </w:p>
    <w:p w14:paraId="25CD95D7" w14:textId="77777777" w:rsidR="001540A2" w:rsidRPr="003552EF" w:rsidRDefault="001540A2" w:rsidP="007C13E4">
      <w:pPr>
        <w:pStyle w:val="ListParagraph"/>
        <w:keepNext/>
        <w:numPr>
          <w:ilvl w:val="0"/>
          <w:numId w:val="7"/>
        </w:numPr>
        <w:spacing w:before="120" w:after="0"/>
        <w:ind w:left="357" w:hanging="357"/>
        <w:rPr>
          <w:rFonts w:cstheme="minorHAnsi"/>
          <w:sz w:val="24"/>
          <w:szCs w:val="24"/>
          <w:lang w:val="en-US"/>
        </w:rPr>
      </w:pPr>
      <w:r w:rsidRPr="003552EF">
        <w:rPr>
          <w:rFonts w:cstheme="minorHAnsi"/>
          <w:sz w:val="24"/>
          <w:szCs w:val="24"/>
          <w:lang w:val="en-US"/>
        </w:rPr>
        <w:t xml:space="preserve">What should be the format of IRMs? </w:t>
      </w:r>
    </w:p>
    <w:p w14:paraId="5AFA131A" w14:textId="7A56881E"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Sessions should be organized encompassing the main issues that are naturally time consuming</w:t>
      </w:r>
      <w:r w:rsidR="003552EF">
        <w:rPr>
          <w:rFonts w:asciiTheme="minorHAnsi" w:hAnsiTheme="minorHAnsi" w:cstheme="minorHAnsi"/>
          <w:sz w:val="24"/>
          <w:szCs w:val="24"/>
        </w:rPr>
        <w:t xml:space="preserve"> </w:t>
      </w:r>
      <w:r w:rsidRPr="003552EF">
        <w:rPr>
          <w:rFonts w:asciiTheme="minorHAnsi" w:hAnsiTheme="minorHAnsi" w:cstheme="minorHAnsi"/>
          <w:sz w:val="24"/>
          <w:szCs w:val="24"/>
        </w:rPr>
        <w:t>within the Conference (see below). Upon request, interpretation to the six official languages must be guaranteed.</w:t>
      </w:r>
    </w:p>
    <w:p w14:paraId="2744A78A" w14:textId="77777777" w:rsidR="001540A2" w:rsidRPr="003552EF" w:rsidRDefault="001540A2" w:rsidP="007C13E4">
      <w:pPr>
        <w:pStyle w:val="ListParagraph"/>
        <w:keepNext/>
        <w:numPr>
          <w:ilvl w:val="0"/>
          <w:numId w:val="7"/>
        </w:numPr>
        <w:spacing w:before="120" w:after="0"/>
        <w:ind w:left="357" w:hanging="357"/>
        <w:rPr>
          <w:rFonts w:cstheme="minorHAnsi"/>
          <w:sz w:val="24"/>
          <w:szCs w:val="24"/>
          <w:lang w:val="en-US"/>
        </w:rPr>
      </w:pPr>
      <w:r w:rsidRPr="003552EF">
        <w:rPr>
          <w:rFonts w:cstheme="minorHAnsi"/>
          <w:sz w:val="24"/>
          <w:szCs w:val="24"/>
          <w:lang w:val="en-US"/>
        </w:rPr>
        <w:t>What should the IRM Agenda include?</w:t>
      </w:r>
    </w:p>
    <w:p w14:paraId="0FDC124E" w14:textId="58E7EC0F"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 xml:space="preserve">WG-Prep and WG-RTPD should advise the TDAG to identify main issues, such as: Revision of Resolutions 1 and 2, Declaration, </w:t>
      </w:r>
      <w:r w:rsidR="006616CE" w:rsidRPr="003552EF">
        <w:rPr>
          <w:rFonts w:asciiTheme="minorHAnsi" w:hAnsiTheme="minorHAnsi" w:cstheme="minorHAnsi"/>
          <w:sz w:val="24"/>
          <w:szCs w:val="24"/>
        </w:rPr>
        <w:t xml:space="preserve">Resolution Streamlining, </w:t>
      </w:r>
      <w:r w:rsidRPr="003552EF">
        <w:rPr>
          <w:rFonts w:asciiTheme="minorHAnsi" w:hAnsiTheme="minorHAnsi" w:cstheme="minorHAnsi"/>
          <w:sz w:val="24"/>
          <w:szCs w:val="24"/>
        </w:rPr>
        <w:t xml:space="preserve">New Study Groups/Questions structure, </w:t>
      </w:r>
      <w:r w:rsidR="007D4F77" w:rsidRPr="003552EF">
        <w:rPr>
          <w:rFonts w:asciiTheme="minorHAnsi" w:hAnsiTheme="minorHAnsi" w:cstheme="minorHAnsi"/>
          <w:sz w:val="24"/>
          <w:szCs w:val="24"/>
        </w:rPr>
        <w:t>and consolidation of Regional Priorities.</w:t>
      </w:r>
      <w:r w:rsidR="003552EF">
        <w:rPr>
          <w:rFonts w:asciiTheme="minorHAnsi" w:hAnsiTheme="minorHAnsi" w:cstheme="minorHAnsi"/>
          <w:sz w:val="24"/>
          <w:szCs w:val="24"/>
        </w:rPr>
        <w:t xml:space="preserve"> </w:t>
      </w:r>
      <w:r w:rsidR="007D4F77" w:rsidRPr="003552EF">
        <w:rPr>
          <w:rFonts w:asciiTheme="minorHAnsi" w:hAnsiTheme="minorHAnsi" w:cstheme="minorHAnsi"/>
          <w:sz w:val="24"/>
          <w:szCs w:val="24"/>
        </w:rPr>
        <w:t>Discussions could also include any expected changes to</w:t>
      </w:r>
      <w:r w:rsidR="003552EF">
        <w:rPr>
          <w:rFonts w:asciiTheme="minorHAnsi" w:hAnsiTheme="minorHAnsi" w:cstheme="minorHAnsi"/>
          <w:sz w:val="24"/>
          <w:szCs w:val="24"/>
        </w:rPr>
        <w:t xml:space="preserve"> </w:t>
      </w:r>
      <w:r w:rsidR="00693E14" w:rsidRPr="003552EF">
        <w:rPr>
          <w:rFonts w:asciiTheme="minorHAnsi" w:hAnsiTheme="minorHAnsi" w:cstheme="minorHAnsi"/>
          <w:sz w:val="24"/>
          <w:szCs w:val="24"/>
        </w:rPr>
        <w:t xml:space="preserve">Resolution </w:t>
      </w:r>
      <w:r w:rsidR="007D4F77" w:rsidRPr="003552EF">
        <w:rPr>
          <w:rFonts w:asciiTheme="minorHAnsi" w:hAnsiTheme="minorHAnsi" w:cstheme="minorHAnsi"/>
          <w:sz w:val="24"/>
          <w:szCs w:val="24"/>
        </w:rPr>
        <w:t>31 to facilitate changes to the WTDC program.</w:t>
      </w:r>
    </w:p>
    <w:p w14:paraId="70350F0C" w14:textId="77777777" w:rsidR="001540A2" w:rsidRPr="003552EF" w:rsidRDefault="001540A2" w:rsidP="007C13E4">
      <w:pPr>
        <w:pStyle w:val="ListParagraph"/>
        <w:keepNext/>
        <w:numPr>
          <w:ilvl w:val="0"/>
          <w:numId w:val="7"/>
        </w:numPr>
        <w:spacing w:before="120" w:after="0"/>
        <w:ind w:left="357" w:hanging="357"/>
        <w:rPr>
          <w:rFonts w:cstheme="minorHAnsi"/>
          <w:sz w:val="24"/>
          <w:szCs w:val="24"/>
          <w:lang w:val="en-US"/>
        </w:rPr>
      </w:pPr>
      <w:r w:rsidRPr="003552EF">
        <w:rPr>
          <w:rFonts w:cstheme="minorHAnsi"/>
          <w:sz w:val="24"/>
          <w:szCs w:val="24"/>
          <w:lang w:val="en-US"/>
        </w:rPr>
        <w:t xml:space="preserve">Should attendance at IRMs be limited, and if so, how many representatives from each region should attend IRMs? </w:t>
      </w:r>
    </w:p>
    <w:p w14:paraId="3E8F2A0F" w14:textId="2178B8BC"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It depends on how many Regional focal points were designated by each RTO.</w:t>
      </w:r>
      <w:r w:rsidR="00487B8E" w:rsidRPr="003552EF">
        <w:rPr>
          <w:rFonts w:asciiTheme="minorHAnsi" w:hAnsiTheme="minorHAnsi" w:cstheme="minorHAnsi"/>
          <w:sz w:val="24"/>
          <w:szCs w:val="24"/>
        </w:rPr>
        <w:t xml:space="preserve"> </w:t>
      </w:r>
      <w:r w:rsidR="00297969" w:rsidRPr="003552EF">
        <w:rPr>
          <w:rFonts w:asciiTheme="minorHAnsi" w:hAnsiTheme="minorHAnsi" w:cstheme="minorHAnsi"/>
          <w:sz w:val="24"/>
          <w:szCs w:val="24"/>
        </w:rPr>
        <w:t>Virtual formats may facilitate greater participation.</w:t>
      </w:r>
    </w:p>
    <w:p w14:paraId="51BA0E51" w14:textId="77777777" w:rsidR="001540A2" w:rsidRPr="003552EF" w:rsidRDefault="001540A2" w:rsidP="007C13E4">
      <w:pPr>
        <w:pStyle w:val="ListParagraph"/>
        <w:keepNext/>
        <w:numPr>
          <w:ilvl w:val="0"/>
          <w:numId w:val="7"/>
        </w:numPr>
        <w:spacing w:before="120" w:after="0"/>
        <w:ind w:left="357" w:hanging="357"/>
        <w:rPr>
          <w:rFonts w:cstheme="minorHAnsi"/>
          <w:sz w:val="24"/>
          <w:szCs w:val="24"/>
          <w:lang w:val="en-US"/>
        </w:rPr>
      </w:pPr>
      <w:r w:rsidRPr="003552EF">
        <w:rPr>
          <w:rFonts w:cstheme="minorHAnsi"/>
          <w:sz w:val="24"/>
          <w:szCs w:val="24"/>
          <w:lang w:val="en-US"/>
        </w:rPr>
        <w:t xml:space="preserve">How will chairmanship of IRMs be decided? </w:t>
      </w:r>
    </w:p>
    <w:p w14:paraId="69C40F37" w14:textId="77777777"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By Candidacies: 1 Chairperson, 2 Vice-Chairpersons and 1 Chairperson per Agenda Session.</w:t>
      </w:r>
    </w:p>
    <w:p w14:paraId="13E28B2C" w14:textId="77777777" w:rsidR="001540A2" w:rsidRPr="003552EF" w:rsidRDefault="001540A2" w:rsidP="007C13E4">
      <w:pPr>
        <w:pStyle w:val="ListParagraph"/>
        <w:keepNext/>
        <w:numPr>
          <w:ilvl w:val="0"/>
          <w:numId w:val="7"/>
        </w:numPr>
        <w:spacing w:before="120" w:after="0"/>
        <w:ind w:left="357" w:hanging="357"/>
        <w:rPr>
          <w:rFonts w:cstheme="minorHAnsi"/>
          <w:sz w:val="24"/>
          <w:szCs w:val="24"/>
          <w:lang w:val="en-US"/>
        </w:rPr>
      </w:pPr>
      <w:r w:rsidRPr="003552EF">
        <w:rPr>
          <w:rFonts w:cstheme="minorHAnsi"/>
          <w:sz w:val="24"/>
          <w:szCs w:val="24"/>
          <w:lang w:val="en-US"/>
        </w:rPr>
        <w:t xml:space="preserve">What steps should be taken to ensure proper planning and coordination between RPMs, IRMs and RTO preparatory meetings? </w:t>
      </w:r>
    </w:p>
    <w:p w14:paraId="7501D0FA" w14:textId="48B54885"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 xml:space="preserve">As discussed in the Web Dialogues, </w:t>
      </w:r>
      <w:r w:rsidR="002B6AE5" w:rsidRPr="003552EF">
        <w:rPr>
          <w:rFonts w:asciiTheme="minorHAnsi" w:hAnsiTheme="minorHAnsi" w:cstheme="minorHAnsi"/>
          <w:sz w:val="24"/>
          <w:szCs w:val="24"/>
        </w:rPr>
        <w:t xml:space="preserve">the </w:t>
      </w:r>
      <w:r w:rsidRPr="003552EF">
        <w:rPr>
          <w:rFonts w:asciiTheme="minorHAnsi" w:hAnsiTheme="minorHAnsi" w:cstheme="minorHAnsi"/>
          <w:sz w:val="24"/>
          <w:szCs w:val="24"/>
        </w:rPr>
        <w:t xml:space="preserve">regional preparatory process should </w:t>
      </w:r>
      <w:r w:rsidR="00483DFB" w:rsidRPr="003552EF">
        <w:rPr>
          <w:rFonts w:asciiTheme="minorHAnsi" w:hAnsiTheme="minorHAnsi" w:cstheme="minorHAnsi"/>
          <w:sz w:val="24"/>
          <w:szCs w:val="24"/>
        </w:rPr>
        <w:t>focus on</w:t>
      </w:r>
      <w:r w:rsidRPr="003552EF">
        <w:rPr>
          <w:rFonts w:asciiTheme="minorHAnsi" w:hAnsiTheme="minorHAnsi" w:cstheme="minorHAnsi"/>
          <w:sz w:val="24"/>
          <w:szCs w:val="24"/>
        </w:rPr>
        <w:t xml:space="preserve"> defining Regional Priorities/Initiatives, revising or drafting time demanding Resolutions, </w:t>
      </w:r>
      <w:r w:rsidR="00483DFB" w:rsidRPr="003552EF">
        <w:rPr>
          <w:rFonts w:asciiTheme="minorHAnsi" w:hAnsiTheme="minorHAnsi" w:cstheme="minorHAnsi"/>
          <w:sz w:val="24"/>
          <w:szCs w:val="24"/>
        </w:rPr>
        <w:t xml:space="preserve">addressing </w:t>
      </w:r>
      <w:r w:rsidRPr="003552EF">
        <w:rPr>
          <w:rFonts w:asciiTheme="minorHAnsi" w:hAnsiTheme="minorHAnsi" w:cstheme="minorHAnsi"/>
          <w:sz w:val="24"/>
          <w:szCs w:val="24"/>
        </w:rPr>
        <w:t xml:space="preserve">Study Groups and </w:t>
      </w:r>
      <w:r w:rsidR="000251F1" w:rsidRPr="003552EF">
        <w:rPr>
          <w:rFonts w:asciiTheme="minorHAnsi" w:hAnsiTheme="minorHAnsi" w:cstheme="minorHAnsi"/>
          <w:sz w:val="24"/>
          <w:szCs w:val="24"/>
        </w:rPr>
        <w:t xml:space="preserve">Study </w:t>
      </w:r>
      <w:r w:rsidRPr="003552EF">
        <w:rPr>
          <w:rFonts w:asciiTheme="minorHAnsi" w:hAnsiTheme="minorHAnsi" w:cstheme="minorHAnsi"/>
          <w:sz w:val="24"/>
          <w:szCs w:val="24"/>
        </w:rPr>
        <w:t xml:space="preserve">Questions related matters and </w:t>
      </w:r>
      <w:r w:rsidR="000251F1" w:rsidRPr="003552EF">
        <w:rPr>
          <w:rFonts w:asciiTheme="minorHAnsi" w:hAnsiTheme="minorHAnsi" w:cstheme="minorHAnsi"/>
          <w:sz w:val="24"/>
          <w:szCs w:val="24"/>
        </w:rPr>
        <w:t xml:space="preserve">developing </w:t>
      </w:r>
      <w:r w:rsidRPr="003552EF">
        <w:rPr>
          <w:rFonts w:asciiTheme="minorHAnsi" w:hAnsiTheme="minorHAnsi" w:cstheme="minorHAnsi"/>
          <w:sz w:val="24"/>
          <w:szCs w:val="24"/>
        </w:rPr>
        <w:t xml:space="preserve">guidelines </w:t>
      </w:r>
      <w:r w:rsidR="000251F1" w:rsidRPr="003552EF">
        <w:rPr>
          <w:rFonts w:asciiTheme="minorHAnsi" w:hAnsiTheme="minorHAnsi" w:cstheme="minorHAnsi"/>
          <w:sz w:val="24"/>
          <w:szCs w:val="24"/>
        </w:rPr>
        <w:t xml:space="preserve">and text </w:t>
      </w:r>
      <w:r w:rsidRPr="003552EF">
        <w:rPr>
          <w:rFonts w:asciiTheme="minorHAnsi" w:hAnsiTheme="minorHAnsi" w:cstheme="minorHAnsi"/>
          <w:sz w:val="24"/>
          <w:szCs w:val="24"/>
        </w:rPr>
        <w:t>for the Declaration.</w:t>
      </w:r>
      <w:r w:rsidR="003552EF">
        <w:rPr>
          <w:rFonts w:asciiTheme="minorHAnsi" w:hAnsiTheme="minorHAnsi" w:cstheme="minorHAnsi"/>
          <w:sz w:val="24"/>
          <w:szCs w:val="24"/>
        </w:rPr>
        <w:t xml:space="preserve"> </w:t>
      </w:r>
    </w:p>
    <w:p w14:paraId="5CAD9E15" w14:textId="78E6B7AA"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 xml:space="preserve">On the other hand, specific participants should be identified and invited to be part of the preparatory process to create cohesion and purpose </w:t>
      </w:r>
      <w:r w:rsidR="00C06DD8" w:rsidRPr="003552EF">
        <w:rPr>
          <w:rFonts w:asciiTheme="minorHAnsi" w:hAnsiTheme="minorHAnsi" w:cstheme="minorHAnsi"/>
          <w:sz w:val="24"/>
          <w:szCs w:val="24"/>
        </w:rPr>
        <w:t xml:space="preserve">to help in better understanding challenges, expectations and </w:t>
      </w:r>
      <w:r w:rsidR="00C06DD8" w:rsidRPr="003552EF">
        <w:rPr>
          <w:rFonts w:asciiTheme="minorHAnsi" w:hAnsiTheme="minorHAnsi" w:cstheme="minorHAnsi"/>
          <w:sz w:val="24"/>
          <w:szCs w:val="24"/>
        </w:rPr>
        <w:lastRenderedPageBreak/>
        <w:t>ideas regarding the themes of WTDC-21 and how to advance more sustainable outcomes in promoting adoption and deployment of telecommunications/ICTs.</w:t>
      </w:r>
      <w:r w:rsidR="003552EF">
        <w:rPr>
          <w:rFonts w:asciiTheme="minorHAnsi" w:hAnsiTheme="minorHAnsi" w:cstheme="minorHAnsi"/>
          <w:sz w:val="24"/>
          <w:szCs w:val="24"/>
        </w:rPr>
        <w:t xml:space="preserve"> </w:t>
      </w:r>
      <w:r w:rsidR="00C06DD8" w:rsidRPr="003552EF">
        <w:rPr>
          <w:rFonts w:asciiTheme="minorHAnsi" w:hAnsiTheme="minorHAnsi" w:cstheme="minorHAnsi"/>
          <w:sz w:val="24"/>
          <w:szCs w:val="24"/>
        </w:rPr>
        <w:t>Being inclusive of a broader set of members and stakeholders in the preparatory process could also help generate more interest in the WTDC-21 itself.</w:t>
      </w:r>
    </w:p>
    <w:p w14:paraId="0B96816B" w14:textId="78CCD9D6"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 xml:space="preserve">Regional Thematic Seminars, in accordance with the Thematic Priorities of the BDT could be </w:t>
      </w:r>
      <w:r w:rsidR="00911A77" w:rsidRPr="003552EF">
        <w:rPr>
          <w:rFonts w:asciiTheme="minorHAnsi" w:hAnsiTheme="minorHAnsi" w:cstheme="minorHAnsi"/>
          <w:sz w:val="24"/>
          <w:szCs w:val="24"/>
        </w:rPr>
        <w:t>organized to support the preparatory process as a whole.</w:t>
      </w:r>
      <w:r w:rsidR="003552EF">
        <w:rPr>
          <w:rFonts w:asciiTheme="minorHAnsi" w:hAnsiTheme="minorHAnsi" w:cstheme="minorHAnsi"/>
          <w:sz w:val="24"/>
          <w:szCs w:val="24"/>
        </w:rPr>
        <w:t xml:space="preserve"> </w:t>
      </w:r>
      <w:r w:rsidR="00911A77" w:rsidRPr="003552EF">
        <w:rPr>
          <w:rFonts w:asciiTheme="minorHAnsi" w:hAnsiTheme="minorHAnsi" w:cstheme="minorHAnsi"/>
          <w:sz w:val="24"/>
          <w:szCs w:val="24"/>
        </w:rPr>
        <w:t>Such workshops, and the RPMs generally, should leverage Study Group deliverables to support discussions and help advance ideas on new study question topics or to improve deliverables in the next cycle</w:t>
      </w:r>
      <w:r w:rsidR="005F3529" w:rsidRPr="003552EF">
        <w:rPr>
          <w:rFonts w:asciiTheme="minorHAnsi" w:hAnsiTheme="minorHAnsi" w:cstheme="minorHAnsi"/>
          <w:sz w:val="24"/>
          <w:szCs w:val="24"/>
        </w:rPr>
        <w:t xml:space="preserve">. </w:t>
      </w:r>
      <w:r w:rsidRPr="003552EF">
        <w:rPr>
          <w:rFonts w:asciiTheme="minorHAnsi" w:hAnsiTheme="minorHAnsi" w:cstheme="minorHAnsi"/>
          <w:sz w:val="24"/>
          <w:szCs w:val="24"/>
        </w:rPr>
        <w:t>Each region should identify one or two thematic tracks to deepen its preparatory process. Regional Development Forums (RDF) could be used as an environment to this end as well.</w:t>
      </w:r>
    </w:p>
    <w:p w14:paraId="30F41950" w14:textId="58834133" w:rsidR="001540A2" w:rsidRPr="003552EF" w:rsidRDefault="001540A2" w:rsidP="007C13E4">
      <w:pPr>
        <w:keepNext/>
        <w:spacing w:before="120"/>
        <w:rPr>
          <w:rFonts w:asciiTheme="minorHAnsi" w:hAnsiTheme="minorHAnsi" w:cstheme="minorHAnsi"/>
          <w:b/>
          <w:sz w:val="24"/>
          <w:szCs w:val="24"/>
          <w:u w:val="single"/>
        </w:rPr>
      </w:pPr>
      <w:r w:rsidRPr="003552EF">
        <w:rPr>
          <w:rFonts w:asciiTheme="minorHAnsi" w:hAnsiTheme="minorHAnsi" w:cstheme="minorHAnsi"/>
          <w:b/>
          <w:sz w:val="24"/>
          <w:szCs w:val="24"/>
          <w:u w:val="single"/>
        </w:rPr>
        <w:t xml:space="preserve">Promoting Wider Participation in WTDC </w:t>
      </w:r>
    </w:p>
    <w:p w14:paraId="6C4A3A4D" w14:textId="77777777" w:rsidR="001540A2" w:rsidRPr="003552EF" w:rsidRDefault="001540A2" w:rsidP="007C13E4">
      <w:pPr>
        <w:pStyle w:val="ListParagraph"/>
        <w:keepNext/>
        <w:numPr>
          <w:ilvl w:val="0"/>
          <w:numId w:val="7"/>
        </w:numPr>
        <w:spacing w:before="120" w:after="0"/>
        <w:ind w:left="357" w:hanging="357"/>
        <w:rPr>
          <w:rFonts w:cstheme="minorHAnsi"/>
          <w:sz w:val="24"/>
          <w:szCs w:val="24"/>
          <w:lang w:val="en-US"/>
        </w:rPr>
      </w:pPr>
      <w:r w:rsidRPr="003552EF">
        <w:rPr>
          <w:rFonts w:cstheme="minorHAnsi"/>
          <w:sz w:val="24"/>
          <w:szCs w:val="24"/>
          <w:lang w:val="en-US"/>
        </w:rPr>
        <w:t>What constituent groups should be targeted for WTDC-21?</w:t>
      </w:r>
    </w:p>
    <w:p w14:paraId="76AB8133" w14:textId="54169860"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 xml:space="preserve">As agreed during the Web Dialogues, WTDC needs to attract new and more diverse participants from the private sector and potential donors. In this sense, </w:t>
      </w:r>
      <w:r w:rsidR="006D4773">
        <w:rPr>
          <w:rFonts w:asciiTheme="minorHAnsi" w:hAnsiTheme="minorHAnsi" w:cstheme="minorHAnsi"/>
          <w:sz w:val="24"/>
          <w:szCs w:val="24"/>
        </w:rPr>
        <w:t>we</w:t>
      </w:r>
      <w:r w:rsidR="006D4773" w:rsidRPr="003552EF">
        <w:rPr>
          <w:rFonts w:asciiTheme="minorHAnsi" w:hAnsiTheme="minorHAnsi" w:cstheme="minorHAnsi"/>
          <w:sz w:val="24"/>
          <w:szCs w:val="24"/>
        </w:rPr>
        <w:t xml:space="preserve"> </w:t>
      </w:r>
      <w:r w:rsidRPr="003552EF">
        <w:rPr>
          <w:rFonts w:asciiTheme="minorHAnsi" w:hAnsiTheme="minorHAnsi" w:cstheme="minorHAnsi"/>
          <w:sz w:val="24"/>
          <w:szCs w:val="24"/>
        </w:rPr>
        <w:t>propose that institutions like the World Bank, Regional Development Banks, civil society organizations, representatives from marginalized communities, UN Women, ACNUR, UNICEF and others may be involved in the preparatory process, as appropriate, and assuming specific roles during the Conference.</w:t>
      </w:r>
    </w:p>
    <w:p w14:paraId="08705C84" w14:textId="77777777" w:rsidR="001540A2" w:rsidRPr="003552EF" w:rsidRDefault="001540A2" w:rsidP="007C13E4">
      <w:pPr>
        <w:pStyle w:val="ListParagraph"/>
        <w:keepNext/>
        <w:numPr>
          <w:ilvl w:val="0"/>
          <w:numId w:val="7"/>
        </w:numPr>
        <w:spacing w:before="120" w:after="0"/>
        <w:ind w:left="357" w:hanging="357"/>
        <w:rPr>
          <w:rFonts w:cstheme="minorHAnsi"/>
          <w:sz w:val="24"/>
          <w:szCs w:val="24"/>
          <w:lang w:val="en-US"/>
        </w:rPr>
      </w:pPr>
      <w:r w:rsidRPr="003552EF">
        <w:rPr>
          <w:rFonts w:cstheme="minorHAnsi"/>
          <w:sz w:val="24"/>
          <w:szCs w:val="24"/>
          <w:lang w:val="en-US"/>
        </w:rPr>
        <w:t xml:space="preserve">How should WTDC-21 be promoted? </w:t>
      </w:r>
    </w:p>
    <w:p w14:paraId="5999F13E" w14:textId="25BA53E7"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Mainly by BDT, Regional Telecommunications Organizations and by Membership in general, addressing specific invitations to partners as those mentioned above.</w:t>
      </w:r>
      <w:r w:rsidR="00731A30" w:rsidRPr="003552EF">
        <w:rPr>
          <w:rFonts w:asciiTheme="minorHAnsi" w:hAnsiTheme="minorHAnsi" w:cstheme="minorHAnsi"/>
          <w:sz w:val="24"/>
          <w:szCs w:val="24"/>
        </w:rPr>
        <w:t xml:space="preserve"> Participation could also be increased via a strong, clear theme and solutions-based agenda to help enhance the value proposition for stakeholders. WTDC-21 further can attract greater attention through the incorporation of some interactive aspects of the program – for example a hackathon could be organized with the private sector as part of the Youth Forum, or through tech demos.</w:t>
      </w:r>
      <w:r w:rsidR="003552EF">
        <w:rPr>
          <w:rFonts w:asciiTheme="minorHAnsi" w:hAnsiTheme="minorHAnsi" w:cstheme="minorHAnsi"/>
          <w:sz w:val="24"/>
          <w:szCs w:val="24"/>
        </w:rPr>
        <w:t xml:space="preserve"> </w:t>
      </w:r>
      <w:r w:rsidR="00731A30" w:rsidRPr="003552EF">
        <w:rPr>
          <w:rFonts w:asciiTheme="minorHAnsi" w:hAnsiTheme="minorHAnsi" w:cstheme="minorHAnsi"/>
          <w:sz w:val="24"/>
          <w:szCs w:val="24"/>
        </w:rPr>
        <w:t>Virtual town halls, online forums and greater social media engagement could also be used to engage with constituent groups and raise awareness for the conference.</w:t>
      </w:r>
    </w:p>
    <w:p w14:paraId="0EA1A7EC" w14:textId="77777777" w:rsidR="001540A2" w:rsidRPr="003552EF" w:rsidRDefault="001540A2" w:rsidP="007C13E4">
      <w:pPr>
        <w:pStyle w:val="ListParagraph"/>
        <w:keepNext/>
        <w:numPr>
          <w:ilvl w:val="0"/>
          <w:numId w:val="7"/>
        </w:numPr>
        <w:spacing w:before="120" w:after="0"/>
        <w:ind w:left="357" w:hanging="357"/>
        <w:rPr>
          <w:rFonts w:cstheme="minorHAnsi"/>
          <w:sz w:val="24"/>
          <w:szCs w:val="24"/>
          <w:lang w:val="en-US"/>
        </w:rPr>
      </w:pPr>
      <w:r w:rsidRPr="003552EF">
        <w:rPr>
          <w:rFonts w:cstheme="minorHAnsi"/>
          <w:sz w:val="24"/>
          <w:szCs w:val="24"/>
          <w:lang w:val="en-US"/>
        </w:rPr>
        <w:t>Which other high-profile forums can be used to raise awareness and interest on WTDC, and how should ITU go about doing this?</w:t>
      </w:r>
    </w:p>
    <w:p w14:paraId="6AB3BB50" w14:textId="777BEB77"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Regional Regulators Associations Meetings, UN System meetings, Mobile World Congress, Satellite Annual Meeting, Global, Regional and National Internet Governance Forums, NAB Show, etc.</w:t>
      </w:r>
    </w:p>
    <w:p w14:paraId="2156B2E2" w14:textId="59215708" w:rsidR="001540A2" w:rsidRPr="003552EF" w:rsidRDefault="001540A2" w:rsidP="007C13E4">
      <w:pPr>
        <w:keepNext/>
        <w:spacing w:before="240"/>
        <w:rPr>
          <w:rFonts w:asciiTheme="minorHAnsi" w:hAnsiTheme="minorHAnsi" w:cstheme="minorHAnsi"/>
          <w:b/>
          <w:sz w:val="24"/>
          <w:szCs w:val="24"/>
        </w:rPr>
      </w:pPr>
      <w:r w:rsidRPr="003552EF">
        <w:rPr>
          <w:rFonts w:asciiTheme="minorHAnsi" w:hAnsiTheme="minorHAnsi" w:cstheme="minorHAnsi"/>
          <w:b/>
          <w:sz w:val="24"/>
          <w:szCs w:val="24"/>
        </w:rPr>
        <w:t>DURING THE CONFERENCE</w:t>
      </w:r>
    </w:p>
    <w:p w14:paraId="6484C69A" w14:textId="77777777"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 xml:space="preserve">Consideration should be given to merging the high-level segment and the side events into thematic events, a “Development Track”. </w:t>
      </w:r>
    </w:p>
    <w:p w14:paraId="7E0383F0" w14:textId="77777777" w:rsidR="001540A2" w:rsidRPr="003552EF" w:rsidRDefault="001540A2" w:rsidP="007C13E4">
      <w:pPr>
        <w:pStyle w:val="ListParagraph"/>
        <w:keepNext/>
        <w:numPr>
          <w:ilvl w:val="0"/>
          <w:numId w:val="7"/>
        </w:numPr>
        <w:spacing w:before="120" w:after="0"/>
        <w:ind w:left="357" w:hanging="357"/>
        <w:rPr>
          <w:rFonts w:cstheme="minorHAnsi"/>
          <w:sz w:val="24"/>
          <w:szCs w:val="24"/>
          <w:lang w:val="en-US"/>
        </w:rPr>
      </w:pPr>
      <w:r w:rsidRPr="003552EF">
        <w:rPr>
          <w:rFonts w:cstheme="minorHAnsi"/>
          <w:sz w:val="24"/>
          <w:szCs w:val="24"/>
          <w:lang w:val="en-US"/>
        </w:rPr>
        <w:t xml:space="preserve">Should the High-Level Segment be changed, and if so, what form should it take? </w:t>
      </w:r>
    </w:p>
    <w:p w14:paraId="15FAFEF1" w14:textId="4BE72E75" w:rsidR="00C9031C" w:rsidRPr="003552EF" w:rsidRDefault="00C9031C" w:rsidP="007C13E4">
      <w:pPr>
        <w:tabs>
          <w:tab w:val="left" w:pos="720"/>
          <w:tab w:val="left" w:pos="794"/>
          <w:tab w:val="left" w:pos="1191"/>
          <w:tab w:val="left" w:pos="1588"/>
          <w:tab w:val="left" w:pos="1985"/>
        </w:tabs>
        <w:autoSpaceDN w:val="0"/>
        <w:spacing w:before="120"/>
        <w:rPr>
          <w:rFonts w:asciiTheme="minorHAnsi" w:hAnsiTheme="minorHAnsi" w:cstheme="minorHAnsi"/>
          <w:bCs/>
          <w:sz w:val="24"/>
          <w:szCs w:val="24"/>
        </w:rPr>
      </w:pPr>
      <w:r w:rsidRPr="003552EF">
        <w:rPr>
          <w:rFonts w:asciiTheme="minorHAnsi" w:hAnsiTheme="minorHAnsi" w:cstheme="minorHAnsi"/>
          <w:sz w:val="24"/>
          <w:szCs w:val="24"/>
        </w:rPr>
        <w:t>The High-Level Segment and high-level Policy Statements could make way for a Development Track that would incorporate senior level panels, roundtables and thematic discussions of development topics related to the implementation of the Action Plan and establishment of the new Action Plan.</w:t>
      </w:r>
      <w:r w:rsidR="003552EF">
        <w:rPr>
          <w:rFonts w:asciiTheme="minorHAnsi" w:hAnsiTheme="minorHAnsi" w:cstheme="minorHAnsi"/>
          <w:sz w:val="24"/>
          <w:szCs w:val="24"/>
        </w:rPr>
        <w:t xml:space="preserve"> </w:t>
      </w:r>
      <w:r w:rsidRPr="003552EF">
        <w:rPr>
          <w:rFonts w:asciiTheme="minorHAnsi" w:hAnsiTheme="minorHAnsi" w:cstheme="minorHAnsi"/>
          <w:bCs/>
          <w:sz w:val="24"/>
          <w:szCs w:val="24"/>
        </w:rPr>
        <w:t>The thematic or development track should be separate from the administrative aspects of the Conference, yet also incorporated into the work of the WTDC-21, in that it would be designed to help identify challenges and priorities of the membership, and provide roadmaps towards solutions and partnerships.</w:t>
      </w:r>
      <w:r w:rsidR="003552EF">
        <w:rPr>
          <w:rFonts w:asciiTheme="minorHAnsi" w:hAnsiTheme="minorHAnsi" w:cstheme="minorHAnsi"/>
          <w:bCs/>
          <w:sz w:val="24"/>
          <w:szCs w:val="24"/>
        </w:rPr>
        <w:t xml:space="preserve"> </w:t>
      </w:r>
      <w:r w:rsidRPr="003552EF">
        <w:rPr>
          <w:rFonts w:asciiTheme="minorHAnsi" w:hAnsiTheme="minorHAnsi" w:cstheme="minorHAnsi"/>
          <w:sz w:val="24"/>
          <w:szCs w:val="24"/>
        </w:rPr>
        <w:t>Ideally these dialogues could lead to tangible actions and innovative approaches around designated themes for BDT’s future work.</w:t>
      </w:r>
      <w:r w:rsidR="003552EF">
        <w:rPr>
          <w:rFonts w:asciiTheme="minorHAnsi" w:hAnsiTheme="minorHAnsi" w:cstheme="minorHAnsi"/>
          <w:sz w:val="24"/>
          <w:szCs w:val="24"/>
        </w:rPr>
        <w:t xml:space="preserve"> </w:t>
      </w:r>
    </w:p>
    <w:p w14:paraId="67E99C2D" w14:textId="60B67209" w:rsidR="001540A2" w:rsidRPr="003552EF" w:rsidRDefault="00C9031C" w:rsidP="007C13E4">
      <w:pPr>
        <w:spacing w:before="120"/>
        <w:rPr>
          <w:rFonts w:asciiTheme="minorHAnsi" w:hAnsiTheme="minorHAnsi" w:cstheme="minorHAnsi"/>
          <w:sz w:val="24"/>
          <w:szCs w:val="24"/>
        </w:rPr>
      </w:pPr>
      <w:r w:rsidRPr="003552EF">
        <w:rPr>
          <w:rFonts w:asciiTheme="minorHAnsi" w:hAnsiTheme="minorHAnsi" w:cstheme="minorHAnsi"/>
          <w:sz w:val="24"/>
          <w:szCs w:val="24"/>
        </w:rPr>
        <w:t xml:space="preserve">It would thus be beneficial to identify a </w:t>
      </w:r>
      <w:r w:rsidRPr="003552EF">
        <w:rPr>
          <w:rFonts w:asciiTheme="minorHAnsi" w:hAnsiTheme="minorHAnsi" w:cstheme="minorHAnsi"/>
          <w:sz w:val="24"/>
          <w:szCs w:val="24"/>
          <w:u w:val="single"/>
        </w:rPr>
        <w:t>common topic</w:t>
      </w:r>
      <w:r w:rsidRPr="003552EF">
        <w:rPr>
          <w:rFonts w:asciiTheme="minorHAnsi" w:hAnsiTheme="minorHAnsi" w:cstheme="minorHAnsi"/>
          <w:sz w:val="24"/>
          <w:szCs w:val="24"/>
        </w:rPr>
        <w:t xml:space="preserve"> or theme</w:t>
      </w:r>
      <w:r w:rsidR="001540A2" w:rsidRPr="003552EF">
        <w:rPr>
          <w:rFonts w:asciiTheme="minorHAnsi" w:hAnsiTheme="minorHAnsi" w:cstheme="minorHAnsi"/>
          <w:sz w:val="24"/>
          <w:szCs w:val="24"/>
        </w:rPr>
        <w:t xml:space="preserve"> under which the activities planned for the High Level Segment (HLS) and Parallel Events (PE), if any, are included.</w:t>
      </w:r>
    </w:p>
    <w:p w14:paraId="4D902924" w14:textId="3D48A969"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 xml:space="preserve">This does not mean that parallel events cannot be developed on other topics, but it does mean that a “thematic backbone” for the parallel events </w:t>
      </w:r>
      <w:r w:rsidR="00EE6AF6" w:rsidRPr="003552EF">
        <w:rPr>
          <w:rFonts w:asciiTheme="minorHAnsi" w:hAnsiTheme="minorHAnsi" w:cstheme="minorHAnsi"/>
          <w:sz w:val="24"/>
          <w:szCs w:val="24"/>
        </w:rPr>
        <w:t xml:space="preserve">should </w:t>
      </w:r>
      <w:r w:rsidRPr="003552EF">
        <w:rPr>
          <w:rFonts w:asciiTheme="minorHAnsi" w:hAnsiTheme="minorHAnsi" w:cstheme="minorHAnsi"/>
          <w:sz w:val="24"/>
          <w:szCs w:val="24"/>
        </w:rPr>
        <w:t xml:space="preserve">be determined based on a convening </w:t>
      </w:r>
      <w:r w:rsidR="00227DB2" w:rsidRPr="003552EF">
        <w:rPr>
          <w:rFonts w:asciiTheme="minorHAnsi" w:hAnsiTheme="minorHAnsi" w:cstheme="minorHAnsi"/>
          <w:sz w:val="24"/>
          <w:szCs w:val="24"/>
        </w:rPr>
        <w:t>or overarching theme</w:t>
      </w:r>
      <w:r w:rsidRPr="003552EF">
        <w:rPr>
          <w:rFonts w:asciiTheme="minorHAnsi" w:hAnsiTheme="minorHAnsi" w:cstheme="minorHAnsi"/>
          <w:sz w:val="24"/>
          <w:szCs w:val="24"/>
        </w:rPr>
        <w:t>.</w:t>
      </w:r>
      <w:r w:rsidR="00227DB2" w:rsidRPr="003552EF">
        <w:rPr>
          <w:rFonts w:asciiTheme="minorHAnsi" w:hAnsiTheme="minorHAnsi" w:cstheme="minorHAnsi"/>
          <w:sz w:val="24"/>
          <w:szCs w:val="24"/>
        </w:rPr>
        <w:t xml:space="preserve"> Such themes also should be connected to the BDT’s thematic priorities and the regional priorities identified by members.</w:t>
      </w:r>
    </w:p>
    <w:p w14:paraId="13B2E670" w14:textId="68202BD7"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 xml:space="preserve">In this sense, it may be </w:t>
      </w:r>
      <w:r w:rsidR="0086120E" w:rsidRPr="003552EF">
        <w:rPr>
          <w:rFonts w:asciiTheme="minorHAnsi" w:hAnsiTheme="minorHAnsi" w:cstheme="minorHAnsi"/>
          <w:sz w:val="24"/>
          <w:szCs w:val="24"/>
        </w:rPr>
        <w:t>useful if</w:t>
      </w:r>
      <w:r w:rsidRPr="003552EF">
        <w:rPr>
          <w:rFonts w:asciiTheme="minorHAnsi" w:hAnsiTheme="minorHAnsi" w:cstheme="minorHAnsi"/>
          <w:sz w:val="24"/>
          <w:szCs w:val="24"/>
        </w:rPr>
        <w:t xml:space="preserve"> the high level speakers from Member States </w:t>
      </w:r>
      <w:r w:rsidR="0086120E" w:rsidRPr="003552EF">
        <w:rPr>
          <w:rFonts w:asciiTheme="minorHAnsi" w:hAnsiTheme="minorHAnsi" w:cstheme="minorHAnsi"/>
          <w:sz w:val="24"/>
          <w:szCs w:val="24"/>
        </w:rPr>
        <w:t xml:space="preserve">and other stakeholders </w:t>
      </w:r>
      <w:r w:rsidRPr="003552EF">
        <w:rPr>
          <w:rFonts w:asciiTheme="minorHAnsi" w:hAnsiTheme="minorHAnsi" w:cstheme="minorHAnsi"/>
          <w:sz w:val="24"/>
          <w:szCs w:val="24"/>
        </w:rPr>
        <w:t xml:space="preserve">be engaged in </w:t>
      </w:r>
      <w:r w:rsidR="00DE0E1D" w:rsidRPr="003552EF">
        <w:rPr>
          <w:rFonts w:asciiTheme="minorHAnsi" w:hAnsiTheme="minorHAnsi" w:cstheme="minorHAnsi"/>
          <w:sz w:val="24"/>
          <w:szCs w:val="24"/>
        </w:rPr>
        <w:t>helping to refine</w:t>
      </w:r>
      <w:r w:rsidRPr="003552EF">
        <w:rPr>
          <w:rFonts w:asciiTheme="minorHAnsi" w:hAnsiTheme="minorHAnsi" w:cstheme="minorHAnsi"/>
          <w:sz w:val="24"/>
          <w:szCs w:val="24"/>
        </w:rPr>
        <w:t xml:space="preserve"> thematic panels, Workshops or even in any parallel event (if agreed)</w:t>
      </w:r>
      <w:r w:rsidR="00DE0E1D" w:rsidRPr="003552EF">
        <w:rPr>
          <w:rFonts w:asciiTheme="minorHAnsi" w:hAnsiTheme="minorHAnsi" w:cstheme="minorHAnsi"/>
          <w:sz w:val="24"/>
          <w:szCs w:val="24"/>
        </w:rPr>
        <w:t xml:space="preserve"> to reflect their own expertise and experiences</w:t>
      </w:r>
      <w:r w:rsidRPr="003552EF">
        <w:rPr>
          <w:rFonts w:asciiTheme="minorHAnsi" w:hAnsiTheme="minorHAnsi" w:cstheme="minorHAnsi"/>
          <w:sz w:val="24"/>
          <w:szCs w:val="24"/>
        </w:rPr>
        <w:t xml:space="preserve">. Taking into account the historical number of speakers, it is very much likely that some of thematic sessions be dedicated exclusively to HLS speakers. </w:t>
      </w:r>
      <w:r w:rsidRPr="003552EF">
        <w:rPr>
          <w:rFonts w:asciiTheme="minorHAnsi" w:hAnsiTheme="minorHAnsi" w:cstheme="minorHAnsi"/>
          <w:b/>
          <w:sz w:val="24"/>
          <w:szCs w:val="24"/>
        </w:rPr>
        <w:t>What should be prioritized is that the HLS does not occupy time from the Conference itself, ensuring that from the first day the Conference</w:t>
      </w:r>
      <w:r w:rsidR="003552EF">
        <w:rPr>
          <w:rFonts w:asciiTheme="minorHAnsi" w:hAnsiTheme="minorHAnsi" w:cstheme="minorHAnsi"/>
          <w:b/>
          <w:sz w:val="24"/>
          <w:szCs w:val="24"/>
        </w:rPr>
        <w:t xml:space="preserve"> </w:t>
      </w:r>
      <w:r w:rsidRPr="003552EF">
        <w:rPr>
          <w:rFonts w:asciiTheme="minorHAnsi" w:hAnsiTheme="minorHAnsi" w:cstheme="minorHAnsi"/>
          <w:b/>
          <w:sz w:val="24"/>
          <w:szCs w:val="24"/>
        </w:rPr>
        <w:t>starts working on the topics of the Agenda.</w:t>
      </w:r>
      <w:r w:rsidR="00E8096D" w:rsidRPr="003552EF">
        <w:rPr>
          <w:rFonts w:asciiTheme="minorHAnsi" w:hAnsiTheme="minorHAnsi" w:cstheme="minorHAnsi"/>
          <w:sz w:val="24"/>
          <w:szCs w:val="24"/>
        </w:rPr>
        <w:t xml:space="preserve"> Thematic events should be oriented towards advancing the work of the Conference.</w:t>
      </w:r>
      <w:r w:rsidR="003552EF">
        <w:rPr>
          <w:rFonts w:asciiTheme="minorHAnsi" w:hAnsiTheme="minorHAnsi" w:cstheme="minorHAnsi"/>
          <w:sz w:val="24"/>
          <w:szCs w:val="24"/>
        </w:rPr>
        <w:t xml:space="preserve"> </w:t>
      </w:r>
      <w:r w:rsidR="00E8096D" w:rsidRPr="003552EF">
        <w:rPr>
          <w:rFonts w:asciiTheme="minorHAnsi" w:hAnsiTheme="minorHAnsi" w:cstheme="minorHAnsi"/>
          <w:sz w:val="24"/>
          <w:szCs w:val="24"/>
        </w:rPr>
        <w:t>The development track also should aim to conclude after 2-3 days to maximize s</w:t>
      </w:r>
      <w:r w:rsidR="00A85857" w:rsidRPr="003552EF">
        <w:rPr>
          <w:rFonts w:asciiTheme="minorHAnsi" w:hAnsiTheme="minorHAnsi" w:cstheme="minorHAnsi"/>
          <w:sz w:val="24"/>
          <w:szCs w:val="24"/>
        </w:rPr>
        <w:t>e</w:t>
      </w:r>
      <w:r w:rsidR="00E8096D" w:rsidRPr="003552EF">
        <w:rPr>
          <w:rFonts w:asciiTheme="minorHAnsi" w:hAnsiTheme="minorHAnsi" w:cstheme="minorHAnsi"/>
          <w:sz w:val="24"/>
          <w:szCs w:val="24"/>
        </w:rPr>
        <w:t>nior level participation and attendance.</w:t>
      </w:r>
    </w:p>
    <w:p w14:paraId="7E978F56" w14:textId="17C259AA"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 xml:space="preserve">For organizational purposes, the deadline to register representatives to the HLS must be determined well in advance and enforced. This will allow the BDT to sort out the space in which each Member will speak (with the possibility of new arrangements, as appropriate). Another suggestion is to give Member States </w:t>
      </w:r>
      <w:r w:rsidR="00A85857" w:rsidRPr="003552EF">
        <w:rPr>
          <w:rFonts w:asciiTheme="minorHAnsi" w:hAnsiTheme="minorHAnsi" w:cstheme="minorHAnsi"/>
          <w:sz w:val="24"/>
          <w:szCs w:val="24"/>
        </w:rPr>
        <w:t xml:space="preserve">and other Stakeholders </w:t>
      </w:r>
      <w:r w:rsidRPr="003552EF">
        <w:rPr>
          <w:rFonts w:asciiTheme="minorHAnsi" w:hAnsiTheme="minorHAnsi" w:cstheme="minorHAnsi"/>
          <w:sz w:val="24"/>
          <w:szCs w:val="24"/>
        </w:rPr>
        <w:t>the opportunity to choose in which session they will participate, with due consideration to regional and gender balance in each session.</w:t>
      </w:r>
    </w:p>
    <w:p w14:paraId="1762C19E" w14:textId="5A780514"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It is also possible to think about a Round Table format where senior officials from Member States share a panel with representatives or high</w:t>
      </w:r>
      <w:r w:rsidR="007C13E4">
        <w:rPr>
          <w:rFonts w:asciiTheme="minorHAnsi" w:hAnsiTheme="minorHAnsi" w:cstheme="minorHAnsi"/>
          <w:sz w:val="24"/>
          <w:szCs w:val="24"/>
        </w:rPr>
        <w:t>-</w:t>
      </w:r>
      <w:r w:rsidRPr="003552EF">
        <w:rPr>
          <w:rFonts w:asciiTheme="minorHAnsi" w:hAnsiTheme="minorHAnsi" w:cstheme="minorHAnsi"/>
          <w:sz w:val="24"/>
          <w:szCs w:val="24"/>
        </w:rPr>
        <w:t>level officials from other stakeholders, especially donor institutions. It would be expected that from the different deliberations, proposals for development projects would be identified, taking into account the regional priorities, in which the role of each stakeholder is determined, as well as the funding source and a future work plan.</w:t>
      </w:r>
    </w:p>
    <w:p w14:paraId="235AF8A6" w14:textId="77777777" w:rsidR="001540A2" w:rsidRPr="003552EF" w:rsidRDefault="001540A2" w:rsidP="007C13E4">
      <w:pPr>
        <w:pStyle w:val="ListParagraph"/>
        <w:keepNext/>
        <w:numPr>
          <w:ilvl w:val="0"/>
          <w:numId w:val="7"/>
        </w:numPr>
        <w:spacing w:before="120" w:after="0"/>
        <w:ind w:left="357" w:hanging="357"/>
        <w:rPr>
          <w:rFonts w:cstheme="minorHAnsi"/>
          <w:sz w:val="24"/>
          <w:szCs w:val="24"/>
          <w:lang w:val="en-US"/>
        </w:rPr>
      </w:pPr>
      <w:r w:rsidRPr="003552EF">
        <w:rPr>
          <w:rFonts w:cstheme="minorHAnsi"/>
          <w:sz w:val="24"/>
          <w:szCs w:val="24"/>
          <w:lang w:val="en-US"/>
        </w:rPr>
        <w:t xml:space="preserve">What theme or themes (connected to development challenges and membership priorities) should be established for WTDC-21, and how should the theme(s) be connected to the content and structure of the conference? </w:t>
      </w:r>
    </w:p>
    <w:p w14:paraId="3A727A19" w14:textId="22BA2825" w:rsidR="00E4702B" w:rsidRPr="003552EF" w:rsidRDefault="006E40EA" w:rsidP="007C13E4">
      <w:pPr>
        <w:spacing w:before="120"/>
        <w:rPr>
          <w:rFonts w:asciiTheme="minorHAnsi" w:hAnsiTheme="minorHAnsi" w:cstheme="minorHAnsi"/>
          <w:sz w:val="24"/>
          <w:szCs w:val="24"/>
        </w:rPr>
      </w:pPr>
      <w:r w:rsidRPr="003552EF">
        <w:rPr>
          <w:rFonts w:asciiTheme="minorHAnsi" w:hAnsiTheme="minorHAnsi" w:cstheme="minorHAnsi"/>
          <w:sz w:val="24"/>
          <w:szCs w:val="24"/>
        </w:rPr>
        <w:t>The theme should focus on promoting universal, secure, affordable connectivity and connecting the unconnected, with due consideration to the role of telecommunications/ICT connectivity in advancing the Sustainable Development Goals (SDGs), and addressing the particular needs of vulnerable sectors (indigenous populations, women, the elderly, etc).</w:t>
      </w:r>
      <w:r w:rsidR="003552EF">
        <w:rPr>
          <w:rFonts w:asciiTheme="minorHAnsi" w:hAnsiTheme="minorHAnsi" w:cstheme="minorHAnsi"/>
          <w:sz w:val="24"/>
          <w:szCs w:val="24"/>
        </w:rPr>
        <w:t xml:space="preserve"> </w:t>
      </w:r>
      <w:r w:rsidRPr="003552EF">
        <w:rPr>
          <w:rFonts w:asciiTheme="minorHAnsi" w:hAnsiTheme="minorHAnsi" w:cstheme="minorHAnsi"/>
          <w:sz w:val="24"/>
          <w:szCs w:val="24"/>
        </w:rPr>
        <w:t xml:space="preserve">In light of COVID-19, the Conference could focus on related experiences, challenges and opportunities and address </w:t>
      </w:r>
      <w:r w:rsidRPr="003552EF">
        <w:rPr>
          <w:rFonts w:asciiTheme="minorHAnsi" w:hAnsiTheme="minorHAnsi" w:cstheme="minorHAnsi"/>
          <w:color w:val="000000" w:themeColor="text1"/>
          <w:sz w:val="24"/>
          <w:szCs w:val="24"/>
          <w:bdr w:val="none" w:sz="0" w:space="0" w:color="auto" w:frame="1"/>
        </w:rPr>
        <w:t>its impact on advancing telecommunications/ICT connectivity</w:t>
      </w:r>
      <w:r w:rsidRPr="003552EF">
        <w:rPr>
          <w:rFonts w:asciiTheme="minorHAnsi" w:hAnsiTheme="minorHAnsi" w:cstheme="minorHAnsi"/>
          <w:sz w:val="24"/>
          <w:szCs w:val="24"/>
        </w:rPr>
        <w:t>.</w:t>
      </w:r>
      <w:r w:rsidR="00F74C00" w:rsidRPr="003552EF">
        <w:rPr>
          <w:rFonts w:asciiTheme="minorHAnsi" w:hAnsiTheme="minorHAnsi" w:cstheme="minorHAnsi"/>
          <w:sz w:val="24"/>
          <w:szCs w:val="24"/>
        </w:rPr>
        <w:t xml:space="preserve"> </w:t>
      </w:r>
      <w:r w:rsidR="00E4702B" w:rsidRPr="003552EF">
        <w:rPr>
          <w:rFonts w:asciiTheme="minorHAnsi" w:hAnsiTheme="minorHAnsi" w:cstheme="minorHAnsi"/>
          <w:sz w:val="24"/>
          <w:szCs w:val="24"/>
        </w:rPr>
        <w:t>Stemming from this overarching theme, panels could elaborate upon certain areas such as rural infrastructure development, collaborative policymaking, digital inclusion, barriers to adoption and deployment of telecommunications/ICTs, or an exchange among donor agencies regarding ways to better attract funding and investment.</w:t>
      </w:r>
      <w:r w:rsidR="003552EF">
        <w:rPr>
          <w:rFonts w:asciiTheme="minorHAnsi" w:hAnsiTheme="minorHAnsi" w:cstheme="minorHAnsi"/>
          <w:sz w:val="24"/>
          <w:szCs w:val="24"/>
        </w:rPr>
        <w:t xml:space="preserve"> </w:t>
      </w:r>
    </w:p>
    <w:p w14:paraId="34686413" w14:textId="77777777" w:rsidR="001540A2" w:rsidRPr="003552EF" w:rsidRDefault="001540A2" w:rsidP="007C13E4">
      <w:pPr>
        <w:pStyle w:val="ListParagraph"/>
        <w:keepNext/>
        <w:numPr>
          <w:ilvl w:val="0"/>
          <w:numId w:val="7"/>
        </w:numPr>
        <w:spacing w:before="120" w:after="0"/>
        <w:ind w:left="357" w:hanging="357"/>
        <w:rPr>
          <w:rFonts w:cstheme="minorHAnsi"/>
          <w:sz w:val="24"/>
          <w:szCs w:val="24"/>
          <w:lang w:val="en-US"/>
        </w:rPr>
      </w:pPr>
      <w:r w:rsidRPr="003552EF">
        <w:rPr>
          <w:rFonts w:cstheme="minorHAnsi"/>
          <w:sz w:val="24"/>
          <w:szCs w:val="24"/>
          <w:lang w:val="en-US"/>
        </w:rPr>
        <w:t>What high-level participants should be invited to chair and/or deliver keynote speeches on the theme(s) selected?</w:t>
      </w:r>
    </w:p>
    <w:p w14:paraId="23D3F117" w14:textId="05AA4E1E"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 xml:space="preserve">It would be important to identify a list of special guests, including a short list of "top or star guests." </w:t>
      </w:r>
      <w:r w:rsidR="00E4702B" w:rsidRPr="003552EF">
        <w:rPr>
          <w:rFonts w:asciiTheme="minorHAnsi" w:hAnsiTheme="minorHAnsi" w:cstheme="minorHAnsi"/>
          <w:sz w:val="24"/>
          <w:szCs w:val="24"/>
        </w:rPr>
        <w:t>If the focus is on action-oriented dialogues, experts with operational/execution experience should be consi</w:t>
      </w:r>
      <w:r w:rsidR="00645015" w:rsidRPr="003552EF">
        <w:rPr>
          <w:rFonts w:asciiTheme="minorHAnsi" w:hAnsiTheme="minorHAnsi" w:cstheme="minorHAnsi"/>
          <w:sz w:val="24"/>
          <w:szCs w:val="24"/>
        </w:rPr>
        <w:t>d</w:t>
      </w:r>
      <w:r w:rsidR="00E4702B" w:rsidRPr="003552EF">
        <w:rPr>
          <w:rFonts w:asciiTheme="minorHAnsi" w:hAnsiTheme="minorHAnsi" w:cstheme="minorHAnsi"/>
          <w:sz w:val="24"/>
          <w:szCs w:val="24"/>
        </w:rPr>
        <w:t>ered.</w:t>
      </w:r>
    </w:p>
    <w:p w14:paraId="408C93A7" w14:textId="5923493C" w:rsidR="001540A2" w:rsidRPr="003552EF" w:rsidRDefault="001540A2" w:rsidP="007C13E4">
      <w:pPr>
        <w:spacing w:before="120"/>
        <w:rPr>
          <w:rFonts w:asciiTheme="minorHAnsi" w:hAnsiTheme="minorHAnsi" w:cstheme="minorHAnsi"/>
          <w:sz w:val="24"/>
          <w:szCs w:val="24"/>
        </w:rPr>
      </w:pPr>
      <w:r w:rsidRPr="003552EF">
        <w:rPr>
          <w:rFonts w:asciiTheme="minorHAnsi" w:hAnsiTheme="minorHAnsi" w:cstheme="minorHAnsi"/>
          <w:sz w:val="24"/>
          <w:szCs w:val="24"/>
        </w:rPr>
        <w:t>These guests could lead specific sessions within the Conference agenda, on topics such as financing of ICT development projects, operation of development agencies and banks and methodology to access their credit lines, etc.</w:t>
      </w:r>
    </w:p>
    <w:p w14:paraId="6C0942B6" w14:textId="77777777" w:rsidR="001540A2" w:rsidRPr="003552EF" w:rsidRDefault="001540A2" w:rsidP="007C13E4">
      <w:pPr>
        <w:spacing w:before="120"/>
        <w:rPr>
          <w:rFonts w:asciiTheme="minorHAnsi" w:hAnsiTheme="minorHAnsi" w:cstheme="minorHAnsi"/>
          <w:b/>
          <w:sz w:val="24"/>
          <w:szCs w:val="24"/>
        </w:rPr>
      </w:pPr>
      <w:r w:rsidRPr="003552EF">
        <w:rPr>
          <w:rFonts w:asciiTheme="minorHAnsi" w:hAnsiTheme="minorHAnsi" w:cstheme="minorHAnsi"/>
          <w:sz w:val="24"/>
          <w:szCs w:val="24"/>
        </w:rPr>
        <w:t>For greater success, a strong promotional campaign of WTCD-21 must be developed and implemented, highlighting its new imprint</w:t>
      </w:r>
      <w:r w:rsidRPr="003552EF">
        <w:rPr>
          <w:rFonts w:asciiTheme="minorHAnsi" w:hAnsiTheme="minorHAnsi" w:cstheme="minorHAnsi"/>
          <w:b/>
          <w:sz w:val="24"/>
          <w:szCs w:val="24"/>
        </w:rPr>
        <w:t>.</w:t>
      </w:r>
    </w:p>
    <w:p w14:paraId="554C3317" w14:textId="77777777" w:rsidR="001540A2" w:rsidRPr="003552EF" w:rsidRDefault="001540A2" w:rsidP="007C13E4">
      <w:pPr>
        <w:keepNext/>
        <w:spacing w:before="240" w:after="120"/>
        <w:rPr>
          <w:rFonts w:asciiTheme="minorHAnsi" w:hAnsiTheme="minorHAnsi" w:cstheme="minorHAnsi"/>
          <w:b/>
          <w:sz w:val="24"/>
          <w:szCs w:val="24"/>
          <w:u w:val="single"/>
        </w:rPr>
      </w:pPr>
      <w:r w:rsidRPr="003552EF">
        <w:rPr>
          <w:rFonts w:asciiTheme="minorHAnsi" w:hAnsiTheme="minorHAnsi" w:cstheme="minorHAnsi"/>
          <w:b/>
          <w:sz w:val="24"/>
          <w:szCs w:val="24"/>
          <w:u w:val="single"/>
        </w:rPr>
        <w:t>CONCLUSION:</w:t>
      </w:r>
    </w:p>
    <w:p w14:paraId="2543FA00" w14:textId="35594D24" w:rsidR="001540A2" w:rsidRPr="003552EF" w:rsidRDefault="001540A2" w:rsidP="007C13E4">
      <w:pPr>
        <w:pStyle w:val="ListParagraph"/>
        <w:keepNext/>
        <w:numPr>
          <w:ilvl w:val="0"/>
          <w:numId w:val="6"/>
        </w:numPr>
        <w:spacing w:before="120" w:after="0"/>
        <w:ind w:left="357" w:hanging="357"/>
        <w:rPr>
          <w:rFonts w:cstheme="minorHAnsi"/>
          <w:sz w:val="24"/>
          <w:szCs w:val="24"/>
          <w:lang w:val="en-US"/>
        </w:rPr>
      </w:pPr>
      <w:r w:rsidRPr="003552EF">
        <w:rPr>
          <w:rFonts w:cstheme="minorHAnsi"/>
          <w:sz w:val="24"/>
          <w:szCs w:val="24"/>
          <w:lang w:val="en-US"/>
        </w:rPr>
        <w:t>Realization of</w:t>
      </w:r>
      <w:r w:rsidR="003552EF">
        <w:rPr>
          <w:rFonts w:cstheme="minorHAnsi"/>
          <w:sz w:val="24"/>
          <w:szCs w:val="24"/>
          <w:lang w:val="en-US"/>
        </w:rPr>
        <w:t xml:space="preserve"> </w:t>
      </w:r>
      <w:r w:rsidR="00645015" w:rsidRPr="003552EF">
        <w:rPr>
          <w:rFonts w:cstheme="minorHAnsi"/>
          <w:sz w:val="24"/>
          <w:szCs w:val="24"/>
          <w:lang w:val="en-US"/>
        </w:rPr>
        <w:t xml:space="preserve">up to 3 </w:t>
      </w:r>
      <w:r w:rsidRPr="003552EF">
        <w:rPr>
          <w:rFonts w:cstheme="minorHAnsi"/>
          <w:sz w:val="24"/>
          <w:szCs w:val="24"/>
          <w:lang w:val="en-US"/>
        </w:rPr>
        <w:t>IRMs before the Conference;</w:t>
      </w:r>
    </w:p>
    <w:p w14:paraId="3BDA86C0" w14:textId="77777777" w:rsidR="001540A2" w:rsidRPr="003552EF" w:rsidRDefault="001540A2" w:rsidP="007C13E4">
      <w:pPr>
        <w:pStyle w:val="ListParagraph"/>
        <w:numPr>
          <w:ilvl w:val="0"/>
          <w:numId w:val="6"/>
        </w:numPr>
        <w:spacing w:before="60" w:after="0"/>
        <w:ind w:left="357" w:hanging="357"/>
        <w:contextualSpacing w:val="0"/>
        <w:rPr>
          <w:rFonts w:cstheme="minorHAnsi"/>
          <w:sz w:val="24"/>
          <w:szCs w:val="24"/>
          <w:lang w:val="en-US"/>
        </w:rPr>
      </w:pPr>
      <w:r w:rsidRPr="003552EF">
        <w:rPr>
          <w:rFonts w:cstheme="minorHAnsi"/>
          <w:sz w:val="24"/>
          <w:szCs w:val="24"/>
          <w:lang w:val="en-US"/>
        </w:rPr>
        <w:t>WG-Prep and WG-RDPT can advise the TDAG to formulate the Agenda for IRMs;</w:t>
      </w:r>
    </w:p>
    <w:p w14:paraId="497048CB" w14:textId="6B0937E2" w:rsidR="001540A2" w:rsidRPr="003552EF" w:rsidRDefault="001540A2" w:rsidP="007C13E4">
      <w:pPr>
        <w:pStyle w:val="ListParagraph"/>
        <w:numPr>
          <w:ilvl w:val="0"/>
          <w:numId w:val="6"/>
        </w:numPr>
        <w:spacing w:before="60" w:after="0"/>
        <w:ind w:left="357" w:hanging="357"/>
        <w:contextualSpacing w:val="0"/>
        <w:rPr>
          <w:rFonts w:cstheme="minorHAnsi"/>
          <w:sz w:val="24"/>
          <w:szCs w:val="24"/>
          <w:lang w:val="en-US"/>
        </w:rPr>
      </w:pPr>
      <w:r w:rsidRPr="003552EF">
        <w:rPr>
          <w:rFonts w:cstheme="minorHAnsi"/>
          <w:sz w:val="24"/>
          <w:szCs w:val="24"/>
          <w:lang w:val="en-US"/>
        </w:rPr>
        <w:t>Regional preparatory process to discuss Regional Priorities/Initiatives, revise or draft Resolutions, Study Groups/Questions related matters and guidelines for the Declaration;</w:t>
      </w:r>
      <w:r w:rsidR="003552EF">
        <w:rPr>
          <w:rFonts w:cstheme="minorHAnsi"/>
          <w:sz w:val="24"/>
          <w:szCs w:val="24"/>
          <w:lang w:val="en-US"/>
        </w:rPr>
        <w:t xml:space="preserve"> </w:t>
      </w:r>
    </w:p>
    <w:p w14:paraId="73A573CD" w14:textId="77777777" w:rsidR="001540A2" w:rsidRPr="003552EF" w:rsidRDefault="001540A2" w:rsidP="007C13E4">
      <w:pPr>
        <w:pStyle w:val="ListParagraph"/>
        <w:numPr>
          <w:ilvl w:val="0"/>
          <w:numId w:val="6"/>
        </w:numPr>
        <w:spacing w:before="60" w:after="0"/>
        <w:ind w:left="357" w:hanging="357"/>
        <w:contextualSpacing w:val="0"/>
        <w:rPr>
          <w:rFonts w:cstheme="minorHAnsi"/>
          <w:sz w:val="24"/>
          <w:szCs w:val="24"/>
          <w:lang w:val="en-US"/>
        </w:rPr>
      </w:pPr>
      <w:r w:rsidRPr="003552EF">
        <w:rPr>
          <w:rFonts w:cstheme="minorHAnsi"/>
          <w:sz w:val="24"/>
          <w:szCs w:val="24"/>
          <w:lang w:val="en-US"/>
        </w:rPr>
        <w:t>Realization of Thematic Seminars/Workshops both in the framework of RPMs/RDF and the WTDC;</w:t>
      </w:r>
    </w:p>
    <w:p w14:paraId="2D587A6E" w14:textId="203C589F" w:rsidR="001540A2" w:rsidRPr="003552EF" w:rsidRDefault="001540A2" w:rsidP="007C13E4">
      <w:pPr>
        <w:pStyle w:val="ListParagraph"/>
        <w:numPr>
          <w:ilvl w:val="0"/>
          <w:numId w:val="6"/>
        </w:numPr>
        <w:spacing w:before="60" w:after="0"/>
        <w:ind w:left="357" w:hanging="357"/>
        <w:contextualSpacing w:val="0"/>
        <w:rPr>
          <w:rFonts w:cstheme="minorHAnsi"/>
          <w:sz w:val="24"/>
          <w:szCs w:val="24"/>
          <w:lang w:val="en-US"/>
        </w:rPr>
      </w:pPr>
      <w:r w:rsidRPr="003552EF">
        <w:rPr>
          <w:rFonts w:cstheme="minorHAnsi"/>
          <w:sz w:val="24"/>
          <w:szCs w:val="24"/>
          <w:lang w:val="en-US"/>
        </w:rPr>
        <w:t xml:space="preserve">High Level Segment with tailor made events for </w:t>
      </w:r>
      <w:r w:rsidR="00B93AA1" w:rsidRPr="003552EF">
        <w:rPr>
          <w:rFonts w:cstheme="minorHAnsi"/>
          <w:sz w:val="24"/>
          <w:szCs w:val="24"/>
          <w:lang w:val="en-US"/>
        </w:rPr>
        <w:t>senior level officials and stakeholders</w:t>
      </w:r>
      <w:r w:rsidRPr="003552EF">
        <w:rPr>
          <w:rFonts w:cstheme="minorHAnsi"/>
          <w:sz w:val="24"/>
          <w:szCs w:val="24"/>
          <w:lang w:val="en-US"/>
        </w:rPr>
        <w:t>,;</w:t>
      </w:r>
    </w:p>
    <w:p w14:paraId="365DAAA6" w14:textId="77777777" w:rsidR="001540A2" w:rsidRPr="003552EF" w:rsidRDefault="001540A2" w:rsidP="007C13E4">
      <w:pPr>
        <w:pStyle w:val="ListParagraph"/>
        <w:numPr>
          <w:ilvl w:val="0"/>
          <w:numId w:val="6"/>
        </w:numPr>
        <w:spacing w:before="60" w:after="0"/>
        <w:ind w:left="357" w:hanging="357"/>
        <w:contextualSpacing w:val="0"/>
        <w:rPr>
          <w:rFonts w:cstheme="minorHAnsi"/>
          <w:sz w:val="24"/>
          <w:szCs w:val="24"/>
          <w:lang w:val="en-US"/>
        </w:rPr>
      </w:pPr>
      <w:r w:rsidRPr="003552EF">
        <w:rPr>
          <w:rFonts w:cstheme="minorHAnsi"/>
          <w:sz w:val="24"/>
          <w:szCs w:val="24"/>
          <w:lang w:val="en-US"/>
        </w:rPr>
        <w:t>Engagement of High Level Authorities from Member States, Sector Members, Academia and other "external Stakeholders" (Non-Governmental Organizations, Financial Institutions and development banks, etc) to design development projects;</w:t>
      </w:r>
    </w:p>
    <w:p w14:paraId="4268703B" w14:textId="77777777" w:rsidR="001540A2" w:rsidRPr="003552EF" w:rsidRDefault="001540A2" w:rsidP="007C13E4">
      <w:pPr>
        <w:pStyle w:val="ListParagraph"/>
        <w:numPr>
          <w:ilvl w:val="0"/>
          <w:numId w:val="6"/>
        </w:numPr>
        <w:spacing w:before="60" w:after="0"/>
        <w:ind w:left="357" w:hanging="357"/>
        <w:contextualSpacing w:val="0"/>
        <w:rPr>
          <w:rFonts w:cstheme="minorHAnsi"/>
          <w:sz w:val="24"/>
          <w:szCs w:val="24"/>
          <w:lang w:val="en-US"/>
        </w:rPr>
      </w:pPr>
      <w:r w:rsidRPr="003552EF">
        <w:rPr>
          <w:rFonts w:cstheme="minorHAnsi"/>
          <w:sz w:val="24"/>
          <w:szCs w:val="24"/>
          <w:lang w:val="en-US"/>
        </w:rPr>
        <w:t>Importance of involving and listening to potential beneficiaries or recipients;</w:t>
      </w:r>
    </w:p>
    <w:p w14:paraId="3BA65DAD" w14:textId="20BB31BC" w:rsidR="001540A2" w:rsidRPr="003552EF" w:rsidRDefault="00F74C00" w:rsidP="007C13E4">
      <w:pPr>
        <w:pStyle w:val="ListParagraph"/>
        <w:numPr>
          <w:ilvl w:val="0"/>
          <w:numId w:val="6"/>
        </w:numPr>
        <w:spacing w:before="60" w:after="0"/>
        <w:ind w:left="357" w:hanging="357"/>
        <w:contextualSpacing w:val="0"/>
        <w:rPr>
          <w:rFonts w:cstheme="minorHAnsi"/>
          <w:sz w:val="24"/>
          <w:szCs w:val="24"/>
          <w:lang w:val="en-US"/>
        </w:rPr>
      </w:pPr>
      <w:r w:rsidRPr="003552EF">
        <w:rPr>
          <w:rFonts w:cstheme="minorHAnsi"/>
          <w:sz w:val="24"/>
          <w:szCs w:val="24"/>
          <w:lang w:val="en-US"/>
        </w:rPr>
        <w:t>I</w:t>
      </w:r>
      <w:r w:rsidR="001540A2" w:rsidRPr="003552EF">
        <w:rPr>
          <w:rFonts w:cstheme="minorHAnsi"/>
          <w:sz w:val="24"/>
          <w:szCs w:val="24"/>
          <w:lang w:val="en-US"/>
        </w:rPr>
        <w:t>ssues in line with the SDGs, also taking into account the experience of COVID-19;</w:t>
      </w:r>
    </w:p>
    <w:p w14:paraId="7864924E" w14:textId="6A7B7946" w:rsidR="001540A2" w:rsidRPr="003552EF" w:rsidRDefault="001540A2" w:rsidP="007C13E4">
      <w:pPr>
        <w:pStyle w:val="ListParagraph"/>
        <w:numPr>
          <w:ilvl w:val="0"/>
          <w:numId w:val="6"/>
        </w:numPr>
        <w:spacing w:before="60" w:after="0"/>
        <w:ind w:left="357" w:hanging="357"/>
        <w:contextualSpacing w:val="0"/>
        <w:rPr>
          <w:rFonts w:cstheme="minorHAnsi"/>
          <w:sz w:val="24"/>
          <w:szCs w:val="24"/>
          <w:lang w:val="en-US"/>
        </w:rPr>
      </w:pPr>
      <w:r w:rsidRPr="003552EF">
        <w:rPr>
          <w:rFonts w:cstheme="minorHAnsi"/>
          <w:sz w:val="24"/>
          <w:szCs w:val="24"/>
          <w:lang w:val="en-US"/>
        </w:rPr>
        <w:t>Connectivity as a goal, especially considering the needs of vulnerable sectors (indigenous populations, women, the elderly,</w:t>
      </w:r>
      <w:r w:rsidR="00FC7F05" w:rsidRPr="003552EF">
        <w:rPr>
          <w:rFonts w:cstheme="minorHAnsi"/>
          <w:sz w:val="24"/>
          <w:szCs w:val="24"/>
          <w:lang w:val="en-US"/>
        </w:rPr>
        <w:t xml:space="preserve"> people with disabilities</w:t>
      </w:r>
      <w:r w:rsidRPr="003552EF">
        <w:rPr>
          <w:rFonts w:cstheme="minorHAnsi"/>
          <w:sz w:val="24"/>
          <w:szCs w:val="24"/>
          <w:lang w:val="en-US"/>
        </w:rPr>
        <w:t xml:space="preserve"> etc.);</w:t>
      </w:r>
    </w:p>
    <w:p w14:paraId="454DC015" w14:textId="1DE86A18" w:rsidR="001540A2" w:rsidRPr="003552EF" w:rsidRDefault="001540A2" w:rsidP="007C13E4">
      <w:pPr>
        <w:pStyle w:val="ListParagraph"/>
        <w:numPr>
          <w:ilvl w:val="0"/>
          <w:numId w:val="6"/>
        </w:numPr>
        <w:spacing w:before="60" w:after="0"/>
        <w:ind w:left="357" w:hanging="357"/>
        <w:contextualSpacing w:val="0"/>
        <w:rPr>
          <w:rFonts w:cstheme="minorHAnsi"/>
          <w:sz w:val="24"/>
          <w:szCs w:val="24"/>
          <w:lang w:val="en-US"/>
        </w:rPr>
      </w:pPr>
      <w:r w:rsidRPr="003552EF">
        <w:rPr>
          <w:rFonts w:cstheme="minorHAnsi"/>
          <w:sz w:val="24"/>
          <w:szCs w:val="24"/>
          <w:lang w:val="en-US"/>
        </w:rPr>
        <w:t xml:space="preserve">Accessibility of content and devices for people with </w:t>
      </w:r>
      <w:r w:rsidR="00593AE7" w:rsidRPr="003552EF">
        <w:rPr>
          <w:rFonts w:cstheme="minorHAnsi"/>
          <w:sz w:val="24"/>
          <w:szCs w:val="24"/>
          <w:lang w:val="en-US"/>
        </w:rPr>
        <w:t>disabilities and people with special needs</w:t>
      </w:r>
      <w:r w:rsidRPr="003552EF">
        <w:rPr>
          <w:rFonts w:cstheme="minorHAnsi"/>
          <w:sz w:val="24"/>
          <w:szCs w:val="24"/>
          <w:lang w:val="en-US"/>
        </w:rPr>
        <w:t>, also considering multilingualism.</w:t>
      </w:r>
    </w:p>
    <w:p w14:paraId="52CEC84F" w14:textId="591BBB30" w:rsidR="00620569" w:rsidRPr="003552EF" w:rsidRDefault="003552EF" w:rsidP="003552EF">
      <w:pPr>
        <w:tabs>
          <w:tab w:val="left" w:pos="699"/>
          <w:tab w:val="left" w:pos="1080"/>
          <w:tab w:val="left" w:pos="7257"/>
          <w:tab w:val="left" w:pos="7920"/>
          <w:tab w:val="left" w:pos="8508"/>
          <w:tab w:val="left" w:pos="9216"/>
        </w:tabs>
        <w:spacing w:before="120" w:after="120"/>
        <w:jc w:val="center"/>
        <w:rPr>
          <w:rFonts w:asciiTheme="minorHAnsi" w:hAnsiTheme="minorHAnsi" w:cstheme="minorHAnsi"/>
          <w:bCs/>
          <w:sz w:val="24"/>
          <w:szCs w:val="24"/>
        </w:rPr>
      </w:pPr>
      <w:r w:rsidRPr="003552EF">
        <w:rPr>
          <w:rFonts w:asciiTheme="minorHAnsi" w:hAnsiTheme="minorHAnsi" w:cstheme="minorHAnsi"/>
          <w:bCs/>
          <w:sz w:val="24"/>
          <w:szCs w:val="24"/>
        </w:rPr>
        <w:t>________________</w:t>
      </w:r>
    </w:p>
    <w:sectPr w:rsidR="00620569" w:rsidRPr="003552EF" w:rsidSect="003552EF">
      <w:headerReference w:type="even" r:id="rId13"/>
      <w:headerReference w:type="default" r:id="rId14"/>
      <w:footerReference w:type="even" r:id="rId15"/>
      <w:footerReference w:type="default" r:id="rId16"/>
      <w:headerReference w:type="first" r:id="rId17"/>
      <w:footerReference w:type="first" r:id="rId18"/>
      <w:type w:val="continuous"/>
      <w:pgSz w:w="12242" w:h="15842" w:code="1"/>
      <w:pgMar w:top="1418" w:right="1134" w:bottom="1418" w:left="1134"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4116C" w14:textId="77777777" w:rsidR="005F22DE" w:rsidRDefault="005F22DE">
      <w:r>
        <w:separator/>
      </w:r>
    </w:p>
  </w:endnote>
  <w:endnote w:type="continuationSeparator" w:id="0">
    <w:p w14:paraId="17D43C29" w14:textId="77777777" w:rsidR="005F22DE" w:rsidRDefault="005F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6631F" w14:textId="77777777" w:rsidR="006D4773" w:rsidRDefault="006D4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0B1F9" w14:textId="77777777" w:rsidR="006D4773" w:rsidRDefault="006D4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9B76BB" w:rsidRPr="00463D57" w14:paraId="0DF89BDC" w14:textId="77777777" w:rsidTr="00B111F6">
      <w:tc>
        <w:tcPr>
          <w:tcW w:w="1527" w:type="dxa"/>
          <w:tcBorders>
            <w:top w:val="single" w:sz="4" w:space="0" w:color="000000"/>
            <w:left w:val="nil"/>
            <w:bottom w:val="nil"/>
            <w:right w:val="nil"/>
          </w:tcBorders>
          <w:hideMark/>
        </w:tcPr>
        <w:p w14:paraId="34A0478E" w14:textId="77777777" w:rsidR="009B76BB" w:rsidRPr="009B76BB" w:rsidRDefault="009B76BB" w:rsidP="009B76BB">
          <w:pPr>
            <w:pStyle w:val="FirstFooter"/>
            <w:tabs>
              <w:tab w:val="left" w:pos="1559"/>
              <w:tab w:val="left" w:pos="3828"/>
            </w:tabs>
            <w:rPr>
              <w:rFonts w:ascii="Calibri" w:hAnsi="Calibri" w:cs="Calibri"/>
              <w:sz w:val="18"/>
              <w:szCs w:val="18"/>
            </w:rPr>
          </w:pPr>
          <w:r w:rsidRPr="009B76BB">
            <w:rPr>
              <w:rFonts w:ascii="Calibri" w:hAnsi="Calibri" w:cs="Calibri"/>
              <w:sz w:val="18"/>
              <w:szCs w:val="18"/>
              <w:lang w:val="en-US"/>
            </w:rPr>
            <w:t>Contact:</w:t>
          </w:r>
        </w:p>
      </w:tc>
      <w:tc>
        <w:tcPr>
          <w:tcW w:w="2412" w:type="dxa"/>
          <w:tcBorders>
            <w:top w:val="single" w:sz="4" w:space="0" w:color="000000"/>
            <w:left w:val="nil"/>
            <w:bottom w:val="nil"/>
            <w:right w:val="nil"/>
          </w:tcBorders>
          <w:hideMark/>
        </w:tcPr>
        <w:p w14:paraId="03E5E131" w14:textId="77777777" w:rsidR="009B76BB" w:rsidRPr="009B76BB" w:rsidRDefault="009B76BB" w:rsidP="009B76BB">
          <w:pPr>
            <w:pStyle w:val="FirstFooter"/>
            <w:tabs>
              <w:tab w:val="left" w:pos="2302"/>
            </w:tabs>
            <w:ind w:left="2302" w:hanging="2302"/>
            <w:rPr>
              <w:rFonts w:ascii="Calibri" w:hAnsi="Calibri" w:cs="Calibri"/>
              <w:sz w:val="18"/>
              <w:szCs w:val="18"/>
              <w:lang w:val="en-US"/>
            </w:rPr>
          </w:pPr>
          <w:r w:rsidRPr="009B76BB">
            <w:rPr>
              <w:rFonts w:ascii="Calibri" w:hAnsi="Calibri" w:cs="Calibri"/>
              <w:sz w:val="18"/>
              <w:szCs w:val="18"/>
              <w:lang w:val="en-US"/>
            </w:rPr>
            <w:t>Name/Organization/Entity:</w:t>
          </w:r>
        </w:p>
      </w:tc>
      <w:tc>
        <w:tcPr>
          <w:tcW w:w="5991" w:type="dxa"/>
          <w:tcBorders>
            <w:top w:val="single" w:sz="4" w:space="0" w:color="000000"/>
            <w:left w:val="nil"/>
            <w:bottom w:val="nil"/>
            <w:right w:val="nil"/>
          </w:tcBorders>
        </w:tcPr>
        <w:p w14:paraId="24FCB6AC" w14:textId="68314A76" w:rsidR="009B76BB" w:rsidRPr="00463D57" w:rsidRDefault="001B5171" w:rsidP="009B76BB">
          <w:pPr>
            <w:pStyle w:val="FirstFooter"/>
            <w:tabs>
              <w:tab w:val="left" w:pos="2302"/>
            </w:tabs>
            <w:rPr>
              <w:rFonts w:ascii="Calibri" w:hAnsi="Calibri" w:cs="Calibri"/>
              <w:sz w:val="18"/>
              <w:szCs w:val="18"/>
              <w:lang w:val="pt-BR"/>
            </w:rPr>
          </w:pPr>
          <w:r w:rsidRPr="00463D57">
            <w:rPr>
              <w:rFonts w:ascii="Calibri" w:hAnsi="Calibri" w:cs="Calibri"/>
              <w:sz w:val="18"/>
              <w:szCs w:val="18"/>
              <w:lang w:val="pt-BR"/>
            </w:rPr>
            <w:t>Ms Andrea Grippa, Citel WG-Prep Focal Point, Agência Nacional de Telecomunicações (ANATEL), Brazil</w:t>
          </w:r>
        </w:p>
      </w:tc>
      <w:bookmarkStart w:id="0" w:name="OrgName"/>
      <w:bookmarkEnd w:id="0"/>
    </w:tr>
    <w:tr w:rsidR="009B76BB" w:rsidRPr="009B76BB" w14:paraId="6FD817B8" w14:textId="77777777" w:rsidTr="00B111F6">
      <w:tc>
        <w:tcPr>
          <w:tcW w:w="1527" w:type="dxa"/>
        </w:tcPr>
        <w:p w14:paraId="15800351" w14:textId="77777777" w:rsidR="009B76BB" w:rsidRPr="00463D57" w:rsidRDefault="009B76BB" w:rsidP="009B76BB">
          <w:pPr>
            <w:pStyle w:val="FirstFooter"/>
            <w:tabs>
              <w:tab w:val="left" w:pos="1559"/>
              <w:tab w:val="left" w:pos="3828"/>
            </w:tabs>
            <w:rPr>
              <w:rFonts w:ascii="Calibri" w:hAnsi="Calibri" w:cs="Calibri"/>
              <w:sz w:val="20"/>
              <w:lang w:val="pt-BR"/>
            </w:rPr>
          </w:pPr>
        </w:p>
      </w:tc>
      <w:tc>
        <w:tcPr>
          <w:tcW w:w="2412" w:type="dxa"/>
          <w:hideMark/>
        </w:tcPr>
        <w:p w14:paraId="6B0BFD56" w14:textId="77777777" w:rsidR="009B76BB" w:rsidRPr="009B76BB" w:rsidRDefault="009B76BB" w:rsidP="009B76BB">
          <w:pPr>
            <w:pStyle w:val="FirstFooter"/>
            <w:tabs>
              <w:tab w:val="left" w:pos="2302"/>
            </w:tabs>
            <w:rPr>
              <w:rFonts w:ascii="Calibri" w:hAnsi="Calibri" w:cs="Calibri"/>
              <w:sz w:val="18"/>
              <w:szCs w:val="18"/>
              <w:lang w:val="en-US"/>
            </w:rPr>
          </w:pPr>
          <w:r w:rsidRPr="009B76BB">
            <w:rPr>
              <w:rFonts w:ascii="Calibri" w:hAnsi="Calibri" w:cs="Calibri"/>
              <w:sz w:val="18"/>
              <w:szCs w:val="18"/>
              <w:lang w:val="en-US"/>
            </w:rPr>
            <w:t>Phone number:</w:t>
          </w:r>
        </w:p>
      </w:tc>
      <w:tc>
        <w:tcPr>
          <w:tcW w:w="5991" w:type="dxa"/>
        </w:tcPr>
        <w:p w14:paraId="4602ADF3" w14:textId="2464050C" w:rsidR="009B76BB" w:rsidRPr="009B76BB" w:rsidRDefault="001B5171" w:rsidP="009B76BB">
          <w:pPr>
            <w:pStyle w:val="FirstFooter"/>
            <w:tabs>
              <w:tab w:val="left" w:pos="2302"/>
            </w:tabs>
            <w:rPr>
              <w:rFonts w:ascii="Calibri" w:hAnsi="Calibri" w:cs="Calibri"/>
              <w:sz w:val="18"/>
              <w:szCs w:val="18"/>
              <w:lang w:val="en-US"/>
            </w:rPr>
          </w:pPr>
          <w:r>
            <w:rPr>
              <w:rFonts w:ascii="Calibri" w:hAnsi="Calibri" w:cs="Calibri"/>
              <w:sz w:val="18"/>
              <w:szCs w:val="18"/>
              <w:lang w:val="en-US"/>
            </w:rPr>
            <w:t>n/a</w:t>
          </w:r>
        </w:p>
      </w:tc>
      <w:bookmarkStart w:id="1" w:name="PhoneNo"/>
      <w:bookmarkEnd w:id="1"/>
    </w:tr>
    <w:tr w:rsidR="009B76BB" w:rsidRPr="009B76BB" w14:paraId="658B678D" w14:textId="77777777" w:rsidTr="00B111F6">
      <w:tc>
        <w:tcPr>
          <w:tcW w:w="1527" w:type="dxa"/>
        </w:tcPr>
        <w:p w14:paraId="5012E2E2" w14:textId="77777777" w:rsidR="009B76BB" w:rsidRPr="009B76BB" w:rsidRDefault="009B76BB" w:rsidP="009B76BB">
          <w:pPr>
            <w:pStyle w:val="FirstFooter"/>
            <w:tabs>
              <w:tab w:val="left" w:pos="1559"/>
              <w:tab w:val="left" w:pos="3828"/>
            </w:tabs>
            <w:rPr>
              <w:rFonts w:ascii="Calibri" w:hAnsi="Calibri" w:cs="Calibri"/>
              <w:sz w:val="20"/>
              <w:lang w:val="en-US"/>
            </w:rPr>
          </w:pPr>
        </w:p>
      </w:tc>
      <w:tc>
        <w:tcPr>
          <w:tcW w:w="2412" w:type="dxa"/>
          <w:hideMark/>
        </w:tcPr>
        <w:p w14:paraId="7F96C772" w14:textId="77777777" w:rsidR="009B76BB" w:rsidRPr="009B76BB" w:rsidRDefault="009B76BB" w:rsidP="009B76BB">
          <w:pPr>
            <w:pStyle w:val="FirstFooter"/>
            <w:tabs>
              <w:tab w:val="left" w:pos="2302"/>
            </w:tabs>
            <w:rPr>
              <w:rFonts w:ascii="Calibri" w:hAnsi="Calibri" w:cs="Calibri"/>
              <w:sz w:val="18"/>
              <w:szCs w:val="18"/>
              <w:lang w:val="en-US"/>
            </w:rPr>
          </w:pPr>
          <w:r w:rsidRPr="009B76BB">
            <w:rPr>
              <w:rFonts w:ascii="Calibri" w:hAnsi="Calibri" w:cs="Calibri"/>
              <w:sz w:val="18"/>
              <w:szCs w:val="18"/>
              <w:lang w:val="en-US"/>
            </w:rPr>
            <w:t>E-mail:</w:t>
          </w:r>
        </w:p>
      </w:tc>
      <w:tc>
        <w:tcPr>
          <w:tcW w:w="5991" w:type="dxa"/>
        </w:tcPr>
        <w:p w14:paraId="566E6E54" w14:textId="6430667D" w:rsidR="009B76BB" w:rsidRPr="009B76BB" w:rsidRDefault="00761961" w:rsidP="009B76BB">
          <w:pPr>
            <w:pStyle w:val="FirstFooter"/>
            <w:tabs>
              <w:tab w:val="left" w:pos="2302"/>
            </w:tabs>
            <w:rPr>
              <w:rFonts w:ascii="Calibri" w:hAnsi="Calibri" w:cs="Calibri"/>
              <w:sz w:val="18"/>
              <w:szCs w:val="18"/>
              <w:lang w:val="en-US"/>
            </w:rPr>
          </w:pPr>
          <w:hyperlink r:id="rId1" w:history="1">
            <w:r w:rsidR="001B5171" w:rsidRPr="00B81123">
              <w:rPr>
                <w:rStyle w:val="Hyperlink"/>
                <w:rFonts w:ascii="Calibri" w:hAnsi="Calibri" w:cs="Calibri"/>
                <w:sz w:val="18"/>
                <w:szCs w:val="18"/>
                <w:lang w:val="en-US"/>
              </w:rPr>
              <w:t>agrippa@anatel.gov.br</w:t>
            </w:r>
          </w:hyperlink>
          <w:r w:rsidR="001B5171">
            <w:rPr>
              <w:rFonts w:ascii="Calibri" w:hAnsi="Calibri" w:cs="Calibri"/>
              <w:sz w:val="18"/>
              <w:szCs w:val="18"/>
              <w:lang w:val="en-US"/>
            </w:rPr>
            <w:t xml:space="preserve"> </w:t>
          </w:r>
        </w:p>
      </w:tc>
      <w:bookmarkStart w:id="2" w:name="Email"/>
      <w:bookmarkEnd w:id="2"/>
    </w:tr>
  </w:tbl>
  <w:p w14:paraId="3FF58726" w14:textId="3995E90F" w:rsidR="0026626D" w:rsidRDefault="009B76BB" w:rsidP="007C13E4">
    <w:pPr>
      <w:tabs>
        <w:tab w:val="center" w:pos="4820"/>
        <w:tab w:val="right" w:pos="9639"/>
      </w:tabs>
      <w:ind w:right="1"/>
    </w:pPr>
    <w:r w:rsidRPr="009B76BB">
      <w:rPr>
        <w:rFonts w:ascii="Calibri" w:hAnsi="Calibri" w:cs="Calibri"/>
        <w:sz w:val="22"/>
        <w:szCs w:val="22"/>
      </w:rPr>
      <w:tab/>
    </w:r>
    <w:hyperlink r:id="rId2" w:history="1">
      <w:r w:rsidRPr="009B76BB">
        <w:rPr>
          <w:rStyle w:val="Hyperlink"/>
          <w:rFonts w:ascii="Calibri" w:hAnsi="Calibri" w:cs="Calibri"/>
          <w:sz w:val="18"/>
          <w:szCs w:val="18"/>
        </w:rPr>
        <w:t>TDAG-WG-Prep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69302" w14:textId="77777777" w:rsidR="005F22DE" w:rsidRDefault="005F22DE">
      <w:r>
        <w:separator/>
      </w:r>
    </w:p>
  </w:footnote>
  <w:footnote w:type="continuationSeparator" w:id="0">
    <w:p w14:paraId="258A691A" w14:textId="77777777" w:rsidR="005F22DE" w:rsidRDefault="005F2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2AF4A" w14:textId="77777777" w:rsidR="006D4773" w:rsidRDefault="006D4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745FB" w14:textId="462ED26B" w:rsidR="00C41FAE" w:rsidRPr="003552EF" w:rsidRDefault="003552EF" w:rsidP="0026626D">
    <w:pPr>
      <w:pStyle w:val="Header"/>
      <w:spacing w:before="240"/>
      <w:jc w:val="center"/>
      <w:rPr>
        <w:rFonts w:asciiTheme="minorHAnsi" w:hAnsiTheme="minorHAnsi" w:cstheme="minorHAnsi"/>
        <w:sz w:val="18"/>
        <w:szCs w:val="18"/>
      </w:rPr>
    </w:pPr>
    <w:r w:rsidRPr="003552EF">
      <w:rPr>
        <w:rStyle w:val="PageNumber"/>
        <w:rFonts w:asciiTheme="minorHAnsi" w:hAnsiTheme="minorHAnsi" w:cstheme="minorHAnsi"/>
        <w:sz w:val="18"/>
        <w:szCs w:val="18"/>
      </w:rPr>
      <w:t>TDAG-WG-Prep/</w:t>
    </w:r>
    <w:r>
      <w:rPr>
        <w:rStyle w:val="PageNumber"/>
        <w:rFonts w:asciiTheme="minorHAnsi" w:hAnsiTheme="minorHAnsi" w:cstheme="minorHAnsi"/>
        <w:sz w:val="18"/>
        <w:szCs w:val="18"/>
      </w:rPr>
      <w:t>16</w:t>
    </w:r>
    <w:r w:rsidRPr="003552EF">
      <w:rPr>
        <w:rStyle w:val="PageNumber"/>
        <w:rFonts w:asciiTheme="minorHAnsi" w:hAnsiTheme="minorHAnsi" w:cstheme="minorHAnsi"/>
        <w:sz w:val="18"/>
        <w:szCs w:val="18"/>
      </w:rPr>
      <w:br/>
      <w:t>-</w:t>
    </w:r>
    <w:r w:rsidRPr="003552EF">
      <w:rPr>
        <w:rStyle w:val="PageNumber"/>
        <w:rFonts w:asciiTheme="minorHAnsi" w:hAnsiTheme="minorHAnsi" w:cstheme="minorHAnsi"/>
        <w:sz w:val="18"/>
        <w:szCs w:val="18"/>
      </w:rPr>
      <w:fldChar w:fldCharType="begin"/>
    </w:r>
    <w:r w:rsidRPr="003552EF">
      <w:rPr>
        <w:rStyle w:val="PageNumber"/>
        <w:rFonts w:asciiTheme="minorHAnsi" w:hAnsiTheme="minorHAnsi" w:cstheme="minorHAnsi"/>
        <w:sz w:val="18"/>
        <w:szCs w:val="18"/>
      </w:rPr>
      <w:instrText xml:space="preserve"> PAGE   \* MERGEFORMAT </w:instrText>
    </w:r>
    <w:r w:rsidRPr="003552EF">
      <w:rPr>
        <w:rStyle w:val="PageNumber"/>
        <w:rFonts w:asciiTheme="minorHAnsi" w:hAnsiTheme="minorHAnsi" w:cstheme="minorHAnsi"/>
        <w:sz w:val="18"/>
        <w:szCs w:val="18"/>
      </w:rPr>
      <w:fldChar w:fldCharType="separate"/>
    </w:r>
    <w:r w:rsidR="00463D57">
      <w:rPr>
        <w:rStyle w:val="PageNumber"/>
        <w:rFonts w:asciiTheme="minorHAnsi" w:hAnsiTheme="minorHAnsi" w:cstheme="minorHAnsi"/>
        <w:noProof/>
        <w:sz w:val="18"/>
        <w:szCs w:val="18"/>
      </w:rPr>
      <w:t>2</w:t>
    </w:r>
    <w:r w:rsidRPr="003552EF">
      <w:rPr>
        <w:rStyle w:val="PageNumber"/>
        <w:rFonts w:asciiTheme="minorHAnsi" w:hAnsiTheme="minorHAnsi" w:cstheme="minorHAnsi"/>
        <w:noProof/>
        <w:sz w:val="18"/>
        <w:szCs w:val="18"/>
      </w:rPr>
      <w:fldChar w:fldCharType="end"/>
    </w:r>
    <w:r w:rsidRPr="003552EF">
      <w:rPr>
        <w:rStyle w:val="PageNumber"/>
        <w:rFonts w:asciiTheme="minorHAnsi" w:hAnsiTheme="minorHAnsi" w:cstheme="minorHAns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1E886" w14:textId="77777777" w:rsidR="006D4773" w:rsidRDefault="006D4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900897"/>
    <w:multiLevelType w:val="hybridMultilevel"/>
    <w:tmpl w:val="F89E85B2"/>
    <w:lvl w:ilvl="0" w:tplc="D8AA70EE">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37CE0EFA"/>
    <w:multiLevelType w:val="hybridMultilevel"/>
    <w:tmpl w:val="3A368DD0"/>
    <w:lvl w:ilvl="0" w:tplc="D8AA70E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6"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A2"/>
    <w:rsid w:val="000251F1"/>
    <w:rsid w:val="00032F82"/>
    <w:rsid w:val="00036C89"/>
    <w:rsid w:val="00037BFA"/>
    <w:rsid w:val="00043BF9"/>
    <w:rsid w:val="00047907"/>
    <w:rsid w:val="0006494B"/>
    <w:rsid w:val="000732C1"/>
    <w:rsid w:val="000769BE"/>
    <w:rsid w:val="00093396"/>
    <w:rsid w:val="000C13F4"/>
    <w:rsid w:val="000D09FC"/>
    <w:rsid w:val="000E0D26"/>
    <w:rsid w:val="000E519C"/>
    <w:rsid w:val="000F0EB4"/>
    <w:rsid w:val="000F672B"/>
    <w:rsid w:val="001042D1"/>
    <w:rsid w:val="00130557"/>
    <w:rsid w:val="0013634A"/>
    <w:rsid w:val="00137555"/>
    <w:rsid w:val="00141F54"/>
    <w:rsid w:val="0014316F"/>
    <w:rsid w:val="00147B70"/>
    <w:rsid w:val="001540A2"/>
    <w:rsid w:val="001656B9"/>
    <w:rsid w:val="001B5171"/>
    <w:rsid w:val="001C189B"/>
    <w:rsid w:val="001C6722"/>
    <w:rsid w:val="001D04E0"/>
    <w:rsid w:val="001D1762"/>
    <w:rsid w:val="001E0401"/>
    <w:rsid w:val="001E2B56"/>
    <w:rsid w:val="00204E6D"/>
    <w:rsid w:val="00211705"/>
    <w:rsid w:val="00214619"/>
    <w:rsid w:val="002178DF"/>
    <w:rsid w:val="00227DB2"/>
    <w:rsid w:val="0024202E"/>
    <w:rsid w:val="00242A80"/>
    <w:rsid w:val="0025504C"/>
    <w:rsid w:val="0026626D"/>
    <w:rsid w:val="00267104"/>
    <w:rsid w:val="002909CF"/>
    <w:rsid w:val="00297969"/>
    <w:rsid w:val="002A3832"/>
    <w:rsid w:val="002A6325"/>
    <w:rsid w:val="002B6AE5"/>
    <w:rsid w:val="002D53A6"/>
    <w:rsid w:val="002E7B0A"/>
    <w:rsid w:val="003001F7"/>
    <w:rsid w:val="003154A6"/>
    <w:rsid w:val="003552EF"/>
    <w:rsid w:val="003574D5"/>
    <w:rsid w:val="00357A92"/>
    <w:rsid w:val="003701A5"/>
    <w:rsid w:val="00375A06"/>
    <w:rsid w:val="00394C7C"/>
    <w:rsid w:val="003A01F9"/>
    <w:rsid w:val="003B22E4"/>
    <w:rsid w:val="003B26CD"/>
    <w:rsid w:val="003E0816"/>
    <w:rsid w:val="003E6A84"/>
    <w:rsid w:val="00426E20"/>
    <w:rsid w:val="004571A3"/>
    <w:rsid w:val="00463D57"/>
    <w:rsid w:val="00471B76"/>
    <w:rsid w:val="00483DFB"/>
    <w:rsid w:val="00487B8E"/>
    <w:rsid w:val="004A1894"/>
    <w:rsid w:val="004A7659"/>
    <w:rsid w:val="004B39D5"/>
    <w:rsid w:val="004D474D"/>
    <w:rsid w:val="004D7CD7"/>
    <w:rsid w:val="004E2D44"/>
    <w:rsid w:val="00513BAB"/>
    <w:rsid w:val="005156A2"/>
    <w:rsid w:val="005165B4"/>
    <w:rsid w:val="005175FB"/>
    <w:rsid w:val="005308BE"/>
    <w:rsid w:val="005315BE"/>
    <w:rsid w:val="00532018"/>
    <w:rsid w:val="0056569C"/>
    <w:rsid w:val="005863A9"/>
    <w:rsid w:val="00593AE7"/>
    <w:rsid w:val="005955B3"/>
    <w:rsid w:val="005962C2"/>
    <w:rsid w:val="005A57AD"/>
    <w:rsid w:val="005B391F"/>
    <w:rsid w:val="005B5405"/>
    <w:rsid w:val="005B6C85"/>
    <w:rsid w:val="005C4FF3"/>
    <w:rsid w:val="005C60FF"/>
    <w:rsid w:val="005D3DBD"/>
    <w:rsid w:val="005E123A"/>
    <w:rsid w:val="005E38D0"/>
    <w:rsid w:val="005E7BC8"/>
    <w:rsid w:val="005F22DE"/>
    <w:rsid w:val="005F3529"/>
    <w:rsid w:val="00617275"/>
    <w:rsid w:val="00620569"/>
    <w:rsid w:val="006445B1"/>
    <w:rsid w:val="00645015"/>
    <w:rsid w:val="006616CE"/>
    <w:rsid w:val="00686D89"/>
    <w:rsid w:val="00693E14"/>
    <w:rsid w:val="006C2785"/>
    <w:rsid w:val="006C77C2"/>
    <w:rsid w:val="006D315B"/>
    <w:rsid w:val="006D4773"/>
    <w:rsid w:val="006D63BD"/>
    <w:rsid w:val="006E40EA"/>
    <w:rsid w:val="006F3040"/>
    <w:rsid w:val="007043EB"/>
    <w:rsid w:val="00715F11"/>
    <w:rsid w:val="00731A30"/>
    <w:rsid w:val="007448F0"/>
    <w:rsid w:val="00761394"/>
    <w:rsid w:val="00761961"/>
    <w:rsid w:val="00762C5B"/>
    <w:rsid w:val="007907D1"/>
    <w:rsid w:val="007A0652"/>
    <w:rsid w:val="007C13E4"/>
    <w:rsid w:val="007C70B1"/>
    <w:rsid w:val="007D4F77"/>
    <w:rsid w:val="007E68F7"/>
    <w:rsid w:val="0082548B"/>
    <w:rsid w:val="008264D0"/>
    <w:rsid w:val="008325E6"/>
    <w:rsid w:val="00835CCA"/>
    <w:rsid w:val="00857D7C"/>
    <w:rsid w:val="0086120E"/>
    <w:rsid w:val="0088105F"/>
    <w:rsid w:val="008819AD"/>
    <w:rsid w:val="00897200"/>
    <w:rsid w:val="008A4D42"/>
    <w:rsid w:val="008A61D6"/>
    <w:rsid w:val="008B66E9"/>
    <w:rsid w:val="008E1CC0"/>
    <w:rsid w:val="008F141E"/>
    <w:rsid w:val="00906C1E"/>
    <w:rsid w:val="00911A77"/>
    <w:rsid w:val="00921315"/>
    <w:rsid w:val="00930477"/>
    <w:rsid w:val="0096041A"/>
    <w:rsid w:val="0097711D"/>
    <w:rsid w:val="009801AE"/>
    <w:rsid w:val="00982377"/>
    <w:rsid w:val="00986B91"/>
    <w:rsid w:val="009B3A2A"/>
    <w:rsid w:val="009B76BB"/>
    <w:rsid w:val="009B7B6A"/>
    <w:rsid w:val="00A0122F"/>
    <w:rsid w:val="00A4159C"/>
    <w:rsid w:val="00A51807"/>
    <w:rsid w:val="00A6371A"/>
    <w:rsid w:val="00A824E4"/>
    <w:rsid w:val="00A85857"/>
    <w:rsid w:val="00A86A65"/>
    <w:rsid w:val="00AA2672"/>
    <w:rsid w:val="00AB17C2"/>
    <w:rsid w:val="00AD4388"/>
    <w:rsid w:val="00AD75EA"/>
    <w:rsid w:val="00B0628F"/>
    <w:rsid w:val="00B114FB"/>
    <w:rsid w:val="00B1260C"/>
    <w:rsid w:val="00B3194A"/>
    <w:rsid w:val="00B335FC"/>
    <w:rsid w:val="00B33C99"/>
    <w:rsid w:val="00B42446"/>
    <w:rsid w:val="00B47FB3"/>
    <w:rsid w:val="00B52A9B"/>
    <w:rsid w:val="00B6011F"/>
    <w:rsid w:val="00B64C14"/>
    <w:rsid w:val="00B71FAB"/>
    <w:rsid w:val="00B76C8F"/>
    <w:rsid w:val="00B83494"/>
    <w:rsid w:val="00B93AA1"/>
    <w:rsid w:val="00BC317B"/>
    <w:rsid w:val="00BF172C"/>
    <w:rsid w:val="00BF378D"/>
    <w:rsid w:val="00C06DD8"/>
    <w:rsid w:val="00C14398"/>
    <w:rsid w:val="00C407E9"/>
    <w:rsid w:val="00C41FAE"/>
    <w:rsid w:val="00C439D7"/>
    <w:rsid w:val="00C47412"/>
    <w:rsid w:val="00C52356"/>
    <w:rsid w:val="00C57390"/>
    <w:rsid w:val="00C9031C"/>
    <w:rsid w:val="00C9294D"/>
    <w:rsid w:val="00C944E6"/>
    <w:rsid w:val="00CD1C09"/>
    <w:rsid w:val="00CF18E3"/>
    <w:rsid w:val="00CF50F0"/>
    <w:rsid w:val="00CF7528"/>
    <w:rsid w:val="00D03CF3"/>
    <w:rsid w:val="00D10A19"/>
    <w:rsid w:val="00D26C36"/>
    <w:rsid w:val="00D76D9D"/>
    <w:rsid w:val="00D80FAB"/>
    <w:rsid w:val="00D87E29"/>
    <w:rsid w:val="00D96B94"/>
    <w:rsid w:val="00DC4830"/>
    <w:rsid w:val="00DD3C90"/>
    <w:rsid w:val="00DE0E1D"/>
    <w:rsid w:val="00DF3FB6"/>
    <w:rsid w:val="00DF6653"/>
    <w:rsid w:val="00E06311"/>
    <w:rsid w:val="00E16756"/>
    <w:rsid w:val="00E41667"/>
    <w:rsid w:val="00E4702B"/>
    <w:rsid w:val="00E55E58"/>
    <w:rsid w:val="00E648C4"/>
    <w:rsid w:val="00E8096D"/>
    <w:rsid w:val="00E879C2"/>
    <w:rsid w:val="00EC51D1"/>
    <w:rsid w:val="00ED49AA"/>
    <w:rsid w:val="00EE239A"/>
    <w:rsid w:val="00EE6AF6"/>
    <w:rsid w:val="00F4553D"/>
    <w:rsid w:val="00F62A22"/>
    <w:rsid w:val="00F63C10"/>
    <w:rsid w:val="00F74C00"/>
    <w:rsid w:val="00FA216B"/>
    <w:rsid w:val="00FB5584"/>
    <w:rsid w:val="00FC7F05"/>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6C46AC"/>
  <w15:docId w15:val="{CB478967-F79F-4E24-8758-EC622BB6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styleId="ListParagraph">
    <w:name w:val="List Paragraph"/>
    <w:basedOn w:val="Normal"/>
    <w:uiPriority w:val="34"/>
    <w:qFormat/>
    <w:rsid w:val="001540A2"/>
    <w:pPr>
      <w:spacing w:after="200" w:line="276" w:lineRule="auto"/>
      <w:ind w:left="720"/>
      <w:contextualSpacing/>
    </w:pPr>
    <w:rPr>
      <w:rFonts w:asciiTheme="minorHAnsi" w:eastAsiaTheme="minorHAnsi" w:hAnsiTheme="minorHAnsi" w:cstheme="minorBidi"/>
      <w:sz w:val="22"/>
      <w:szCs w:val="22"/>
      <w:lang w:val="es-ES"/>
    </w:rPr>
  </w:style>
  <w:style w:type="paragraph" w:styleId="FootnoteText">
    <w:name w:val="footnote text"/>
    <w:basedOn w:val="Normal"/>
    <w:link w:val="FootnoteTextChar"/>
    <w:rsid w:val="00037BFA"/>
  </w:style>
  <w:style w:type="character" w:customStyle="1" w:styleId="FootnoteTextChar">
    <w:name w:val="Footnote Text Char"/>
    <w:basedOn w:val="DefaultParagraphFont"/>
    <w:link w:val="FootnoteText"/>
    <w:rsid w:val="00037BFA"/>
  </w:style>
  <w:style w:type="character" w:styleId="FootnoteReference">
    <w:name w:val="footnote reference"/>
    <w:basedOn w:val="DefaultParagraphFont"/>
    <w:rsid w:val="00037BFA"/>
    <w:rPr>
      <w:vertAlign w:val="superscript"/>
    </w:rPr>
  </w:style>
  <w:style w:type="paragraph" w:styleId="BalloonText">
    <w:name w:val="Balloon Text"/>
    <w:basedOn w:val="Normal"/>
    <w:link w:val="BalloonTextChar"/>
    <w:rsid w:val="00CF18E3"/>
    <w:rPr>
      <w:rFonts w:ascii="Tahoma" w:hAnsi="Tahoma" w:cs="Tahoma"/>
      <w:sz w:val="16"/>
      <w:szCs w:val="16"/>
    </w:rPr>
  </w:style>
  <w:style w:type="character" w:customStyle="1" w:styleId="BalloonTextChar">
    <w:name w:val="Balloon Text Char"/>
    <w:basedOn w:val="DefaultParagraphFont"/>
    <w:link w:val="BalloonText"/>
    <w:rsid w:val="00CF18E3"/>
    <w:rPr>
      <w:rFonts w:ascii="Tahoma" w:hAnsi="Tahoma" w:cs="Tahoma"/>
      <w:sz w:val="16"/>
      <w:szCs w:val="16"/>
    </w:rPr>
  </w:style>
  <w:style w:type="character" w:styleId="CommentReference">
    <w:name w:val="annotation reference"/>
    <w:basedOn w:val="DefaultParagraphFont"/>
    <w:uiPriority w:val="99"/>
    <w:unhideWhenUsed/>
    <w:rsid w:val="007D4F77"/>
    <w:rPr>
      <w:sz w:val="16"/>
      <w:szCs w:val="16"/>
    </w:rPr>
  </w:style>
  <w:style w:type="paragraph" w:styleId="CommentText">
    <w:name w:val="annotation text"/>
    <w:basedOn w:val="Normal"/>
    <w:link w:val="CommentTextChar"/>
    <w:uiPriority w:val="99"/>
    <w:unhideWhenUsed/>
    <w:rsid w:val="007D4F77"/>
    <w:pPr>
      <w:spacing w:after="200"/>
    </w:pPr>
    <w:rPr>
      <w:rFonts w:asciiTheme="minorHAnsi" w:eastAsiaTheme="minorHAnsi" w:hAnsiTheme="minorHAnsi" w:cstheme="minorBidi"/>
      <w:lang w:val="pt-BR"/>
    </w:rPr>
  </w:style>
  <w:style w:type="character" w:customStyle="1" w:styleId="CommentTextChar">
    <w:name w:val="Comment Text Char"/>
    <w:basedOn w:val="DefaultParagraphFont"/>
    <w:link w:val="CommentText"/>
    <w:uiPriority w:val="99"/>
    <w:rsid w:val="007D4F77"/>
    <w:rPr>
      <w:rFonts w:asciiTheme="minorHAnsi" w:eastAsiaTheme="minorHAnsi" w:hAnsiTheme="minorHAnsi" w:cstheme="minorBidi"/>
      <w:lang w:val="pt-BR"/>
    </w:rPr>
  </w:style>
  <w:style w:type="paragraph" w:styleId="CommentSubject">
    <w:name w:val="annotation subject"/>
    <w:basedOn w:val="CommentText"/>
    <w:next w:val="CommentText"/>
    <w:link w:val="CommentSubjectChar"/>
    <w:rsid w:val="00032F82"/>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rsid w:val="00032F82"/>
    <w:rPr>
      <w:rFonts w:asciiTheme="minorHAnsi" w:eastAsiaTheme="minorHAnsi" w:hAnsiTheme="minorHAnsi" w:cstheme="minorBidi"/>
      <w:b/>
      <w:bCs/>
      <w:lang w:val="pt-BR"/>
    </w:rPr>
  </w:style>
  <w:style w:type="character" w:customStyle="1" w:styleId="HeaderChar">
    <w:name w:val="Header Char"/>
    <w:basedOn w:val="DefaultParagraphFont"/>
    <w:link w:val="Header"/>
    <w:uiPriority w:val="99"/>
    <w:rsid w:val="003552EF"/>
  </w:style>
  <w:style w:type="paragraph" w:customStyle="1" w:styleId="FirstFooter">
    <w:name w:val="FirstFooter"/>
    <w:basedOn w:val="Footer"/>
    <w:rsid w:val="009B76BB"/>
    <w:pPr>
      <w:tabs>
        <w:tab w:val="clear" w:pos="4419"/>
        <w:tab w:val="clear" w:pos="8838"/>
      </w:tabs>
      <w:spacing w:before="40"/>
    </w:pPr>
    <w:rPr>
      <w:rFonts w:asciiTheme="minorHAnsi" w:hAnsiTheme="minorHAnsi"/>
      <w:sz w:val="16"/>
      <w:lang w:val="fr-FR"/>
    </w:rPr>
  </w:style>
  <w:style w:type="character" w:customStyle="1" w:styleId="UnresolvedMention1">
    <w:name w:val="Unresolved Mention1"/>
    <w:basedOn w:val="DefaultParagraphFont"/>
    <w:uiPriority w:val="99"/>
    <w:semiHidden/>
    <w:unhideWhenUsed/>
    <w:rsid w:val="001B5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TDAG/Pages/TDAG_WG_WTDC_Prep.aspx" TargetMode="External"/><Relationship Id="rId1" Type="http://schemas.openxmlformats.org/officeDocument/2006/relationships/hyperlink" Target="mailto:agripp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71CDAA1F27848B77DB503BFB8A10D" ma:contentTypeVersion="20" ma:contentTypeDescription="Create a new document." ma:contentTypeScope="" ma:versionID="2c2e5557dde2a3dbb1c49931c99ec883">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da xmlns="e922daad-afb5-47f2-ab72-43d4d420a50d">4.3</Agenda>
    <_dlc_DocId xmlns="e5f45a78-2a57-4e3a-8f35-d14530e19825">6V3PZHU2UA6J-1334136918-810</_dlc_DocId>
    <_dlc_DocIdUrl xmlns="e5f45a78-2a57-4e3a-8f35-d14530e19825">
      <Url>https://www.citel.oas.org/en/collaborative/pcci/GADT-TDAG/_layouts/DocIdRedir.aspx?ID=6V3PZHU2UA6J-1334136918-810</Url>
      <Description>6V3PZHU2UA6J-1334136918-810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9500B5-07B3-4BE2-B23C-E8D781AFD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0A058-3827-4528-ACDB-CD4141F6A350}">
  <ds:schemaRefs>
    <ds:schemaRef ds:uri="http://schemas.openxmlformats.org/officeDocument/2006/bibliography"/>
  </ds:schemaRefs>
</ds:datastoreItem>
</file>

<file path=customXml/itemProps3.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4.xml><?xml version="1.0" encoding="utf-8"?>
<ds:datastoreItem xmlns:ds="http://schemas.openxmlformats.org/officeDocument/2006/customXml" ds:itemID="{3EB0A49B-D909-40DE-8528-B6301F741321}">
  <ds:schemaRefs>
    <ds:schemaRef ds:uri="http://schemas.microsoft.com/office/2006/metadata/properties"/>
    <ds:schemaRef ds:uri="http://schemas.microsoft.com/office/infopath/2007/PartnerControls"/>
    <ds:schemaRef ds:uri="e922daad-afb5-47f2-ab72-43d4d420a50d"/>
    <ds:schemaRef ds:uri="e5f45a78-2a57-4e3a-8f35-d14530e19825"/>
  </ds:schemaRefs>
</ds:datastoreItem>
</file>

<file path=customXml/itemProps5.xml><?xml version="1.0" encoding="utf-8"?>
<ds:datastoreItem xmlns:ds="http://schemas.openxmlformats.org/officeDocument/2006/customXml" ds:itemID="{5CC40D54-74C1-44F2-A375-64EB34EB52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2004</Words>
  <Characters>11425</Characters>
  <Application>Microsoft Office Word</Application>
  <DocSecurity>4</DocSecurity>
  <Lines>95</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CITEL CONTRIBUTIONS TO THE TDAG-WG-PREP</vt:lpstr>
      <vt:lpstr>CITEL CONTRIBUTIONS TO THE TDAG-WG-PREP</vt:lpstr>
    </vt:vector>
  </TitlesOfParts>
  <Company>CITEL</Company>
  <LinksUpToDate>false</LinksUpToDate>
  <CharactersWithSpaces>13403</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CITEL CONTRIBUTIONS TO THE TDAG-WG-PREP</dc:title>
  <dc:creator>user</dc:creator>
  <dc:description>ok</dc:description>
  <cp:lastModifiedBy>Comas Barnes, Maite</cp:lastModifiedBy>
  <cp:revision>2</cp:revision>
  <cp:lastPrinted>1999-10-11T18:56:00Z</cp:lastPrinted>
  <dcterms:created xsi:type="dcterms:W3CDTF">2020-09-22T06:36:00Z</dcterms:created>
  <dcterms:modified xsi:type="dcterms:W3CDTF">2020-09-22T06:36:00Z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0x01010077071CDAA1F27848B77DB503BFB8A10D</vt:lpwstr>
  </property>
  <property fmtid="{D5CDD505-2E9C-101B-9397-08002B2CF9AE}" pid="3" name="_dlc_DocIdItemGuid">
    <vt:lpwstr>a13e4861-b9c2-497f-9421-7b9c0893c4bb</vt:lpwstr>
  </property>
  <property fmtid="{D5CDD505-2E9C-101B-9397-08002B2CF9AE}" pid="4" name="PublishingExpirationDate">
    <vt:lpwstr/>
  </property>
  <property fmtid="{D5CDD505-2E9C-101B-9397-08002B2CF9AE}" pid="5" name="PublishingStartDate">
    <vt:lpwstr/>
  </property>
</Properties>
</file>