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4961"/>
        <w:gridCol w:w="3651"/>
      </w:tblGrid>
      <w:tr w:rsidR="009574FE" w:rsidRPr="00AB072B" w14:paraId="5C6AD293" w14:textId="77777777" w:rsidTr="0099736E">
        <w:trPr>
          <w:cantSplit/>
          <w:trHeight w:val="1134"/>
        </w:trPr>
        <w:tc>
          <w:tcPr>
            <w:tcW w:w="9888" w:type="dxa"/>
            <w:gridSpan w:val="3"/>
            <w:tcBorders>
              <w:bottom w:val="single" w:sz="2" w:space="0" w:color="00B0F0"/>
            </w:tcBorders>
          </w:tcPr>
          <w:p w14:paraId="1D836500" w14:textId="49F32623" w:rsidR="009574FE" w:rsidRPr="00AB072B" w:rsidRDefault="009574FE" w:rsidP="005D6740">
            <w:pPr>
              <w:spacing w:before="240"/>
              <w:ind w:left="34"/>
              <w:rPr>
                <w:b/>
                <w:bCs/>
                <w:sz w:val="32"/>
                <w:szCs w:val="32"/>
              </w:rPr>
            </w:pPr>
            <w:r w:rsidRPr="00AB072B">
              <w:rPr>
                <w:noProof/>
                <w:lang w:eastAsia="en-CA"/>
              </w:rPr>
              <w:drawing>
                <wp:anchor distT="0" distB="0" distL="114300" distR="114300" simplePos="0" relativeHeight="251659264" behindDoc="0" locked="0" layoutInCell="1" allowOverlap="1" wp14:anchorId="685A4677" wp14:editId="6A4E33C5">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72B">
              <w:rPr>
                <w:b/>
                <w:bCs/>
                <w:sz w:val="32"/>
                <w:szCs w:val="32"/>
              </w:rPr>
              <w:t>Groupe de travail du GCDT sur les activités préparatoires en vue de la CMDT</w:t>
            </w:r>
          </w:p>
          <w:p w14:paraId="54C6745C" w14:textId="48E7E54F" w:rsidR="009574FE" w:rsidRPr="00AB072B" w:rsidRDefault="002D13AF" w:rsidP="005D6740">
            <w:pPr>
              <w:rPr>
                <w:sz w:val="26"/>
                <w:szCs w:val="26"/>
              </w:rPr>
            </w:pPr>
            <w:r w:rsidRPr="00AB072B">
              <w:rPr>
                <w:b/>
                <w:bCs/>
                <w:sz w:val="26"/>
                <w:szCs w:val="26"/>
              </w:rPr>
              <w:t>7</w:t>
            </w:r>
            <w:r w:rsidR="009574FE" w:rsidRPr="00AB072B">
              <w:rPr>
                <w:b/>
                <w:bCs/>
                <w:sz w:val="26"/>
                <w:szCs w:val="26"/>
              </w:rPr>
              <w:t xml:space="preserve"> septembre 2020, virtuelle</w:t>
            </w:r>
          </w:p>
        </w:tc>
      </w:tr>
      <w:tr w:rsidR="009574FE" w:rsidRPr="00AB072B" w14:paraId="622BC686" w14:textId="77777777" w:rsidTr="0099736E">
        <w:trPr>
          <w:cantSplit/>
        </w:trPr>
        <w:tc>
          <w:tcPr>
            <w:tcW w:w="6237" w:type="dxa"/>
            <w:gridSpan w:val="2"/>
            <w:tcBorders>
              <w:top w:val="single" w:sz="2" w:space="0" w:color="00B0F0"/>
            </w:tcBorders>
          </w:tcPr>
          <w:p w14:paraId="091D337D" w14:textId="77777777" w:rsidR="009574FE" w:rsidRPr="00AB072B" w:rsidRDefault="009574FE" w:rsidP="005D6740">
            <w:pPr>
              <w:rPr>
                <w:b/>
                <w:bCs/>
                <w:sz w:val="20"/>
              </w:rPr>
            </w:pPr>
          </w:p>
        </w:tc>
        <w:tc>
          <w:tcPr>
            <w:tcW w:w="3651" w:type="dxa"/>
            <w:tcBorders>
              <w:top w:val="single" w:sz="2" w:space="0" w:color="00B0F0"/>
            </w:tcBorders>
          </w:tcPr>
          <w:p w14:paraId="404CECF8" w14:textId="6CA7A26B" w:rsidR="009574FE" w:rsidRPr="00AB072B" w:rsidRDefault="009574FE" w:rsidP="005D6740">
            <w:pPr>
              <w:rPr>
                <w:b/>
                <w:bCs/>
                <w:szCs w:val="28"/>
              </w:rPr>
            </w:pPr>
            <w:r w:rsidRPr="00AB072B">
              <w:rPr>
                <w:b/>
                <w:bCs/>
                <w:szCs w:val="28"/>
              </w:rPr>
              <w:t>Document TDAG-WG-Prep/1</w:t>
            </w:r>
            <w:r w:rsidR="002D13AF" w:rsidRPr="00AB072B">
              <w:rPr>
                <w:b/>
                <w:bCs/>
                <w:szCs w:val="28"/>
              </w:rPr>
              <w:t>2</w:t>
            </w:r>
            <w:r w:rsidRPr="00AB072B">
              <w:rPr>
                <w:b/>
                <w:bCs/>
                <w:szCs w:val="28"/>
              </w:rPr>
              <w:t>-F</w:t>
            </w:r>
          </w:p>
        </w:tc>
      </w:tr>
      <w:tr w:rsidR="009574FE" w:rsidRPr="00AB072B" w14:paraId="7733451C" w14:textId="77777777" w:rsidTr="0099736E">
        <w:trPr>
          <w:cantSplit/>
        </w:trPr>
        <w:tc>
          <w:tcPr>
            <w:tcW w:w="6237" w:type="dxa"/>
            <w:gridSpan w:val="2"/>
          </w:tcPr>
          <w:p w14:paraId="446BFA1E" w14:textId="77777777" w:rsidR="009574FE" w:rsidRPr="00AB072B" w:rsidRDefault="009574FE" w:rsidP="005D6740">
            <w:pPr>
              <w:rPr>
                <w:b/>
                <w:bCs/>
                <w:sz w:val="20"/>
              </w:rPr>
            </w:pPr>
          </w:p>
        </w:tc>
        <w:tc>
          <w:tcPr>
            <w:tcW w:w="3651" w:type="dxa"/>
          </w:tcPr>
          <w:p w14:paraId="7D6718E7" w14:textId="217555DC" w:rsidR="009574FE" w:rsidRPr="00AB072B" w:rsidRDefault="00AE18D3" w:rsidP="009962B4">
            <w:pPr>
              <w:rPr>
                <w:b/>
                <w:bCs/>
                <w:szCs w:val="28"/>
              </w:rPr>
            </w:pPr>
            <w:r w:rsidRPr="00AB072B">
              <w:rPr>
                <w:b/>
                <w:bCs/>
                <w:szCs w:val="28"/>
              </w:rPr>
              <w:t>11 septembre</w:t>
            </w:r>
            <w:r w:rsidR="009574FE" w:rsidRPr="00AB072B">
              <w:rPr>
                <w:b/>
                <w:bCs/>
                <w:szCs w:val="28"/>
              </w:rPr>
              <w:t xml:space="preserve"> 2020</w:t>
            </w:r>
          </w:p>
        </w:tc>
      </w:tr>
      <w:tr w:rsidR="009574FE" w:rsidRPr="00AB072B" w14:paraId="485AE40C" w14:textId="77777777" w:rsidTr="0099736E">
        <w:trPr>
          <w:cantSplit/>
        </w:trPr>
        <w:tc>
          <w:tcPr>
            <w:tcW w:w="6237" w:type="dxa"/>
            <w:gridSpan w:val="2"/>
          </w:tcPr>
          <w:p w14:paraId="04EF324B" w14:textId="77777777" w:rsidR="009574FE" w:rsidRPr="00AB072B" w:rsidRDefault="009574FE" w:rsidP="005D6740">
            <w:pPr>
              <w:spacing w:after="120"/>
              <w:rPr>
                <w:b/>
                <w:bCs/>
                <w:sz w:val="20"/>
              </w:rPr>
            </w:pPr>
          </w:p>
        </w:tc>
        <w:tc>
          <w:tcPr>
            <w:tcW w:w="3651" w:type="dxa"/>
          </w:tcPr>
          <w:p w14:paraId="6769291B" w14:textId="380772A0" w:rsidR="009574FE" w:rsidRPr="00AB072B" w:rsidRDefault="009574FE" w:rsidP="005D6740">
            <w:pPr>
              <w:spacing w:after="120"/>
              <w:rPr>
                <w:b/>
                <w:bCs/>
                <w:szCs w:val="28"/>
              </w:rPr>
            </w:pPr>
            <w:r w:rsidRPr="00AB072B">
              <w:rPr>
                <w:b/>
                <w:bCs/>
                <w:szCs w:val="28"/>
              </w:rPr>
              <w:t xml:space="preserve">Original: </w:t>
            </w:r>
            <w:r w:rsidR="0073082D" w:rsidRPr="00AB072B">
              <w:rPr>
                <w:b/>
                <w:bCs/>
                <w:szCs w:val="28"/>
              </w:rPr>
              <w:t>anglais</w:t>
            </w:r>
          </w:p>
        </w:tc>
      </w:tr>
      <w:tr w:rsidR="009574FE" w:rsidRPr="00AB072B" w14:paraId="5B251594" w14:textId="77777777" w:rsidTr="0099736E">
        <w:trPr>
          <w:cantSplit/>
          <w:trHeight w:val="408"/>
        </w:trPr>
        <w:tc>
          <w:tcPr>
            <w:tcW w:w="1276" w:type="dxa"/>
          </w:tcPr>
          <w:p w14:paraId="61EB8822" w14:textId="77777777" w:rsidR="009574FE" w:rsidRPr="00AB072B" w:rsidRDefault="009574FE" w:rsidP="005D6740">
            <w:pPr>
              <w:spacing w:before="80" w:after="80"/>
              <w:jc w:val="both"/>
              <w:rPr>
                <w:b/>
                <w:szCs w:val="24"/>
              </w:rPr>
            </w:pPr>
            <w:r w:rsidRPr="00AB072B">
              <w:rPr>
                <w:b/>
                <w:bCs/>
                <w:szCs w:val="24"/>
              </w:rPr>
              <w:t>Source:</w:t>
            </w:r>
          </w:p>
        </w:tc>
        <w:tc>
          <w:tcPr>
            <w:tcW w:w="8612" w:type="dxa"/>
            <w:gridSpan w:val="2"/>
          </w:tcPr>
          <w:p w14:paraId="23D27026" w14:textId="63DB30CC" w:rsidR="009574FE" w:rsidRPr="00AB072B" w:rsidRDefault="009574FE" w:rsidP="005D6740">
            <w:pPr>
              <w:spacing w:before="80" w:after="80"/>
              <w:rPr>
                <w:bCs/>
                <w:szCs w:val="24"/>
              </w:rPr>
            </w:pPr>
            <w:r w:rsidRPr="00AB072B">
              <w:rPr>
                <w:bCs/>
                <w:szCs w:val="24"/>
              </w:rPr>
              <w:t>Directrice du Bureau de développement des télécommunications</w:t>
            </w:r>
          </w:p>
        </w:tc>
      </w:tr>
      <w:tr w:rsidR="009574FE" w:rsidRPr="00AB072B" w14:paraId="0E1026D2" w14:textId="77777777" w:rsidTr="0099736E">
        <w:trPr>
          <w:cantSplit/>
          <w:trHeight w:val="407"/>
        </w:trPr>
        <w:tc>
          <w:tcPr>
            <w:tcW w:w="1276" w:type="dxa"/>
            <w:tcBorders>
              <w:bottom w:val="single" w:sz="4" w:space="0" w:color="00B0F0"/>
            </w:tcBorders>
          </w:tcPr>
          <w:p w14:paraId="38B9BC50" w14:textId="64298E80" w:rsidR="009574FE" w:rsidRPr="00AB072B" w:rsidRDefault="009574FE" w:rsidP="005D6740">
            <w:pPr>
              <w:spacing w:before="80" w:after="80"/>
              <w:jc w:val="both"/>
              <w:rPr>
                <w:b/>
                <w:bCs/>
                <w:szCs w:val="24"/>
              </w:rPr>
            </w:pPr>
            <w:r w:rsidRPr="00AB072B">
              <w:rPr>
                <w:b/>
                <w:bCs/>
                <w:szCs w:val="24"/>
              </w:rPr>
              <w:t>Titre:</w:t>
            </w:r>
          </w:p>
        </w:tc>
        <w:tc>
          <w:tcPr>
            <w:tcW w:w="8612" w:type="dxa"/>
            <w:gridSpan w:val="2"/>
            <w:tcBorders>
              <w:bottom w:val="single" w:sz="4" w:space="0" w:color="00B0F0"/>
            </w:tcBorders>
          </w:tcPr>
          <w:p w14:paraId="487A11F8" w14:textId="12C7CD4A" w:rsidR="009574FE" w:rsidRPr="00AB072B" w:rsidRDefault="009574FE" w:rsidP="005D6740">
            <w:pPr>
              <w:spacing w:before="80" w:after="80"/>
              <w:jc w:val="both"/>
              <w:rPr>
                <w:bCs/>
                <w:szCs w:val="24"/>
              </w:rPr>
            </w:pPr>
            <w:r w:rsidRPr="00AB072B">
              <w:rPr>
                <w:bCs/>
              </w:rPr>
              <w:t>Rapport du Groupe de travail du GCDT sur les activités préparatoires en vue de la CMDT</w:t>
            </w:r>
          </w:p>
        </w:tc>
      </w:tr>
    </w:tbl>
    <w:p w14:paraId="1CAE03F5" w14:textId="615345B2" w:rsidR="009574FE" w:rsidRPr="00AB072B" w:rsidRDefault="009574FE" w:rsidP="00F03A35">
      <w:pPr>
        <w:pStyle w:val="Headingb"/>
      </w:pPr>
      <w:r w:rsidRPr="00AB072B">
        <w:t>Résumé</w:t>
      </w:r>
    </w:p>
    <w:p w14:paraId="298717C2" w14:textId="5B02FAC9" w:rsidR="00D24B36" w:rsidRPr="00AB072B" w:rsidRDefault="00AE18D3" w:rsidP="005D6740">
      <w:pPr>
        <w:spacing w:before="80" w:after="80"/>
        <w:rPr>
          <w:rFonts w:cstheme="minorHAnsi"/>
          <w:szCs w:val="24"/>
          <w:shd w:val="clear" w:color="auto" w:fill="FFFFFF"/>
        </w:rPr>
      </w:pPr>
      <w:r w:rsidRPr="00AB072B">
        <w:rPr>
          <w:szCs w:val="24"/>
        </w:rPr>
        <w:t>Le Groupe de travail du GCDT sur les activités préparatoires en vue de la CMDT (GT</w:t>
      </w:r>
      <w:r w:rsidR="00F03A35" w:rsidRPr="00AB072B">
        <w:rPr>
          <w:szCs w:val="24"/>
        </w:rPr>
        <w:t>-</w:t>
      </w:r>
      <w:r w:rsidRPr="00AB072B">
        <w:rPr>
          <w:szCs w:val="24"/>
        </w:rPr>
        <w:t>GCDT</w:t>
      </w:r>
      <w:r w:rsidR="00F03A35" w:rsidRPr="00AB072B">
        <w:rPr>
          <w:szCs w:val="24"/>
        </w:rPr>
        <w:t>-</w:t>
      </w:r>
      <w:r w:rsidRPr="00AB072B">
        <w:rPr>
          <w:szCs w:val="24"/>
        </w:rPr>
        <w:t>Prep), présidé par M.</w:t>
      </w:r>
      <w:r w:rsidRPr="00AB072B">
        <w:rPr>
          <w:rFonts w:cstheme="minorHAnsi"/>
          <w:bCs/>
          <w:szCs w:val="24"/>
          <w:shd w:val="clear" w:color="auto" w:fill="FFFFFF"/>
        </w:rPr>
        <w:t xml:space="preserve"> Santiago</w:t>
      </w:r>
      <w:r w:rsidRPr="00AB072B">
        <w:rPr>
          <w:rFonts w:cstheme="minorHAnsi"/>
          <w:szCs w:val="24"/>
          <w:shd w:val="clear" w:color="auto" w:fill="FFFFFF"/>
        </w:rPr>
        <w:t xml:space="preserve"> Reyes-Borda (Canada), a tenu sa deuxième réunion le 7 septembre 2020, laquelle a </w:t>
      </w:r>
      <w:r w:rsidR="009D3CF2">
        <w:rPr>
          <w:rFonts w:cstheme="minorHAnsi"/>
          <w:szCs w:val="24"/>
          <w:shd w:val="clear" w:color="auto" w:fill="FFFFFF"/>
        </w:rPr>
        <w:t>été</w:t>
      </w:r>
      <w:r w:rsidRPr="00AB072B">
        <w:rPr>
          <w:rFonts w:cstheme="minorHAnsi"/>
          <w:szCs w:val="24"/>
          <w:shd w:val="clear" w:color="auto" w:fill="FFFFFF"/>
        </w:rPr>
        <w:t xml:space="preserve"> suivie par plus de 100 participants. La Fédération de Russie, la Lituanie, l'Association pour l'Europe, le Moyen-Orient et l'Afrique des opérateurs de satellites (ESOA) et le Zimbabwe ont présenté aux délégués leurs contributions respectives. Les participants</w:t>
      </w:r>
      <w:r w:rsidR="00D24B36" w:rsidRPr="00AB072B">
        <w:rPr>
          <w:rFonts w:cstheme="minorHAnsi"/>
          <w:szCs w:val="24"/>
          <w:shd w:val="clear" w:color="auto" w:fill="FFFFFF"/>
        </w:rPr>
        <w:t xml:space="preserve"> ont également examiné la contribution soumise par l'Indonésie, bien qu'elle n'ait pu faire l'objet d'une présentation verbale en raison de problèmes de connectivité.</w:t>
      </w:r>
    </w:p>
    <w:p w14:paraId="01D0B363" w14:textId="0B5F2A9F" w:rsidR="00D24B36" w:rsidRPr="00AB072B" w:rsidRDefault="00D24B36" w:rsidP="005D6740">
      <w:pPr>
        <w:spacing w:before="80" w:after="80"/>
        <w:rPr>
          <w:szCs w:val="24"/>
        </w:rPr>
      </w:pPr>
      <w:r w:rsidRPr="00AB072B">
        <w:rPr>
          <w:szCs w:val="24"/>
        </w:rPr>
        <w:t xml:space="preserve">Les propositions figurant dans </w:t>
      </w:r>
      <w:r w:rsidR="009D3CF2">
        <w:rPr>
          <w:szCs w:val="24"/>
        </w:rPr>
        <w:t>c</w:t>
      </w:r>
      <w:r w:rsidRPr="00AB072B">
        <w:rPr>
          <w:szCs w:val="24"/>
        </w:rPr>
        <w:t xml:space="preserve">es contributions </w:t>
      </w:r>
      <w:r w:rsidR="007C0046" w:rsidRPr="00AB072B">
        <w:rPr>
          <w:szCs w:val="24"/>
        </w:rPr>
        <w:t>portent essentiellement sur</w:t>
      </w:r>
      <w:r w:rsidRPr="00AB072B">
        <w:rPr>
          <w:szCs w:val="24"/>
        </w:rPr>
        <w:t xml:space="preserve"> les questions posées dans l'Annexe 4 de la </w:t>
      </w:r>
      <w:hyperlink r:id="rId9" w:history="1">
        <w:r w:rsidRPr="00AB072B">
          <w:rPr>
            <w:rStyle w:val="Hyperlink"/>
            <w:szCs w:val="24"/>
          </w:rPr>
          <w:t>Circulaire BDT/DDR/TDAG/052</w:t>
        </w:r>
      </w:hyperlink>
      <w:r w:rsidRPr="00AB072B">
        <w:rPr>
          <w:szCs w:val="24"/>
        </w:rPr>
        <w:t xml:space="preserve"> "Questions visant à guider la soumission de contributions au GT-GCDT-Prep par les membres". </w:t>
      </w:r>
      <w:r w:rsidR="001F5183" w:rsidRPr="00AB072B">
        <w:rPr>
          <w:szCs w:val="24"/>
        </w:rPr>
        <w:t>L'</w:t>
      </w:r>
      <w:r w:rsidRPr="00AB072B">
        <w:rPr>
          <w:szCs w:val="24"/>
        </w:rPr>
        <w:t xml:space="preserve">Annexe 1 du présent rapport </w:t>
      </w:r>
      <w:r w:rsidR="001F5183" w:rsidRPr="00AB072B">
        <w:rPr>
          <w:szCs w:val="24"/>
        </w:rPr>
        <w:t xml:space="preserve">contient </w:t>
      </w:r>
      <w:r w:rsidRPr="00AB072B">
        <w:rPr>
          <w:szCs w:val="24"/>
        </w:rPr>
        <w:t>un récapitulatif de</w:t>
      </w:r>
      <w:r w:rsidR="001F5183" w:rsidRPr="00AB072B">
        <w:rPr>
          <w:szCs w:val="24"/>
        </w:rPr>
        <w:t xml:space="preserve"> ces </w:t>
      </w:r>
      <w:r w:rsidRPr="00AB072B">
        <w:rPr>
          <w:szCs w:val="24"/>
        </w:rPr>
        <w:t>propositions.</w:t>
      </w:r>
    </w:p>
    <w:p w14:paraId="6FEFC68E" w14:textId="49CE9246" w:rsidR="001F5183" w:rsidRPr="00AB072B" w:rsidRDefault="001F5183" w:rsidP="005D6740">
      <w:pPr>
        <w:spacing w:before="80" w:after="80"/>
        <w:rPr>
          <w:szCs w:val="24"/>
        </w:rPr>
      </w:pPr>
      <w:r w:rsidRPr="00AB072B">
        <w:rPr>
          <w:szCs w:val="24"/>
        </w:rPr>
        <w:t xml:space="preserve">On trouvera dans le présent rapport </w:t>
      </w:r>
      <w:r w:rsidR="007C0046" w:rsidRPr="00AB072B">
        <w:rPr>
          <w:szCs w:val="24"/>
        </w:rPr>
        <w:t xml:space="preserve">un </w:t>
      </w:r>
      <w:r w:rsidRPr="00AB072B">
        <w:rPr>
          <w:szCs w:val="24"/>
        </w:rPr>
        <w:t>résumé succinct des observations et commentaires formulés concernant ces contributions lors de la réunion.</w:t>
      </w:r>
    </w:p>
    <w:p w14:paraId="180FE823" w14:textId="4116ED08" w:rsidR="007955AD" w:rsidRPr="00AB072B" w:rsidRDefault="001F5183" w:rsidP="005D6740">
      <w:pPr>
        <w:spacing w:before="80" w:after="80"/>
        <w:rPr>
          <w:szCs w:val="24"/>
        </w:rPr>
      </w:pPr>
      <w:r w:rsidRPr="00AB072B">
        <w:rPr>
          <w:b/>
          <w:bCs/>
          <w:szCs w:val="24"/>
        </w:rPr>
        <w:t xml:space="preserve">Les participants ont souligné la nécessité de </w:t>
      </w:r>
      <w:r w:rsidR="003300D0" w:rsidRPr="00AB072B">
        <w:rPr>
          <w:b/>
          <w:bCs/>
          <w:szCs w:val="24"/>
        </w:rPr>
        <w:t>prévoir</w:t>
      </w:r>
      <w:r w:rsidRPr="00AB072B">
        <w:rPr>
          <w:b/>
          <w:bCs/>
          <w:szCs w:val="24"/>
        </w:rPr>
        <w:t xml:space="preserve"> davantage de temps </w:t>
      </w:r>
      <w:r w:rsidR="003300D0" w:rsidRPr="00AB072B">
        <w:rPr>
          <w:b/>
          <w:bCs/>
          <w:szCs w:val="24"/>
        </w:rPr>
        <w:t>pour les</w:t>
      </w:r>
      <w:r w:rsidRPr="00AB072B">
        <w:rPr>
          <w:b/>
          <w:bCs/>
          <w:szCs w:val="24"/>
        </w:rPr>
        <w:t xml:space="preserve"> discussions relatives aux Questions confiées aux commissions d'études et aux Résolutions.</w:t>
      </w:r>
      <w:r w:rsidRPr="00AB072B">
        <w:rPr>
          <w:szCs w:val="24"/>
        </w:rPr>
        <w:t xml:space="preserve"> Il a été noté que les enseignements tirés des CMDT précédente</w:t>
      </w:r>
      <w:r w:rsidR="003300D0" w:rsidRPr="00AB072B">
        <w:rPr>
          <w:szCs w:val="24"/>
        </w:rPr>
        <w:t>s</w:t>
      </w:r>
      <w:r w:rsidRPr="00AB072B">
        <w:rPr>
          <w:szCs w:val="24"/>
        </w:rPr>
        <w:t xml:space="preserve"> montre</w:t>
      </w:r>
      <w:r w:rsidR="003300D0" w:rsidRPr="00AB072B">
        <w:rPr>
          <w:szCs w:val="24"/>
        </w:rPr>
        <w:t>nt</w:t>
      </w:r>
      <w:r w:rsidRPr="00AB072B">
        <w:rPr>
          <w:szCs w:val="24"/>
        </w:rPr>
        <w:t xml:space="preserve"> qu'il est nécessaire de </w:t>
      </w:r>
      <w:r w:rsidR="003300D0" w:rsidRPr="00AB072B">
        <w:rPr>
          <w:szCs w:val="24"/>
        </w:rPr>
        <w:t>réduire le nombre de</w:t>
      </w:r>
      <w:r w:rsidRPr="00AB072B">
        <w:rPr>
          <w:szCs w:val="24"/>
        </w:rPr>
        <w:t xml:space="preserve"> </w:t>
      </w:r>
      <w:r w:rsidR="00F03A35" w:rsidRPr="00AB072B">
        <w:rPr>
          <w:szCs w:val="24"/>
        </w:rPr>
        <w:t>"</w:t>
      </w:r>
      <w:r w:rsidRPr="00AB072B">
        <w:rPr>
          <w:szCs w:val="24"/>
        </w:rPr>
        <w:t>manifestations parallèles</w:t>
      </w:r>
      <w:r w:rsidR="00F03A35" w:rsidRPr="00AB072B">
        <w:rPr>
          <w:szCs w:val="24"/>
        </w:rPr>
        <w:t>"</w:t>
      </w:r>
      <w:r w:rsidR="007955AD" w:rsidRPr="00AB072B">
        <w:rPr>
          <w:szCs w:val="24"/>
        </w:rPr>
        <w:t xml:space="preserve"> pour que ces discussions se déroulent dans de meilleures conditions.</w:t>
      </w:r>
    </w:p>
    <w:p w14:paraId="506CD490" w14:textId="782CCC12" w:rsidR="00393750" w:rsidRPr="00AB072B" w:rsidRDefault="007955AD" w:rsidP="005D6740">
      <w:pPr>
        <w:spacing w:before="80" w:after="80"/>
        <w:rPr>
          <w:szCs w:val="24"/>
        </w:rPr>
      </w:pPr>
      <w:r w:rsidRPr="00AB072B">
        <w:rPr>
          <w:b/>
          <w:bCs/>
          <w:szCs w:val="24"/>
        </w:rPr>
        <w:t>Les participants ont accueilli favorablement l'idée d'élaborer un nouveau cadre pour les déclarations de politique générale de haut niveau</w:t>
      </w:r>
      <w:r w:rsidRPr="00AB072B">
        <w:rPr>
          <w:szCs w:val="24"/>
        </w:rPr>
        <w:t xml:space="preserve"> – </w:t>
      </w:r>
      <w:r w:rsidR="00E37CF9" w:rsidRPr="00AB072B">
        <w:rPr>
          <w:szCs w:val="24"/>
        </w:rPr>
        <w:t xml:space="preserve">un cadre </w:t>
      </w:r>
      <w:r w:rsidRPr="00AB072B">
        <w:rPr>
          <w:szCs w:val="24"/>
        </w:rPr>
        <w:t>qui contribuerait également aux résultats de la CMDT, comme indiqué dans la proposition soumise par le Zimbabwe.</w:t>
      </w:r>
      <w:r w:rsidR="00393750" w:rsidRPr="00AB072B">
        <w:rPr>
          <w:szCs w:val="24"/>
        </w:rPr>
        <w:t xml:space="preserve"> </w:t>
      </w:r>
      <w:r w:rsidR="00E37CF9" w:rsidRPr="00AB072B">
        <w:rPr>
          <w:szCs w:val="24"/>
        </w:rPr>
        <w:t>L</w:t>
      </w:r>
      <w:r w:rsidR="00393750" w:rsidRPr="00AB072B">
        <w:rPr>
          <w:szCs w:val="24"/>
        </w:rPr>
        <w:t xml:space="preserve">'importance des déclarations de politique générale de haut niveau </w:t>
      </w:r>
      <w:r w:rsidR="00E37CF9" w:rsidRPr="00AB072B">
        <w:rPr>
          <w:szCs w:val="24"/>
        </w:rPr>
        <w:t xml:space="preserve">n'est pas remise en </w:t>
      </w:r>
      <w:r w:rsidR="00DA02A2" w:rsidRPr="00AB072B">
        <w:rPr>
          <w:szCs w:val="24"/>
        </w:rPr>
        <w:t>question</w:t>
      </w:r>
      <w:r w:rsidR="00393750" w:rsidRPr="00AB072B">
        <w:rPr>
          <w:szCs w:val="24"/>
        </w:rPr>
        <w:t>,</w:t>
      </w:r>
      <w:r w:rsidR="00E37CF9" w:rsidRPr="00AB072B">
        <w:rPr>
          <w:szCs w:val="24"/>
        </w:rPr>
        <w:t xml:space="preserve"> mais</w:t>
      </w:r>
      <w:r w:rsidR="00393750" w:rsidRPr="00AB072B">
        <w:rPr>
          <w:szCs w:val="24"/>
        </w:rPr>
        <w:t xml:space="preserve"> les membres de l'UIT ont pu constater au fil des ans </w:t>
      </w:r>
      <w:r w:rsidR="00DA02A2" w:rsidRPr="00AB072B">
        <w:rPr>
          <w:szCs w:val="24"/>
        </w:rPr>
        <w:t>que</w:t>
      </w:r>
      <w:r w:rsidR="00393750" w:rsidRPr="00AB072B">
        <w:rPr>
          <w:szCs w:val="24"/>
        </w:rPr>
        <w:t xml:space="preserve"> ces déclarations peuvent être monotones et prennent </w:t>
      </w:r>
      <w:r w:rsidR="00DA02A2" w:rsidRPr="00AB072B">
        <w:rPr>
          <w:szCs w:val="24"/>
        </w:rPr>
        <w:t>un</w:t>
      </w:r>
      <w:r w:rsidR="00393750" w:rsidRPr="00AB072B">
        <w:rPr>
          <w:szCs w:val="24"/>
        </w:rPr>
        <w:t xml:space="preserve"> temps qui pourrait être consacré à des travaux </w:t>
      </w:r>
      <w:r w:rsidR="00DA02A2" w:rsidRPr="00AB072B">
        <w:rPr>
          <w:szCs w:val="24"/>
        </w:rPr>
        <w:t>essentiels</w:t>
      </w:r>
      <w:r w:rsidR="00393750" w:rsidRPr="00AB072B">
        <w:rPr>
          <w:szCs w:val="24"/>
        </w:rPr>
        <w:t xml:space="preserve"> de la Conférence.</w:t>
      </w:r>
    </w:p>
    <w:p w14:paraId="08C385A9" w14:textId="1DB208CD" w:rsidR="00C651D3" w:rsidRPr="00AB072B" w:rsidRDefault="00393750" w:rsidP="005D6740">
      <w:pPr>
        <w:spacing w:before="80" w:after="80"/>
        <w:rPr>
          <w:szCs w:val="24"/>
        </w:rPr>
      </w:pPr>
      <w:r w:rsidRPr="00AB072B">
        <w:rPr>
          <w:b/>
          <w:bCs/>
          <w:szCs w:val="24"/>
        </w:rPr>
        <w:t>Il faut un cadre conceptuel</w:t>
      </w:r>
      <w:r w:rsidRPr="00AB072B">
        <w:rPr>
          <w:szCs w:val="24"/>
        </w:rPr>
        <w:t xml:space="preserve"> qui définisse </w:t>
      </w:r>
      <w:r w:rsidR="00DA02A2" w:rsidRPr="00AB072B">
        <w:rPr>
          <w:szCs w:val="24"/>
        </w:rPr>
        <w:t>toutes les</w:t>
      </w:r>
      <w:r w:rsidRPr="00AB072B">
        <w:rPr>
          <w:szCs w:val="24"/>
        </w:rPr>
        <w:t xml:space="preserve"> parties prenantes et les modalités de leur participation à la Conférence. Leur participation serait-elle limitée uniquement aux manifestations parallèles?</w:t>
      </w:r>
      <w:r w:rsidR="00C651D3" w:rsidRPr="00AB072B">
        <w:rPr>
          <w:szCs w:val="24"/>
        </w:rPr>
        <w:t xml:space="preserve"> Les manifestations parallèles auront-elles lieu en même temps que l'examen des Résolutions</w:t>
      </w:r>
      <w:r w:rsidR="00F4519C" w:rsidRPr="00AB072B">
        <w:rPr>
          <w:szCs w:val="24"/>
        </w:rPr>
        <w:t xml:space="preserve"> et</w:t>
      </w:r>
      <w:r w:rsidR="00C651D3" w:rsidRPr="00AB072B">
        <w:rPr>
          <w:szCs w:val="24"/>
        </w:rPr>
        <w:t xml:space="preserve"> des Questions confiées aux commissions d'études </w:t>
      </w:r>
      <w:r w:rsidR="00F4519C" w:rsidRPr="00AB072B">
        <w:rPr>
          <w:szCs w:val="24"/>
        </w:rPr>
        <w:t xml:space="preserve">et </w:t>
      </w:r>
      <w:r w:rsidR="00DA02A2" w:rsidRPr="00AB072B">
        <w:rPr>
          <w:szCs w:val="24"/>
        </w:rPr>
        <w:t xml:space="preserve">que </w:t>
      </w:r>
      <w:r w:rsidR="00C651D3" w:rsidRPr="00AB072B">
        <w:rPr>
          <w:szCs w:val="24"/>
        </w:rPr>
        <w:t>d'autres aspects fondamentaux de la Conférence?</w:t>
      </w:r>
    </w:p>
    <w:p w14:paraId="2FCB8865" w14:textId="5005C745" w:rsidR="00AE18D3" w:rsidRPr="00AB072B" w:rsidRDefault="0058416B" w:rsidP="005D6740">
      <w:pPr>
        <w:spacing w:before="80" w:after="80"/>
        <w:rPr>
          <w:szCs w:val="24"/>
        </w:rPr>
      </w:pPr>
      <w:r w:rsidRPr="00AB072B">
        <w:rPr>
          <w:b/>
          <w:bCs/>
          <w:szCs w:val="24"/>
        </w:rPr>
        <w:lastRenderedPageBreak/>
        <w:t xml:space="preserve">Lors du travail de définition des groupes de parties prenantes, il a été noté qu'il conviendrait d'inclure les bailleurs de fonds qui devraient être encouragés à </w:t>
      </w:r>
      <w:r w:rsidR="00A07A41" w:rsidRPr="00AB072B">
        <w:rPr>
          <w:b/>
          <w:bCs/>
          <w:szCs w:val="24"/>
        </w:rPr>
        <w:t>participer</w:t>
      </w:r>
      <w:r w:rsidRPr="00AB072B">
        <w:rPr>
          <w:b/>
          <w:bCs/>
          <w:szCs w:val="24"/>
        </w:rPr>
        <w:t xml:space="preserve"> à la CMDT</w:t>
      </w:r>
      <w:r w:rsidRPr="00AB072B">
        <w:rPr>
          <w:szCs w:val="24"/>
        </w:rPr>
        <w:t>, étant donné qu'ils pourraient contribuer au financement des projets de développement de l'UIT</w:t>
      </w:r>
      <w:r w:rsidR="00F03A35" w:rsidRPr="00AB072B">
        <w:rPr>
          <w:szCs w:val="24"/>
        </w:rPr>
        <w:t>-</w:t>
      </w:r>
      <w:r w:rsidRPr="00AB072B">
        <w:rPr>
          <w:szCs w:val="24"/>
        </w:rPr>
        <w:t xml:space="preserve">D. Un appel a été lancé en vue de commencer à nouer le dialogue avec les parties prenantes </w:t>
      </w:r>
      <w:r w:rsidR="00A07A41" w:rsidRPr="00AB072B">
        <w:rPr>
          <w:szCs w:val="24"/>
        </w:rPr>
        <w:t>intervenant dans le</w:t>
      </w:r>
      <w:r w:rsidRPr="00AB072B">
        <w:rPr>
          <w:szCs w:val="24"/>
        </w:rPr>
        <w:t xml:space="preserve"> financement de diverses activités </w:t>
      </w:r>
      <w:r w:rsidR="00F03A35" w:rsidRPr="00AB072B">
        <w:rPr>
          <w:szCs w:val="24"/>
        </w:rPr>
        <w:t>–</w:t>
      </w:r>
      <w:r w:rsidRPr="00AB072B">
        <w:rPr>
          <w:szCs w:val="24"/>
        </w:rPr>
        <w:t xml:space="preserve"> établissements de crédit, secteur privé, communauté multi</w:t>
      </w:r>
      <w:r w:rsidR="00A07A41" w:rsidRPr="00AB072B">
        <w:rPr>
          <w:szCs w:val="24"/>
        </w:rPr>
        <w:t>-</w:t>
      </w:r>
      <w:r w:rsidRPr="00AB072B">
        <w:rPr>
          <w:szCs w:val="24"/>
        </w:rPr>
        <w:t>parties</w:t>
      </w:r>
      <w:r w:rsidR="00A07A41" w:rsidRPr="00AB072B">
        <w:rPr>
          <w:szCs w:val="24"/>
        </w:rPr>
        <w:t xml:space="preserve"> </w:t>
      </w:r>
      <w:r w:rsidRPr="00AB072B">
        <w:rPr>
          <w:szCs w:val="24"/>
        </w:rPr>
        <w:t xml:space="preserve">prenantes. Ces différentes parties prenantes jouent un rôle particulier dans la mise en œuvre des projets. À cet égard, la fonction </w:t>
      </w:r>
      <w:r w:rsidR="00A07A41" w:rsidRPr="00AB072B">
        <w:rPr>
          <w:szCs w:val="24"/>
        </w:rPr>
        <w:t>d'exécution</w:t>
      </w:r>
      <w:r w:rsidRPr="00AB072B">
        <w:rPr>
          <w:szCs w:val="24"/>
        </w:rPr>
        <w:t xml:space="preserve"> de projets à l'UIT sera examinée plus avant pour ce qui est de la collaboration et de l'établissement de partenariats avec des organisations spécialisées compétentes au</w:t>
      </w:r>
      <w:r w:rsidR="00A07A41" w:rsidRPr="00AB072B">
        <w:rPr>
          <w:szCs w:val="24"/>
        </w:rPr>
        <w:t>x</w:t>
      </w:r>
      <w:r w:rsidRPr="00AB072B">
        <w:rPr>
          <w:szCs w:val="24"/>
        </w:rPr>
        <w:t xml:space="preserve"> niveau</w:t>
      </w:r>
      <w:r w:rsidR="00A07A41" w:rsidRPr="00AB072B">
        <w:rPr>
          <w:szCs w:val="24"/>
        </w:rPr>
        <w:t>x</w:t>
      </w:r>
      <w:r w:rsidRPr="00AB072B">
        <w:rPr>
          <w:szCs w:val="24"/>
        </w:rPr>
        <w:t xml:space="preserve"> régional et international.</w:t>
      </w:r>
    </w:p>
    <w:p w14:paraId="68D39C75" w14:textId="79C0B8A4" w:rsidR="002E2E7B" w:rsidRPr="00AB072B" w:rsidRDefault="0058416B" w:rsidP="005D6740">
      <w:pPr>
        <w:spacing w:before="80" w:after="80"/>
        <w:rPr>
          <w:szCs w:val="24"/>
        </w:rPr>
      </w:pPr>
      <w:r w:rsidRPr="00AB072B">
        <w:rPr>
          <w:b/>
          <w:bCs/>
          <w:szCs w:val="24"/>
        </w:rPr>
        <w:t>La Président</w:t>
      </w:r>
      <w:r w:rsidR="006A449E" w:rsidRPr="00AB072B">
        <w:rPr>
          <w:b/>
          <w:bCs/>
          <w:szCs w:val="24"/>
        </w:rPr>
        <w:t>e</w:t>
      </w:r>
      <w:r w:rsidRPr="00AB072B">
        <w:rPr>
          <w:b/>
          <w:bCs/>
          <w:szCs w:val="24"/>
        </w:rPr>
        <w:t xml:space="preserve"> du GCDT </w:t>
      </w:r>
      <w:r w:rsidR="009962B4">
        <w:rPr>
          <w:b/>
          <w:bCs/>
          <w:szCs w:val="24"/>
        </w:rPr>
        <w:t xml:space="preserve">a noté </w:t>
      </w:r>
      <w:r w:rsidRPr="00AB072B">
        <w:rPr>
          <w:b/>
          <w:bCs/>
          <w:szCs w:val="24"/>
        </w:rPr>
        <w:t xml:space="preserve">que l'UIT devrait revoir l'expression </w:t>
      </w:r>
      <w:r w:rsidR="00F03A35" w:rsidRPr="00AB072B">
        <w:rPr>
          <w:b/>
          <w:bCs/>
          <w:szCs w:val="24"/>
        </w:rPr>
        <w:t>"</w:t>
      </w:r>
      <w:r w:rsidRPr="00AB072B">
        <w:rPr>
          <w:b/>
          <w:bCs/>
          <w:szCs w:val="24"/>
        </w:rPr>
        <w:t>Volet séparé</w:t>
      </w:r>
      <w:r w:rsidR="00F03A35" w:rsidRPr="00AB072B">
        <w:rPr>
          <w:b/>
          <w:bCs/>
          <w:szCs w:val="24"/>
        </w:rPr>
        <w:t>"</w:t>
      </w:r>
      <w:r w:rsidRPr="00AB072B">
        <w:rPr>
          <w:szCs w:val="24"/>
        </w:rPr>
        <w:t xml:space="preserve"> pour éviter l'interprétation actuelle selon laquelle une approche avec un volet séparé pourrait nuire à la participation des </w:t>
      </w:r>
      <w:r w:rsidR="006A449E" w:rsidRPr="00AB072B">
        <w:rPr>
          <w:szCs w:val="24"/>
        </w:rPr>
        <w:t xml:space="preserve">petits </w:t>
      </w:r>
      <w:r w:rsidRPr="00AB072B">
        <w:rPr>
          <w:szCs w:val="24"/>
        </w:rPr>
        <w:t>États Membres de l'UIT et des Membres de Secteur ayant une petite délégation.</w:t>
      </w:r>
      <w:r w:rsidR="002E2E7B" w:rsidRPr="00AB072B">
        <w:rPr>
          <w:szCs w:val="24"/>
        </w:rPr>
        <w:t xml:space="preserve"> Il faut </w:t>
      </w:r>
      <w:r w:rsidR="00D42707" w:rsidRPr="00AB072B">
        <w:rPr>
          <w:szCs w:val="24"/>
        </w:rPr>
        <w:t>plutôt</w:t>
      </w:r>
      <w:r w:rsidR="002E2E7B" w:rsidRPr="00AB072B">
        <w:rPr>
          <w:szCs w:val="24"/>
        </w:rPr>
        <w:t xml:space="preserve"> comprendre qu'il y aura deux volets: l'un consacré aux fonctions administratives qui sont traditionnellement celles de la Conférence et l'autre consacré aux activités axées sur le développement.</w:t>
      </w:r>
    </w:p>
    <w:p w14:paraId="7BB647CD" w14:textId="6CA032EE" w:rsidR="0058416B" w:rsidRPr="00AB072B" w:rsidRDefault="002E2E7B" w:rsidP="005D6740">
      <w:pPr>
        <w:spacing w:before="80" w:after="80"/>
        <w:rPr>
          <w:rFonts w:cstheme="minorHAnsi"/>
          <w:szCs w:val="24"/>
        </w:rPr>
      </w:pPr>
      <w:r w:rsidRPr="00AB072B">
        <w:rPr>
          <w:szCs w:val="24"/>
        </w:rPr>
        <w:t xml:space="preserve">Le délégué du Brésil a fait remarquer que </w:t>
      </w:r>
      <w:r w:rsidRPr="00AB072B">
        <w:rPr>
          <w:b/>
          <w:bCs/>
          <w:szCs w:val="24"/>
        </w:rPr>
        <w:t>le travail de préparation en vue de la CMDT</w:t>
      </w:r>
      <w:r w:rsidR="00AB072B" w:rsidRPr="00AB072B">
        <w:rPr>
          <w:b/>
          <w:bCs/>
          <w:szCs w:val="24"/>
        </w:rPr>
        <w:t>-</w:t>
      </w:r>
      <w:r w:rsidRPr="00AB072B">
        <w:rPr>
          <w:b/>
          <w:bCs/>
          <w:szCs w:val="24"/>
        </w:rPr>
        <w:t>21 est bien engagé dans de nombreuses organisations régionales des télécommunications</w:t>
      </w:r>
      <w:r w:rsidRPr="00AB072B">
        <w:rPr>
          <w:szCs w:val="24"/>
        </w:rPr>
        <w:t>. La Commission interaméricaine des télécommunications (</w:t>
      </w:r>
      <w:r w:rsidRPr="00AB072B">
        <w:rPr>
          <w:rFonts w:cstheme="minorHAnsi"/>
          <w:szCs w:val="24"/>
        </w:rPr>
        <w:t>CITEL) a déjà désigné deux coordonnateurs pour chacun des trois groupes de travail du GCDT, à savoir le GT</w:t>
      </w:r>
      <w:r w:rsidR="00AB072B" w:rsidRPr="00AB072B">
        <w:rPr>
          <w:rFonts w:cstheme="minorHAnsi"/>
          <w:szCs w:val="24"/>
        </w:rPr>
        <w:t>-</w:t>
      </w:r>
      <w:r w:rsidRPr="00AB072B">
        <w:rPr>
          <w:rFonts w:cstheme="minorHAnsi"/>
          <w:szCs w:val="24"/>
        </w:rPr>
        <w:t>GCDT</w:t>
      </w:r>
      <w:r w:rsidR="00AB072B" w:rsidRPr="00AB072B">
        <w:rPr>
          <w:rFonts w:cstheme="minorHAnsi"/>
          <w:szCs w:val="24"/>
        </w:rPr>
        <w:t>-</w:t>
      </w:r>
      <w:r w:rsidRPr="00AB072B">
        <w:rPr>
          <w:rFonts w:cstheme="minorHAnsi"/>
          <w:szCs w:val="24"/>
        </w:rPr>
        <w:t>Prep, le Groupe de travail du GCDT sur les Résolutions, la Déclaration et les priorités thématiques de la CMDT (GT-GCDT-RDTP) et le Groupe de travail du GCDT chargé de la planification stratégique et opérationnelle (GT-GCDT-SOP).</w:t>
      </w:r>
    </w:p>
    <w:p w14:paraId="71B110ED" w14:textId="0C7F5563" w:rsidR="002E2E7B" w:rsidRPr="00AB072B" w:rsidRDefault="002E2E7B" w:rsidP="005D6740">
      <w:pPr>
        <w:spacing w:before="80" w:after="80"/>
        <w:rPr>
          <w:rFonts w:cstheme="minorHAnsi"/>
          <w:szCs w:val="24"/>
          <w:shd w:val="clear" w:color="auto" w:fill="FFFFFF"/>
        </w:rPr>
      </w:pPr>
      <w:r w:rsidRPr="00AB072B">
        <w:rPr>
          <w:szCs w:val="24"/>
        </w:rPr>
        <w:t>Dans la mesure où les questions confiées à ces groupes sont liées entre elles, les coordonnateurs de la CITEL travaillent tous ensemble afin de garantir la cohésion et la cohérence. Mme</w:t>
      </w:r>
      <w:r w:rsidR="00AB072B" w:rsidRPr="00AB072B">
        <w:rPr>
          <w:szCs w:val="24"/>
        </w:rPr>
        <w:t> </w:t>
      </w:r>
      <w:r w:rsidRPr="00AB072B">
        <w:rPr>
          <w:szCs w:val="24"/>
        </w:rPr>
        <w:t>Andrea</w:t>
      </w:r>
      <w:r w:rsidR="00AB072B" w:rsidRPr="00AB072B">
        <w:rPr>
          <w:rFonts w:cstheme="minorHAnsi"/>
          <w:szCs w:val="24"/>
        </w:rPr>
        <w:t> </w:t>
      </w:r>
      <w:r w:rsidRPr="00AB072B">
        <w:rPr>
          <w:rFonts w:cstheme="minorHAnsi"/>
          <w:szCs w:val="24"/>
        </w:rPr>
        <w:t>Grippa (Brésil) a été nommé</w:t>
      </w:r>
      <w:r w:rsidR="00D42707" w:rsidRPr="00AB072B">
        <w:rPr>
          <w:rFonts w:cstheme="minorHAnsi"/>
          <w:szCs w:val="24"/>
        </w:rPr>
        <w:t>e</w:t>
      </w:r>
      <w:r w:rsidRPr="00AB072B">
        <w:rPr>
          <w:rFonts w:cstheme="minorHAnsi"/>
          <w:szCs w:val="24"/>
        </w:rPr>
        <w:t xml:space="preserve"> coordonnatrice pour le GT</w:t>
      </w:r>
      <w:r w:rsidR="00AB072B" w:rsidRPr="00AB072B">
        <w:rPr>
          <w:rFonts w:cstheme="minorHAnsi"/>
          <w:szCs w:val="24"/>
        </w:rPr>
        <w:t>-</w:t>
      </w:r>
      <w:r w:rsidRPr="00AB072B">
        <w:rPr>
          <w:rFonts w:cstheme="minorHAnsi"/>
          <w:szCs w:val="24"/>
        </w:rPr>
        <w:t>GCDT</w:t>
      </w:r>
      <w:r w:rsidR="00AB072B" w:rsidRPr="00AB072B">
        <w:rPr>
          <w:rFonts w:cstheme="minorHAnsi"/>
          <w:szCs w:val="24"/>
        </w:rPr>
        <w:t>-</w:t>
      </w:r>
      <w:r w:rsidRPr="00AB072B">
        <w:rPr>
          <w:rFonts w:cstheme="minorHAnsi"/>
          <w:szCs w:val="24"/>
        </w:rPr>
        <w:t>Prep par la CITEL. M.</w:t>
      </w:r>
      <w:r w:rsidR="00AB072B" w:rsidRPr="00AB072B">
        <w:rPr>
          <w:rFonts w:cstheme="minorHAnsi"/>
          <w:bCs/>
          <w:szCs w:val="24"/>
          <w:shd w:val="clear" w:color="auto" w:fill="FFFFFF"/>
        </w:rPr>
        <w:t> </w:t>
      </w:r>
      <w:r w:rsidRPr="00AB072B">
        <w:rPr>
          <w:rFonts w:cstheme="minorHAnsi"/>
          <w:bCs/>
          <w:szCs w:val="24"/>
          <w:shd w:val="clear" w:color="auto" w:fill="FFFFFF"/>
        </w:rPr>
        <w:t>Santiago</w:t>
      </w:r>
      <w:r w:rsidRPr="00AB072B">
        <w:rPr>
          <w:rFonts w:cstheme="minorHAnsi"/>
          <w:szCs w:val="24"/>
          <w:shd w:val="clear" w:color="auto" w:fill="FFFFFF"/>
        </w:rPr>
        <w:t xml:space="preserve"> Reyes-Borda préside le </w:t>
      </w:r>
      <w:r w:rsidR="00D42707" w:rsidRPr="00AB072B">
        <w:rPr>
          <w:rFonts w:cstheme="minorHAnsi"/>
          <w:szCs w:val="24"/>
          <w:shd w:val="clear" w:color="auto" w:fill="FFFFFF"/>
        </w:rPr>
        <w:t>G</w:t>
      </w:r>
      <w:r w:rsidRPr="00AB072B">
        <w:rPr>
          <w:rFonts w:cstheme="minorHAnsi"/>
          <w:szCs w:val="24"/>
          <w:shd w:val="clear" w:color="auto" w:fill="FFFFFF"/>
        </w:rPr>
        <w:t>roupe de travail de la CITEL sur la CMDT.</w:t>
      </w:r>
    </w:p>
    <w:p w14:paraId="4AFA7DA2" w14:textId="7EDE2E8D" w:rsidR="001B3713" w:rsidRPr="00AB072B" w:rsidRDefault="002E2E7B" w:rsidP="005D6740">
      <w:pPr>
        <w:spacing w:before="80" w:after="80"/>
        <w:rPr>
          <w:bdr w:val="none" w:sz="0" w:space="0" w:color="auto" w:frame="1"/>
        </w:rPr>
      </w:pPr>
      <w:r w:rsidRPr="00AB072B">
        <w:rPr>
          <w:szCs w:val="24"/>
        </w:rPr>
        <w:t>Le délégué de la Jordanie a rappelé que la première réunion préparatoire du Groupe de travail</w:t>
      </w:r>
      <w:r w:rsidR="001B3713" w:rsidRPr="00AB072B">
        <w:rPr>
          <w:szCs w:val="24"/>
        </w:rPr>
        <w:t xml:space="preserve"> de la région des </w:t>
      </w:r>
      <w:r w:rsidRPr="00AB072B">
        <w:rPr>
          <w:szCs w:val="24"/>
        </w:rPr>
        <w:t>États arabes</w:t>
      </w:r>
      <w:r w:rsidR="001B3713" w:rsidRPr="00AB072B">
        <w:rPr>
          <w:szCs w:val="24"/>
        </w:rPr>
        <w:t xml:space="preserve"> sur la CMDT avait eu lieu en ligne du 25 au 27 août 2020. Un point de </w:t>
      </w:r>
      <w:r w:rsidR="00D42707" w:rsidRPr="00AB072B">
        <w:rPr>
          <w:szCs w:val="24"/>
        </w:rPr>
        <w:t xml:space="preserve">son </w:t>
      </w:r>
      <w:r w:rsidR="001B3713" w:rsidRPr="00AB072B">
        <w:rPr>
          <w:szCs w:val="24"/>
        </w:rPr>
        <w:t xml:space="preserve">ordre du jour </w:t>
      </w:r>
      <w:r w:rsidR="00D42707" w:rsidRPr="00AB072B">
        <w:rPr>
          <w:szCs w:val="24"/>
        </w:rPr>
        <w:t>portait sur les</w:t>
      </w:r>
      <w:r w:rsidR="001B3713" w:rsidRPr="00AB072B">
        <w:rPr>
          <w:szCs w:val="24"/>
        </w:rPr>
        <w:t xml:space="preserve"> trois groupes de travail du GCDT et un accord a été trouvé à cette réunion concernant l</w:t>
      </w:r>
      <w:r w:rsidR="00D42707" w:rsidRPr="00AB072B">
        <w:rPr>
          <w:szCs w:val="24"/>
        </w:rPr>
        <w:t>a désignation d</w:t>
      </w:r>
      <w:r w:rsidR="001B3713" w:rsidRPr="00AB072B">
        <w:rPr>
          <w:szCs w:val="24"/>
        </w:rPr>
        <w:t>es coordonnateurs. M.</w:t>
      </w:r>
      <w:r w:rsidR="001B3713" w:rsidRPr="00AB072B">
        <w:rPr>
          <w:bdr w:val="none" w:sz="0" w:space="0" w:color="auto" w:frame="1"/>
        </w:rPr>
        <w:t xml:space="preserve"> Al-ansari Almashakbeh (Jordanie) a été désigné coordonnateur pour le GT</w:t>
      </w:r>
      <w:r w:rsidR="00AB072B" w:rsidRPr="00AB072B">
        <w:rPr>
          <w:bdr w:val="none" w:sz="0" w:space="0" w:color="auto" w:frame="1"/>
        </w:rPr>
        <w:t>-</w:t>
      </w:r>
      <w:r w:rsidR="001B3713" w:rsidRPr="00AB072B">
        <w:rPr>
          <w:bdr w:val="none" w:sz="0" w:space="0" w:color="auto" w:frame="1"/>
        </w:rPr>
        <w:t>GCDT</w:t>
      </w:r>
      <w:r w:rsidR="00AB072B" w:rsidRPr="00AB072B">
        <w:rPr>
          <w:bdr w:val="none" w:sz="0" w:space="0" w:color="auto" w:frame="1"/>
        </w:rPr>
        <w:t>-</w:t>
      </w:r>
      <w:r w:rsidR="001B3713" w:rsidRPr="00AB072B">
        <w:rPr>
          <w:bdr w:val="none" w:sz="0" w:space="0" w:color="auto" w:frame="1"/>
        </w:rPr>
        <w:t>Prep.</w:t>
      </w:r>
    </w:p>
    <w:p w14:paraId="5A2EBA76" w14:textId="22696C5F" w:rsidR="002E2E7B" w:rsidRPr="00AB072B" w:rsidRDefault="001B3713" w:rsidP="005D6740">
      <w:pPr>
        <w:spacing w:before="80" w:after="80"/>
        <w:rPr>
          <w:rFonts w:cstheme="minorHAnsi"/>
          <w:szCs w:val="24"/>
        </w:rPr>
      </w:pPr>
      <w:r w:rsidRPr="00AB072B">
        <w:rPr>
          <w:szCs w:val="24"/>
        </w:rPr>
        <w:t>Le délégué de la République islamique d'Iran a fait savoir aux participants à la réunion que la Télécommunauté Asie</w:t>
      </w:r>
      <w:r w:rsidR="00AB072B" w:rsidRPr="00AB072B">
        <w:rPr>
          <w:szCs w:val="24"/>
        </w:rPr>
        <w:t>-</w:t>
      </w:r>
      <w:r w:rsidRPr="00AB072B">
        <w:rPr>
          <w:szCs w:val="24"/>
        </w:rPr>
        <w:t>Pacifique (APT)</w:t>
      </w:r>
      <w:r w:rsidR="00EF57D7" w:rsidRPr="00AB072B">
        <w:rPr>
          <w:szCs w:val="24"/>
        </w:rPr>
        <w:t xml:space="preserve"> prévoit de tenir trois réunions avant la CMDT</w:t>
      </w:r>
      <w:r w:rsidR="00AB072B" w:rsidRPr="00AB072B">
        <w:rPr>
          <w:szCs w:val="24"/>
        </w:rPr>
        <w:t>-</w:t>
      </w:r>
      <w:r w:rsidR="00EF57D7" w:rsidRPr="00AB072B">
        <w:rPr>
          <w:szCs w:val="24"/>
        </w:rPr>
        <w:t xml:space="preserve">21. L'APT a programmé une réunion extraordinaire sur la CMDT le 4 novembre 2020, afin de coordonner les positions des </w:t>
      </w:r>
      <w:r w:rsidR="00D42707" w:rsidRPr="00AB072B">
        <w:rPr>
          <w:szCs w:val="24"/>
        </w:rPr>
        <w:t>a</w:t>
      </w:r>
      <w:r w:rsidR="00EF57D7" w:rsidRPr="00AB072B">
        <w:rPr>
          <w:szCs w:val="24"/>
        </w:rPr>
        <w:t xml:space="preserve">dministrations de ses États Membres et d'élaborer un rapport </w:t>
      </w:r>
      <w:r w:rsidR="00D42707" w:rsidRPr="00AB072B">
        <w:rPr>
          <w:szCs w:val="24"/>
        </w:rPr>
        <w:t>qui sera soumis à</w:t>
      </w:r>
      <w:r w:rsidR="00EF57D7" w:rsidRPr="00AB072B">
        <w:rPr>
          <w:szCs w:val="24"/>
        </w:rPr>
        <w:t xml:space="preserve"> la réunion du GCDT du 23 novembre 2020. M. Ahmad Reza Sharafat, Président du GT</w:t>
      </w:r>
      <w:r w:rsidR="00AB072B" w:rsidRPr="00AB072B">
        <w:rPr>
          <w:szCs w:val="24"/>
        </w:rPr>
        <w:t>-</w:t>
      </w:r>
      <w:r w:rsidR="00EF57D7" w:rsidRPr="00AB072B">
        <w:rPr>
          <w:szCs w:val="24"/>
        </w:rPr>
        <w:t>GCDT</w:t>
      </w:r>
      <w:r w:rsidR="00AB072B" w:rsidRPr="00AB072B">
        <w:rPr>
          <w:szCs w:val="24"/>
        </w:rPr>
        <w:t>-</w:t>
      </w:r>
      <w:r w:rsidR="00EF57D7" w:rsidRPr="00AB072B">
        <w:rPr>
          <w:rFonts w:cstheme="minorHAnsi"/>
          <w:szCs w:val="24"/>
        </w:rPr>
        <w:t>RDTP</w:t>
      </w:r>
      <w:r w:rsidR="00D42707" w:rsidRPr="00AB072B">
        <w:rPr>
          <w:rFonts w:cstheme="minorHAnsi"/>
          <w:szCs w:val="24"/>
        </w:rPr>
        <w:t>,</w:t>
      </w:r>
      <w:r w:rsidR="00EF57D7" w:rsidRPr="00AB072B">
        <w:rPr>
          <w:rFonts w:cstheme="minorHAnsi"/>
          <w:szCs w:val="24"/>
        </w:rPr>
        <w:t xml:space="preserve"> a été nommé Président du Groupe de préparation de l'APT en vue de la CMDT-21.</w:t>
      </w:r>
    </w:p>
    <w:p w14:paraId="7A62FC44" w14:textId="77777777" w:rsidR="00EF57D7" w:rsidRPr="00AB072B" w:rsidRDefault="00EF57D7" w:rsidP="005D6740">
      <w:pPr>
        <w:spacing w:before="80" w:after="80"/>
        <w:rPr>
          <w:szCs w:val="24"/>
        </w:rPr>
      </w:pPr>
      <w:r w:rsidRPr="00AB072B">
        <w:rPr>
          <w:szCs w:val="24"/>
        </w:rPr>
        <w:t>Le délégué de l'Arabie Saoudite a préconisé que le BDT prépare, pour la prochaine réunion, un document d'information contenant les éléments suivants:</w:t>
      </w:r>
    </w:p>
    <w:p w14:paraId="2F4B03E1" w14:textId="2416240E" w:rsidR="00AE18D3" w:rsidRPr="00AB072B" w:rsidRDefault="00AB072B" w:rsidP="00AB072B">
      <w:pPr>
        <w:pStyle w:val="enumlev1"/>
      </w:pPr>
      <w:r w:rsidRPr="00AB072B">
        <w:t>–</w:t>
      </w:r>
      <w:r w:rsidRPr="00AB072B">
        <w:tab/>
      </w:r>
      <w:r w:rsidR="00EF57D7" w:rsidRPr="00AB072B">
        <w:t>une note de synthèse ou un projet de structure de la Conférence</w:t>
      </w:r>
      <w:r w:rsidR="00AE18D3" w:rsidRPr="00AB072B">
        <w:t>;</w:t>
      </w:r>
    </w:p>
    <w:p w14:paraId="5D60A3BB" w14:textId="56DD9245" w:rsidR="00EF57D7" w:rsidRPr="00AB072B" w:rsidRDefault="00AB072B" w:rsidP="00AB072B">
      <w:pPr>
        <w:pStyle w:val="enumlev1"/>
      </w:pPr>
      <w:r w:rsidRPr="00AB072B">
        <w:t>–</w:t>
      </w:r>
      <w:r w:rsidRPr="00AB072B">
        <w:tab/>
      </w:r>
      <w:r w:rsidR="00EF57D7" w:rsidRPr="00AB072B">
        <w:t>des propositions de thèmes ou des thèmes possibles pour la Conférence;</w:t>
      </w:r>
    </w:p>
    <w:p w14:paraId="35FC2974" w14:textId="1B861C0F" w:rsidR="00597DA2" w:rsidRPr="00AB072B" w:rsidRDefault="00AB072B" w:rsidP="00AB072B">
      <w:pPr>
        <w:pStyle w:val="enumlev1"/>
      </w:pPr>
      <w:r w:rsidRPr="00AB072B">
        <w:t>–</w:t>
      </w:r>
      <w:r w:rsidRPr="00AB072B">
        <w:tab/>
      </w:r>
      <w:r w:rsidR="001034EE" w:rsidRPr="00AB072B">
        <w:t xml:space="preserve">une description </w:t>
      </w:r>
      <w:r w:rsidR="00D42707" w:rsidRPr="00AB072B">
        <w:t>du déroulement du</w:t>
      </w:r>
      <w:r w:rsidR="001034EE" w:rsidRPr="00AB072B">
        <w:t xml:space="preserve"> Segment de haut niveau </w:t>
      </w:r>
      <w:r w:rsidR="00597DA2" w:rsidRPr="00AB072B">
        <w:t xml:space="preserve">et de la manière </w:t>
      </w:r>
      <w:r w:rsidR="00D42707" w:rsidRPr="00AB072B">
        <w:t>de concilier</w:t>
      </w:r>
      <w:r w:rsidR="00597DA2" w:rsidRPr="00AB072B">
        <w:t xml:space="preserve"> les différents volets entre eux ainsi qu'avec les discussions tenues dans le cadre de la partie administrative;</w:t>
      </w:r>
    </w:p>
    <w:p w14:paraId="09B853A5" w14:textId="2B1D74CA" w:rsidR="00597DA2" w:rsidRPr="00AB072B" w:rsidRDefault="00AB072B" w:rsidP="00AB072B">
      <w:pPr>
        <w:pStyle w:val="enumlev1"/>
      </w:pPr>
      <w:r w:rsidRPr="00AB072B">
        <w:t>–</w:t>
      </w:r>
      <w:r w:rsidRPr="00AB072B">
        <w:tab/>
      </w:r>
      <w:r w:rsidR="00597DA2" w:rsidRPr="00AB072B">
        <w:t>des réflexions sur les mécanismes de participation et le type de participants qui seront invités en qualité de spécialiste</w:t>
      </w:r>
      <w:r w:rsidR="00D42707" w:rsidRPr="00AB072B">
        <w:t>s ou</w:t>
      </w:r>
      <w:r w:rsidR="00597DA2" w:rsidRPr="00AB072B">
        <w:t xml:space="preserve"> de parties prenantes.</w:t>
      </w:r>
    </w:p>
    <w:p w14:paraId="7B737C49" w14:textId="433CA658" w:rsidR="00597DA2" w:rsidRPr="00AB072B" w:rsidRDefault="00597DA2" w:rsidP="00AB072B">
      <w:r w:rsidRPr="00AB072B">
        <w:lastRenderedPageBreak/>
        <w:t xml:space="preserve">Tous ces éléments </w:t>
      </w:r>
      <w:r w:rsidR="001F3D82" w:rsidRPr="00AB072B">
        <w:t>donneront</w:t>
      </w:r>
      <w:r w:rsidRPr="00AB072B">
        <w:t xml:space="preserve"> aux membres une vision commune de la manière de développer </w:t>
      </w:r>
      <w:r w:rsidR="001F3D82" w:rsidRPr="00AB072B">
        <w:t xml:space="preserve">et </w:t>
      </w:r>
      <w:r w:rsidRPr="00AB072B">
        <w:t>d'améliorer la Conférence.</w:t>
      </w:r>
    </w:p>
    <w:p w14:paraId="78DF6FC2" w14:textId="77777777" w:rsidR="00AE18D3" w:rsidRPr="00AB072B" w:rsidRDefault="00AE18D3" w:rsidP="00AB072B">
      <w:pPr>
        <w:pStyle w:val="Headingb"/>
      </w:pPr>
      <w:r w:rsidRPr="00AB072B">
        <w:t>Conclusion</w:t>
      </w:r>
    </w:p>
    <w:p w14:paraId="76B2CC07" w14:textId="3F54C5EC" w:rsidR="00597DA2" w:rsidRDefault="00597DA2" w:rsidP="00AE18D3">
      <w:pPr>
        <w:rPr>
          <w:rFonts w:cstheme="minorHAnsi"/>
          <w:szCs w:val="24"/>
        </w:rPr>
      </w:pPr>
      <w:r w:rsidRPr="00AB072B">
        <w:rPr>
          <w:rFonts w:cstheme="minorHAnsi"/>
          <w:szCs w:val="24"/>
        </w:rPr>
        <w:t>Les contributions soumises à la deuxième réunion du GT</w:t>
      </w:r>
      <w:r w:rsidR="00AB072B" w:rsidRPr="00AB072B">
        <w:rPr>
          <w:rFonts w:cstheme="minorHAnsi"/>
          <w:szCs w:val="24"/>
        </w:rPr>
        <w:t>-</w:t>
      </w:r>
      <w:r w:rsidRPr="00AB072B">
        <w:rPr>
          <w:rFonts w:cstheme="minorHAnsi"/>
          <w:szCs w:val="24"/>
        </w:rPr>
        <w:t>GCDT</w:t>
      </w:r>
      <w:r w:rsidR="00AB072B" w:rsidRPr="00AB072B">
        <w:rPr>
          <w:rFonts w:cstheme="minorHAnsi"/>
          <w:szCs w:val="24"/>
        </w:rPr>
        <w:t>-</w:t>
      </w:r>
      <w:r w:rsidRPr="00AB072B">
        <w:rPr>
          <w:rFonts w:cstheme="minorHAnsi"/>
          <w:szCs w:val="24"/>
        </w:rPr>
        <w:t xml:space="preserve">Prep ont facilité les discussions </w:t>
      </w:r>
      <w:r w:rsidR="001F3D82" w:rsidRPr="00AB072B">
        <w:rPr>
          <w:rFonts w:cstheme="minorHAnsi"/>
          <w:szCs w:val="24"/>
        </w:rPr>
        <w:t>et ont</w:t>
      </w:r>
      <w:r w:rsidRPr="00AB072B">
        <w:rPr>
          <w:rFonts w:cstheme="minorHAnsi"/>
          <w:szCs w:val="24"/>
        </w:rPr>
        <w:t xml:space="preserve"> permis au Groupe d'avancer. Conformément à son mandat, le Groupe élaborera des propositions et formulera des recommandations propres à améliorer</w:t>
      </w:r>
      <w:r w:rsidR="0096384D" w:rsidRPr="00AB072B">
        <w:rPr>
          <w:rFonts w:cstheme="minorHAnsi"/>
          <w:szCs w:val="24"/>
        </w:rPr>
        <w:t xml:space="preserve"> </w:t>
      </w:r>
      <w:r w:rsidR="001F3D82" w:rsidRPr="00AB072B">
        <w:rPr>
          <w:rFonts w:cstheme="minorHAnsi"/>
          <w:szCs w:val="24"/>
        </w:rPr>
        <w:t>l'organisation</w:t>
      </w:r>
      <w:r w:rsidR="0096384D" w:rsidRPr="00AB072B">
        <w:rPr>
          <w:rFonts w:cstheme="minorHAnsi"/>
          <w:szCs w:val="24"/>
        </w:rPr>
        <w:t xml:space="preserve"> de la </w:t>
      </w:r>
      <w:r w:rsidR="009962B4">
        <w:rPr>
          <w:rFonts w:cstheme="minorHAnsi"/>
          <w:szCs w:val="24"/>
        </w:rPr>
        <w:t>C</w:t>
      </w:r>
      <w:r w:rsidR="0096384D" w:rsidRPr="00AB072B">
        <w:rPr>
          <w:rFonts w:cstheme="minorHAnsi"/>
          <w:szCs w:val="24"/>
        </w:rPr>
        <w:t xml:space="preserve">onférence, y compris </w:t>
      </w:r>
      <w:r w:rsidR="001F3D82" w:rsidRPr="00AB072B">
        <w:rPr>
          <w:rFonts w:cstheme="minorHAnsi"/>
          <w:szCs w:val="24"/>
        </w:rPr>
        <w:t xml:space="preserve">concernant </w:t>
      </w:r>
      <w:r w:rsidR="0096384D" w:rsidRPr="00AB072B">
        <w:rPr>
          <w:rFonts w:cstheme="minorHAnsi"/>
          <w:szCs w:val="24"/>
        </w:rPr>
        <w:t>le contenu de la</w:t>
      </w:r>
      <w:r w:rsidR="009D7E3F" w:rsidRPr="00AB072B">
        <w:rPr>
          <w:rFonts w:cstheme="minorHAnsi"/>
          <w:szCs w:val="24"/>
        </w:rPr>
        <w:t xml:space="preserve"> Conférence, le choix du ou des thèmes de la Conférence, l'examen des volets thématiques</w:t>
      </w:r>
      <w:r w:rsidR="005A2F1A" w:rsidRPr="00AB072B">
        <w:rPr>
          <w:rFonts w:cstheme="minorHAnsi"/>
          <w:szCs w:val="24"/>
        </w:rPr>
        <w:t xml:space="preserve"> et la définition des principales parties prenantes. Comme l'a dit le Président du Groupe: </w:t>
      </w:r>
      <w:r w:rsidR="00F03A35" w:rsidRPr="00AB072B">
        <w:rPr>
          <w:rFonts w:cstheme="minorHAnsi"/>
          <w:szCs w:val="24"/>
        </w:rPr>
        <w:t>"</w:t>
      </w:r>
      <w:r w:rsidR="005A2F1A" w:rsidRPr="00AB072B">
        <w:rPr>
          <w:rFonts w:cstheme="minorHAnsi"/>
          <w:szCs w:val="24"/>
        </w:rPr>
        <w:t xml:space="preserve">Au bout du compte, le concept même d'adéquation avec la mission est celui qu'il nous faut et </w:t>
      </w:r>
      <w:r w:rsidR="001F3D82" w:rsidRPr="00AB072B">
        <w:rPr>
          <w:rFonts w:cstheme="minorHAnsi"/>
          <w:szCs w:val="24"/>
        </w:rPr>
        <w:t>notre objectif est de</w:t>
      </w:r>
      <w:r w:rsidR="005A2F1A" w:rsidRPr="00AB072B">
        <w:rPr>
          <w:rFonts w:cstheme="minorHAnsi"/>
          <w:szCs w:val="24"/>
        </w:rPr>
        <w:t xml:space="preserve"> faire en sorte qu'il devienne réalité</w:t>
      </w:r>
      <w:r w:rsidR="00F03A35" w:rsidRPr="00AB072B">
        <w:rPr>
          <w:rFonts w:cstheme="minorHAnsi"/>
          <w:szCs w:val="24"/>
        </w:rPr>
        <w:t>"</w:t>
      </w:r>
      <w:r w:rsidR="00AB072B" w:rsidRPr="00AB072B">
        <w:rPr>
          <w:rFonts w:cstheme="minorHAnsi"/>
          <w:szCs w:val="24"/>
        </w:rPr>
        <w:t>.</w:t>
      </w:r>
    </w:p>
    <w:p w14:paraId="3239CCFF" w14:textId="77777777" w:rsidR="009962B4" w:rsidRDefault="009962B4" w:rsidP="00AE18D3">
      <w:pPr>
        <w:rPr>
          <w:rFonts w:cstheme="minorHAnsi"/>
          <w:szCs w:val="24"/>
        </w:rPr>
      </w:pPr>
    </w:p>
    <w:p w14:paraId="75996003" w14:textId="77777777" w:rsidR="00D76411" w:rsidRDefault="00D76411" w:rsidP="00AE18D3">
      <w:pPr>
        <w:rPr>
          <w:rFonts w:cstheme="minorHAnsi"/>
          <w:szCs w:val="24"/>
        </w:rPr>
        <w:sectPr w:rsidR="00D76411"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pPr>
    </w:p>
    <w:p w14:paraId="5915BCD2" w14:textId="77777777" w:rsidR="00D76411" w:rsidRPr="009962B4" w:rsidRDefault="00D76411" w:rsidP="00D76411">
      <w:pPr>
        <w:jc w:val="center"/>
        <w:rPr>
          <w:lang w:val="en-GB"/>
        </w:rPr>
      </w:pPr>
      <w:r w:rsidRPr="009962B4">
        <w:rPr>
          <w:lang w:val="en-GB"/>
        </w:rPr>
        <w:t>ANNEX 1</w:t>
      </w:r>
    </w:p>
    <w:p w14:paraId="31F9A89F" w14:textId="77777777" w:rsidR="00D76411" w:rsidRPr="009962B4" w:rsidRDefault="00D76411" w:rsidP="00D76411">
      <w:pPr>
        <w:keepNext/>
        <w:spacing w:after="120"/>
        <w:jc w:val="center"/>
        <w:rPr>
          <w:b/>
          <w:bCs/>
          <w:lang w:val="en-GB"/>
        </w:rPr>
      </w:pPr>
      <w:r w:rsidRPr="009962B4">
        <w:rPr>
          <w:b/>
          <w:bCs/>
          <w:lang w:val="en-GB"/>
        </w:rPr>
        <w:t>Compilation of proposals submitted to the 2</w:t>
      </w:r>
      <w:r w:rsidRPr="009962B4">
        <w:rPr>
          <w:b/>
          <w:bCs/>
          <w:vertAlign w:val="superscript"/>
          <w:lang w:val="en-GB"/>
        </w:rPr>
        <w:t>nd</w:t>
      </w:r>
      <w:r w:rsidRPr="009962B4">
        <w:rPr>
          <w:b/>
          <w:bCs/>
          <w:lang w:val="en-GB"/>
        </w:rPr>
        <w:t xml:space="preserve"> meeting of the TDAG-WG-Prep, 7 September 2020</w:t>
      </w:r>
    </w:p>
    <w:tbl>
      <w:tblPr>
        <w:tblStyle w:val="TableGrid"/>
        <w:tblW w:w="0" w:type="auto"/>
        <w:tblLook w:val="04A0" w:firstRow="1" w:lastRow="0" w:firstColumn="1" w:lastColumn="0" w:noHBand="0" w:noVBand="1"/>
      </w:tblPr>
      <w:tblGrid>
        <w:gridCol w:w="1907"/>
        <w:gridCol w:w="2443"/>
        <w:gridCol w:w="2413"/>
        <w:gridCol w:w="2819"/>
        <w:gridCol w:w="1841"/>
        <w:gridCol w:w="2139"/>
      </w:tblGrid>
      <w:tr w:rsidR="00D76411" w:rsidRPr="009962B4" w14:paraId="64BB5EA4" w14:textId="77777777" w:rsidTr="0074573E">
        <w:trPr>
          <w:tblHeader/>
        </w:trPr>
        <w:tc>
          <w:tcPr>
            <w:tcW w:w="1907" w:type="dxa"/>
            <w:shd w:val="clear" w:color="auto" w:fill="D99594" w:themeFill="accent2" w:themeFillTint="99"/>
            <w:vAlign w:val="center"/>
          </w:tcPr>
          <w:p w14:paraId="51C6978E" w14:textId="77777777" w:rsidR="00D76411" w:rsidRPr="009962B4" w:rsidRDefault="00D76411" w:rsidP="0074573E">
            <w:pPr>
              <w:spacing w:after="120"/>
              <w:jc w:val="center"/>
              <w:rPr>
                <w:b/>
                <w:bCs/>
                <w:sz w:val="18"/>
                <w:szCs w:val="18"/>
                <w:lang w:val="en-GB"/>
              </w:rPr>
            </w:pPr>
            <w:r w:rsidRPr="009962B4">
              <w:rPr>
                <w:b/>
                <w:bCs/>
                <w:sz w:val="18"/>
                <w:szCs w:val="18"/>
                <w:lang w:val="en-GB"/>
              </w:rPr>
              <w:t>Topic</w:t>
            </w:r>
          </w:p>
        </w:tc>
        <w:tc>
          <w:tcPr>
            <w:tcW w:w="2443" w:type="dxa"/>
            <w:shd w:val="clear" w:color="auto" w:fill="D99594" w:themeFill="accent2" w:themeFillTint="99"/>
            <w:vAlign w:val="center"/>
          </w:tcPr>
          <w:p w14:paraId="4AB0FA7A" w14:textId="77777777" w:rsidR="00D76411" w:rsidRPr="009962B4" w:rsidRDefault="00D76411" w:rsidP="0074573E">
            <w:pPr>
              <w:spacing w:after="120"/>
              <w:jc w:val="center"/>
              <w:rPr>
                <w:b/>
                <w:bCs/>
                <w:sz w:val="18"/>
                <w:szCs w:val="18"/>
                <w:lang w:val="en-GB"/>
              </w:rPr>
            </w:pPr>
            <w:r w:rsidRPr="009962B4">
              <w:rPr>
                <w:b/>
                <w:bCs/>
                <w:sz w:val="18"/>
                <w:szCs w:val="18"/>
                <w:lang w:val="en-GB"/>
              </w:rPr>
              <w:t>Russian Federation</w:t>
            </w:r>
            <w:r w:rsidRPr="009962B4">
              <w:rPr>
                <w:b/>
                <w:bCs/>
                <w:sz w:val="18"/>
                <w:szCs w:val="18"/>
                <w:lang w:val="en-GB"/>
              </w:rPr>
              <w:br/>
              <w:t>(</w:t>
            </w:r>
            <w:hyperlink r:id="rId13" w:history="1">
              <w:r w:rsidRPr="009962B4">
                <w:rPr>
                  <w:rStyle w:val="Hyperlink"/>
                  <w:b/>
                  <w:bCs/>
                  <w:sz w:val="18"/>
                  <w:szCs w:val="18"/>
                  <w:lang w:val="en-GB"/>
                </w:rPr>
                <w:t>TDAG-WG-Prep/7</w:t>
              </w:r>
            </w:hyperlink>
            <w:r w:rsidRPr="009962B4">
              <w:rPr>
                <w:b/>
                <w:bCs/>
                <w:sz w:val="18"/>
                <w:szCs w:val="18"/>
                <w:lang w:val="en-GB"/>
              </w:rPr>
              <w:t>)</w:t>
            </w:r>
          </w:p>
        </w:tc>
        <w:tc>
          <w:tcPr>
            <w:tcW w:w="2413" w:type="dxa"/>
            <w:shd w:val="clear" w:color="auto" w:fill="D99594" w:themeFill="accent2" w:themeFillTint="99"/>
            <w:vAlign w:val="center"/>
          </w:tcPr>
          <w:p w14:paraId="0285F6A3" w14:textId="77777777" w:rsidR="00D76411" w:rsidRPr="009962B4" w:rsidRDefault="00D76411" w:rsidP="0074573E">
            <w:pPr>
              <w:spacing w:after="120"/>
              <w:jc w:val="center"/>
              <w:rPr>
                <w:b/>
                <w:bCs/>
                <w:sz w:val="18"/>
                <w:szCs w:val="18"/>
                <w:lang w:val="en-GB"/>
              </w:rPr>
            </w:pPr>
            <w:r w:rsidRPr="009962B4">
              <w:rPr>
                <w:b/>
                <w:bCs/>
                <w:sz w:val="18"/>
                <w:szCs w:val="18"/>
                <w:lang w:val="en-GB"/>
              </w:rPr>
              <w:t>Indonesia</w:t>
            </w:r>
            <w:r w:rsidRPr="009962B4">
              <w:rPr>
                <w:b/>
                <w:bCs/>
                <w:sz w:val="18"/>
                <w:szCs w:val="18"/>
                <w:lang w:val="en-GB"/>
              </w:rPr>
              <w:br/>
              <w:t>(</w:t>
            </w:r>
            <w:hyperlink r:id="rId14" w:history="1">
              <w:r w:rsidRPr="009962B4">
                <w:rPr>
                  <w:rStyle w:val="Hyperlink"/>
                  <w:b/>
                  <w:bCs/>
                  <w:sz w:val="18"/>
                  <w:szCs w:val="18"/>
                  <w:lang w:val="en-GB"/>
                </w:rPr>
                <w:t>TDAG-WG-Prep/8</w:t>
              </w:r>
            </w:hyperlink>
            <w:r w:rsidRPr="009962B4">
              <w:rPr>
                <w:b/>
                <w:bCs/>
                <w:sz w:val="18"/>
                <w:szCs w:val="18"/>
                <w:lang w:val="en-GB"/>
              </w:rPr>
              <w:t>)</w:t>
            </w:r>
          </w:p>
        </w:tc>
        <w:tc>
          <w:tcPr>
            <w:tcW w:w="2819" w:type="dxa"/>
            <w:shd w:val="clear" w:color="auto" w:fill="D99594" w:themeFill="accent2" w:themeFillTint="99"/>
            <w:vAlign w:val="center"/>
          </w:tcPr>
          <w:p w14:paraId="6853764C" w14:textId="77777777" w:rsidR="00D76411" w:rsidRPr="009962B4" w:rsidRDefault="00D76411" w:rsidP="0074573E">
            <w:pPr>
              <w:spacing w:after="120"/>
              <w:jc w:val="center"/>
              <w:rPr>
                <w:b/>
                <w:bCs/>
                <w:sz w:val="18"/>
                <w:szCs w:val="18"/>
                <w:lang w:val="en-GB"/>
              </w:rPr>
            </w:pPr>
            <w:r w:rsidRPr="009962B4">
              <w:rPr>
                <w:b/>
                <w:bCs/>
                <w:sz w:val="18"/>
                <w:szCs w:val="18"/>
                <w:lang w:val="en-GB"/>
              </w:rPr>
              <w:t>ESOA</w:t>
            </w:r>
            <w:r w:rsidRPr="009962B4">
              <w:rPr>
                <w:b/>
                <w:bCs/>
                <w:sz w:val="18"/>
                <w:szCs w:val="18"/>
                <w:lang w:val="en-GB"/>
              </w:rPr>
              <w:br/>
              <w:t>(</w:t>
            </w:r>
            <w:hyperlink r:id="rId15" w:history="1">
              <w:r w:rsidRPr="009962B4">
                <w:rPr>
                  <w:rStyle w:val="Hyperlink"/>
                  <w:b/>
                  <w:bCs/>
                  <w:sz w:val="18"/>
                  <w:szCs w:val="18"/>
                  <w:lang w:val="en-GB"/>
                </w:rPr>
                <w:t>TDAG-WG-Prep/9</w:t>
              </w:r>
            </w:hyperlink>
            <w:r w:rsidRPr="009962B4">
              <w:rPr>
                <w:b/>
                <w:bCs/>
                <w:sz w:val="18"/>
                <w:szCs w:val="18"/>
                <w:lang w:val="en-GB"/>
              </w:rPr>
              <w:t>)</w:t>
            </w:r>
          </w:p>
        </w:tc>
        <w:tc>
          <w:tcPr>
            <w:tcW w:w="1841" w:type="dxa"/>
            <w:shd w:val="clear" w:color="auto" w:fill="D99594" w:themeFill="accent2" w:themeFillTint="99"/>
            <w:vAlign w:val="center"/>
          </w:tcPr>
          <w:p w14:paraId="64EE2C75" w14:textId="77777777" w:rsidR="00D76411" w:rsidRPr="009962B4" w:rsidRDefault="00D76411" w:rsidP="0074573E">
            <w:pPr>
              <w:spacing w:after="120"/>
              <w:jc w:val="center"/>
              <w:rPr>
                <w:b/>
                <w:bCs/>
                <w:sz w:val="18"/>
                <w:szCs w:val="18"/>
                <w:lang w:val="en-GB"/>
              </w:rPr>
            </w:pPr>
            <w:r w:rsidRPr="009962B4">
              <w:rPr>
                <w:b/>
                <w:bCs/>
                <w:sz w:val="18"/>
                <w:szCs w:val="18"/>
                <w:lang w:val="en-GB"/>
              </w:rPr>
              <w:t>Lithuania</w:t>
            </w:r>
            <w:r w:rsidRPr="009962B4">
              <w:rPr>
                <w:b/>
                <w:bCs/>
                <w:sz w:val="18"/>
                <w:szCs w:val="18"/>
                <w:lang w:val="en-GB"/>
              </w:rPr>
              <w:br/>
              <w:t>(</w:t>
            </w:r>
            <w:hyperlink r:id="rId16" w:history="1">
              <w:r w:rsidRPr="009962B4">
                <w:rPr>
                  <w:rStyle w:val="Hyperlink"/>
                  <w:b/>
                  <w:bCs/>
                  <w:sz w:val="18"/>
                  <w:szCs w:val="18"/>
                  <w:lang w:val="en-GB"/>
                </w:rPr>
                <w:t>TDAG-WG-Prep/10</w:t>
              </w:r>
            </w:hyperlink>
            <w:r w:rsidRPr="009962B4">
              <w:rPr>
                <w:b/>
                <w:bCs/>
                <w:sz w:val="18"/>
                <w:szCs w:val="18"/>
                <w:lang w:val="en-GB"/>
              </w:rPr>
              <w:t>)</w:t>
            </w:r>
          </w:p>
        </w:tc>
        <w:tc>
          <w:tcPr>
            <w:tcW w:w="2139" w:type="dxa"/>
            <w:shd w:val="clear" w:color="auto" w:fill="D99594" w:themeFill="accent2" w:themeFillTint="99"/>
            <w:vAlign w:val="center"/>
          </w:tcPr>
          <w:p w14:paraId="202C7619" w14:textId="77777777" w:rsidR="00D76411" w:rsidRPr="009962B4" w:rsidRDefault="00D76411" w:rsidP="0074573E">
            <w:pPr>
              <w:spacing w:after="120"/>
              <w:jc w:val="center"/>
              <w:rPr>
                <w:b/>
                <w:bCs/>
                <w:sz w:val="18"/>
                <w:szCs w:val="18"/>
                <w:lang w:val="en-GB"/>
              </w:rPr>
            </w:pPr>
            <w:r w:rsidRPr="009962B4">
              <w:rPr>
                <w:b/>
                <w:bCs/>
                <w:sz w:val="18"/>
                <w:szCs w:val="18"/>
                <w:lang w:val="en-GB"/>
              </w:rPr>
              <w:t>Zimbabwe</w:t>
            </w:r>
            <w:r w:rsidRPr="009962B4">
              <w:rPr>
                <w:b/>
                <w:bCs/>
                <w:sz w:val="18"/>
                <w:szCs w:val="18"/>
                <w:lang w:val="en-GB"/>
              </w:rPr>
              <w:br/>
              <w:t>(</w:t>
            </w:r>
            <w:hyperlink r:id="rId17" w:history="1">
              <w:r w:rsidRPr="009962B4">
                <w:rPr>
                  <w:rStyle w:val="Hyperlink"/>
                  <w:b/>
                  <w:bCs/>
                  <w:sz w:val="18"/>
                  <w:szCs w:val="18"/>
                  <w:lang w:val="en-GB"/>
                </w:rPr>
                <w:t>TDAG-WG-Prep/11</w:t>
              </w:r>
            </w:hyperlink>
            <w:r w:rsidRPr="009962B4">
              <w:rPr>
                <w:b/>
                <w:bCs/>
                <w:sz w:val="18"/>
                <w:szCs w:val="18"/>
                <w:lang w:val="en-GB"/>
              </w:rPr>
              <w:t>)</w:t>
            </w:r>
          </w:p>
        </w:tc>
      </w:tr>
      <w:tr w:rsidR="00D76411" w:rsidRPr="009962B4" w14:paraId="2DB115EE" w14:textId="77777777" w:rsidTr="0074573E">
        <w:tc>
          <w:tcPr>
            <w:tcW w:w="1907" w:type="dxa"/>
            <w:shd w:val="clear" w:color="auto" w:fill="CCC0D9" w:themeFill="accent4" w:themeFillTint="66"/>
          </w:tcPr>
          <w:p w14:paraId="032AB750" w14:textId="77777777" w:rsidR="00D76411" w:rsidRPr="009962B4" w:rsidRDefault="00D76411" w:rsidP="0074573E">
            <w:pPr>
              <w:keepNext/>
              <w:spacing w:before="40" w:after="40"/>
              <w:rPr>
                <w:b/>
                <w:bCs/>
                <w:sz w:val="18"/>
                <w:szCs w:val="18"/>
                <w:lang w:val="en-GB"/>
              </w:rPr>
            </w:pPr>
            <w:r w:rsidRPr="009962B4">
              <w:rPr>
                <w:b/>
                <w:bCs/>
                <w:sz w:val="18"/>
                <w:szCs w:val="18"/>
                <w:lang w:val="en-GB"/>
              </w:rPr>
              <w:t>Before the Conference</w:t>
            </w:r>
          </w:p>
        </w:tc>
        <w:tc>
          <w:tcPr>
            <w:tcW w:w="2443" w:type="dxa"/>
            <w:shd w:val="clear" w:color="auto" w:fill="CCC0D9" w:themeFill="accent4" w:themeFillTint="66"/>
          </w:tcPr>
          <w:p w14:paraId="18C72399" w14:textId="77777777" w:rsidR="00D76411" w:rsidRPr="009962B4" w:rsidRDefault="00D76411" w:rsidP="0074573E">
            <w:pPr>
              <w:keepNext/>
              <w:spacing w:before="40" w:after="40"/>
              <w:rPr>
                <w:sz w:val="18"/>
                <w:szCs w:val="18"/>
                <w:lang w:val="en-GB"/>
              </w:rPr>
            </w:pPr>
          </w:p>
        </w:tc>
        <w:tc>
          <w:tcPr>
            <w:tcW w:w="2413" w:type="dxa"/>
            <w:shd w:val="clear" w:color="auto" w:fill="CCC0D9" w:themeFill="accent4" w:themeFillTint="66"/>
          </w:tcPr>
          <w:p w14:paraId="2AAD6C84" w14:textId="77777777" w:rsidR="00D76411" w:rsidRPr="009962B4" w:rsidRDefault="00D76411" w:rsidP="0074573E">
            <w:pPr>
              <w:keepNext/>
              <w:spacing w:before="40" w:after="40"/>
              <w:rPr>
                <w:sz w:val="18"/>
                <w:szCs w:val="18"/>
                <w:lang w:val="en-GB"/>
              </w:rPr>
            </w:pPr>
          </w:p>
        </w:tc>
        <w:tc>
          <w:tcPr>
            <w:tcW w:w="2819" w:type="dxa"/>
            <w:shd w:val="clear" w:color="auto" w:fill="CCC0D9" w:themeFill="accent4" w:themeFillTint="66"/>
          </w:tcPr>
          <w:p w14:paraId="5A28DCD1" w14:textId="77777777" w:rsidR="00D76411" w:rsidRPr="009962B4" w:rsidRDefault="00D76411" w:rsidP="0074573E">
            <w:pPr>
              <w:keepNext/>
              <w:spacing w:before="40" w:after="40"/>
              <w:rPr>
                <w:sz w:val="18"/>
                <w:szCs w:val="18"/>
                <w:lang w:val="en-GB"/>
              </w:rPr>
            </w:pPr>
          </w:p>
        </w:tc>
        <w:tc>
          <w:tcPr>
            <w:tcW w:w="1841" w:type="dxa"/>
            <w:shd w:val="clear" w:color="auto" w:fill="CCC0D9" w:themeFill="accent4" w:themeFillTint="66"/>
          </w:tcPr>
          <w:p w14:paraId="6CAC2819" w14:textId="77777777" w:rsidR="00D76411" w:rsidRPr="009962B4" w:rsidRDefault="00D76411" w:rsidP="0074573E">
            <w:pPr>
              <w:keepNext/>
              <w:spacing w:before="40" w:after="40"/>
              <w:rPr>
                <w:sz w:val="18"/>
                <w:szCs w:val="18"/>
                <w:lang w:val="en-GB"/>
              </w:rPr>
            </w:pPr>
          </w:p>
        </w:tc>
        <w:tc>
          <w:tcPr>
            <w:tcW w:w="2139" w:type="dxa"/>
            <w:shd w:val="clear" w:color="auto" w:fill="CCC0D9" w:themeFill="accent4" w:themeFillTint="66"/>
          </w:tcPr>
          <w:p w14:paraId="238B2FAF" w14:textId="77777777" w:rsidR="00D76411" w:rsidRPr="009962B4" w:rsidRDefault="00D76411" w:rsidP="0074573E">
            <w:pPr>
              <w:keepNext/>
              <w:spacing w:before="40" w:after="40"/>
              <w:rPr>
                <w:sz w:val="18"/>
                <w:szCs w:val="18"/>
                <w:lang w:val="en-GB"/>
              </w:rPr>
            </w:pPr>
          </w:p>
        </w:tc>
      </w:tr>
      <w:tr w:rsidR="00D76411" w:rsidRPr="009962B4" w14:paraId="3C3738E1" w14:textId="77777777" w:rsidTr="0074573E">
        <w:tc>
          <w:tcPr>
            <w:tcW w:w="1907" w:type="dxa"/>
            <w:shd w:val="clear" w:color="auto" w:fill="E5DFEC" w:themeFill="accent4" w:themeFillTint="33"/>
          </w:tcPr>
          <w:p w14:paraId="7DA31EA1" w14:textId="77777777" w:rsidR="00D76411" w:rsidRPr="009962B4" w:rsidRDefault="00D76411" w:rsidP="0074573E">
            <w:pPr>
              <w:spacing w:before="40" w:after="40"/>
              <w:rPr>
                <w:bCs/>
                <w:sz w:val="18"/>
                <w:szCs w:val="18"/>
                <w:lang w:val="en-GB"/>
              </w:rPr>
            </w:pPr>
            <w:r w:rsidRPr="009962B4">
              <w:rPr>
                <w:bCs/>
                <w:sz w:val="18"/>
                <w:szCs w:val="18"/>
                <w:u w:val="single"/>
                <w:lang w:val="en-GB"/>
              </w:rPr>
              <w:t>Inter-Regional Coordination Meetings (IRMs)</w:t>
            </w:r>
          </w:p>
          <w:p w14:paraId="75DAF827" w14:textId="77777777" w:rsidR="00D76411" w:rsidRPr="009962B4" w:rsidRDefault="00D76411" w:rsidP="00D76411">
            <w:pPr>
              <w:numPr>
                <w:ilvl w:val="0"/>
                <w:numId w:val="15"/>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How many IRMs should be held and when?</w:t>
            </w:r>
          </w:p>
          <w:p w14:paraId="6C6EDF22" w14:textId="77777777" w:rsidR="00D76411" w:rsidRPr="009962B4" w:rsidRDefault="00D76411" w:rsidP="00D76411">
            <w:pPr>
              <w:numPr>
                <w:ilvl w:val="0"/>
                <w:numId w:val="15"/>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What should be the format of IRMs?</w:t>
            </w:r>
          </w:p>
          <w:p w14:paraId="74731C00" w14:textId="77777777" w:rsidR="00D76411" w:rsidRPr="009962B4" w:rsidRDefault="00D76411" w:rsidP="00D76411">
            <w:pPr>
              <w:numPr>
                <w:ilvl w:val="0"/>
                <w:numId w:val="15"/>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 xml:space="preserve">What should the IRM Agenda include? </w:t>
            </w:r>
          </w:p>
          <w:p w14:paraId="7F06278E" w14:textId="77777777" w:rsidR="00D76411" w:rsidRPr="009962B4" w:rsidRDefault="00D76411" w:rsidP="00D76411">
            <w:pPr>
              <w:numPr>
                <w:ilvl w:val="0"/>
                <w:numId w:val="15"/>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Should attendance at IRMs be limited, and if so, how many representatives from each region should attend IRMs?</w:t>
            </w:r>
          </w:p>
          <w:p w14:paraId="2A2860A8" w14:textId="77777777" w:rsidR="00D76411" w:rsidRPr="009962B4" w:rsidRDefault="00D76411" w:rsidP="00D76411">
            <w:pPr>
              <w:numPr>
                <w:ilvl w:val="0"/>
                <w:numId w:val="15"/>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How will chairmanship of IRMs be decided?</w:t>
            </w:r>
          </w:p>
          <w:p w14:paraId="6A10E06D" w14:textId="77777777" w:rsidR="00D76411" w:rsidRPr="009962B4" w:rsidRDefault="00D76411" w:rsidP="00D76411">
            <w:pPr>
              <w:numPr>
                <w:ilvl w:val="0"/>
                <w:numId w:val="15"/>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bCs/>
                <w:sz w:val="18"/>
                <w:szCs w:val="18"/>
                <w:lang w:val="en-GB"/>
              </w:rPr>
              <w:t>What steps should be taken to ensure proper planning and coordination between RPMs, IRMs and RTO preparatory meetings?</w:t>
            </w:r>
          </w:p>
        </w:tc>
        <w:tc>
          <w:tcPr>
            <w:tcW w:w="2443" w:type="dxa"/>
            <w:shd w:val="clear" w:color="auto" w:fill="E5DFEC" w:themeFill="accent4" w:themeFillTint="33"/>
          </w:tcPr>
          <w:p w14:paraId="247E95CF" w14:textId="77777777" w:rsidR="00D76411" w:rsidRPr="009962B4" w:rsidRDefault="00D76411" w:rsidP="0074573E">
            <w:pPr>
              <w:spacing w:before="40" w:after="40"/>
              <w:rPr>
                <w:sz w:val="18"/>
                <w:szCs w:val="18"/>
                <w:lang w:val="en-GB"/>
              </w:rPr>
            </w:pPr>
            <w:r w:rsidRPr="009962B4">
              <w:rPr>
                <w:b/>
                <w:bCs/>
                <w:sz w:val="18"/>
                <w:szCs w:val="18"/>
                <w:lang w:val="en-GB"/>
              </w:rPr>
              <w:t>1.</w:t>
            </w:r>
            <w:r w:rsidRPr="009962B4">
              <w:rPr>
                <w:sz w:val="18"/>
                <w:szCs w:val="18"/>
                <w:lang w:val="en-GB"/>
              </w:rPr>
              <w:t xml:space="preserve"> One two-day meeting not together with TDAG (in replacement of CM-RPM).  Focus on small list of critical issues defined at RPMs, and on organizational and management issues of WTDC.</w:t>
            </w:r>
          </w:p>
          <w:p w14:paraId="2745E25E" w14:textId="77777777" w:rsidR="00D76411" w:rsidRPr="009962B4" w:rsidRDefault="00D76411" w:rsidP="0074573E">
            <w:pPr>
              <w:spacing w:before="40" w:after="40"/>
              <w:rPr>
                <w:sz w:val="18"/>
                <w:szCs w:val="18"/>
                <w:lang w:val="en-GB"/>
              </w:rPr>
            </w:pPr>
            <w:r w:rsidRPr="009962B4">
              <w:rPr>
                <w:b/>
                <w:bCs/>
                <w:sz w:val="18"/>
                <w:szCs w:val="18"/>
                <w:lang w:val="en-GB"/>
              </w:rPr>
              <w:t>2.</w:t>
            </w:r>
            <w:r w:rsidRPr="009962B4">
              <w:rPr>
                <w:sz w:val="18"/>
                <w:szCs w:val="18"/>
                <w:lang w:val="en-GB"/>
              </w:rPr>
              <w:t xml:space="preserve"> The IRMs could help reaching a preliminary agreement, but any changes to the preparatory process must keep the sovereign right of any Member State to submit contributions at WTDC by their own.</w:t>
            </w:r>
          </w:p>
          <w:p w14:paraId="3F0A0485" w14:textId="77777777" w:rsidR="00D76411" w:rsidRPr="009962B4" w:rsidRDefault="00D76411" w:rsidP="0074573E">
            <w:pPr>
              <w:spacing w:before="40" w:after="40"/>
              <w:rPr>
                <w:b/>
                <w:bCs/>
                <w:sz w:val="18"/>
                <w:szCs w:val="18"/>
                <w:lang w:val="en-GB"/>
              </w:rPr>
            </w:pPr>
            <w:r w:rsidRPr="009962B4">
              <w:rPr>
                <w:b/>
                <w:bCs/>
                <w:sz w:val="18"/>
                <w:szCs w:val="18"/>
                <w:lang w:val="en-GB"/>
              </w:rPr>
              <w:t xml:space="preserve">3. </w:t>
            </w:r>
          </w:p>
          <w:p w14:paraId="7E5C2A05"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sz w:val="18"/>
                <w:szCs w:val="18"/>
                <w:lang w:val="en-GB"/>
              </w:rPr>
              <w:t xml:space="preserve">Discussion towards the list of WTDC </w:t>
            </w:r>
            <w:r w:rsidRPr="009962B4">
              <w:rPr>
                <w:bCs/>
                <w:sz w:val="18"/>
                <w:szCs w:val="18"/>
                <w:lang w:val="en-GB"/>
              </w:rPr>
              <w:t xml:space="preserve">documents (Resolutions, Declaration, etc.) reflecting the preliminary proposals of </w:t>
            </w:r>
            <w:proofErr w:type="gramStart"/>
            <w:r w:rsidRPr="009962B4">
              <w:rPr>
                <w:bCs/>
                <w:sz w:val="18"/>
                <w:szCs w:val="18"/>
                <w:lang w:val="en-GB"/>
              </w:rPr>
              <w:t>RTO;</w:t>
            </w:r>
            <w:proofErr w:type="gramEnd"/>
          </w:p>
          <w:p w14:paraId="30C4FB80"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 xml:space="preserve">List of RTO’s coordinators on the each of document discussed </w:t>
            </w:r>
            <w:proofErr w:type="gramStart"/>
            <w:r w:rsidRPr="009962B4">
              <w:rPr>
                <w:bCs/>
                <w:sz w:val="18"/>
                <w:szCs w:val="18"/>
                <w:lang w:val="en-GB"/>
              </w:rPr>
              <w:t>above;</w:t>
            </w:r>
            <w:proofErr w:type="gramEnd"/>
          </w:p>
          <w:p w14:paraId="0FF136BE"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bCs/>
                <w:sz w:val="18"/>
                <w:szCs w:val="18"/>
                <w:lang w:val="en-GB"/>
              </w:rPr>
              <w:t>Identification of possible problematic documents for WTDC.</w:t>
            </w:r>
          </w:p>
          <w:p w14:paraId="33CDD750" w14:textId="77777777" w:rsidR="00D76411" w:rsidRPr="009962B4" w:rsidRDefault="00D76411" w:rsidP="0074573E">
            <w:pPr>
              <w:spacing w:before="40" w:after="40"/>
              <w:rPr>
                <w:sz w:val="18"/>
                <w:szCs w:val="18"/>
                <w:lang w:val="en-GB"/>
              </w:rPr>
            </w:pPr>
            <w:r w:rsidRPr="009962B4">
              <w:rPr>
                <w:b/>
                <w:bCs/>
                <w:sz w:val="18"/>
                <w:szCs w:val="18"/>
                <w:lang w:val="en-GB"/>
              </w:rPr>
              <w:t xml:space="preserve">4. </w:t>
            </w:r>
            <w:r w:rsidRPr="009962B4">
              <w:rPr>
                <w:sz w:val="18"/>
                <w:szCs w:val="18"/>
                <w:lang w:val="en-GB"/>
              </w:rPr>
              <w:t>IRM’s should be limited to the nominated coordinators from RTOs.</w:t>
            </w:r>
          </w:p>
          <w:p w14:paraId="7AC9EC0E" w14:textId="77777777" w:rsidR="00D76411" w:rsidRPr="009962B4" w:rsidRDefault="00D76411" w:rsidP="0074573E">
            <w:pPr>
              <w:spacing w:before="40" w:after="40"/>
              <w:rPr>
                <w:sz w:val="18"/>
                <w:szCs w:val="18"/>
                <w:lang w:val="en-GB"/>
              </w:rPr>
            </w:pPr>
            <w:r w:rsidRPr="009962B4">
              <w:rPr>
                <w:b/>
                <w:bCs/>
                <w:sz w:val="18"/>
                <w:szCs w:val="18"/>
                <w:lang w:val="en-GB"/>
              </w:rPr>
              <w:t xml:space="preserve">5. </w:t>
            </w:r>
            <w:r w:rsidRPr="009962B4">
              <w:rPr>
                <w:sz w:val="18"/>
                <w:szCs w:val="18"/>
                <w:lang w:val="en-GB"/>
              </w:rPr>
              <w:t>Chairman of WTDC-21 should chair the IRMs preferably.</w:t>
            </w:r>
          </w:p>
          <w:p w14:paraId="2F71C6AE" w14:textId="77777777" w:rsidR="00D76411" w:rsidRPr="009962B4" w:rsidRDefault="00D76411" w:rsidP="0074573E">
            <w:pPr>
              <w:spacing w:before="40" w:after="40"/>
              <w:rPr>
                <w:sz w:val="18"/>
                <w:szCs w:val="18"/>
                <w:lang w:val="en-GB"/>
              </w:rPr>
            </w:pPr>
            <w:r w:rsidRPr="009962B4">
              <w:rPr>
                <w:b/>
                <w:bCs/>
                <w:sz w:val="18"/>
                <w:szCs w:val="18"/>
                <w:lang w:val="en-GB"/>
              </w:rPr>
              <w:t xml:space="preserve">6. </w:t>
            </w:r>
            <w:r w:rsidRPr="009962B4">
              <w:rPr>
                <w:sz w:val="18"/>
                <w:szCs w:val="18"/>
                <w:lang w:val="en-GB"/>
              </w:rPr>
              <w:t>Last</w:t>
            </w:r>
            <w:r w:rsidRPr="009962B4">
              <w:rPr>
                <w:b/>
                <w:bCs/>
                <w:sz w:val="18"/>
                <w:szCs w:val="18"/>
                <w:lang w:val="en-GB"/>
              </w:rPr>
              <w:t xml:space="preserve"> </w:t>
            </w:r>
            <w:r w:rsidRPr="009962B4">
              <w:rPr>
                <w:sz w:val="18"/>
                <w:szCs w:val="18"/>
                <w:lang w:val="en-GB"/>
              </w:rPr>
              <w:t>RTO preparatory meeting should include one/two days of inter-regional coordination, with presence of other RTOs. This participation should be supported by:</w:t>
            </w:r>
          </w:p>
          <w:p w14:paraId="3ADFC2C6"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Translation/interpretation to English.</w:t>
            </w:r>
          </w:p>
          <w:p w14:paraId="353FFD4C"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Invitations containing means to access online the documents, defined by the RTO for interregional consideration</w:t>
            </w:r>
          </w:p>
          <w:p w14:paraId="72E51E81"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bCs/>
                <w:sz w:val="18"/>
                <w:szCs w:val="18"/>
                <w:lang w:val="en-GB"/>
              </w:rPr>
              <w:t>Agenda containing items related to the input documents of other regional organizations</w:t>
            </w:r>
            <w:r w:rsidRPr="009962B4">
              <w:rPr>
                <w:sz w:val="18"/>
                <w:szCs w:val="18"/>
                <w:lang w:val="en-GB"/>
              </w:rPr>
              <w:t xml:space="preserve"> on their preparatory activity.</w:t>
            </w:r>
          </w:p>
        </w:tc>
        <w:tc>
          <w:tcPr>
            <w:tcW w:w="2413" w:type="dxa"/>
            <w:shd w:val="clear" w:color="auto" w:fill="E5DFEC" w:themeFill="accent4" w:themeFillTint="33"/>
          </w:tcPr>
          <w:p w14:paraId="5AD02928" w14:textId="77777777" w:rsidR="00D76411" w:rsidRPr="009962B4" w:rsidRDefault="00D76411" w:rsidP="0074573E">
            <w:pPr>
              <w:spacing w:before="40" w:after="40"/>
              <w:rPr>
                <w:sz w:val="18"/>
                <w:szCs w:val="18"/>
                <w:lang w:val="en-GB"/>
              </w:rPr>
            </w:pPr>
            <w:r w:rsidRPr="009962B4">
              <w:rPr>
                <w:b/>
                <w:bCs/>
                <w:sz w:val="18"/>
                <w:szCs w:val="18"/>
                <w:lang w:val="en-GB"/>
              </w:rPr>
              <w:t>1.</w:t>
            </w:r>
            <w:r w:rsidRPr="009962B4">
              <w:rPr>
                <w:sz w:val="18"/>
                <w:szCs w:val="18"/>
                <w:lang w:val="en-GB"/>
              </w:rPr>
              <w:t xml:space="preserve"> </w:t>
            </w:r>
          </w:p>
          <w:p w14:paraId="7EC7CBC1" w14:textId="77777777" w:rsidR="00D76411" w:rsidRPr="009962B4" w:rsidRDefault="00D76411" w:rsidP="00D76411">
            <w:pPr>
              <w:pStyle w:val="ListParagraph"/>
              <w:numPr>
                <w:ilvl w:val="0"/>
                <w:numId w:val="16"/>
              </w:numPr>
              <w:tabs>
                <w:tab w:val="clear" w:pos="1134"/>
                <w:tab w:val="clear" w:pos="1871"/>
                <w:tab w:val="clear" w:pos="2268"/>
              </w:tabs>
              <w:overflowPunct/>
              <w:autoSpaceDE/>
              <w:autoSpaceDN/>
              <w:adjustRightInd/>
              <w:spacing w:before="40" w:after="40"/>
              <w:textAlignment w:val="auto"/>
              <w:rPr>
                <w:sz w:val="18"/>
                <w:szCs w:val="18"/>
                <w:lang w:val="en-GB"/>
              </w:rPr>
            </w:pPr>
            <w:r w:rsidRPr="009962B4">
              <w:rPr>
                <w:sz w:val="18"/>
                <w:szCs w:val="18"/>
                <w:lang w:val="en-GB"/>
              </w:rPr>
              <w:t>One fully virtual/hybrid IRM prior to WTDC-21 to allow participation by all countries (including those still affected by COVID-19): aim to minimize deadlock and potential unresolved contentious issues during WTDC-21, and to leverage IRM as a “mini-WTDC” to fully discuss ideas prior to WTDC.</w:t>
            </w:r>
          </w:p>
          <w:p w14:paraId="51E09E5A" w14:textId="77777777" w:rsidR="00D76411" w:rsidRPr="009962B4" w:rsidRDefault="00D76411" w:rsidP="00D76411">
            <w:pPr>
              <w:pStyle w:val="ListParagraph"/>
              <w:numPr>
                <w:ilvl w:val="0"/>
                <w:numId w:val="16"/>
              </w:numPr>
              <w:tabs>
                <w:tab w:val="clear" w:pos="1134"/>
                <w:tab w:val="clear" w:pos="1871"/>
                <w:tab w:val="clear" w:pos="2268"/>
              </w:tabs>
              <w:overflowPunct/>
              <w:autoSpaceDE/>
              <w:autoSpaceDN/>
              <w:adjustRightInd/>
              <w:spacing w:before="40" w:after="40"/>
              <w:textAlignment w:val="auto"/>
              <w:rPr>
                <w:sz w:val="18"/>
                <w:szCs w:val="18"/>
                <w:lang w:val="en-GB"/>
              </w:rPr>
            </w:pPr>
            <w:r w:rsidRPr="009962B4">
              <w:rPr>
                <w:sz w:val="18"/>
                <w:szCs w:val="18"/>
                <w:lang w:val="en-GB"/>
              </w:rPr>
              <w:t>One IRM during 3Q of 2021 - allowing time for RTOs and MS to formulate (Preliminary) Regional Common Proposals for WTDC-21, and individual country proposals/amendments to existing texts. Also allows delegates of MS to attend WTSA-20 (23 Feb.-5 March 2021) (1Q 2021).</w:t>
            </w:r>
          </w:p>
          <w:p w14:paraId="3127CA9F" w14:textId="77777777" w:rsidR="00D76411" w:rsidRPr="009962B4" w:rsidRDefault="00D76411" w:rsidP="00D76411">
            <w:pPr>
              <w:pStyle w:val="ListParagraph"/>
              <w:numPr>
                <w:ilvl w:val="0"/>
                <w:numId w:val="16"/>
              </w:numPr>
              <w:tabs>
                <w:tab w:val="clear" w:pos="1134"/>
                <w:tab w:val="clear" w:pos="1871"/>
                <w:tab w:val="clear" w:pos="2268"/>
              </w:tabs>
              <w:overflowPunct/>
              <w:autoSpaceDE/>
              <w:autoSpaceDN/>
              <w:adjustRightInd/>
              <w:spacing w:before="40" w:after="40"/>
              <w:textAlignment w:val="auto"/>
              <w:rPr>
                <w:sz w:val="18"/>
                <w:szCs w:val="18"/>
                <w:lang w:val="en-GB"/>
              </w:rPr>
            </w:pPr>
            <w:r w:rsidRPr="009962B4">
              <w:rPr>
                <w:sz w:val="18"/>
                <w:szCs w:val="18"/>
                <w:lang w:val="en-GB"/>
              </w:rPr>
              <w:t>IRMs should not coincide with RPM and RTO Preparatory Meetings. Consultation BDT-RTOs necessary. Proposed schedule for ASP in Annex 1.</w:t>
            </w:r>
          </w:p>
          <w:p w14:paraId="5E950D20" w14:textId="77777777" w:rsidR="00D76411" w:rsidRPr="009962B4" w:rsidRDefault="00D76411" w:rsidP="0074573E">
            <w:pPr>
              <w:spacing w:before="40" w:after="40"/>
              <w:rPr>
                <w:sz w:val="18"/>
                <w:szCs w:val="18"/>
                <w:lang w:val="en-GB"/>
              </w:rPr>
            </w:pPr>
            <w:r w:rsidRPr="009962B4">
              <w:rPr>
                <w:b/>
                <w:bCs/>
                <w:sz w:val="18"/>
                <w:szCs w:val="18"/>
                <w:lang w:val="en-GB"/>
              </w:rPr>
              <w:t>2.</w:t>
            </w:r>
            <w:r w:rsidRPr="009962B4">
              <w:rPr>
                <w:sz w:val="18"/>
                <w:szCs w:val="18"/>
                <w:lang w:val="en-GB"/>
              </w:rPr>
              <w:t xml:space="preserve"> Attendance fully open to MS so IRM become a platform where RTOs and MS can discuss and debate their views regarding proposals for streamlining of WTDC texts, prior to WTDC (refer to CPM for WRC-19 and Interregional Meeting for WTSA-20.</w:t>
            </w:r>
          </w:p>
          <w:p w14:paraId="17257CE3" w14:textId="77777777" w:rsidR="00D76411" w:rsidRPr="009962B4" w:rsidRDefault="00D76411" w:rsidP="0074573E">
            <w:pPr>
              <w:spacing w:before="40" w:after="40"/>
              <w:rPr>
                <w:sz w:val="18"/>
                <w:szCs w:val="18"/>
                <w:lang w:val="en-GB"/>
              </w:rPr>
            </w:pPr>
            <w:r w:rsidRPr="009962B4">
              <w:rPr>
                <w:b/>
                <w:bCs/>
                <w:sz w:val="18"/>
                <w:szCs w:val="18"/>
                <w:lang w:val="en-GB"/>
              </w:rPr>
              <w:t xml:space="preserve">3. </w:t>
            </w:r>
            <w:r w:rsidRPr="009962B4">
              <w:rPr>
                <w:sz w:val="18"/>
                <w:szCs w:val="18"/>
                <w:lang w:val="en-GB"/>
              </w:rPr>
              <w:t xml:space="preserve">The IRM Agenda should comprise of the following items, but not limited to: </w:t>
            </w:r>
          </w:p>
          <w:p w14:paraId="1434D866"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Suppression, modification, or streamlining of WTDC resolutions</w:t>
            </w:r>
          </w:p>
          <w:p w14:paraId="4A5E82EB"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Structure and agenda of WTDC-21 (ideas on how the high-level track and side events would be arranged to maximize their impact for future ITU-D projects)</w:t>
            </w:r>
          </w:p>
          <w:p w14:paraId="26D13E40"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b/>
                <w:bCs/>
                <w:sz w:val="18"/>
                <w:szCs w:val="18"/>
                <w:lang w:val="en-GB"/>
              </w:rPr>
            </w:pPr>
            <w:r w:rsidRPr="009962B4">
              <w:rPr>
                <w:bCs/>
                <w:sz w:val="18"/>
                <w:szCs w:val="18"/>
                <w:lang w:val="en-GB"/>
              </w:rPr>
              <w:t>Target invitations (ITU-D member countries, sector members, academia, funding</w:t>
            </w:r>
            <w:r w:rsidRPr="009962B4">
              <w:rPr>
                <w:sz w:val="18"/>
                <w:szCs w:val="18"/>
                <w:lang w:val="en-GB"/>
              </w:rPr>
              <w:t xml:space="preserve"> entities, etc.)</w:t>
            </w:r>
          </w:p>
          <w:p w14:paraId="444DDEAA" w14:textId="77777777" w:rsidR="00D76411" w:rsidRPr="009962B4" w:rsidRDefault="00D76411" w:rsidP="0074573E">
            <w:pPr>
              <w:spacing w:before="40" w:after="40"/>
              <w:rPr>
                <w:sz w:val="18"/>
                <w:szCs w:val="18"/>
                <w:lang w:val="en-GB"/>
              </w:rPr>
            </w:pPr>
            <w:r w:rsidRPr="009962B4">
              <w:rPr>
                <w:b/>
                <w:bCs/>
                <w:sz w:val="18"/>
                <w:szCs w:val="18"/>
                <w:lang w:val="en-GB"/>
              </w:rPr>
              <w:t xml:space="preserve">4. </w:t>
            </w:r>
            <w:r w:rsidRPr="009962B4">
              <w:rPr>
                <w:sz w:val="18"/>
                <w:szCs w:val="18"/>
                <w:lang w:val="en-GB"/>
              </w:rPr>
              <w:t>Attendance fully open to MS so IRM become a platform where RTOs and MS can discuss and debate their views regarding proposals for streamlining of WTDC texts, prior to WTDC (refer to CPM for WRC-19 and Interregional Meeting for WTSA-20.</w:t>
            </w:r>
          </w:p>
          <w:p w14:paraId="7A63E92F" w14:textId="77777777" w:rsidR="00D76411" w:rsidRPr="009962B4" w:rsidRDefault="00D76411" w:rsidP="0074573E">
            <w:pPr>
              <w:spacing w:before="40" w:after="40"/>
              <w:rPr>
                <w:b/>
                <w:bCs/>
                <w:sz w:val="18"/>
                <w:szCs w:val="18"/>
                <w:lang w:val="en-GB"/>
              </w:rPr>
            </w:pPr>
            <w:r w:rsidRPr="009962B4">
              <w:rPr>
                <w:b/>
                <w:bCs/>
                <w:sz w:val="18"/>
                <w:szCs w:val="18"/>
                <w:lang w:val="en-GB"/>
              </w:rPr>
              <w:t xml:space="preserve">5. </w:t>
            </w:r>
            <w:r w:rsidRPr="009962B4">
              <w:rPr>
                <w:sz w:val="18"/>
                <w:szCs w:val="18"/>
                <w:lang w:val="en-GB"/>
              </w:rPr>
              <w:t>The chairmanship and office bearers of the IRM should be decided during TDAG-20/3, on 23 November 2020.</w:t>
            </w:r>
          </w:p>
        </w:tc>
        <w:tc>
          <w:tcPr>
            <w:tcW w:w="2819" w:type="dxa"/>
            <w:shd w:val="clear" w:color="auto" w:fill="E5DFEC" w:themeFill="accent4" w:themeFillTint="33"/>
          </w:tcPr>
          <w:p w14:paraId="65F5B093" w14:textId="77777777" w:rsidR="00D76411" w:rsidRPr="009962B4" w:rsidRDefault="00D76411" w:rsidP="0074573E">
            <w:pPr>
              <w:spacing w:before="40" w:after="40"/>
              <w:rPr>
                <w:sz w:val="18"/>
                <w:szCs w:val="18"/>
                <w:lang w:val="en-GB"/>
              </w:rPr>
            </w:pPr>
            <w:r w:rsidRPr="009962B4">
              <w:rPr>
                <w:sz w:val="18"/>
                <w:szCs w:val="18"/>
                <w:lang w:val="en-GB"/>
              </w:rPr>
              <w:t>--</w:t>
            </w:r>
          </w:p>
        </w:tc>
        <w:tc>
          <w:tcPr>
            <w:tcW w:w="1841" w:type="dxa"/>
            <w:shd w:val="clear" w:color="auto" w:fill="E5DFEC" w:themeFill="accent4" w:themeFillTint="33"/>
          </w:tcPr>
          <w:p w14:paraId="1D83E506" w14:textId="77777777" w:rsidR="00D76411" w:rsidRPr="009962B4" w:rsidRDefault="00D76411" w:rsidP="0074573E">
            <w:pPr>
              <w:spacing w:before="40" w:after="40"/>
              <w:rPr>
                <w:sz w:val="18"/>
                <w:szCs w:val="18"/>
                <w:lang w:val="en-GB"/>
              </w:rPr>
            </w:pPr>
            <w:r w:rsidRPr="009962B4">
              <w:rPr>
                <w:b/>
                <w:bCs/>
                <w:sz w:val="18"/>
                <w:szCs w:val="18"/>
                <w:lang w:val="en-GB"/>
              </w:rPr>
              <w:t>1.</w:t>
            </w:r>
            <w:r w:rsidRPr="009962B4">
              <w:rPr>
                <w:sz w:val="18"/>
                <w:szCs w:val="18"/>
                <w:lang w:val="en-GB"/>
              </w:rPr>
              <w:t xml:space="preserve"> IRMs to be held after every two RPMs (after 2, 4, 6 RPMs), </w:t>
            </w:r>
            <w:r w:rsidRPr="009962B4">
              <w:rPr>
                <w:i/>
                <w:iCs/>
                <w:sz w:val="18"/>
                <w:szCs w:val="18"/>
                <w:lang w:val="en-GB"/>
              </w:rPr>
              <w:t>i.e.</w:t>
            </w:r>
            <w:r w:rsidRPr="009962B4">
              <w:rPr>
                <w:sz w:val="18"/>
                <w:szCs w:val="18"/>
                <w:lang w:val="en-GB"/>
              </w:rPr>
              <w:t xml:space="preserve"> three in 2021, with possibility to hold additional IRMs if needed. Need reasonable time after RPMs (</w:t>
            </w:r>
            <w:r w:rsidRPr="009962B4">
              <w:rPr>
                <w:i/>
                <w:iCs/>
                <w:sz w:val="18"/>
                <w:szCs w:val="18"/>
                <w:lang w:val="en-GB"/>
              </w:rPr>
              <w:t>e. g.</w:t>
            </w:r>
            <w:r w:rsidRPr="009962B4">
              <w:rPr>
                <w:sz w:val="18"/>
                <w:szCs w:val="18"/>
                <w:lang w:val="en-GB"/>
              </w:rPr>
              <w:t xml:space="preserve"> a week) till successive IRM to share the outcomes of regional meetings with the representatives of other regions and give them sufficient time to prepare for IRM.</w:t>
            </w:r>
          </w:p>
          <w:p w14:paraId="67F5E70D" w14:textId="77777777" w:rsidR="00D76411" w:rsidRPr="009962B4" w:rsidRDefault="00D76411" w:rsidP="0074573E">
            <w:pPr>
              <w:spacing w:before="40" w:after="40"/>
              <w:rPr>
                <w:sz w:val="18"/>
                <w:szCs w:val="18"/>
                <w:lang w:val="en-GB"/>
              </w:rPr>
            </w:pPr>
            <w:r w:rsidRPr="009962B4">
              <w:rPr>
                <w:b/>
                <w:bCs/>
                <w:sz w:val="18"/>
                <w:szCs w:val="18"/>
                <w:lang w:val="en-GB"/>
              </w:rPr>
              <w:t>2.</w:t>
            </w:r>
            <w:r w:rsidRPr="009962B4">
              <w:rPr>
                <w:sz w:val="18"/>
                <w:szCs w:val="18"/>
                <w:lang w:val="en-GB"/>
              </w:rPr>
              <w:t xml:space="preserve"> Agenda for IRMs may be organized mainly basing on the proposals from BDT, RPMs and RTOs and cover the topics that need coordination between different regions. IRMs shall also be used for sharing the relevant information (presenting the reports from regional activities).</w:t>
            </w:r>
          </w:p>
          <w:p w14:paraId="5FADCFB0" w14:textId="77777777" w:rsidR="00D76411" w:rsidRPr="009962B4" w:rsidRDefault="00D76411" w:rsidP="0074573E">
            <w:pPr>
              <w:spacing w:before="40" w:after="40"/>
              <w:rPr>
                <w:sz w:val="18"/>
                <w:szCs w:val="18"/>
                <w:lang w:val="en-GB"/>
              </w:rPr>
            </w:pPr>
            <w:r w:rsidRPr="009962B4">
              <w:rPr>
                <w:b/>
                <w:bCs/>
                <w:sz w:val="18"/>
                <w:szCs w:val="18"/>
                <w:lang w:val="en-GB"/>
              </w:rPr>
              <w:t>3.</w:t>
            </w:r>
            <w:r w:rsidRPr="009962B4">
              <w:rPr>
                <w:sz w:val="18"/>
                <w:szCs w:val="18"/>
                <w:lang w:val="en-GB"/>
              </w:rPr>
              <w:t xml:space="preserve"> RTOs shall decide who will represent a region at IRMs, up to 5 representatives max. per region. Representatives from other stakeholders involved in preparation of WTDC-21 may also attend.</w:t>
            </w:r>
          </w:p>
          <w:p w14:paraId="2A057758" w14:textId="77777777" w:rsidR="00D76411" w:rsidRPr="009962B4" w:rsidRDefault="00D76411" w:rsidP="0074573E">
            <w:pPr>
              <w:spacing w:before="40" w:after="40"/>
              <w:rPr>
                <w:sz w:val="18"/>
                <w:szCs w:val="18"/>
                <w:lang w:val="en-GB"/>
              </w:rPr>
            </w:pPr>
            <w:r w:rsidRPr="009962B4">
              <w:rPr>
                <w:b/>
                <w:bCs/>
                <w:sz w:val="18"/>
                <w:szCs w:val="18"/>
                <w:lang w:val="en-GB"/>
              </w:rPr>
              <w:t>4.</w:t>
            </w:r>
            <w:r w:rsidRPr="009962B4">
              <w:rPr>
                <w:sz w:val="18"/>
                <w:szCs w:val="18"/>
                <w:lang w:val="en-GB"/>
              </w:rPr>
              <w:t xml:space="preserve"> The best practice of preparation for other ITU conferences shall be incorporated in planning and work of IRMs.</w:t>
            </w:r>
          </w:p>
        </w:tc>
        <w:tc>
          <w:tcPr>
            <w:tcW w:w="2139" w:type="dxa"/>
            <w:shd w:val="clear" w:color="auto" w:fill="E5DFEC" w:themeFill="accent4" w:themeFillTint="33"/>
          </w:tcPr>
          <w:p w14:paraId="2EC02DBB" w14:textId="77777777" w:rsidR="00D76411" w:rsidRPr="009962B4" w:rsidRDefault="00D76411" w:rsidP="0074573E">
            <w:pPr>
              <w:spacing w:before="40" w:after="40"/>
              <w:rPr>
                <w:sz w:val="18"/>
                <w:szCs w:val="18"/>
                <w:lang w:val="en-GB"/>
              </w:rPr>
            </w:pPr>
            <w:r w:rsidRPr="009962B4">
              <w:rPr>
                <w:b/>
                <w:bCs/>
                <w:sz w:val="18"/>
                <w:szCs w:val="18"/>
                <w:lang w:val="en-GB"/>
              </w:rPr>
              <w:t>1-2-3.</w:t>
            </w:r>
            <w:r w:rsidRPr="009962B4">
              <w:rPr>
                <w:sz w:val="18"/>
                <w:szCs w:val="18"/>
                <w:lang w:val="en-GB"/>
              </w:rPr>
              <w:t xml:space="preserve"> The ideal: one after every RPM. Practically and due to cost issues, it is proposed to hold four IRMs as follows:</w:t>
            </w:r>
          </w:p>
          <w:p w14:paraId="1DA732B5"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 xml:space="preserve">IRM after every two RPMs.  For example, after the AFR and ARB Regions RPMs that adopt the proposals for each region, an IRM attended by representatives from all regions, is held. This would apply to rest of six regions. At the end of all RPMs, three IRMs, would have been held. </w:t>
            </w:r>
          </w:p>
          <w:p w14:paraId="32510014"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Agendas of IRMs would be to discuss any issues of common interest arising from the relevant two RPMs, issues which the regions whose meetings preceded the IRM require support, as well as issues relating formulation of SG questions, streamlining of resolutions and regional priorities.</w:t>
            </w:r>
          </w:p>
          <w:p w14:paraId="687CCD30"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Final IRM at least two months before WTDC to review consolidated outcomes of the three IRMs and work at reaching consensus on Regional priorities/initiatives, new and or revised resolutions, strategic plan and budget, draft SG questions, Declaration and discuss strategic partnerships.</w:t>
            </w:r>
          </w:p>
          <w:p w14:paraId="16D8A70C" w14:textId="77777777" w:rsidR="00D76411" w:rsidRPr="009962B4" w:rsidRDefault="00D76411" w:rsidP="0074573E">
            <w:pPr>
              <w:spacing w:before="40" w:after="40"/>
              <w:rPr>
                <w:sz w:val="18"/>
                <w:szCs w:val="18"/>
                <w:lang w:val="en-GB"/>
              </w:rPr>
            </w:pPr>
            <w:r w:rsidRPr="009962B4">
              <w:rPr>
                <w:b/>
                <w:bCs/>
                <w:sz w:val="18"/>
                <w:szCs w:val="18"/>
                <w:lang w:val="en-GB"/>
              </w:rPr>
              <w:t>4-5.</w:t>
            </w:r>
            <w:r w:rsidRPr="009962B4">
              <w:rPr>
                <w:sz w:val="18"/>
                <w:szCs w:val="18"/>
                <w:lang w:val="en-GB"/>
              </w:rPr>
              <w:t xml:space="preserve"> Participation limited to a maximum of ten representatives per region (cut costs and keep meetings manageable). </w:t>
            </w:r>
          </w:p>
          <w:p w14:paraId="108D2D76" w14:textId="77777777" w:rsidR="00D76411" w:rsidRPr="009962B4" w:rsidRDefault="00D76411" w:rsidP="0074573E">
            <w:pPr>
              <w:spacing w:before="40" w:after="40"/>
              <w:rPr>
                <w:sz w:val="18"/>
                <w:szCs w:val="18"/>
                <w:lang w:val="en-GB"/>
              </w:rPr>
            </w:pPr>
            <w:r w:rsidRPr="009962B4">
              <w:rPr>
                <w:sz w:val="18"/>
                <w:szCs w:val="18"/>
                <w:lang w:val="en-GB"/>
              </w:rPr>
              <w:t xml:space="preserve">Regions to use sub regions or geographical representation as a determining factor and have representatives that speak to underserved communities, when appointing representatives. For </w:t>
            </w:r>
            <w:proofErr w:type="gramStart"/>
            <w:r w:rsidRPr="009962B4">
              <w:rPr>
                <w:sz w:val="18"/>
                <w:szCs w:val="18"/>
                <w:lang w:val="en-GB"/>
              </w:rPr>
              <w:t>example</w:t>
            </w:r>
            <w:proofErr w:type="gramEnd"/>
            <w:r w:rsidRPr="009962B4">
              <w:rPr>
                <w:sz w:val="18"/>
                <w:szCs w:val="18"/>
                <w:lang w:val="en-GB"/>
              </w:rPr>
              <w:t xml:space="preserve"> for Africa: North Africa, Southern Africa, East Africa West Africa and central Africa. Other representatives could cover, investors including financial institutions, operators, the </w:t>
            </w:r>
            <w:proofErr w:type="gramStart"/>
            <w:r w:rsidRPr="009962B4">
              <w:rPr>
                <w:sz w:val="18"/>
                <w:szCs w:val="18"/>
                <w:lang w:val="en-GB"/>
              </w:rPr>
              <w:t>youth</w:t>
            </w:r>
            <w:proofErr w:type="gramEnd"/>
            <w:r w:rsidRPr="009962B4">
              <w:rPr>
                <w:sz w:val="18"/>
                <w:szCs w:val="18"/>
                <w:lang w:val="en-GB"/>
              </w:rPr>
              <w:t xml:space="preserve"> and donor organisations.</w:t>
            </w:r>
          </w:p>
          <w:p w14:paraId="1315C0E4" w14:textId="77777777" w:rsidR="00D76411" w:rsidRPr="009962B4" w:rsidRDefault="00D76411" w:rsidP="0074573E">
            <w:pPr>
              <w:spacing w:before="40" w:after="40"/>
              <w:rPr>
                <w:sz w:val="18"/>
                <w:szCs w:val="18"/>
                <w:lang w:val="en-GB"/>
              </w:rPr>
            </w:pPr>
            <w:r w:rsidRPr="009962B4">
              <w:rPr>
                <w:sz w:val="18"/>
                <w:szCs w:val="18"/>
                <w:lang w:val="en-GB"/>
              </w:rPr>
              <w:t>Given the link between the first three IRMs with specific regions, concerned regions to appoint the Chair of the IRM related to their regions, with vice chairs coming from all regions.</w:t>
            </w:r>
          </w:p>
          <w:p w14:paraId="4495A712" w14:textId="77777777" w:rsidR="00D76411" w:rsidRPr="009962B4" w:rsidRDefault="00D76411" w:rsidP="0074573E">
            <w:pPr>
              <w:spacing w:before="40" w:after="40"/>
              <w:rPr>
                <w:sz w:val="18"/>
                <w:szCs w:val="18"/>
                <w:lang w:val="en-GB"/>
              </w:rPr>
            </w:pPr>
            <w:r w:rsidRPr="009962B4">
              <w:rPr>
                <w:b/>
                <w:bCs/>
                <w:sz w:val="18"/>
                <w:szCs w:val="18"/>
                <w:lang w:val="en-GB"/>
              </w:rPr>
              <w:t>6.</w:t>
            </w:r>
            <w:r w:rsidRPr="009962B4">
              <w:rPr>
                <w:sz w:val="18"/>
                <w:szCs w:val="18"/>
                <w:lang w:val="en-GB"/>
              </w:rPr>
              <w:t xml:space="preserve"> </w:t>
            </w:r>
            <w:proofErr w:type="gramStart"/>
            <w:r w:rsidRPr="009962B4">
              <w:rPr>
                <w:sz w:val="18"/>
                <w:szCs w:val="18"/>
                <w:lang w:val="en-GB"/>
              </w:rPr>
              <w:t>With regard to</w:t>
            </w:r>
            <w:proofErr w:type="gramEnd"/>
            <w:r w:rsidRPr="009962B4">
              <w:rPr>
                <w:sz w:val="18"/>
                <w:szCs w:val="18"/>
                <w:lang w:val="en-GB"/>
              </w:rPr>
              <w:t xml:space="preserve"> coordinators between RPMs and IRMs and RTOs: each region to appoint coordinators for the region, while the secretariat of the RTOs are allowed to play an overall coordinating role.</w:t>
            </w:r>
          </w:p>
        </w:tc>
      </w:tr>
      <w:tr w:rsidR="00D76411" w:rsidRPr="009962B4" w14:paraId="2036B928" w14:textId="77777777" w:rsidTr="0074573E">
        <w:tc>
          <w:tcPr>
            <w:tcW w:w="1907" w:type="dxa"/>
            <w:shd w:val="clear" w:color="auto" w:fill="F2DBDB" w:themeFill="accent2" w:themeFillTint="33"/>
          </w:tcPr>
          <w:p w14:paraId="2D8DD353" w14:textId="77777777" w:rsidR="00D76411" w:rsidRPr="009962B4" w:rsidRDefault="00D76411" w:rsidP="0074573E">
            <w:pPr>
              <w:spacing w:before="40" w:after="40"/>
              <w:rPr>
                <w:bCs/>
                <w:sz w:val="18"/>
                <w:szCs w:val="18"/>
                <w:u w:val="single"/>
                <w:lang w:val="en-GB"/>
              </w:rPr>
            </w:pPr>
            <w:r w:rsidRPr="009962B4">
              <w:rPr>
                <w:bCs/>
                <w:sz w:val="18"/>
                <w:szCs w:val="18"/>
                <w:u w:val="single"/>
                <w:lang w:val="en-GB"/>
              </w:rPr>
              <w:t>Promoting Wider Participation in WTDC</w:t>
            </w:r>
          </w:p>
          <w:p w14:paraId="34F0EAD9" w14:textId="77777777" w:rsidR="00D76411" w:rsidRPr="009962B4" w:rsidRDefault="00D76411" w:rsidP="00D76411">
            <w:pPr>
              <w:numPr>
                <w:ilvl w:val="0"/>
                <w:numId w:val="14"/>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What constituent groups should be targeted for WTDC-21?</w:t>
            </w:r>
          </w:p>
          <w:p w14:paraId="196E5C8D" w14:textId="77777777" w:rsidR="00D76411" w:rsidRPr="009962B4" w:rsidRDefault="00D76411" w:rsidP="00D76411">
            <w:pPr>
              <w:numPr>
                <w:ilvl w:val="0"/>
                <w:numId w:val="14"/>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lang w:val="en-GB"/>
              </w:rPr>
            </w:pPr>
            <w:r w:rsidRPr="009962B4">
              <w:rPr>
                <w:bCs/>
                <w:sz w:val="18"/>
                <w:szCs w:val="18"/>
                <w:lang w:val="en-GB"/>
              </w:rPr>
              <w:t>How should WTDC-21 be promoted?</w:t>
            </w:r>
          </w:p>
          <w:p w14:paraId="39E15F45" w14:textId="77777777" w:rsidR="00D76411" w:rsidRPr="009962B4" w:rsidRDefault="00D76411" w:rsidP="00D76411">
            <w:pPr>
              <w:numPr>
                <w:ilvl w:val="0"/>
                <w:numId w:val="14"/>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bCs/>
                <w:sz w:val="18"/>
                <w:szCs w:val="18"/>
                <w:lang w:val="en-GB"/>
              </w:rPr>
              <w:t>Which other high-profile forums can be used to raise awareness and interest on WTDC, and how should ITU go about doing this?</w:t>
            </w:r>
          </w:p>
        </w:tc>
        <w:tc>
          <w:tcPr>
            <w:tcW w:w="2443" w:type="dxa"/>
            <w:shd w:val="clear" w:color="auto" w:fill="F2DBDB" w:themeFill="accent2" w:themeFillTint="33"/>
          </w:tcPr>
          <w:p w14:paraId="1610AFF0" w14:textId="77777777" w:rsidR="00D76411" w:rsidRPr="009962B4" w:rsidRDefault="00D76411" w:rsidP="0074573E">
            <w:pPr>
              <w:spacing w:before="40" w:after="40"/>
              <w:rPr>
                <w:sz w:val="18"/>
                <w:szCs w:val="18"/>
                <w:lang w:val="en-GB"/>
              </w:rPr>
            </w:pPr>
            <w:r w:rsidRPr="009962B4">
              <w:rPr>
                <w:b/>
                <w:bCs/>
                <w:sz w:val="18"/>
                <w:szCs w:val="18"/>
                <w:lang w:val="en-GB"/>
              </w:rPr>
              <w:t xml:space="preserve">1. </w:t>
            </w:r>
            <w:r w:rsidRPr="009962B4">
              <w:rPr>
                <w:sz w:val="18"/>
                <w:szCs w:val="18"/>
                <w:lang w:val="en-GB"/>
              </w:rPr>
              <w:t>Strengthen the participation of international finance institutions (World Bank, regional development banks, including recent newcomers) and OECD Development assistance committee, especially on relevant discussions of financing ICT development, statistics and ITU outreach. In this regard, participation of UNCTAD, and the contributors to 2018 Survey on Donor Support to the Digital Economy in Developing Countries might also be desirable.</w:t>
            </w:r>
          </w:p>
          <w:p w14:paraId="193A43CF" w14:textId="77777777" w:rsidR="00D76411" w:rsidRPr="009962B4" w:rsidRDefault="00D76411" w:rsidP="0074573E">
            <w:pPr>
              <w:spacing w:before="40" w:after="40"/>
              <w:rPr>
                <w:sz w:val="18"/>
                <w:szCs w:val="18"/>
                <w:lang w:val="en-GB"/>
              </w:rPr>
            </w:pPr>
            <w:r w:rsidRPr="009962B4">
              <w:rPr>
                <w:b/>
                <w:bCs/>
                <w:sz w:val="18"/>
                <w:szCs w:val="18"/>
                <w:lang w:val="en-GB"/>
              </w:rPr>
              <w:t xml:space="preserve">2. </w:t>
            </w:r>
            <w:r w:rsidRPr="009962B4">
              <w:rPr>
                <w:sz w:val="18"/>
                <w:szCs w:val="18"/>
                <w:lang w:val="en-GB"/>
              </w:rPr>
              <w:t xml:space="preserve">Attractiveness of WTDC depends on importance, relevance and timeliness of the issues addressed. The high-level decision makers and global leaders could be interested if ITU proposes programs, initiatives and actions that answer the current situation challenges at the global level in conjunction with UNGA decisions, for example, on the 2030 Agenda, health, food, climate, cyber security etc. </w:t>
            </w:r>
          </w:p>
          <w:p w14:paraId="6B4829D3" w14:textId="77777777" w:rsidR="00D76411" w:rsidRPr="009962B4" w:rsidRDefault="00D76411" w:rsidP="0074573E">
            <w:pPr>
              <w:spacing w:before="40" w:after="40"/>
              <w:rPr>
                <w:sz w:val="18"/>
                <w:szCs w:val="18"/>
                <w:lang w:val="en-GB"/>
              </w:rPr>
            </w:pPr>
            <w:r w:rsidRPr="009962B4">
              <w:rPr>
                <w:sz w:val="18"/>
                <w:szCs w:val="18"/>
                <w:lang w:val="en-GB"/>
              </w:rPr>
              <w:t>It has been noted that important development challenges are not sufficiently addressed at WTDC and that the conference agenda could be made more attractive to high-level decision makers and global leaders.</w:t>
            </w:r>
          </w:p>
          <w:p w14:paraId="4A796462" w14:textId="77777777" w:rsidR="00D76411" w:rsidRPr="009962B4" w:rsidRDefault="00D76411" w:rsidP="0074573E">
            <w:pPr>
              <w:spacing w:before="40" w:after="40"/>
              <w:rPr>
                <w:sz w:val="18"/>
                <w:szCs w:val="18"/>
                <w:lang w:val="en-GB"/>
              </w:rPr>
            </w:pPr>
            <w:r w:rsidRPr="009962B4">
              <w:rPr>
                <w:b/>
                <w:bCs/>
                <w:sz w:val="18"/>
                <w:szCs w:val="18"/>
                <w:lang w:val="en-GB"/>
              </w:rPr>
              <w:t xml:space="preserve">3. </w:t>
            </w:r>
            <w:r w:rsidRPr="009962B4">
              <w:rPr>
                <w:sz w:val="18"/>
                <w:szCs w:val="18"/>
                <w:lang w:val="en-GB"/>
              </w:rPr>
              <w:t>Regional forums like Asian-Pacific economic cooperation – APEC (particularly WG on Telecommunications and Information, Steering Committee on Economic and Technical Cooperation) can be utilized to raise awareness about WTDC and the relevant work done on the actual lines of work, e.g. reports on Study questions.</w:t>
            </w:r>
          </w:p>
        </w:tc>
        <w:tc>
          <w:tcPr>
            <w:tcW w:w="2413" w:type="dxa"/>
            <w:shd w:val="clear" w:color="auto" w:fill="F2DBDB" w:themeFill="accent2" w:themeFillTint="33"/>
          </w:tcPr>
          <w:p w14:paraId="2E0CF0A0" w14:textId="77777777" w:rsidR="00D76411" w:rsidRPr="009962B4" w:rsidRDefault="00D76411" w:rsidP="0074573E">
            <w:pPr>
              <w:spacing w:before="40" w:after="40"/>
              <w:rPr>
                <w:sz w:val="18"/>
                <w:szCs w:val="18"/>
                <w:lang w:val="en-GB"/>
              </w:rPr>
            </w:pPr>
            <w:r w:rsidRPr="009962B4">
              <w:rPr>
                <w:b/>
                <w:bCs/>
                <w:sz w:val="18"/>
                <w:szCs w:val="18"/>
                <w:lang w:val="en-GB"/>
              </w:rPr>
              <w:t xml:space="preserve">2. </w:t>
            </w:r>
            <w:r w:rsidRPr="009962B4">
              <w:rPr>
                <w:sz w:val="18"/>
                <w:szCs w:val="18"/>
                <w:lang w:val="en-GB"/>
              </w:rPr>
              <w:t>ITU-D should promote WTDC-21 during high-profile forums held prior to WTDC-21, such as World Economic Forum 2021, Mobile World Congress 2021, and other Ministerial Level/Senior Official Level meetings.</w:t>
            </w:r>
          </w:p>
        </w:tc>
        <w:tc>
          <w:tcPr>
            <w:tcW w:w="2819" w:type="dxa"/>
            <w:shd w:val="clear" w:color="auto" w:fill="F2DBDB" w:themeFill="accent2" w:themeFillTint="33"/>
          </w:tcPr>
          <w:p w14:paraId="4177E89E" w14:textId="77777777" w:rsidR="00D76411" w:rsidRPr="009962B4" w:rsidRDefault="00D76411" w:rsidP="0074573E">
            <w:pPr>
              <w:spacing w:before="40" w:after="40"/>
              <w:rPr>
                <w:sz w:val="18"/>
                <w:szCs w:val="18"/>
                <w:lang w:val="en-GB"/>
              </w:rPr>
            </w:pPr>
            <w:r w:rsidRPr="009962B4">
              <w:rPr>
                <w:b/>
                <w:bCs/>
                <w:sz w:val="18"/>
                <w:szCs w:val="18"/>
                <w:lang w:val="en-GB"/>
              </w:rPr>
              <w:t>1.</w:t>
            </w:r>
            <w:r w:rsidRPr="009962B4">
              <w:rPr>
                <w:sz w:val="18"/>
                <w:szCs w:val="18"/>
                <w:lang w:val="en-GB"/>
              </w:rPr>
              <w:t xml:space="preserve"> ITU to be mindful to ensure that engagement with private sector stakeholders is balanced across major relevant industry sectors and not perceived as an endorsement of any one industry sector/D-member: any session or activity organised during a private sector event should be considered as a platform for the ICT sector as a whole in line with the overarching objective of promoting connectivity for all - ITU ensure multi-sector representation and involvement in any sessions/activities/communications arising from the initiative.</w:t>
            </w:r>
          </w:p>
          <w:p w14:paraId="3023BB9C" w14:textId="77777777" w:rsidR="00D76411" w:rsidRPr="009962B4" w:rsidRDefault="00D76411" w:rsidP="0074573E">
            <w:pPr>
              <w:spacing w:before="40" w:after="40"/>
              <w:rPr>
                <w:sz w:val="18"/>
                <w:szCs w:val="18"/>
                <w:lang w:val="en-GB"/>
              </w:rPr>
            </w:pPr>
            <w:r w:rsidRPr="009962B4">
              <w:rPr>
                <w:b/>
                <w:bCs/>
                <w:sz w:val="18"/>
                <w:szCs w:val="18"/>
                <w:lang w:val="en-GB"/>
              </w:rPr>
              <w:t>3.</w:t>
            </w:r>
            <w:r w:rsidRPr="009962B4">
              <w:rPr>
                <w:sz w:val="18"/>
                <w:szCs w:val="18"/>
                <w:lang w:val="en-GB"/>
              </w:rPr>
              <w:t xml:space="preserve"> Promote WTDC at events organised by other institutions such as: OCHA, UNICEF, WEF, FAO, the Broadband Commission, European Commission, etc.</w:t>
            </w:r>
          </w:p>
          <w:p w14:paraId="65E10AB7" w14:textId="77777777" w:rsidR="00D76411" w:rsidRPr="009962B4" w:rsidRDefault="00D76411" w:rsidP="0074573E">
            <w:pPr>
              <w:spacing w:before="40" w:after="40"/>
              <w:rPr>
                <w:sz w:val="18"/>
                <w:szCs w:val="18"/>
                <w:lang w:val="en-GB"/>
              </w:rPr>
            </w:pPr>
            <w:r w:rsidRPr="009962B4">
              <w:rPr>
                <w:b/>
                <w:bCs/>
                <w:sz w:val="18"/>
                <w:szCs w:val="18"/>
                <w:lang w:val="en-GB"/>
              </w:rPr>
              <w:t xml:space="preserve">2-3. </w:t>
            </w:r>
            <w:r w:rsidRPr="009962B4">
              <w:rPr>
                <w:sz w:val="18"/>
                <w:szCs w:val="18"/>
                <w:lang w:val="en-GB"/>
              </w:rPr>
              <w:t>Consider this text instead: “The ITU should make best efforts to bring all relevant stakeholders together e.g. with a session dedicated to WTDC, at events organised by the most relevant private sector stakeholders (mobile, satellite, OTTs, etc.) to profile the event in front of high-level industry executives, call for greater cross-sector collaboration and drive greater engagement in WTDC.”</w:t>
            </w:r>
          </w:p>
          <w:p w14:paraId="0564ED6B" w14:textId="77777777" w:rsidR="00D76411" w:rsidRPr="009962B4" w:rsidRDefault="00D76411" w:rsidP="0074573E">
            <w:pPr>
              <w:spacing w:before="40" w:after="40"/>
              <w:rPr>
                <w:sz w:val="18"/>
                <w:szCs w:val="18"/>
                <w:lang w:val="en-GB"/>
              </w:rPr>
            </w:pPr>
            <w:r w:rsidRPr="009962B4">
              <w:rPr>
                <w:sz w:val="18"/>
                <w:szCs w:val="18"/>
                <w:lang w:val="en-GB"/>
              </w:rPr>
              <w:t>Encourage a multi-technology approach to achieve its objectives: BDT as the unique umbrella body actively fostering an inclusive approach amongst technologies and helping to break down silos between sectors in order to connect everyone and deliver on the SDGs.</w:t>
            </w:r>
          </w:p>
        </w:tc>
        <w:tc>
          <w:tcPr>
            <w:tcW w:w="1841" w:type="dxa"/>
            <w:shd w:val="clear" w:color="auto" w:fill="F2DBDB" w:themeFill="accent2" w:themeFillTint="33"/>
          </w:tcPr>
          <w:p w14:paraId="0BF4DAAC" w14:textId="77777777" w:rsidR="00D76411" w:rsidRPr="009962B4" w:rsidRDefault="00D76411" w:rsidP="0074573E">
            <w:pPr>
              <w:spacing w:before="40" w:after="40"/>
              <w:rPr>
                <w:sz w:val="18"/>
                <w:szCs w:val="18"/>
                <w:lang w:val="en-GB"/>
              </w:rPr>
            </w:pPr>
            <w:r w:rsidRPr="009962B4">
              <w:rPr>
                <w:b/>
                <w:bCs/>
                <w:sz w:val="18"/>
                <w:szCs w:val="18"/>
                <w:lang w:val="en-GB"/>
              </w:rPr>
              <w:t>1.</w:t>
            </w:r>
            <w:r w:rsidRPr="009962B4">
              <w:rPr>
                <w:sz w:val="18"/>
                <w:szCs w:val="18"/>
                <w:lang w:val="en-GB"/>
              </w:rPr>
              <w:t xml:space="preserve"> Visibility and awareness promotion strategy shall be elaborated by ITU with proposals and implementation support from the membership.</w:t>
            </w:r>
          </w:p>
          <w:p w14:paraId="4B759FD2" w14:textId="77777777" w:rsidR="00D76411" w:rsidRPr="009962B4" w:rsidRDefault="00D76411" w:rsidP="0074573E">
            <w:pPr>
              <w:spacing w:before="40" w:after="40"/>
              <w:rPr>
                <w:sz w:val="18"/>
                <w:szCs w:val="18"/>
                <w:lang w:val="en-GB"/>
              </w:rPr>
            </w:pPr>
            <w:r w:rsidRPr="009962B4">
              <w:rPr>
                <w:b/>
                <w:bCs/>
                <w:sz w:val="18"/>
                <w:szCs w:val="18"/>
                <w:lang w:val="en-GB"/>
              </w:rPr>
              <w:t>2.</w:t>
            </w:r>
            <w:r w:rsidRPr="009962B4">
              <w:rPr>
                <w:sz w:val="18"/>
                <w:szCs w:val="18"/>
                <w:lang w:val="en-GB"/>
              </w:rPr>
              <w:t xml:space="preserve"> The main objectives of WTDC-21, the value of participation in the conference and possible ways of contributing shall be clearly and loudly communicated to the public. </w:t>
            </w:r>
          </w:p>
          <w:p w14:paraId="7A8122FD" w14:textId="77777777" w:rsidR="00D76411" w:rsidRPr="009962B4" w:rsidRDefault="00D76411" w:rsidP="0074573E">
            <w:pPr>
              <w:spacing w:before="40" w:after="40"/>
              <w:rPr>
                <w:sz w:val="18"/>
                <w:szCs w:val="18"/>
                <w:lang w:val="en-GB"/>
              </w:rPr>
            </w:pPr>
            <w:r w:rsidRPr="009962B4">
              <w:rPr>
                <w:sz w:val="18"/>
                <w:szCs w:val="18"/>
                <w:lang w:val="en-GB"/>
              </w:rPr>
              <w:t>Specific measures shall be developed for promotion of WTDC-21 in every region to attract the best regional representation at this conference.</w:t>
            </w:r>
          </w:p>
          <w:p w14:paraId="47282CBC" w14:textId="77777777" w:rsidR="00D76411" w:rsidRPr="009962B4" w:rsidRDefault="00D76411" w:rsidP="0074573E">
            <w:pPr>
              <w:spacing w:before="40" w:after="40"/>
              <w:rPr>
                <w:sz w:val="18"/>
                <w:szCs w:val="18"/>
                <w:lang w:val="en-GB"/>
              </w:rPr>
            </w:pPr>
            <w:r w:rsidRPr="009962B4">
              <w:rPr>
                <w:b/>
                <w:bCs/>
                <w:sz w:val="18"/>
                <w:szCs w:val="18"/>
                <w:lang w:val="en-GB"/>
              </w:rPr>
              <w:t>3.</w:t>
            </w:r>
            <w:r w:rsidRPr="009962B4">
              <w:rPr>
                <w:sz w:val="18"/>
                <w:szCs w:val="18"/>
                <w:lang w:val="en-GB"/>
              </w:rPr>
              <w:t xml:space="preserve"> MS invited to put efforts in promoting the WTDC-21 on national level, especially addressing groups that may benefit the most from outcomes of WTDC-21 (</w:t>
            </w:r>
            <w:r w:rsidRPr="009962B4">
              <w:rPr>
                <w:i/>
                <w:iCs/>
                <w:sz w:val="18"/>
                <w:szCs w:val="18"/>
                <w:lang w:val="en-GB"/>
              </w:rPr>
              <w:t>e. g.</w:t>
            </w:r>
            <w:r w:rsidRPr="009962B4">
              <w:rPr>
                <w:sz w:val="18"/>
                <w:szCs w:val="18"/>
                <w:lang w:val="en-GB"/>
              </w:rPr>
              <w:t xml:space="preserve"> the youth organizations, girls and women, organizations of people with disabilities, etc.) inviting them to contribute.</w:t>
            </w:r>
          </w:p>
        </w:tc>
        <w:tc>
          <w:tcPr>
            <w:tcW w:w="2139" w:type="dxa"/>
            <w:shd w:val="clear" w:color="auto" w:fill="F2DBDB" w:themeFill="accent2" w:themeFillTint="33"/>
          </w:tcPr>
          <w:p w14:paraId="6B4906A1" w14:textId="77777777" w:rsidR="00D76411" w:rsidRPr="009962B4" w:rsidRDefault="00D76411" w:rsidP="0074573E">
            <w:pPr>
              <w:spacing w:before="40" w:after="40"/>
              <w:rPr>
                <w:sz w:val="18"/>
                <w:szCs w:val="18"/>
                <w:lang w:val="en-GB"/>
              </w:rPr>
            </w:pPr>
            <w:r w:rsidRPr="009962B4">
              <w:rPr>
                <w:b/>
                <w:bCs/>
                <w:sz w:val="18"/>
                <w:szCs w:val="18"/>
                <w:lang w:val="en-GB"/>
              </w:rPr>
              <w:t>1.</w:t>
            </w:r>
            <w:r w:rsidRPr="009962B4">
              <w:rPr>
                <w:sz w:val="18"/>
                <w:szCs w:val="18"/>
                <w:lang w:val="en-GB"/>
              </w:rPr>
              <w:t xml:space="preserve"> Groups to be targeted for participation in WTDC, in addition to Policy makers and Regulatory Authorities:</w:t>
            </w:r>
          </w:p>
          <w:p w14:paraId="6B9042A0"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Financial institutions (they play a big role in funding projects and implementation of financial inclusion. Care should be taken however to ensure that they do dominate and dictate what should be done. In this regard, they should be part of the delegation of the Member State from which they come from).</w:t>
            </w:r>
          </w:p>
          <w:p w14:paraId="1858E2F2"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 xml:space="preserve">Development and Donor organisations (will assist with assessing the areas that require </w:t>
            </w:r>
            <w:r w:rsidRPr="009962B4">
              <w:rPr>
                <w:bCs/>
                <w:sz w:val="18"/>
                <w:szCs w:val="18"/>
                <w:lang w:val="en-GB"/>
              </w:rPr>
              <w:t>intervention</w:t>
            </w:r>
            <w:r w:rsidRPr="009962B4">
              <w:rPr>
                <w:sz w:val="18"/>
                <w:szCs w:val="18"/>
                <w:lang w:val="en-GB"/>
              </w:rPr>
              <w:t xml:space="preserve"> </w:t>
            </w:r>
            <w:proofErr w:type="gramStart"/>
            <w:r w:rsidRPr="009962B4">
              <w:rPr>
                <w:sz w:val="18"/>
                <w:szCs w:val="18"/>
                <w:lang w:val="en-GB"/>
              </w:rPr>
              <w:t>with regard to</w:t>
            </w:r>
            <w:proofErr w:type="gramEnd"/>
            <w:r w:rsidRPr="009962B4">
              <w:rPr>
                <w:sz w:val="18"/>
                <w:szCs w:val="18"/>
                <w:lang w:val="en-GB"/>
              </w:rPr>
              <w:t xml:space="preserve"> connectivity and development issues)</w:t>
            </w:r>
          </w:p>
          <w:p w14:paraId="25072A45"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 xml:space="preserve">Gender groups and youth (can </w:t>
            </w:r>
            <w:r w:rsidRPr="009962B4">
              <w:rPr>
                <w:bCs/>
                <w:sz w:val="18"/>
                <w:szCs w:val="18"/>
                <w:lang w:val="en-GB"/>
              </w:rPr>
              <w:t>highlight</w:t>
            </w:r>
            <w:r w:rsidRPr="009962B4">
              <w:rPr>
                <w:sz w:val="18"/>
                <w:szCs w:val="18"/>
                <w:lang w:val="en-GB"/>
              </w:rPr>
              <w:t xml:space="preserve"> the challenges faced by their constituencies and propose innovations that can provide solutions for the development of ICTs).</w:t>
            </w:r>
          </w:p>
          <w:p w14:paraId="1EED5011"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Manufacturers of ICT equipment and gadgets (so they have a clear understanding of what products they need to produce to support ICT development. Need to ensure that creation of business for these entities does not hijack the development programme for WTDC: these entities to participate under the banner of their MS).</w:t>
            </w:r>
          </w:p>
          <w:p w14:paraId="11255C18"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Academia (ICT skills education requirements are also catered for).</w:t>
            </w:r>
          </w:p>
          <w:p w14:paraId="614AB5DF" w14:textId="77777777" w:rsidR="00D76411" w:rsidRPr="009962B4" w:rsidRDefault="00D76411" w:rsidP="0074573E">
            <w:pPr>
              <w:spacing w:before="40" w:after="40"/>
              <w:rPr>
                <w:sz w:val="18"/>
                <w:szCs w:val="18"/>
                <w:lang w:val="en-GB"/>
              </w:rPr>
            </w:pPr>
            <w:r w:rsidRPr="009962B4">
              <w:rPr>
                <w:b/>
                <w:bCs/>
                <w:sz w:val="18"/>
                <w:szCs w:val="18"/>
                <w:lang w:val="en-GB"/>
              </w:rPr>
              <w:t>2 &amp; 3.</w:t>
            </w:r>
            <w:r w:rsidRPr="009962B4">
              <w:rPr>
                <w:sz w:val="18"/>
                <w:szCs w:val="18"/>
                <w:lang w:val="en-GB"/>
              </w:rPr>
              <w:t xml:space="preserve"> Promotion of WTDC to stakeholder groups:</w:t>
            </w:r>
          </w:p>
          <w:p w14:paraId="0A300BD9"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 xml:space="preserve">Nationally, regulators could dedicate of any speeches delivered during key ICT events to the role of WTDC and encouraging industry, </w:t>
            </w:r>
            <w:proofErr w:type="gramStart"/>
            <w:r w:rsidRPr="009962B4">
              <w:rPr>
                <w:sz w:val="18"/>
                <w:szCs w:val="18"/>
                <w:lang w:val="en-GB"/>
              </w:rPr>
              <w:t>academia</w:t>
            </w:r>
            <w:proofErr w:type="gramEnd"/>
            <w:r w:rsidRPr="009962B4">
              <w:rPr>
                <w:sz w:val="18"/>
                <w:szCs w:val="18"/>
                <w:lang w:val="en-GB"/>
              </w:rPr>
              <w:t xml:space="preserve"> and various stake holders to participate in the preparations and take up the responsibility to take awareness to their constituencies</w:t>
            </w:r>
          </w:p>
          <w:p w14:paraId="70434385"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Regionally, all regional meetings and conferences to incorporate a segment with discussion on the importance of participating in WTDC and its role in development.</w:t>
            </w:r>
          </w:p>
          <w:p w14:paraId="5F822E4A" w14:textId="77777777" w:rsidR="00D76411" w:rsidRPr="009962B4" w:rsidRDefault="00D76411" w:rsidP="00D76411">
            <w:pPr>
              <w:numPr>
                <w:ilvl w:val="0"/>
                <w:numId w:val="11"/>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GB"/>
              </w:rPr>
            </w:pPr>
            <w:r w:rsidRPr="009962B4">
              <w:rPr>
                <w:sz w:val="18"/>
                <w:szCs w:val="18"/>
                <w:lang w:val="en-GB"/>
              </w:rPr>
              <w:t xml:space="preserve">Internationally, major UN relating conferences to promote WTDC: Global sustainable transport Summits, The Conference on Sustainable Development and Summits, The International Conference on financing for development, the world education forum and world Summits on social Development, etc. </w:t>
            </w:r>
          </w:p>
        </w:tc>
      </w:tr>
      <w:tr w:rsidR="00D76411" w:rsidRPr="009962B4" w14:paraId="72A2AE20" w14:textId="77777777" w:rsidTr="0074573E">
        <w:tc>
          <w:tcPr>
            <w:tcW w:w="1907" w:type="dxa"/>
            <w:shd w:val="clear" w:color="auto" w:fill="FABF8F" w:themeFill="accent6" w:themeFillTint="99"/>
          </w:tcPr>
          <w:p w14:paraId="6E69F910" w14:textId="77777777" w:rsidR="00D76411" w:rsidRPr="009962B4" w:rsidRDefault="00D76411" w:rsidP="0074573E">
            <w:pPr>
              <w:keepNext/>
              <w:spacing w:before="40" w:after="40"/>
              <w:rPr>
                <w:sz w:val="18"/>
                <w:szCs w:val="18"/>
                <w:lang w:val="en-GB"/>
              </w:rPr>
            </w:pPr>
            <w:r w:rsidRPr="009962B4">
              <w:rPr>
                <w:b/>
                <w:bCs/>
                <w:sz w:val="18"/>
                <w:szCs w:val="18"/>
                <w:lang w:val="en-GB"/>
              </w:rPr>
              <w:t>During the conference</w:t>
            </w:r>
          </w:p>
        </w:tc>
        <w:tc>
          <w:tcPr>
            <w:tcW w:w="2443" w:type="dxa"/>
            <w:shd w:val="clear" w:color="auto" w:fill="FABF8F" w:themeFill="accent6" w:themeFillTint="99"/>
          </w:tcPr>
          <w:p w14:paraId="7284CA3A" w14:textId="77777777" w:rsidR="00D76411" w:rsidRPr="009962B4" w:rsidRDefault="00D76411" w:rsidP="0074573E">
            <w:pPr>
              <w:keepNext/>
              <w:spacing w:before="40" w:after="40"/>
              <w:rPr>
                <w:sz w:val="18"/>
                <w:szCs w:val="18"/>
                <w:lang w:val="en-GB"/>
              </w:rPr>
            </w:pPr>
          </w:p>
        </w:tc>
        <w:tc>
          <w:tcPr>
            <w:tcW w:w="2413" w:type="dxa"/>
            <w:shd w:val="clear" w:color="auto" w:fill="FABF8F" w:themeFill="accent6" w:themeFillTint="99"/>
          </w:tcPr>
          <w:p w14:paraId="6B4F172B" w14:textId="77777777" w:rsidR="00D76411" w:rsidRPr="009962B4" w:rsidRDefault="00D76411" w:rsidP="0074573E">
            <w:pPr>
              <w:keepNext/>
              <w:spacing w:before="40" w:after="40"/>
              <w:rPr>
                <w:sz w:val="18"/>
                <w:szCs w:val="18"/>
                <w:lang w:val="en-GB"/>
              </w:rPr>
            </w:pPr>
          </w:p>
        </w:tc>
        <w:tc>
          <w:tcPr>
            <w:tcW w:w="2819" w:type="dxa"/>
            <w:shd w:val="clear" w:color="auto" w:fill="FABF8F" w:themeFill="accent6" w:themeFillTint="99"/>
          </w:tcPr>
          <w:p w14:paraId="5438AF73" w14:textId="77777777" w:rsidR="00D76411" w:rsidRPr="009962B4" w:rsidRDefault="00D76411" w:rsidP="0074573E">
            <w:pPr>
              <w:keepNext/>
              <w:spacing w:before="40" w:after="40"/>
              <w:rPr>
                <w:sz w:val="18"/>
                <w:szCs w:val="18"/>
                <w:lang w:val="en-GB"/>
              </w:rPr>
            </w:pPr>
          </w:p>
        </w:tc>
        <w:tc>
          <w:tcPr>
            <w:tcW w:w="1841" w:type="dxa"/>
            <w:shd w:val="clear" w:color="auto" w:fill="FABF8F" w:themeFill="accent6" w:themeFillTint="99"/>
          </w:tcPr>
          <w:p w14:paraId="1DAFBF19" w14:textId="77777777" w:rsidR="00D76411" w:rsidRPr="009962B4" w:rsidRDefault="00D76411" w:rsidP="0074573E">
            <w:pPr>
              <w:keepNext/>
              <w:spacing w:before="40" w:after="40"/>
              <w:rPr>
                <w:sz w:val="18"/>
                <w:szCs w:val="18"/>
                <w:lang w:val="en-GB"/>
              </w:rPr>
            </w:pPr>
          </w:p>
        </w:tc>
        <w:tc>
          <w:tcPr>
            <w:tcW w:w="2139" w:type="dxa"/>
            <w:shd w:val="clear" w:color="auto" w:fill="FABF8F" w:themeFill="accent6" w:themeFillTint="99"/>
          </w:tcPr>
          <w:p w14:paraId="7A42E045" w14:textId="77777777" w:rsidR="00D76411" w:rsidRPr="009962B4" w:rsidRDefault="00D76411" w:rsidP="0074573E">
            <w:pPr>
              <w:keepNext/>
              <w:spacing w:before="40" w:after="40"/>
              <w:rPr>
                <w:sz w:val="18"/>
                <w:szCs w:val="18"/>
                <w:lang w:val="en-GB"/>
              </w:rPr>
            </w:pPr>
          </w:p>
        </w:tc>
      </w:tr>
      <w:tr w:rsidR="00D76411" w:rsidRPr="009962B4" w14:paraId="3B39B17D" w14:textId="77777777" w:rsidTr="0074573E">
        <w:tc>
          <w:tcPr>
            <w:tcW w:w="1907" w:type="dxa"/>
          </w:tcPr>
          <w:p w14:paraId="65FEF397" w14:textId="77777777" w:rsidR="00D76411" w:rsidRPr="009962B4" w:rsidRDefault="00D76411" w:rsidP="0074573E">
            <w:pPr>
              <w:spacing w:before="40" w:after="40"/>
              <w:rPr>
                <w:sz w:val="18"/>
                <w:szCs w:val="18"/>
                <w:lang w:val="en-GB"/>
              </w:rPr>
            </w:pPr>
            <w:r w:rsidRPr="009962B4">
              <w:rPr>
                <w:bCs/>
                <w:sz w:val="18"/>
                <w:szCs w:val="18"/>
                <w:lang w:val="en-GB"/>
              </w:rPr>
              <w:t>Should the High-Level Segment be changed, and if so, what form should it take?</w:t>
            </w:r>
          </w:p>
        </w:tc>
        <w:tc>
          <w:tcPr>
            <w:tcW w:w="2443" w:type="dxa"/>
          </w:tcPr>
          <w:p w14:paraId="00D3CC57" w14:textId="77777777" w:rsidR="00D76411" w:rsidRPr="009962B4" w:rsidRDefault="00D76411" w:rsidP="0074573E">
            <w:pPr>
              <w:spacing w:before="40" w:after="40"/>
              <w:rPr>
                <w:sz w:val="18"/>
                <w:szCs w:val="18"/>
                <w:lang w:val="en-GB"/>
              </w:rPr>
            </w:pPr>
            <w:r w:rsidRPr="009962B4">
              <w:rPr>
                <w:sz w:val="18"/>
                <w:szCs w:val="18"/>
                <w:lang w:val="en-GB"/>
              </w:rPr>
              <w:t>Any High-Level Segments should not take time from the work of WTDC Plenary and Committees and their related groups.</w:t>
            </w:r>
          </w:p>
        </w:tc>
        <w:tc>
          <w:tcPr>
            <w:tcW w:w="2413" w:type="dxa"/>
          </w:tcPr>
          <w:p w14:paraId="5852C8F8" w14:textId="77777777" w:rsidR="00D76411" w:rsidRPr="009962B4" w:rsidRDefault="00D76411" w:rsidP="0074573E">
            <w:pPr>
              <w:spacing w:before="40" w:after="40"/>
              <w:rPr>
                <w:sz w:val="18"/>
                <w:szCs w:val="18"/>
                <w:lang w:val="en-GB"/>
              </w:rPr>
            </w:pPr>
            <w:r w:rsidRPr="009962B4">
              <w:rPr>
                <w:sz w:val="18"/>
                <w:szCs w:val="18"/>
                <w:lang w:val="en-GB"/>
              </w:rPr>
              <w:t xml:space="preserve">Minimize side events or merge High-Level segment with side events, </w:t>
            </w:r>
            <w:proofErr w:type="gramStart"/>
            <w:r w:rsidRPr="009962B4">
              <w:rPr>
                <w:sz w:val="18"/>
                <w:szCs w:val="18"/>
                <w:lang w:val="en-GB"/>
              </w:rPr>
              <w:t>in order to</w:t>
            </w:r>
            <w:proofErr w:type="gramEnd"/>
            <w:r w:rsidRPr="009962B4">
              <w:rPr>
                <w:sz w:val="18"/>
                <w:szCs w:val="18"/>
                <w:lang w:val="en-GB"/>
              </w:rPr>
              <w:t xml:space="preserve"> make WTDC-21 more efficient, effective, and focused on development issues of telecommunications/ICTs.</w:t>
            </w:r>
          </w:p>
        </w:tc>
        <w:tc>
          <w:tcPr>
            <w:tcW w:w="2819" w:type="dxa"/>
          </w:tcPr>
          <w:p w14:paraId="7AF4C81B" w14:textId="77777777" w:rsidR="00D76411" w:rsidRPr="009962B4" w:rsidRDefault="00D76411" w:rsidP="0074573E">
            <w:pPr>
              <w:spacing w:before="40" w:after="40"/>
              <w:rPr>
                <w:sz w:val="18"/>
                <w:szCs w:val="18"/>
                <w:lang w:val="en-GB"/>
              </w:rPr>
            </w:pPr>
            <w:r w:rsidRPr="009962B4">
              <w:rPr>
                <w:sz w:val="18"/>
                <w:szCs w:val="18"/>
                <w:lang w:val="en-GB"/>
              </w:rPr>
              <w:t>--</w:t>
            </w:r>
          </w:p>
        </w:tc>
        <w:tc>
          <w:tcPr>
            <w:tcW w:w="1841" w:type="dxa"/>
          </w:tcPr>
          <w:p w14:paraId="1BAD9C56" w14:textId="77777777" w:rsidR="00D76411" w:rsidRPr="009962B4" w:rsidRDefault="00D76411" w:rsidP="0074573E">
            <w:pPr>
              <w:spacing w:before="40" w:after="40"/>
              <w:rPr>
                <w:sz w:val="18"/>
                <w:szCs w:val="18"/>
                <w:lang w:val="en-GB"/>
              </w:rPr>
            </w:pPr>
            <w:r w:rsidRPr="009962B4">
              <w:rPr>
                <w:sz w:val="18"/>
                <w:szCs w:val="18"/>
                <w:lang w:val="en-GB"/>
              </w:rPr>
              <w:t>--</w:t>
            </w:r>
          </w:p>
        </w:tc>
        <w:tc>
          <w:tcPr>
            <w:tcW w:w="2139" w:type="dxa"/>
          </w:tcPr>
          <w:p w14:paraId="6E5351B3" w14:textId="77777777" w:rsidR="00D76411" w:rsidRPr="009962B4" w:rsidRDefault="00D76411" w:rsidP="0074573E">
            <w:pPr>
              <w:spacing w:before="40" w:after="40"/>
              <w:rPr>
                <w:sz w:val="18"/>
                <w:szCs w:val="18"/>
                <w:lang w:val="en-GB"/>
              </w:rPr>
            </w:pPr>
            <w:r w:rsidRPr="009962B4">
              <w:rPr>
                <w:sz w:val="18"/>
                <w:szCs w:val="18"/>
                <w:lang w:val="en-GB"/>
              </w:rPr>
              <w:t xml:space="preserve">During the TDAG web dialogues held earlier during the year, there were proposals to merge the high-level segment and the side events. A challenge was also posed on whether the format of policy statements should be changed.  </w:t>
            </w:r>
          </w:p>
          <w:p w14:paraId="0D7244A7" w14:textId="77777777" w:rsidR="00D76411" w:rsidRPr="009962B4" w:rsidRDefault="00D76411" w:rsidP="0074573E">
            <w:pPr>
              <w:spacing w:before="40" w:after="40"/>
              <w:rPr>
                <w:sz w:val="18"/>
                <w:szCs w:val="18"/>
                <w:lang w:val="en-GB"/>
              </w:rPr>
            </w:pPr>
            <w:r w:rsidRPr="009962B4">
              <w:rPr>
                <w:sz w:val="18"/>
                <w:szCs w:val="18"/>
                <w:lang w:val="en-GB"/>
              </w:rPr>
              <w:t>In current WTDC set up, side events held during the tea breaks, lunch breaks and after conference hours, are not well attended (participants attending various ad-hoc and drafting groups). Time allocated may not be sufficient for speakers to articulate issues and take questions from the floor. For high-level invited participants there may appear to be no value to them in these ill-attended side events and are discouraged from participating in WTDC.</w:t>
            </w:r>
          </w:p>
          <w:p w14:paraId="73C0819F" w14:textId="77777777" w:rsidR="00D76411" w:rsidRPr="009962B4" w:rsidRDefault="00D76411" w:rsidP="0074573E">
            <w:pPr>
              <w:spacing w:before="40" w:after="40"/>
              <w:rPr>
                <w:sz w:val="18"/>
                <w:szCs w:val="18"/>
                <w:lang w:val="en-GB"/>
              </w:rPr>
            </w:pPr>
            <w:r w:rsidRPr="009962B4">
              <w:rPr>
                <w:sz w:val="18"/>
                <w:szCs w:val="18"/>
                <w:lang w:val="en-GB"/>
              </w:rPr>
              <w:t>BDT and MS to come up with a list of critical topics that can have an impact on development, for which panel discussions can be held during normal conference times. Speakers to include industry experts, consumers, different community representatives, as well policy makers. Participation of policy makers will obviate the need for a monotonous delivery of policy Statements. MS and SM can still submit written policy statements, which are then posted on dedicated page on the WTDC website.</w:t>
            </w:r>
          </w:p>
        </w:tc>
      </w:tr>
      <w:tr w:rsidR="00D76411" w:rsidRPr="009962B4" w14:paraId="0A17F749" w14:textId="77777777" w:rsidTr="0074573E">
        <w:tc>
          <w:tcPr>
            <w:tcW w:w="1907" w:type="dxa"/>
            <w:shd w:val="clear" w:color="auto" w:fill="FDE9D9" w:themeFill="accent6" w:themeFillTint="33"/>
          </w:tcPr>
          <w:p w14:paraId="2F5AE4A6" w14:textId="77777777" w:rsidR="00D76411" w:rsidRPr="009962B4" w:rsidRDefault="00D76411" w:rsidP="0074573E">
            <w:pPr>
              <w:spacing w:before="40" w:after="40"/>
              <w:rPr>
                <w:sz w:val="18"/>
                <w:szCs w:val="18"/>
                <w:lang w:val="en-GB"/>
              </w:rPr>
            </w:pPr>
            <w:r w:rsidRPr="009962B4">
              <w:rPr>
                <w:bCs/>
                <w:sz w:val="18"/>
                <w:szCs w:val="18"/>
                <w:lang w:val="en-GB"/>
              </w:rPr>
              <w:t>What theme or themes (connected to development challenges and membership priorities) should be established for WTDC-21, and how should the theme(s) be connected to the content and structure of the conference?</w:t>
            </w:r>
          </w:p>
        </w:tc>
        <w:tc>
          <w:tcPr>
            <w:tcW w:w="2443" w:type="dxa"/>
            <w:shd w:val="clear" w:color="auto" w:fill="FDE9D9" w:themeFill="accent6" w:themeFillTint="33"/>
          </w:tcPr>
          <w:p w14:paraId="4D027EC8" w14:textId="77777777" w:rsidR="00D76411" w:rsidRPr="009962B4" w:rsidRDefault="00D76411" w:rsidP="0074573E">
            <w:pPr>
              <w:spacing w:before="40" w:after="40"/>
              <w:rPr>
                <w:sz w:val="18"/>
                <w:szCs w:val="18"/>
                <w:lang w:val="en-GB"/>
              </w:rPr>
            </w:pPr>
            <w:r w:rsidRPr="009962B4">
              <w:rPr>
                <w:sz w:val="18"/>
                <w:szCs w:val="18"/>
                <w:lang w:val="en-GB"/>
              </w:rPr>
              <w:t>Minimize side-events and move those discussions to sessions discussing related Resolutions to save time.</w:t>
            </w:r>
          </w:p>
          <w:p w14:paraId="73C6AD9F" w14:textId="77777777" w:rsidR="00D76411" w:rsidRPr="009962B4" w:rsidRDefault="00D76411" w:rsidP="0074573E">
            <w:pPr>
              <w:spacing w:before="40" w:after="40"/>
              <w:rPr>
                <w:sz w:val="18"/>
                <w:szCs w:val="18"/>
                <w:lang w:val="en-GB"/>
              </w:rPr>
            </w:pPr>
            <w:r w:rsidRPr="009962B4">
              <w:rPr>
                <w:sz w:val="18"/>
                <w:szCs w:val="18"/>
                <w:lang w:val="en-GB"/>
              </w:rPr>
              <w:t>Agenda of side events should have strong connection with the Study Group Questions, ITU index and BDT activities. Explain clearly how every event contributes to the Study Group Questions, ITU index and/or BDT activities, preferably with outputs which can be transposed to the concrete benefit or inputs to the WTDC Resolutions and mandates of Study Group Questions.</w:t>
            </w:r>
          </w:p>
          <w:p w14:paraId="27FFAD57" w14:textId="77777777" w:rsidR="00D76411" w:rsidRPr="009962B4" w:rsidRDefault="00D76411" w:rsidP="0074573E">
            <w:pPr>
              <w:spacing w:before="40" w:after="40"/>
              <w:rPr>
                <w:sz w:val="18"/>
                <w:szCs w:val="18"/>
                <w:lang w:val="en-GB"/>
              </w:rPr>
            </w:pPr>
            <w:r w:rsidRPr="009962B4">
              <w:rPr>
                <w:sz w:val="18"/>
                <w:szCs w:val="18"/>
                <w:lang w:val="en-GB"/>
              </w:rPr>
              <w:t>Additional side-event held with the aim to strengthen the capacity of ITU members to express their opinions and transform them into contributions to the next ITU-D Study period.</w:t>
            </w:r>
          </w:p>
        </w:tc>
        <w:tc>
          <w:tcPr>
            <w:tcW w:w="2413" w:type="dxa"/>
            <w:shd w:val="clear" w:color="auto" w:fill="FDE9D9" w:themeFill="accent6" w:themeFillTint="33"/>
          </w:tcPr>
          <w:p w14:paraId="16A9B0C2" w14:textId="77777777" w:rsidR="00D76411" w:rsidRPr="009962B4" w:rsidRDefault="00D76411" w:rsidP="0074573E">
            <w:pPr>
              <w:spacing w:before="40" w:after="40"/>
              <w:rPr>
                <w:sz w:val="18"/>
                <w:szCs w:val="18"/>
                <w:lang w:val="en-GB"/>
              </w:rPr>
            </w:pPr>
            <w:r w:rsidRPr="009962B4">
              <w:rPr>
                <w:sz w:val="18"/>
                <w:szCs w:val="18"/>
                <w:lang w:val="en-GB"/>
              </w:rPr>
              <w:t>The themes for WTDC-21 should be holistic enough to encompass the focus of telecommunication development issues arising from all regional levels. Further, bearing in mind the current global health crisis, we propose the following themes for WTDC-21:</w:t>
            </w:r>
          </w:p>
          <w:p w14:paraId="06EEC744" w14:textId="77777777" w:rsidR="00D76411" w:rsidRPr="009962B4" w:rsidRDefault="00D76411" w:rsidP="0074573E">
            <w:pPr>
              <w:spacing w:before="40" w:after="40"/>
              <w:rPr>
                <w:sz w:val="18"/>
                <w:szCs w:val="18"/>
                <w:lang w:val="en-GB"/>
              </w:rPr>
            </w:pPr>
            <w:r w:rsidRPr="009962B4">
              <w:rPr>
                <w:sz w:val="18"/>
                <w:szCs w:val="18"/>
                <w:u w:val="single"/>
                <w:lang w:val="en-GB"/>
              </w:rPr>
              <w:t>Alternative 1:</w:t>
            </w:r>
            <w:r w:rsidRPr="009962B4">
              <w:rPr>
                <w:sz w:val="18"/>
                <w:szCs w:val="18"/>
                <w:lang w:val="en-GB"/>
              </w:rPr>
              <w:t xml:space="preserve"> Creating a resilient global digital economy to withstand global pandemics/crises/disasters.</w:t>
            </w:r>
          </w:p>
          <w:p w14:paraId="115F2571" w14:textId="77777777" w:rsidR="00D76411" w:rsidRPr="009962B4" w:rsidRDefault="00D76411" w:rsidP="0074573E">
            <w:pPr>
              <w:spacing w:before="40" w:after="40"/>
              <w:rPr>
                <w:sz w:val="18"/>
                <w:szCs w:val="18"/>
                <w:lang w:val="en-GB"/>
              </w:rPr>
            </w:pPr>
            <w:r w:rsidRPr="009962B4">
              <w:rPr>
                <w:sz w:val="18"/>
                <w:szCs w:val="18"/>
                <w:u w:val="single"/>
                <w:lang w:val="en-GB"/>
              </w:rPr>
              <w:t>Alternative 2:</w:t>
            </w:r>
            <w:r w:rsidRPr="009962B4">
              <w:rPr>
                <w:sz w:val="18"/>
                <w:szCs w:val="18"/>
                <w:lang w:val="en-GB"/>
              </w:rPr>
              <w:t xml:space="preserve"> Recovery of Global Digital Economy and Connectivity to Build Back Better.</w:t>
            </w:r>
          </w:p>
        </w:tc>
        <w:tc>
          <w:tcPr>
            <w:tcW w:w="2819" w:type="dxa"/>
            <w:shd w:val="clear" w:color="auto" w:fill="FDE9D9" w:themeFill="accent6" w:themeFillTint="33"/>
          </w:tcPr>
          <w:p w14:paraId="0A2C1A33" w14:textId="77777777" w:rsidR="00D76411" w:rsidRPr="009962B4" w:rsidRDefault="00D76411" w:rsidP="0074573E">
            <w:pPr>
              <w:spacing w:before="40" w:after="40"/>
              <w:rPr>
                <w:sz w:val="18"/>
                <w:szCs w:val="18"/>
                <w:lang w:val="en-GB"/>
              </w:rPr>
            </w:pPr>
            <w:r w:rsidRPr="009962B4">
              <w:rPr>
                <w:sz w:val="18"/>
                <w:szCs w:val="18"/>
                <w:lang w:val="en-GB"/>
              </w:rPr>
              <w:t>--</w:t>
            </w:r>
          </w:p>
        </w:tc>
        <w:tc>
          <w:tcPr>
            <w:tcW w:w="1841" w:type="dxa"/>
            <w:shd w:val="clear" w:color="auto" w:fill="FDE9D9" w:themeFill="accent6" w:themeFillTint="33"/>
          </w:tcPr>
          <w:p w14:paraId="58F5C834" w14:textId="77777777" w:rsidR="00D76411" w:rsidRPr="009962B4" w:rsidRDefault="00D76411" w:rsidP="0074573E">
            <w:pPr>
              <w:spacing w:before="40" w:after="40"/>
              <w:rPr>
                <w:sz w:val="18"/>
                <w:szCs w:val="18"/>
                <w:lang w:val="en-GB"/>
              </w:rPr>
            </w:pPr>
            <w:r w:rsidRPr="009962B4">
              <w:rPr>
                <w:sz w:val="18"/>
                <w:szCs w:val="18"/>
                <w:lang w:val="en-GB"/>
              </w:rPr>
              <w:t>--</w:t>
            </w:r>
          </w:p>
        </w:tc>
        <w:tc>
          <w:tcPr>
            <w:tcW w:w="2139" w:type="dxa"/>
            <w:shd w:val="clear" w:color="auto" w:fill="FDE9D9" w:themeFill="accent6" w:themeFillTint="33"/>
          </w:tcPr>
          <w:p w14:paraId="680E5D23" w14:textId="77777777" w:rsidR="00D76411" w:rsidRPr="009962B4" w:rsidRDefault="00D76411" w:rsidP="0074573E">
            <w:pPr>
              <w:spacing w:before="40" w:after="40"/>
              <w:rPr>
                <w:sz w:val="18"/>
                <w:szCs w:val="18"/>
                <w:lang w:val="en-GB"/>
              </w:rPr>
            </w:pPr>
            <w:r w:rsidRPr="009962B4">
              <w:rPr>
                <w:sz w:val="18"/>
                <w:szCs w:val="18"/>
                <w:lang w:val="en-GB"/>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r w:rsidR="00D76411" w:rsidRPr="009962B4" w14:paraId="0788CDA6" w14:textId="77777777" w:rsidTr="0074573E">
        <w:tc>
          <w:tcPr>
            <w:tcW w:w="1907" w:type="dxa"/>
          </w:tcPr>
          <w:p w14:paraId="547670C1" w14:textId="77777777" w:rsidR="00D76411" w:rsidRPr="009962B4" w:rsidRDefault="00D76411" w:rsidP="0074573E">
            <w:pPr>
              <w:spacing w:before="40" w:after="40"/>
              <w:rPr>
                <w:sz w:val="18"/>
                <w:szCs w:val="18"/>
                <w:lang w:val="en-GB"/>
              </w:rPr>
            </w:pPr>
            <w:r w:rsidRPr="009962B4">
              <w:rPr>
                <w:bCs/>
                <w:sz w:val="18"/>
                <w:szCs w:val="18"/>
                <w:lang w:val="en-GB"/>
              </w:rPr>
              <w:t>What high-level participants should be invited to chair and/or deliver keynote speeches on the theme(s) selected?</w:t>
            </w:r>
          </w:p>
        </w:tc>
        <w:tc>
          <w:tcPr>
            <w:tcW w:w="2443" w:type="dxa"/>
          </w:tcPr>
          <w:p w14:paraId="5ED06FA8" w14:textId="77777777" w:rsidR="00D76411" w:rsidRPr="009962B4" w:rsidRDefault="00D76411" w:rsidP="0074573E">
            <w:pPr>
              <w:spacing w:before="40" w:after="40"/>
              <w:rPr>
                <w:sz w:val="18"/>
                <w:szCs w:val="18"/>
                <w:lang w:val="en-GB"/>
              </w:rPr>
            </w:pPr>
            <w:r w:rsidRPr="009962B4">
              <w:rPr>
                <w:sz w:val="18"/>
                <w:szCs w:val="18"/>
                <w:lang w:val="en-GB"/>
              </w:rPr>
              <w:t>--</w:t>
            </w:r>
          </w:p>
        </w:tc>
        <w:tc>
          <w:tcPr>
            <w:tcW w:w="2413" w:type="dxa"/>
          </w:tcPr>
          <w:p w14:paraId="7D586E2C" w14:textId="77777777" w:rsidR="00D76411" w:rsidRPr="009962B4" w:rsidRDefault="00D76411" w:rsidP="0074573E">
            <w:pPr>
              <w:spacing w:before="40" w:after="40"/>
              <w:rPr>
                <w:sz w:val="18"/>
                <w:szCs w:val="18"/>
                <w:lang w:val="en-GB"/>
              </w:rPr>
            </w:pPr>
            <w:r w:rsidRPr="009962B4">
              <w:rPr>
                <w:sz w:val="18"/>
                <w:szCs w:val="18"/>
                <w:lang w:val="en-GB"/>
              </w:rPr>
              <w:t>High-level participants to WTDC-21 are by invitation only, arising from MS, SM, academia, and international/regional financial/funding organizations.</w:t>
            </w:r>
          </w:p>
        </w:tc>
        <w:tc>
          <w:tcPr>
            <w:tcW w:w="2819" w:type="dxa"/>
          </w:tcPr>
          <w:p w14:paraId="44878EA3" w14:textId="77777777" w:rsidR="00D76411" w:rsidRPr="009962B4" w:rsidRDefault="00D76411" w:rsidP="0074573E">
            <w:pPr>
              <w:spacing w:before="40" w:after="40"/>
              <w:rPr>
                <w:sz w:val="18"/>
                <w:szCs w:val="18"/>
                <w:lang w:val="en-GB"/>
              </w:rPr>
            </w:pPr>
            <w:r w:rsidRPr="009962B4">
              <w:rPr>
                <w:sz w:val="18"/>
                <w:szCs w:val="18"/>
                <w:lang w:val="en-GB"/>
              </w:rPr>
              <w:t>--</w:t>
            </w:r>
          </w:p>
        </w:tc>
        <w:tc>
          <w:tcPr>
            <w:tcW w:w="1841" w:type="dxa"/>
          </w:tcPr>
          <w:p w14:paraId="1F77D869" w14:textId="77777777" w:rsidR="00D76411" w:rsidRPr="009962B4" w:rsidRDefault="00D76411" w:rsidP="0074573E">
            <w:pPr>
              <w:spacing w:before="40" w:after="40"/>
              <w:rPr>
                <w:sz w:val="18"/>
                <w:szCs w:val="18"/>
                <w:lang w:val="en-GB"/>
              </w:rPr>
            </w:pPr>
            <w:r w:rsidRPr="009962B4">
              <w:rPr>
                <w:sz w:val="18"/>
                <w:szCs w:val="18"/>
                <w:lang w:val="en-GB"/>
              </w:rPr>
              <w:t>--</w:t>
            </w:r>
          </w:p>
        </w:tc>
        <w:tc>
          <w:tcPr>
            <w:tcW w:w="2139" w:type="dxa"/>
          </w:tcPr>
          <w:p w14:paraId="53B5FBC6" w14:textId="77777777" w:rsidR="00D76411" w:rsidRPr="009962B4" w:rsidRDefault="00D76411" w:rsidP="0074573E">
            <w:pPr>
              <w:spacing w:before="40" w:after="40"/>
              <w:rPr>
                <w:sz w:val="18"/>
                <w:szCs w:val="18"/>
                <w:lang w:val="en-GB"/>
              </w:rPr>
            </w:pPr>
            <w:r w:rsidRPr="009962B4">
              <w:rPr>
                <w:sz w:val="18"/>
                <w:szCs w:val="18"/>
                <w:lang w:val="en-GB"/>
              </w:rPr>
              <w:t>--</w:t>
            </w:r>
          </w:p>
        </w:tc>
      </w:tr>
      <w:tr w:rsidR="00D76411" w:rsidRPr="009962B4" w14:paraId="6FC40F09" w14:textId="77777777" w:rsidTr="0074573E">
        <w:tc>
          <w:tcPr>
            <w:tcW w:w="1907" w:type="dxa"/>
            <w:shd w:val="clear" w:color="auto" w:fill="FDE9D9" w:themeFill="accent6" w:themeFillTint="33"/>
          </w:tcPr>
          <w:p w14:paraId="2646104E" w14:textId="77777777" w:rsidR="00D76411" w:rsidRPr="009962B4" w:rsidRDefault="00D76411" w:rsidP="0074573E">
            <w:pPr>
              <w:spacing w:before="40" w:after="40"/>
              <w:rPr>
                <w:sz w:val="18"/>
                <w:szCs w:val="18"/>
                <w:lang w:val="en-GB"/>
              </w:rPr>
            </w:pPr>
            <w:r w:rsidRPr="009962B4">
              <w:rPr>
                <w:bCs/>
                <w:sz w:val="18"/>
                <w:szCs w:val="18"/>
                <w:lang w:val="en-GB"/>
              </w:rPr>
              <w:t>Submit proposals for thematic tracks that can be incorporated into the conference.”</w:t>
            </w:r>
          </w:p>
        </w:tc>
        <w:tc>
          <w:tcPr>
            <w:tcW w:w="2443" w:type="dxa"/>
            <w:shd w:val="clear" w:color="auto" w:fill="FDE9D9" w:themeFill="accent6" w:themeFillTint="33"/>
          </w:tcPr>
          <w:p w14:paraId="68EC403F" w14:textId="77777777" w:rsidR="00D76411" w:rsidRPr="009962B4" w:rsidRDefault="00D76411" w:rsidP="0074573E">
            <w:pPr>
              <w:spacing w:before="40" w:after="40"/>
              <w:rPr>
                <w:sz w:val="18"/>
                <w:szCs w:val="18"/>
                <w:lang w:val="en-GB"/>
              </w:rPr>
            </w:pPr>
            <w:r w:rsidRPr="009962B4">
              <w:rPr>
                <w:sz w:val="18"/>
                <w:szCs w:val="18"/>
                <w:lang w:val="en-GB"/>
              </w:rPr>
              <w:t>Explanation on the linkages between thematic priorities, ITU-D Action plan, WTDC Resolutions, BDT programs and ITU-D study Questions.</w:t>
            </w:r>
          </w:p>
        </w:tc>
        <w:tc>
          <w:tcPr>
            <w:tcW w:w="2413" w:type="dxa"/>
            <w:shd w:val="clear" w:color="auto" w:fill="FDE9D9" w:themeFill="accent6" w:themeFillTint="33"/>
          </w:tcPr>
          <w:p w14:paraId="4A69AEC4" w14:textId="77777777" w:rsidR="00D76411" w:rsidRPr="009962B4" w:rsidRDefault="00D76411" w:rsidP="0074573E">
            <w:pPr>
              <w:spacing w:before="40" w:after="40"/>
              <w:rPr>
                <w:sz w:val="18"/>
                <w:szCs w:val="18"/>
                <w:lang w:val="en-GB"/>
              </w:rPr>
            </w:pPr>
            <w:r w:rsidRPr="009962B4">
              <w:rPr>
                <w:sz w:val="18"/>
                <w:szCs w:val="18"/>
                <w:lang w:val="en-GB"/>
              </w:rPr>
              <w:t>--</w:t>
            </w:r>
          </w:p>
        </w:tc>
        <w:tc>
          <w:tcPr>
            <w:tcW w:w="2819" w:type="dxa"/>
            <w:shd w:val="clear" w:color="auto" w:fill="FDE9D9" w:themeFill="accent6" w:themeFillTint="33"/>
          </w:tcPr>
          <w:p w14:paraId="53627509" w14:textId="77777777" w:rsidR="00D76411" w:rsidRPr="009962B4" w:rsidRDefault="00D76411" w:rsidP="0074573E">
            <w:pPr>
              <w:spacing w:before="40" w:after="40"/>
              <w:rPr>
                <w:sz w:val="18"/>
                <w:szCs w:val="18"/>
                <w:lang w:val="en-GB"/>
              </w:rPr>
            </w:pPr>
            <w:r w:rsidRPr="009962B4">
              <w:rPr>
                <w:sz w:val="18"/>
                <w:szCs w:val="18"/>
                <w:lang w:val="en-GB"/>
              </w:rPr>
              <w:t>Avoid having separate parallel tracks as this could discriminate against smaller ITU Member States and Sector Members with small delegations.  This recommendation is also in line with previous TDAG discussions around the desire to simplify engagement with the ITU and in its meetings and events.</w:t>
            </w:r>
          </w:p>
        </w:tc>
        <w:tc>
          <w:tcPr>
            <w:tcW w:w="1841" w:type="dxa"/>
            <w:shd w:val="clear" w:color="auto" w:fill="FDE9D9" w:themeFill="accent6" w:themeFillTint="33"/>
          </w:tcPr>
          <w:p w14:paraId="0330C053" w14:textId="77777777" w:rsidR="00D76411" w:rsidRPr="009962B4" w:rsidRDefault="00D76411" w:rsidP="0074573E">
            <w:pPr>
              <w:spacing w:before="40" w:after="40"/>
              <w:rPr>
                <w:sz w:val="18"/>
                <w:szCs w:val="18"/>
                <w:lang w:val="en-GB"/>
              </w:rPr>
            </w:pPr>
            <w:r w:rsidRPr="009962B4">
              <w:rPr>
                <w:sz w:val="18"/>
                <w:szCs w:val="18"/>
                <w:lang w:val="en-GB"/>
              </w:rPr>
              <w:t>--</w:t>
            </w:r>
          </w:p>
        </w:tc>
        <w:tc>
          <w:tcPr>
            <w:tcW w:w="2139" w:type="dxa"/>
            <w:shd w:val="clear" w:color="auto" w:fill="FDE9D9" w:themeFill="accent6" w:themeFillTint="33"/>
          </w:tcPr>
          <w:p w14:paraId="004EF2C5" w14:textId="77777777" w:rsidR="00D76411" w:rsidRPr="009962B4" w:rsidRDefault="00D76411" w:rsidP="0074573E">
            <w:pPr>
              <w:spacing w:before="40" w:after="40"/>
              <w:rPr>
                <w:sz w:val="18"/>
                <w:szCs w:val="18"/>
                <w:lang w:val="en-GB"/>
              </w:rPr>
            </w:pPr>
            <w:r w:rsidRPr="009962B4">
              <w:rPr>
                <w:sz w:val="18"/>
                <w:szCs w:val="18"/>
                <w:lang w:val="en-GB"/>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bl>
    <w:p w14:paraId="00A9823D" w14:textId="77777777" w:rsidR="00AB072B" w:rsidRPr="009962B4" w:rsidRDefault="00AB072B" w:rsidP="00AB072B">
      <w:pPr>
        <w:spacing w:before="360"/>
        <w:jc w:val="center"/>
        <w:rPr>
          <w:lang w:val="en-GB"/>
        </w:rPr>
      </w:pPr>
      <w:r w:rsidRPr="009962B4">
        <w:rPr>
          <w:lang w:val="en-GB"/>
        </w:rPr>
        <w:t>______________</w:t>
      </w:r>
    </w:p>
    <w:sectPr w:rsidR="00AB072B" w:rsidRPr="009962B4" w:rsidSect="00D76411">
      <w:headerReference w:type="default" r:id="rId18"/>
      <w:footerReference w:type="default" r:id="rId19"/>
      <w:headerReference w:type="first" r:id="rId20"/>
      <w:footerReference w:type="first" r:id="rId21"/>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7FB86" w14:textId="77777777" w:rsidR="007811AE" w:rsidRDefault="007811AE">
      <w:r>
        <w:separator/>
      </w:r>
    </w:p>
  </w:endnote>
  <w:endnote w:type="continuationSeparator" w:id="0">
    <w:p w14:paraId="41B1EFF5" w14:textId="77777777" w:rsidR="007811AE" w:rsidRDefault="0078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60A52" w14:textId="182BA75D" w:rsidR="00E945F2" w:rsidRDefault="0061226E" w:rsidP="00E945F2">
    <w:pPr>
      <w:pStyle w:val="Footer"/>
    </w:pPr>
    <w:r>
      <w:fldChar w:fldCharType="begin"/>
    </w:r>
    <w:r>
      <w:instrText xml:space="preserve"> FILENAME \p  \* MERGEFORMAT </w:instrText>
    </w:r>
    <w:r>
      <w:fldChar w:fldCharType="separate"/>
    </w:r>
    <w:r w:rsidR="00D76411">
      <w:t>P:\FRA\ITU-D\CONF-D\TDAG20\TDAG-WG\PREP\000\012F.docx</w:t>
    </w:r>
    <w:r>
      <w:fldChar w:fldCharType="end"/>
    </w:r>
    <w:r w:rsidR="00E945F2">
      <w:t xml:space="preserve"> (</w:t>
    </w:r>
    <w:r w:rsidR="00217588">
      <w:t>47</w:t>
    </w:r>
    <w:r w:rsidR="00AB072B">
      <w:t>6624</w:t>
    </w:r>
    <w:r w:rsidR="00E945F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F12090" w:rsidRPr="009549AC" w14:paraId="136E4C84" w14:textId="77777777" w:rsidTr="00C918B5">
      <w:tc>
        <w:tcPr>
          <w:tcW w:w="1527" w:type="dxa"/>
          <w:tcBorders>
            <w:top w:val="single" w:sz="4" w:space="0" w:color="000000"/>
            <w:left w:val="nil"/>
            <w:bottom w:val="nil"/>
            <w:right w:val="nil"/>
          </w:tcBorders>
          <w:hideMark/>
        </w:tcPr>
        <w:p w14:paraId="220D5EC2" w14:textId="77777777" w:rsidR="00F12090" w:rsidRDefault="00F12090" w:rsidP="00C918B5">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5F8EA90" w14:textId="29901DB1" w:rsidR="00F12090" w:rsidRDefault="00F12090" w:rsidP="00C918B5">
          <w:pPr>
            <w:pStyle w:val="FirstFooter"/>
            <w:tabs>
              <w:tab w:val="left" w:pos="2302"/>
            </w:tabs>
            <w:ind w:left="2302" w:hanging="2302"/>
            <w:rPr>
              <w:sz w:val="18"/>
              <w:szCs w:val="18"/>
              <w:lang w:val="en-US"/>
            </w:rPr>
          </w:pPr>
          <w:r>
            <w:rPr>
              <w:sz w:val="18"/>
              <w:szCs w:val="18"/>
              <w:lang w:val="en-US"/>
            </w:rPr>
            <w:t>Nom/Organisation/Entité:</w:t>
          </w:r>
        </w:p>
      </w:tc>
      <w:tc>
        <w:tcPr>
          <w:tcW w:w="5991" w:type="dxa"/>
          <w:tcBorders>
            <w:top w:val="single" w:sz="4" w:space="0" w:color="000000"/>
            <w:left w:val="nil"/>
            <w:bottom w:val="nil"/>
            <w:right w:val="nil"/>
          </w:tcBorders>
        </w:tcPr>
        <w:p w14:paraId="630B083D" w14:textId="26F5983C" w:rsidR="00F12090" w:rsidRPr="00F3534D" w:rsidRDefault="00F12090" w:rsidP="00C918B5">
          <w:pPr>
            <w:pStyle w:val="FirstFooter"/>
            <w:tabs>
              <w:tab w:val="left" w:pos="2302"/>
            </w:tabs>
            <w:rPr>
              <w:sz w:val="18"/>
              <w:szCs w:val="18"/>
            </w:rPr>
          </w:pPr>
          <w:r w:rsidRPr="002360A6">
            <w:rPr>
              <w:sz w:val="18"/>
              <w:szCs w:val="18"/>
            </w:rPr>
            <w:t>M</w:t>
          </w:r>
          <w:r>
            <w:rPr>
              <w:sz w:val="18"/>
              <w:szCs w:val="18"/>
            </w:rPr>
            <w:t>.</w:t>
          </w:r>
          <w:r w:rsidRPr="002360A6">
            <w:rPr>
              <w:sz w:val="18"/>
              <w:szCs w:val="18"/>
            </w:rPr>
            <w:t xml:space="preserve"> Stephen Bereaux, </w:t>
          </w:r>
          <w:r>
            <w:rPr>
              <w:sz w:val="18"/>
              <w:szCs w:val="18"/>
            </w:rPr>
            <w:t>Adjoint à la Directrice</w:t>
          </w:r>
          <w:r w:rsidRPr="00F3534D">
            <w:rPr>
              <w:rFonts w:ascii="Calibri" w:hAnsi="Calibri" w:cs="Calibri"/>
              <w:color w:val="000000"/>
              <w:sz w:val="18"/>
              <w:szCs w:val="18"/>
            </w:rPr>
            <w:t>, Bureau de développement des télécommunications</w:t>
          </w:r>
        </w:p>
      </w:tc>
      <w:bookmarkStart w:id="0" w:name="OrgName"/>
      <w:bookmarkEnd w:id="0"/>
    </w:tr>
    <w:tr w:rsidR="00F12090" w14:paraId="14ECDBE7" w14:textId="77777777" w:rsidTr="00C918B5">
      <w:tc>
        <w:tcPr>
          <w:tcW w:w="1527" w:type="dxa"/>
        </w:tcPr>
        <w:p w14:paraId="097A1B8E" w14:textId="77777777" w:rsidR="00F12090" w:rsidRPr="00F3534D" w:rsidRDefault="00F12090" w:rsidP="00C918B5">
          <w:pPr>
            <w:pStyle w:val="FirstFooter"/>
            <w:tabs>
              <w:tab w:val="left" w:pos="1559"/>
              <w:tab w:val="left" w:pos="3828"/>
            </w:tabs>
            <w:rPr>
              <w:sz w:val="20"/>
            </w:rPr>
          </w:pPr>
        </w:p>
      </w:tc>
      <w:tc>
        <w:tcPr>
          <w:tcW w:w="2412" w:type="dxa"/>
          <w:hideMark/>
        </w:tcPr>
        <w:p w14:paraId="2C7FC185" w14:textId="4D6E416B" w:rsidR="00F12090" w:rsidRDefault="00F12090" w:rsidP="00C918B5">
          <w:pPr>
            <w:pStyle w:val="FirstFooter"/>
            <w:tabs>
              <w:tab w:val="left" w:pos="2302"/>
            </w:tabs>
            <w:rPr>
              <w:sz w:val="18"/>
              <w:szCs w:val="18"/>
              <w:lang w:val="en-US"/>
            </w:rPr>
          </w:pPr>
          <w:r>
            <w:rPr>
              <w:sz w:val="18"/>
              <w:szCs w:val="18"/>
              <w:lang w:val="en-US"/>
            </w:rPr>
            <w:t>Numéro de téléphone:</w:t>
          </w:r>
        </w:p>
      </w:tc>
      <w:tc>
        <w:tcPr>
          <w:tcW w:w="5991" w:type="dxa"/>
        </w:tcPr>
        <w:p w14:paraId="174C544B" w14:textId="3F6BA886" w:rsidR="00F12090" w:rsidRPr="00523FA7" w:rsidRDefault="00F12090" w:rsidP="00C918B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 w:name="PhoneNo"/>
      <w:bookmarkEnd w:id="1"/>
    </w:tr>
    <w:tr w:rsidR="00F12090" w14:paraId="438D3233" w14:textId="77777777" w:rsidTr="00C918B5">
      <w:tc>
        <w:tcPr>
          <w:tcW w:w="1527" w:type="dxa"/>
        </w:tcPr>
        <w:p w14:paraId="5DBCF6CC" w14:textId="77777777" w:rsidR="00F12090" w:rsidRDefault="00F12090" w:rsidP="00C918B5">
          <w:pPr>
            <w:pStyle w:val="FirstFooter"/>
            <w:tabs>
              <w:tab w:val="left" w:pos="1559"/>
              <w:tab w:val="left" w:pos="3828"/>
            </w:tabs>
            <w:rPr>
              <w:sz w:val="20"/>
              <w:lang w:val="en-US"/>
            </w:rPr>
          </w:pPr>
        </w:p>
      </w:tc>
      <w:tc>
        <w:tcPr>
          <w:tcW w:w="2412" w:type="dxa"/>
          <w:hideMark/>
        </w:tcPr>
        <w:p w14:paraId="3554CDB2" w14:textId="1DB61032" w:rsidR="00F12090" w:rsidRDefault="00F12090" w:rsidP="00C918B5">
          <w:pPr>
            <w:pStyle w:val="FirstFooter"/>
            <w:tabs>
              <w:tab w:val="left" w:pos="2302"/>
            </w:tabs>
            <w:rPr>
              <w:sz w:val="18"/>
              <w:szCs w:val="18"/>
              <w:lang w:val="en-US"/>
            </w:rPr>
          </w:pPr>
          <w:r>
            <w:rPr>
              <w:sz w:val="18"/>
              <w:szCs w:val="18"/>
              <w:lang w:val="en-US"/>
            </w:rPr>
            <w:t>Courriel:</w:t>
          </w:r>
        </w:p>
      </w:tc>
      <w:tc>
        <w:tcPr>
          <w:tcW w:w="5991" w:type="dxa"/>
        </w:tcPr>
        <w:p w14:paraId="54804B71" w14:textId="01A55B2D" w:rsidR="00F12090" w:rsidRDefault="0061226E" w:rsidP="00C918B5">
          <w:pPr>
            <w:pStyle w:val="FirstFooter"/>
            <w:tabs>
              <w:tab w:val="left" w:pos="2302"/>
            </w:tabs>
          </w:pPr>
          <w:hyperlink r:id="rId1" w:history="1">
            <w:r w:rsidR="000E6C4A" w:rsidRPr="00B965F6">
              <w:rPr>
                <w:rStyle w:val="Hyperlink"/>
              </w:rPr>
              <w:t>stephen.bereaux@itu.int</w:t>
            </w:r>
          </w:hyperlink>
          <w:r w:rsidR="000E6C4A">
            <w:t xml:space="preserve"> </w:t>
          </w:r>
        </w:p>
      </w:tc>
      <w:bookmarkStart w:id="2" w:name="Email"/>
      <w:bookmarkEnd w:id="2"/>
    </w:tr>
  </w:tbl>
  <w:p w14:paraId="210015FD" w14:textId="77777777" w:rsidR="00F12090" w:rsidRPr="00594326" w:rsidRDefault="00F12090" w:rsidP="002360A6">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TDAG-WG-Prep</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3C08" w14:textId="390DC967" w:rsidR="00D76411" w:rsidRDefault="0061226E" w:rsidP="00E945F2">
    <w:pPr>
      <w:pStyle w:val="Footer"/>
    </w:pPr>
    <w:r>
      <w:fldChar w:fldCharType="begin"/>
    </w:r>
    <w:r>
      <w:instrText xml:space="preserve"> FILENAME \p  \* MERGEFORMAT </w:instrText>
    </w:r>
    <w:r>
      <w:fldChar w:fldCharType="separate"/>
    </w:r>
    <w:r w:rsidR="00D76411">
      <w:t>P:\FRA\ITU-D\CONF-D\TDAG20\TDAG-WG\PREP\000\012F.docx</w:t>
    </w:r>
    <w:r>
      <w:fldChar w:fldCharType="end"/>
    </w:r>
    <w:r w:rsidR="00D76411">
      <w:t xml:space="preserve"> (476624)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675C3" w14:textId="18E67A95" w:rsidR="00D76411" w:rsidRPr="00D76411" w:rsidRDefault="00D76411" w:rsidP="002360A6">
    <w:pPr>
      <w:tabs>
        <w:tab w:val="clear" w:pos="794"/>
        <w:tab w:val="clear" w:pos="1191"/>
        <w:tab w:val="clear" w:pos="1588"/>
        <w:tab w:val="clear" w:pos="1985"/>
        <w:tab w:val="center" w:pos="4820"/>
        <w:tab w:val="right" w:pos="9639"/>
      </w:tabs>
      <w:ind w:right="1"/>
      <w:rPr>
        <w:sz w:val="16"/>
        <w:szCs w:val="16"/>
      </w:rPr>
    </w:pPr>
    <w:r w:rsidRPr="00D76411">
      <w:rPr>
        <w:sz w:val="16"/>
        <w:szCs w:val="16"/>
      </w:rPr>
      <w:fldChar w:fldCharType="begin"/>
    </w:r>
    <w:r w:rsidRPr="00D76411">
      <w:rPr>
        <w:sz w:val="16"/>
        <w:szCs w:val="16"/>
      </w:rPr>
      <w:instrText xml:space="preserve"> FILENAME \p  \* MERGEFORMAT </w:instrText>
    </w:r>
    <w:r w:rsidRPr="00D76411">
      <w:rPr>
        <w:sz w:val="16"/>
        <w:szCs w:val="16"/>
      </w:rPr>
      <w:fldChar w:fldCharType="separate"/>
    </w:r>
    <w:r>
      <w:rPr>
        <w:noProof/>
        <w:sz w:val="16"/>
        <w:szCs w:val="16"/>
      </w:rPr>
      <w:t>P:\FRA\ITU-D\CONF-D\TDAG20\TDAG-WG\PREP\000\012F.docx</w:t>
    </w:r>
    <w:r w:rsidRPr="00D76411">
      <w:rPr>
        <w:sz w:val="16"/>
        <w:szCs w:val="16"/>
      </w:rPr>
      <w:fldChar w:fldCharType="end"/>
    </w:r>
    <w:r w:rsidRPr="00D76411">
      <w:rPr>
        <w:sz w:val="16"/>
        <w:szCs w:val="16"/>
      </w:rPr>
      <w:t xml:space="preserve"> (476624)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EF4B8" w14:textId="77777777" w:rsidR="007811AE" w:rsidRDefault="007811AE">
      <w:r>
        <w:t>____________________</w:t>
      </w:r>
    </w:p>
  </w:footnote>
  <w:footnote w:type="continuationSeparator" w:id="0">
    <w:p w14:paraId="12B1ABBB" w14:textId="77777777" w:rsidR="007811AE" w:rsidRDefault="00781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1D40" w14:textId="77777777" w:rsidR="00E945F2" w:rsidRDefault="00F12090" w:rsidP="00BE53BF">
    <w:pPr>
      <w:pStyle w:val="Header"/>
      <w:rPr>
        <w:rStyle w:val="PageNumber"/>
        <w:lang w:val="en-US"/>
      </w:rPr>
    </w:pPr>
    <w:r>
      <w:rPr>
        <w:rStyle w:val="PageNumber"/>
        <w:lang w:val="en-US"/>
      </w:rP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noProof/>
        <w:lang w:val="en-US"/>
      </w:rPr>
      <w:t>3</w:t>
    </w:r>
    <w:r w:rsidRPr="00643042">
      <w:rPr>
        <w:rStyle w:val="PageNumber"/>
        <w:noProof/>
        <w:lang w:val="en-US"/>
      </w:rPr>
      <w:fldChar w:fldCharType="end"/>
    </w:r>
    <w:r>
      <w:rPr>
        <w:rStyle w:val="PageNumber"/>
        <w:lang w:val="en-US"/>
      </w:rPr>
      <w:t>-</w:t>
    </w:r>
    <w:r w:rsidR="00E945F2" w:rsidRPr="00E945F2">
      <w:rPr>
        <w:rStyle w:val="PageNumber"/>
        <w:lang w:val="en-US"/>
      </w:rPr>
      <w:t xml:space="preserve"> </w:t>
    </w:r>
  </w:p>
  <w:p w14:paraId="40143469" w14:textId="533611CE" w:rsidR="00F12090" w:rsidRPr="00BE53BF" w:rsidRDefault="00E945F2" w:rsidP="00BE53BF">
    <w:pPr>
      <w:pStyle w:val="Header"/>
      <w:rPr>
        <w:rStyle w:val="PageNumber"/>
        <w:lang w:val="en-US"/>
      </w:rPr>
    </w:pPr>
    <w:r>
      <w:rPr>
        <w:rStyle w:val="PageNumber"/>
        <w:lang w:val="en-US"/>
      </w:rPr>
      <w:t>TDAG-WG-</w:t>
    </w:r>
    <w:r w:rsidR="004D431F">
      <w:rPr>
        <w:rStyle w:val="PageNumber"/>
        <w:lang w:val="en-US"/>
      </w:rPr>
      <w:t>P</w:t>
    </w:r>
    <w:r w:rsidR="003F2AF4">
      <w:rPr>
        <w:rStyle w:val="PageNumber"/>
        <w:lang w:val="en-US"/>
      </w:rPr>
      <w:t>rep</w:t>
    </w:r>
    <w:r>
      <w:rPr>
        <w:rStyle w:val="PageNumber"/>
        <w:lang w:val="en-US"/>
      </w:rPr>
      <w:t>/</w:t>
    </w:r>
    <w:r w:rsidR="000E6C4A">
      <w:rPr>
        <w:rStyle w:val="PageNumber"/>
        <w:lang w:val="en-US"/>
      </w:rPr>
      <w:t>1</w:t>
    </w:r>
    <w:r w:rsidR="00AB072B">
      <w:rPr>
        <w:rStyle w:val="PageNumber"/>
        <w:lang w:val="en-US"/>
      </w:rPr>
      <w:t>2</w:t>
    </w:r>
    <w:r>
      <w:rPr>
        <w:rStyle w:val="PageNumber"/>
        <w:lang w:val="en-US"/>
      </w:rPr>
      <w:t>-</w:t>
    </w:r>
    <w:r w:rsidR="004D431F">
      <w:rPr>
        <w:rStyle w:val="PageNumber"/>
        <w:lang w:val="en-US"/>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4D437" w14:textId="77777777" w:rsidR="00D76411" w:rsidRDefault="00D76411" w:rsidP="00BE53BF">
    <w:pPr>
      <w:pStyle w:val="Header"/>
      <w:rPr>
        <w:rStyle w:val="PageNumber"/>
        <w:lang w:val="en-US"/>
      </w:rPr>
    </w:pPr>
    <w:r>
      <w:rPr>
        <w:rStyle w:val="PageNumber"/>
        <w:lang w:val="en-US"/>
      </w:rP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noProof/>
        <w:lang w:val="en-US"/>
      </w:rPr>
      <w:t>3</w:t>
    </w:r>
    <w:r w:rsidRPr="00643042">
      <w:rPr>
        <w:rStyle w:val="PageNumber"/>
        <w:noProof/>
        <w:lang w:val="en-US"/>
      </w:rPr>
      <w:fldChar w:fldCharType="end"/>
    </w:r>
    <w:r>
      <w:rPr>
        <w:rStyle w:val="PageNumber"/>
        <w:lang w:val="en-US"/>
      </w:rPr>
      <w:t>-</w:t>
    </w:r>
    <w:r w:rsidRPr="00E945F2">
      <w:rPr>
        <w:rStyle w:val="PageNumber"/>
        <w:lang w:val="en-US"/>
      </w:rPr>
      <w:t xml:space="preserve"> </w:t>
    </w:r>
  </w:p>
  <w:p w14:paraId="569E2F86" w14:textId="77777777" w:rsidR="00D76411" w:rsidRPr="00BE53BF" w:rsidRDefault="00D76411" w:rsidP="00BE53BF">
    <w:pPr>
      <w:pStyle w:val="Header"/>
      <w:rPr>
        <w:rStyle w:val="PageNumber"/>
        <w:lang w:val="en-US"/>
      </w:rPr>
    </w:pPr>
    <w:r>
      <w:rPr>
        <w:rStyle w:val="PageNumber"/>
        <w:lang w:val="en-US"/>
      </w:rPr>
      <w:t>TDAG-WG-Prep/12-F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F5CD0" w14:textId="77777777" w:rsidR="00D76411" w:rsidRDefault="00D76411" w:rsidP="00D76411">
    <w:pPr>
      <w:pStyle w:val="Header"/>
      <w:rPr>
        <w:rStyle w:val="PageNumber"/>
        <w:lang w:val="en-US"/>
      </w:rPr>
    </w:pPr>
    <w:r>
      <w:rPr>
        <w:rStyle w:val="PageNumber"/>
        <w:lang w:val="en-US"/>
      </w:rP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lang w:val="en-US"/>
      </w:rPr>
      <w:t>3</w:t>
    </w:r>
    <w:r w:rsidRPr="00643042">
      <w:rPr>
        <w:rStyle w:val="PageNumber"/>
        <w:noProof/>
        <w:lang w:val="en-US"/>
      </w:rPr>
      <w:fldChar w:fldCharType="end"/>
    </w:r>
    <w:r>
      <w:rPr>
        <w:rStyle w:val="PageNumber"/>
        <w:lang w:val="en-US"/>
      </w:rPr>
      <w:t>-</w:t>
    </w:r>
    <w:r w:rsidRPr="00E945F2">
      <w:rPr>
        <w:rStyle w:val="PageNumber"/>
        <w:lang w:val="en-US"/>
      </w:rPr>
      <w:t xml:space="preserve"> </w:t>
    </w:r>
  </w:p>
  <w:p w14:paraId="2A4CA642" w14:textId="5B684CC3" w:rsidR="00D76411" w:rsidRDefault="00D76411" w:rsidP="00D76411">
    <w:pPr>
      <w:pStyle w:val="Header"/>
    </w:pPr>
    <w:r>
      <w:rPr>
        <w:rStyle w:val="PageNumber"/>
        <w:lang w:val="en-US"/>
      </w:rPr>
      <w:t>TDAG-WG-Prep/12-F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E87"/>
    <w:multiLevelType w:val="multilevel"/>
    <w:tmpl w:val="FB92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56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E51C7"/>
    <w:multiLevelType w:val="hybridMultilevel"/>
    <w:tmpl w:val="F8AC99EA"/>
    <w:lvl w:ilvl="0" w:tplc="0409000F">
      <w:start w:val="1"/>
      <w:numFmt w:val="decimal"/>
      <w:lvlText w:val="%1."/>
      <w:lvlJc w:val="left"/>
      <w:pPr>
        <w:ind w:left="5598" w:hanging="360"/>
      </w:pPr>
      <w:rPr>
        <w:rFonts w:hint="default"/>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3" w15:restartNumberingAfterBreak="0">
    <w:nsid w:val="247F49DF"/>
    <w:multiLevelType w:val="hybridMultilevel"/>
    <w:tmpl w:val="8A12364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51FE0"/>
    <w:multiLevelType w:val="hybridMultilevel"/>
    <w:tmpl w:val="961C51EE"/>
    <w:lvl w:ilvl="0" w:tplc="98D47C52">
      <w:start w:val="1"/>
      <w:numFmt w:val="decimal"/>
      <w:lvlText w:val="%1."/>
      <w:lvlJc w:val="left"/>
      <w:pPr>
        <w:ind w:left="720" w:hanging="360"/>
      </w:pPr>
      <w:rPr>
        <w:lang w:val="fr-F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AF3DA0"/>
    <w:multiLevelType w:val="hybridMultilevel"/>
    <w:tmpl w:val="B3043CB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F20155"/>
    <w:multiLevelType w:val="hybridMultilevel"/>
    <w:tmpl w:val="951AA980"/>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51307605"/>
    <w:multiLevelType w:val="hybridMultilevel"/>
    <w:tmpl w:val="B00C58BA"/>
    <w:lvl w:ilvl="0" w:tplc="DDC67FF8">
      <w:start w:val="3"/>
      <w:numFmt w:val="decimal"/>
      <w:lvlText w:val="%1"/>
      <w:lvlJc w:val="left"/>
      <w:pPr>
        <w:ind w:left="5598" w:hanging="360"/>
      </w:pPr>
      <w:rPr>
        <w:rFonts w:hint="default"/>
      </w:rPr>
    </w:lvl>
    <w:lvl w:ilvl="1" w:tplc="040C0019" w:tentative="1">
      <w:start w:val="1"/>
      <w:numFmt w:val="lowerLetter"/>
      <w:lvlText w:val="%2."/>
      <w:lvlJc w:val="left"/>
      <w:pPr>
        <w:ind w:left="6318" w:hanging="360"/>
      </w:pPr>
    </w:lvl>
    <w:lvl w:ilvl="2" w:tplc="040C001B" w:tentative="1">
      <w:start w:val="1"/>
      <w:numFmt w:val="lowerRoman"/>
      <w:lvlText w:val="%3."/>
      <w:lvlJc w:val="right"/>
      <w:pPr>
        <w:ind w:left="7038" w:hanging="180"/>
      </w:pPr>
    </w:lvl>
    <w:lvl w:ilvl="3" w:tplc="040C000F" w:tentative="1">
      <w:start w:val="1"/>
      <w:numFmt w:val="decimal"/>
      <w:lvlText w:val="%4."/>
      <w:lvlJc w:val="left"/>
      <w:pPr>
        <w:ind w:left="7758" w:hanging="360"/>
      </w:pPr>
    </w:lvl>
    <w:lvl w:ilvl="4" w:tplc="040C0019" w:tentative="1">
      <w:start w:val="1"/>
      <w:numFmt w:val="lowerLetter"/>
      <w:lvlText w:val="%5."/>
      <w:lvlJc w:val="left"/>
      <w:pPr>
        <w:ind w:left="8478" w:hanging="360"/>
      </w:pPr>
    </w:lvl>
    <w:lvl w:ilvl="5" w:tplc="040C001B" w:tentative="1">
      <w:start w:val="1"/>
      <w:numFmt w:val="lowerRoman"/>
      <w:lvlText w:val="%6."/>
      <w:lvlJc w:val="right"/>
      <w:pPr>
        <w:ind w:left="9198" w:hanging="180"/>
      </w:pPr>
    </w:lvl>
    <w:lvl w:ilvl="6" w:tplc="040C000F" w:tentative="1">
      <w:start w:val="1"/>
      <w:numFmt w:val="decimal"/>
      <w:lvlText w:val="%7."/>
      <w:lvlJc w:val="left"/>
      <w:pPr>
        <w:ind w:left="9918" w:hanging="360"/>
      </w:pPr>
    </w:lvl>
    <w:lvl w:ilvl="7" w:tplc="040C0019" w:tentative="1">
      <w:start w:val="1"/>
      <w:numFmt w:val="lowerLetter"/>
      <w:lvlText w:val="%8."/>
      <w:lvlJc w:val="left"/>
      <w:pPr>
        <w:ind w:left="10638" w:hanging="360"/>
      </w:pPr>
    </w:lvl>
    <w:lvl w:ilvl="8" w:tplc="040C001B" w:tentative="1">
      <w:start w:val="1"/>
      <w:numFmt w:val="lowerRoman"/>
      <w:lvlText w:val="%9."/>
      <w:lvlJc w:val="right"/>
      <w:pPr>
        <w:ind w:left="11358" w:hanging="180"/>
      </w:pPr>
    </w:lvl>
  </w:abstractNum>
  <w:abstractNum w:abstractNumId="9" w15:restartNumberingAfterBreak="0">
    <w:nsid w:val="525C54C4"/>
    <w:multiLevelType w:val="hybridMultilevel"/>
    <w:tmpl w:val="337CA42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A1306"/>
    <w:multiLevelType w:val="hybridMultilevel"/>
    <w:tmpl w:val="384897E4"/>
    <w:lvl w:ilvl="0" w:tplc="B4942164">
      <w:start w:val="1"/>
      <w:numFmt w:val="bullet"/>
      <w:lvlText w:val=""/>
      <w:lvlJc w:val="left"/>
      <w:pPr>
        <w:ind w:left="360" w:hanging="360"/>
      </w:pPr>
      <w:rPr>
        <w:rFonts w:ascii="Symbol" w:hAnsi="Symbol" w:hint="default"/>
        <w:lang w:val="fr-FR"/>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77204B"/>
    <w:multiLevelType w:val="hybridMultilevel"/>
    <w:tmpl w:val="16200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9C4834"/>
    <w:multiLevelType w:val="hybridMultilevel"/>
    <w:tmpl w:val="BB36B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
  </w:num>
  <w:num w:numId="4">
    <w:abstractNumId w:val="9"/>
  </w:num>
  <w:num w:numId="5">
    <w:abstractNumId w:val="3"/>
  </w:num>
  <w:num w:numId="6">
    <w:abstractNumId w:val="1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0"/>
  </w:num>
  <w:num w:numId="12">
    <w:abstractNumId w:val="4"/>
  </w:num>
  <w:num w:numId="13">
    <w:abstractNumId w:val="7"/>
  </w:num>
  <w:num w:numId="14">
    <w:abstractNumId w:val="1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6BB425-0AC9-48C2-8215-339B04789E24}"/>
    <w:docVar w:name="dgnword-eventsink" w:val="2404686881728"/>
  </w:docVars>
  <w:rsids>
    <w:rsidRoot w:val="009C7DCE"/>
    <w:rsid w:val="00002716"/>
    <w:rsid w:val="00003396"/>
    <w:rsid w:val="00005791"/>
    <w:rsid w:val="0000722C"/>
    <w:rsid w:val="00010827"/>
    <w:rsid w:val="00015089"/>
    <w:rsid w:val="00021492"/>
    <w:rsid w:val="00022ECA"/>
    <w:rsid w:val="0002520B"/>
    <w:rsid w:val="00037A9E"/>
    <w:rsid w:val="00037F91"/>
    <w:rsid w:val="000539F1"/>
    <w:rsid w:val="00054747"/>
    <w:rsid w:val="00055A2A"/>
    <w:rsid w:val="000615C1"/>
    <w:rsid w:val="00061675"/>
    <w:rsid w:val="00072DBF"/>
    <w:rsid w:val="000743AA"/>
    <w:rsid w:val="0009202E"/>
    <w:rsid w:val="0009225C"/>
    <w:rsid w:val="000A0C9B"/>
    <w:rsid w:val="000A17C4"/>
    <w:rsid w:val="000A36A4"/>
    <w:rsid w:val="000A3A00"/>
    <w:rsid w:val="000A5B42"/>
    <w:rsid w:val="000B2352"/>
    <w:rsid w:val="000C1854"/>
    <w:rsid w:val="000C7B84"/>
    <w:rsid w:val="000D261B"/>
    <w:rsid w:val="000D3B02"/>
    <w:rsid w:val="000D58A3"/>
    <w:rsid w:val="000E0704"/>
    <w:rsid w:val="000E3ED4"/>
    <w:rsid w:val="000E3F9C"/>
    <w:rsid w:val="000E6C4A"/>
    <w:rsid w:val="000F1550"/>
    <w:rsid w:val="000F251B"/>
    <w:rsid w:val="000F5D5F"/>
    <w:rsid w:val="000F5FE8"/>
    <w:rsid w:val="000F6644"/>
    <w:rsid w:val="00100833"/>
    <w:rsid w:val="00102947"/>
    <w:rsid w:val="00102F72"/>
    <w:rsid w:val="001034EE"/>
    <w:rsid w:val="001051C9"/>
    <w:rsid w:val="00107E85"/>
    <w:rsid w:val="00113EE8"/>
    <w:rsid w:val="0011455A"/>
    <w:rsid w:val="00114A65"/>
    <w:rsid w:val="00114C47"/>
    <w:rsid w:val="001255B2"/>
    <w:rsid w:val="00132BD3"/>
    <w:rsid w:val="00133061"/>
    <w:rsid w:val="00134394"/>
    <w:rsid w:val="00141699"/>
    <w:rsid w:val="00147000"/>
    <w:rsid w:val="00150C8E"/>
    <w:rsid w:val="0015231D"/>
    <w:rsid w:val="001527DE"/>
    <w:rsid w:val="00156081"/>
    <w:rsid w:val="00163091"/>
    <w:rsid w:val="001645CB"/>
    <w:rsid w:val="00164D62"/>
    <w:rsid w:val="00166305"/>
    <w:rsid w:val="00167545"/>
    <w:rsid w:val="001703C6"/>
    <w:rsid w:val="00173781"/>
    <w:rsid w:val="00175ADF"/>
    <w:rsid w:val="00175CAE"/>
    <w:rsid w:val="001828DB"/>
    <w:rsid w:val="001850FE"/>
    <w:rsid w:val="00185135"/>
    <w:rsid w:val="0019037C"/>
    <w:rsid w:val="00190450"/>
    <w:rsid w:val="001905A9"/>
    <w:rsid w:val="00191273"/>
    <w:rsid w:val="001942A7"/>
    <w:rsid w:val="00194F24"/>
    <w:rsid w:val="0019587B"/>
    <w:rsid w:val="001A163D"/>
    <w:rsid w:val="001A441E"/>
    <w:rsid w:val="001A6733"/>
    <w:rsid w:val="001A6A48"/>
    <w:rsid w:val="001B357F"/>
    <w:rsid w:val="001B3713"/>
    <w:rsid w:val="001C3444"/>
    <w:rsid w:val="001C3702"/>
    <w:rsid w:val="001C4656"/>
    <w:rsid w:val="001C46BC"/>
    <w:rsid w:val="001E7170"/>
    <w:rsid w:val="001F23E6"/>
    <w:rsid w:val="001F3D82"/>
    <w:rsid w:val="001F4238"/>
    <w:rsid w:val="001F4973"/>
    <w:rsid w:val="001F5183"/>
    <w:rsid w:val="00200A38"/>
    <w:rsid w:val="00200A46"/>
    <w:rsid w:val="00211B6F"/>
    <w:rsid w:val="002171D1"/>
    <w:rsid w:val="00217588"/>
    <w:rsid w:val="00217CC3"/>
    <w:rsid w:val="00220AB6"/>
    <w:rsid w:val="0022120F"/>
    <w:rsid w:val="0022754A"/>
    <w:rsid w:val="00227DE9"/>
    <w:rsid w:val="002360A6"/>
    <w:rsid w:val="00236560"/>
    <w:rsid w:val="0023662E"/>
    <w:rsid w:val="00237B9E"/>
    <w:rsid w:val="00242C92"/>
    <w:rsid w:val="00243C68"/>
    <w:rsid w:val="00245D0F"/>
    <w:rsid w:val="002548C3"/>
    <w:rsid w:val="00257ACD"/>
    <w:rsid w:val="00262908"/>
    <w:rsid w:val="002650F4"/>
    <w:rsid w:val="002715FD"/>
    <w:rsid w:val="002770B1"/>
    <w:rsid w:val="00280701"/>
    <w:rsid w:val="00285B33"/>
    <w:rsid w:val="00287A3C"/>
    <w:rsid w:val="00292B84"/>
    <w:rsid w:val="00294EF0"/>
    <w:rsid w:val="002A2FC6"/>
    <w:rsid w:val="002A5138"/>
    <w:rsid w:val="002B0653"/>
    <w:rsid w:val="002B0F11"/>
    <w:rsid w:val="002C1EC7"/>
    <w:rsid w:val="002C3015"/>
    <w:rsid w:val="002C3597"/>
    <w:rsid w:val="002C4342"/>
    <w:rsid w:val="002C7EA3"/>
    <w:rsid w:val="002D13AF"/>
    <w:rsid w:val="002D20AE"/>
    <w:rsid w:val="002D6C61"/>
    <w:rsid w:val="002E2104"/>
    <w:rsid w:val="002E2DAC"/>
    <w:rsid w:val="002E2E7B"/>
    <w:rsid w:val="002E3A47"/>
    <w:rsid w:val="002E6963"/>
    <w:rsid w:val="002E6F8F"/>
    <w:rsid w:val="002F05D8"/>
    <w:rsid w:val="002F2DE0"/>
    <w:rsid w:val="002F5E25"/>
    <w:rsid w:val="0030353C"/>
    <w:rsid w:val="003047DE"/>
    <w:rsid w:val="003125C3"/>
    <w:rsid w:val="00312AE6"/>
    <w:rsid w:val="00316B11"/>
    <w:rsid w:val="00317D1A"/>
    <w:rsid w:val="003205ED"/>
    <w:rsid w:val="003211FF"/>
    <w:rsid w:val="00322720"/>
    <w:rsid w:val="003242AB"/>
    <w:rsid w:val="00325917"/>
    <w:rsid w:val="00327247"/>
    <w:rsid w:val="003278DD"/>
    <w:rsid w:val="00327A9D"/>
    <w:rsid w:val="003300D0"/>
    <w:rsid w:val="0033130E"/>
    <w:rsid w:val="0033269C"/>
    <w:rsid w:val="0033585D"/>
    <w:rsid w:val="00351C79"/>
    <w:rsid w:val="0035350E"/>
    <w:rsid w:val="0035516C"/>
    <w:rsid w:val="00355A4C"/>
    <w:rsid w:val="003604FB"/>
    <w:rsid w:val="0036050F"/>
    <w:rsid w:val="003608D1"/>
    <w:rsid w:val="00360B73"/>
    <w:rsid w:val="0037180E"/>
    <w:rsid w:val="00380B71"/>
    <w:rsid w:val="00382774"/>
    <w:rsid w:val="0038365A"/>
    <w:rsid w:val="00386A89"/>
    <w:rsid w:val="00393278"/>
    <w:rsid w:val="00393477"/>
    <w:rsid w:val="00393750"/>
    <w:rsid w:val="00394258"/>
    <w:rsid w:val="0039648E"/>
    <w:rsid w:val="003A55D6"/>
    <w:rsid w:val="003A5AFE"/>
    <w:rsid w:val="003A5D5F"/>
    <w:rsid w:val="003A7FFE"/>
    <w:rsid w:val="003B0A63"/>
    <w:rsid w:val="003B3D50"/>
    <w:rsid w:val="003B50E1"/>
    <w:rsid w:val="003C1746"/>
    <w:rsid w:val="003C2AA9"/>
    <w:rsid w:val="003C58BF"/>
    <w:rsid w:val="003D451D"/>
    <w:rsid w:val="003D7116"/>
    <w:rsid w:val="003F2AF4"/>
    <w:rsid w:val="003F2DD8"/>
    <w:rsid w:val="003F3F2D"/>
    <w:rsid w:val="003F50B2"/>
    <w:rsid w:val="003F5432"/>
    <w:rsid w:val="00400CCF"/>
    <w:rsid w:val="00401BFF"/>
    <w:rsid w:val="00404424"/>
    <w:rsid w:val="0041156B"/>
    <w:rsid w:val="004122C5"/>
    <w:rsid w:val="00413B78"/>
    <w:rsid w:val="00416DDE"/>
    <w:rsid w:val="0042552B"/>
    <w:rsid w:val="0044411E"/>
    <w:rsid w:val="00445EFF"/>
    <w:rsid w:val="00453435"/>
    <w:rsid w:val="00460089"/>
    <w:rsid w:val="00463A5D"/>
    <w:rsid w:val="00466398"/>
    <w:rsid w:val="0047306D"/>
    <w:rsid w:val="00473791"/>
    <w:rsid w:val="00476E48"/>
    <w:rsid w:val="00480C41"/>
    <w:rsid w:val="00481DE9"/>
    <w:rsid w:val="00482F5D"/>
    <w:rsid w:val="0049128B"/>
    <w:rsid w:val="004919F8"/>
    <w:rsid w:val="00493B49"/>
    <w:rsid w:val="00495501"/>
    <w:rsid w:val="00496364"/>
    <w:rsid w:val="004A070A"/>
    <w:rsid w:val="004A320E"/>
    <w:rsid w:val="004A4E9C"/>
    <w:rsid w:val="004A5053"/>
    <w:rsid w:val="004B1A3C"/>
    <w:rsid w:val="004D2CC3"/>
    <w:rsid w:val="004D35CB"/>
    <w:rsid w:val="004D431F"/>
    <w:rsid w:val="004D7DAB"/>
    <w:rsid w:val="004E20E5"/>
    <w:rsid w:val="004E2F57"/>
    <w:rsid w:val="004E64EA"/>
    <w:rsid w:val="004E7828"/>
    <w:rsid w:val="004F46AA"/>
    <w:rsid w:val="004F4A0F"/>
    <w:rsid w:val="004F6A70"/>
    <w:rsid w:val="00500AD7"/>
    <w:rsid w:val="00502ABF"/>
    <w:rsid w:val="00504DB0"/>
    <w:rsid w:val="00507C35"/>
    <w:rsid w:val="00510735"/>
    <w:rsid w:val="00514D2F"/>
    <w:rsid w:val="00515C56"/>
    <w:rsid w:val="0054420E"/>
    <w:rsid w:val="00544D1B"/>
    <w:rsid w:val="00545DC0"/>
    <w:rsid w:val="00545F6C"/>
    <w:rsid w:val="005477D9"/>
    <w:rsid w:val="0055436F"/>
    <w:rsid w:val="00557040"/>
    <w:rsid w:val="0055720C"/>
    <w:rsid w:val="00561796"/>
    <w:rsid w:val="005632DD"/>
    <w:rsid w:val="0056423B"/>
    <w:rsid w:val="00573424"/>
    <w:rsid w:val="0057402F"/>
    <w:rsid w:val="00576E04"/>
    <w:rsid w:val="0058041A"/>
    <w:rsid w:val="00581653"/>
    <w:rsid w:val="00581982"/>
    <w:rsid w:val="0058416B"/>
    <w:rsid w:val="005849D6"/>
    <w:rsid w:val="00585367"/>
    <w:rsid w:val="005871A1"/>
    <w:rsid w:val="0058737E"/>
    <w:rsid w:val="00592518"/>
    <w:rsid w:val="00592E87"/>
    <w:rsid w:val="0059420B"/>
    <w:rsid w:val="00594C4D"/>
    <w:rsid w:val="005959BF"/>
    <w:rsid w:val="00597DA2"/>
    <w:rsid w:val="005A1820"/>
    <w:rsid w:val="005A2F1A"/>
    <w:rsid w:val="005A33B0"/>
    <w:rsid w:val="005A5E62"/>
    <w:rsid w:val="005B3B7D"/>
    <w:rsid w:val="005B7AD4"/>
    <w:rsid w:val="005C2091"/>
    <w:rsid w:val="005C2DC2"/>
    <w:rsid w:val="005C304A"/>
    <w:rsid w:val="005C3D69"/>
    <w:rsid w:val="005C416F"/>
    <w:rsid w:val="005C7C98"/>
    <w:rsid w:val="005D2C3A"/>
    <w:rsid w:val="005D55A4"/>
    <w:rsid w:val="005D57C8"/>
    <w:rsid w:val="005D6740"/>
    <w:rsid w:val="005D6849"/>
    <w:rsid w:val="005D7761"/>
    <w:rsid w:val="005D79F0"/>
    <w:rsid w:val="005E0278"/>
    <w:rsid w:val="005E090D"/>
    <w:rsid w:val="005E10B8"/>
    <w:rsid w:val="005E3CA0"/>
    <w:rsid w:val="005E44B1"/>
    <w:rsid w:val="005E4DAF"/>
    <w:rsid w:val="005E67B0"/>
    <w:rsid w:val="005E7047"/>
    <w:rsid w:val="005E777F"/>
    <w:rsid w:val="005F1CA7"/>
    <w:rsid w:val="005F43DD"/>
    <w:rsid w:val="005F51A9"/>
    <w:rsid w:val="005F6BE1"/>
    <w:rsid w:val="005F7416"/>
    <w:rsid w:val="00600C11"/>
    <w:rsid w:val="0060576F"/>
    <w:rsid w:val="00606B89"/>
    <w:rsid w:val="00611EAF"/>
    <w:rsid w:val="0061226E"/>
    <w:rsid w:val="00615A06"/>
    <w:rsid w:val="00620339"/>
    <w:rsid w:val="00623F30"/>
    <w:rsid w:val="00625FB8"/>
    <w:rsid w:val="006261BD"/>
    <w:rsid w:val="00635EDB"/>
    <w:rsid w:val="00643042"/>
    <w:rsid w:val="0064734E"/>
    <w:rsid w:val="00650137"/>
    <w:rsid w:val="006509D7"/>
    <w:rsid w:val="00651CE8"/>
    <w:rsid w:val="00654998"/>
    <w:rsid w:val="0065521B"/>
    <w:rsid w:val="0066120D"/>
    <w:rsid w:val="0066388C"/>
    <w:rsid w:val="00664FC6"/>
    <w:rsid w:val="00671EF6"/>
    <w:rsid w:val="0067205B"/>
    <w:rsid w:val="0067283D"/>
    <w:rsid w:val="00672F5B"/>
    <w:rsid w:val="006748F8"/>
    <w:rsid w:val="00680489"/>
    <w:rsid w:val="00681B68"/>
    <w:rsid w:val="00683C32"/>
    <w:rsid w:val="0068600F"/>
    <w:rsid w:val="00690BB2"/>
    <w:rsid w:val="00693D09"/>
    <w:rsid w:val="00695BBE"/>
    <w:rsid w:val="006A1B9B"/>
    <w:rsid w:val="006A449E"/>
    <w:rsid w:val="006A6549"/>
    <w:rsid w:val="006A7710"/>
    <w:rsid w:val="006A7A61"/>
    <w:rsid w:val="006B1E59"/>
    <w:rsid w:val="006B2FFB"/>
    <w:rsid w:val="006B7044"/>
    <w:rsid w:val="006C10A2"/>
    <w:rsid w:val="006C1F18"/>
    <w:rsid w:val="006C5F6A"/>
    <w:rsid w:val="006D0CE5"/>
    <w:rsid w:val="006D0FFA"/>
    <w:rsid w:val="006D40D5"/>
    <w:rsid w:val="006F009A"/>
    <w:rsid w:val="006F3606"/>
    <w:rsid w:val="006F3D93"/>
    <w:rsid w:val="006F52AA"/>
    <w:rsid w:val="007019B1"/>
    <w:rsid w:val="0070246B"/>
    <w:rsid w:val="00721657"/>
    <w:rsid w:val="007279A8"/>
    <w:rsid w:val="00727B1A"/>
    <w:rsid w:val="0073082D"/>
    <w:rsid w:val="00733F81"/>
    <w:rsid w:val="00741337"/>
    <w:rsid w:val="007511C2"/>
    <w:rsid w:val="00752258"/>
    <w:rsid w:val="007529E1"/>
    <w:rsid w:val="00762880"/>
    <w:rsid w:val="00762AD6"/>
    <w:rsid w:val="00762E02"/>
    <w:rsid w:val="0077062B"/>
    <w:rsid w:val="00772290"/>
    <w:rsid w:val="00777265"/>
    <w:rsid w:val="007805E7"/>
    <w:rsid w:val="00780627"/>
    <w:rsid w:val="007811AE"/>
    <w:rsid w:val="0078222A"/>
    <w:rsid w:val="007829D7"/>
    <w:rsid w:val="00787D48"/>
    <w:rsid w:val="007942FC"/>
    <w:rsid w:val="00794EDD"/>
    <w:rsid w:val="00795294"/>
    <w:rsid w:val="007955AD"/>
    <w:rsid w:val="007A06AC"/>
    <w:rsid w:val="007A4E50"/>
    <w:rsid w:val="007A5D10"/>
    <w:rsid w:val="007B18A7"/>
    <w:rsid w:val="007B250E"/>
    <w:rsid w:val="007B3751"/>
    <w:rsid w:val="007C0046"/>
    <w:rsid w:val="007C27FC"/>
    <w:rsid w:val="007C51FF"/>
    <w:rsid w:val="007D3917"/>
    <w:rsid w:val="007D50E4"/>
    <w:rsid w:val="007D79A5"/>
    <w:rsid w:val="007E2BAD"/>
    <w:rsid w:val="007E2DC5"/>
    <w:rsid w:val="007F1CC7"/>
    <w:rsid w:val="008027AC"/>
    <w:rsid w:val="008028CE"/>
    <w:rsid w:val="00803094"/>
    <w:rsid w:val="0080332E"/>
    <w:rsid w:val="0081113B"/>
    <w:rsid w:val="008141E0"/>
    <w:rsid w:val="00814995"/>
    <w:rsid w:val="00816EE1"/>
    <w:rsid w:val="00816F88"/>
    <w:rsid w:val="00821996"/>
    <w:rsid w:val="00821B82"/>
    <w:rsid w:val="00822323"/>
    <w:rsid w:val="00823DF0"/>
    <w:rsid w:val="00827468"/>
    <w:rsid w:val="00827BC6"/>
    <w:rsid w:val="008300AD"/>
    <w:rsid w:val="00833024"/>
    <w:rsid w:val="008419B1"/>
    <w:rsid w:val="00844A56"/>
    <w:rsid w:val="00845B11"/>
    <w:rsid w:val="00852081"/>
    <w:rsid w:val="0085692B"/>
    <w:rsid w:val="0085753F"/>
    <w:rsid w:val="00857DB9"/>
    <w:rsid w:val="00861401"/>
    <w:rsid w:val="00872B6E"/>
    <w:rsid w:val="00874DFD"/>
    <w:rsid w:val="00876CF0"/>
    <w:rsid w:val="008776E1"/>
    <w:rsid w:val="008802F9"/>
    <w:rsid w:val="00880A5B"/>
    <w:rsid w:val="00883086"/>
    <w:rsid w:val="008879FD"/>
    <w:rsid w:val="008905BB"/>
    <w:rsid w:val="008944BB"/>
    <w:rsid w:val="008948DC"/>
    <w:rsid w:val="00894C37"/>
    <w:rsid w:val="008A00EA"/>
    <w:rsid w:val="008A3A69"/>
    <w:rsid w:val="008A3F93"/>
    <w:rsid w:val="008A6236"/>
    <w:rsid w:val="008A6E1C"/>
    <w:rsid w:val="008A72FD"/>
    <w:rsid w:val="008B2EDF"/>
    <w:rsid w:val="008B47C7"/>
    <w:rsid w:val="008B54CB"/>
    <w:rsid w:val="008B5A3D"/>
    <w:rsid w:val="008C4010"/>
    <w:rsid w:val="008C4FDF"/>
    <w:rsid w:val="008C6B1F"/>
    <w:rsid w:val="008D45A6"/>
    <w:rsid w:val="008D52C4"/>
    <w:rsid w:val="008D5E4F"/>
    <w:rsid w:val="008E1A98"/>
    <w:rsid w:val="008E33D7"/>
    <w:rsid w:val="008F14F5"/>
    <w:rsid w:val="008F1ACD"/>
    <w:rsid w:val="008F71C1"/>
    <w:rsid w:val="00902D41"/>
    <w:rsid w:val="00902F49"/>
    <w:rsid w:val="00904230"/>
    <w:rsid w:val="00914004"/>
    <w:rsid w:val="00922EC1"/>
    <w:rsid w:val="00923CF1"/>
    <w:rsid w:val="00927107"/>
    <w:rsid w:val="009301F1"/>
    <w:rsid w:val="009307DF"/>
    <w:rsid w:val="0093133E"/>
    <w:rsid w:val="009359B8"/>
    <w:rsid w:val="00935FF0"/>
    <w:rsid w:val="00936D42"/>
    <w:rsid w:val="009377A6"/>
    <w:rsid w:val="0094275F"/>
    <w:rsid w:val="009431F8"/>
    <w:rsid w:val="00947A35"/>
    <w:rsid w:val="009549AC"/>
    <w:rsid w:val="009574FE"/>
    <w:rsid w:val="0096201B"/>
    <w:rsid w:val="00962081"/>
    <w:rsid w:val="0096384D"/>
    <w:rsid w:val="00966CB5"/>
    <w:rsid w:val="009735B4"/>
    <w:rsid w:val="00974476"/>
    <w:rsid w:val="00975786"/>
    <w:rsid w:val="00977CFA"/>
    <w:rsid w:val="00981CB7"/>
    <w:rsid w:val="00983E1F"/>
    <w:rsid w:val="00987EA9"/>
    <w:rsid w:val="009919C0"/>
    <w:rsid w:val="00993F46"/>
    <w:rsid w:val="009962B4"/>
    <w:rsid w:val="00997358"/>
    <w:rsid w:val="009A452B"/>
    <w:rsid w:val="009B050C"/>
    <w:rsid w:val="009B087F"/>
    <w:rsid w:val="009B2AF4"/>
    <w:rsid w:val="009C110B"/>
    <w:rsid w:val="009C2FFA"/>
    <w:rsid w:val="009C5441"/>
    <w:rsid w:val="009C5FED"/>
    <w:rsid w:val="009C7DCE"/>
    <w:rsid w:val="009D119F"/>
    <w:rsid w:val="009D1DB0"/>
    <w:rsid w:val="009D3CF2"/>
    <w:rsid w:val="009D49A2"/>
    <w:rsid w:val="009D7E3F"/>
    <w:rsid w:val="009F3940"/>
    <w:rsid w:val="009F3EB2"/>
    <w:rsid w:val="009F6EB1"/>
    <w:rsid w:val="00A07A41"/>
    <w:rsid w:val="00A11D05"/>
    <w:rsid w:val="00A12002"/>
    <w:rsid w:val="00A126E3"/>
    <w:rsid w:val="00A13162"/>
    <w:rsid w:val="00A15F62"/>
    <w:rsid w:val="00A20267"/>
    <w:rsid w:val="00A22140"/>
    <w:rsid w:val="00A3158C"/>
    <w:rsid w:val="00A32DF3"/>
    <w:rsid w:val="00A33E32"/>
    <w:rsid w:val="00A35E20"/>
    <w:rsid w:val="00A36F6D"/>
    <w:rsid w:val="00A41FDB"/>
    <w:rsid w:val="00A50CA0"/>
    <w:rsid w:val="00A525CC"/>
    <w:rsid w:val="00A527CD"/>
    <w:rsid w:val="00A53E7C"/>
    <w:rsid w:val="00A56B7B"/>
    <w:rsid w:val="00A60087"/>
    <w:rsid w:val="00A63B9A"/>
    <w:rsid w:val="00A705E8"/>
    <w:rsid w:val="00A721F4"/>
    <w:rsid w:val="00A80E0B"/>
    <w:rsid w:val="00A85EDC"/>
    <w:rsid w:val="00A9392C"/>
    <w:rsid w:val="00A9462B"/>
    <w:rsid w:val="00A97D59"/>
    <w:rsid w:val="00AA0B5B"/>
    <w:rsid w:val="00AA3E09"/>
    <w:rsid w:val="00AA4BEF"/>
    <w:rsid w:val="00AB072B"/>
    <w:rsid w:val="00AB1659"/>
    <w:rsid w:val="00AB2515"/>
    <w:rsid w:val="00AB4962"/>
    <w:rsid w:val="00AB734E"/>
    <w:rsid w:val="00AB740F"/>
    <w:rsid w:val="00AC38E1"/>
    <w:rsid w:val="00AC601D"/>
    <w:rsid w:val="00AC6F14"/>
    <w:rsid w:val="00AC7221"/>
    <w:rsid w:val="00AE18D3"/>
    <w:rsid w:val="00AE5961"/>
    <w:rsid w:val="00AF0745"/>
    <w:rsid w:val="00AF4971"/>
    <w:rsid w:val="00AF5276"/>
    <w:rsid w:val="00AF7C86"/>
    <w:rsid w:val="00B01046"/>
    <w:rsid w:val="00B02320"/>
    <w:rsid w:val="00B310F9"/>
    <w:rsid w:val="00B37165"/>
    <w:rsid w:val="00B37866"/>
    <w:rsid w:val="00B412FB"/>
    <w:rsid w:val="00B42A81"/>
    <w:rsid w:val="00B44081"/>
    <w:rsid w:val="00B4576B"/>
    <w:rsid w:val="00B46350"/>
    <w:rsid w:val="00B46DF3"/>
    <w:rsid w:val="00B47F9F"/>
    <w:rsid w:val="00B57F11"/>
    <w:rsid w:val="00B648C7"/>
    <w:rsid w:val="00B66E8F"/>
    <w:rsid w:val="00B67907"/>
    <w:rsid w:val="00B80157"/>
    <w:rsid w:val="00B83D5E"/>
    <w:rsid w:val="00B8460A"/>
    <w:rsid w:val="00B8650D"/>
    <w:rsid w:val="00B879B4"/>
    <w:rsid w:val="00B9070F"/>
    <w:rsid w:val="00B90F07"/>
    <w:rsid w:val="00B919C0"/>
    <w:rsid w:val="00B97BB9"/>
    <w:rsid w:val="00BA0009"/>
    <w:rsid w:val="00BB1863"/>
    <w:rsid w:val="00BB25EE"/>
    <w:rsid w:val="00BB270E"/>
    <w:rsid w:val="00BB363A"/>
    <w:rsid w:val="00BB466F"/>
    <w:rsid w:val="00BC10A0"/>
    <w:rsid w:val="00BC7BA2"/>
    <w:rsid w:val="00BD426B"/>
    <w:rsid w:val="00BD4A55"/>
    <w:rsid w:val="00BD6C7B"/>
    <w:rsid w:val="00BD79F0"/>
    <w:rsid w:val="00BE2B4D"/>
    <w:rsid w:val="00BE32A1"/>
    <w:rsid w:val="00BE53BF"/>
    <w:rsid w:val="00BE64E9"/>
    <w:rsid w:val="00C015F8"/>
    <w:rsid w:val="00C044D4"/>
    <w:rsid w:val="00C07E26"/>
    <w:rsid w:val="00C1011C"/>
    <w:rsid w:val="00C10F07"/>
    <w:rsid w:val="00C12F94"/>
    <w:rsid w:val="00C177C5"/>
    <w:rsid w:val="00C337CC"/>
    <w:rsid w:val="00C34EC3"/>
    <w:rsid w:val="00C4038C"/>
    <w:rsid w:val="00C42BA2"/>
    <w:rsid w:val="00C44066"/>
    <w:rsid w:val="00C44E13"/>
    <w:rsid w:val="00C53D1D"/>
    <w:rsid w:val="00C5522B"/>
    <w:rsid w:val="00C60A41"/>
    <w:rsid w:val="00C6178B"/>
    <w:rsid w:val="00C62DE8"/>
    <w:rsid w:val="00C62DFB"/>
    <w:rsid w:val="00C630E6"/>
    <w:rsid w:val="00C63812"/>
    <w:rsid w:val="00C63F54"/>
    <w:rsid w:val="00C64AF3"/>
    <w:rsid w:val="00C651D3"/>
    <w:rsid w:val="00C66F4D"/>
    <w:rsid w:val="00C67BB5"/>
    <w:rsid w:val="00C72713"/>
    <w:rsid w:val="00C804B5"/>
    <w:rsid w:val="00C848EF"/>
    <w:rsid w:val="00C86600"/>
    <w:rsid w:val="00C87BCA"/>
    <w:rsid w:val="00C87EED"/>
    <w:rsid w:val="00C918B5"/>
    <w:rsid w:val="00C92AA1"/>
    <w:rsid w:val="00C94506"/>
    <w:rsid w:val="00C954BC"/>
    <w:rsid w:val="00C956AF"/>
    <w:rsid w:val="00CA1F0B"/>
    <w:rsid w:val="00CA3E0A"/>
    <w:rsid w:val="00CA513A"/>
    <w:rsid w:val="00CB110F"/>
    <w:rsid w:val="00CB2A2E"/>
    <w:rsid w:val="00CB338A"/>
    <w:rsid w:val="00CB79C5"/>
    <w:rsid w:val="00CC411F"/>
    <w:rsid w:val="00CC4B75"/>
    <w:rsid w:val="00CC732E"/>
    <w:rsid w:val="00CD2FCD"/>
    <w:rsid w:val="00CD7207"/>
    <w:rsid w:val="00CE0422"/>
    <w:rsid w:val="00CE0DBE"/>
    <w:rsid w:val="00CE5E4D"/>
    <w:rsid w:val="00CE5ED6"/>
    <w:rsid w:val="00CF02C4"/>
    <w:rsid w:val="00CF167F"/>
    <w:rsid w:val="00CF72E5"/>
    <w:rsid w:val="00D0027E"/>
    <w:rsid w:val="00D013EE"/>
    <w:rsid w:val="00D01F54"/>
    <w:rsid w:val="00D040F7"/>
    <w:rsid w:val="00D04A76"/>
    <w:rsid w:val="00D10FC7"/>
    <w:rsid w:val="00D1519F"/>
    <w:rsid w:val="00D20E99"/>
    <w:rsid w:val="00D21C7D"/>
    <w:rsid w:val="00D21C83"/>
    <w:rsid w:val="00D24B36"/>
    <w:rsid w:val="00D25246"/>
    <w:rsid w:val="00D35BDD"/>
    <w:rsid w:val="00D42707"/>
    <w:rsid w:val="00D4286F"/>
    <w:rsid w:val="00D44336"/>
    <w:rsid w:val="00D63006"/>
    <w:rsid w:val="00D72301"/>
    <w:rsid w:val="00D76411"/>
    <w:rsid w:val="00D8624F"/>
    <w:rsid w:val="00D911DE"/>
    <w:rsid w:val="00D91B97"/>
    <w:rsid w:val="00D93ACC"/>
    <w:rsid w:val="00D93C08"/>
    <w:rsid w:val="00D95DAC"/>
    <w:rsid w:val="00DA02A2"/>
    <w:rsid w:val="00DA0B53"/>
    <w:rsid w:val="00DB1171"/>
    <w:rsid w:val="00DB1519"/>
    <w:rsid w:val="00DB2840"/>
    <w:rsid w:val="00DB4534"/>
    <w:rsid w:val="00DB508B"/>
    <w:rsid w:val="00DC1BD3"/>
    <w:rsid w:val="00DC2C1A"/>
    <w:rsid w:val="00DD12EE"/>
    <w:rsid w:val="00DD66B4"/>
    <w:rsid w:val="00DE1972"/>
    <w:rsid w:val="00DE27AB"/>
    <w:rsid w:val="00DF2AB3"/>
    <w:rsid w:val="00DF6B6B"/>
    <w:rsid w:val="00DF7250"/>
    <w:rsid w:val="00E0016D"/>
    <w:rsid w:val="00E00CAA"/>
    <w:rsid w:val="00E03EBF"/>
    <w:rsid w:val="00E05209"/>
    <w:rsid w:val="00E10390"/>
    <w:rsid w:val="00E11BCF"/>
    <w:rsid w:val="00E1364E"/>
    <w:rsid w:val="00E2258E"/>
    <w:rsid w:val="00E260C2"/>
    <w:rsid w:val="00E32596"/>
    <w:rsid w:val="00E368F7"/>
    <w:rsid w:val="00E36EB8"/>
    <w:rsid w:val="00E37CF9"/>
    <w:rsid w:val="00E37FB8"/>
    <w:rsid w:val="00E40B07"/>
    <w:rsid w:val="00E42326"/>
    <w:rsid w:val="00E43544"/>
    <w:rsid w:val="00E44D89"/>
    <w:rsid w:val="00E477EA"/>
    <w:rsid w:val="00E5543D"/>
    <w:rsid w:val="00E55807"/>
    <w:rsid w:val="00E63B14"/>
    <w:rsid w:val="00E65CA0"/>
    <w:rsid w:val="00E70D9F"/>
    <w:rsid w:val="00E80007"/>
    <w:rsid w:val="00E83810"/>
    <w:rsid w:val="00E86933"/>
    <w:rsid w:val="00E92327"/>
    <w:rsid w:val="00E945F2"/>
    <w:rsid w:val="00E9605B"/>
    <w:rsid w:val="00E97298"/>
    <w:rsid w:val="00E97753"/>
    <w:rsid w:val="00EA0C51"/>
    <w:rsid w:val="00EA42BB"/>
    <w:rsid w:val="00EA7DE7"/>
    <w:rsid w:val="00EB27EB"/>
    <w:rsid w:val="00EB6920"/>
    <w:rsid w:val="00EB7A8A"/>
    <w:rsid w:val="00EC6FED"/>
    <w:rsid w:val="00EC7F3B"/>
    <w:rsid w:val="00ED706F"/>
    <w:rsid w:val="00ED7F16"/>
    <w:rsid w:val="00EE3A64"/>
    <w:rsid w:val="00EE50E5"/>
    <w:rsid w:val="00EE7787"/>
    <w:rsid w:val="00EF01CF"/>
    <w:rsid w:val="00EF398B"/>
    <w:rsid w:val="00EF57D7"/>
    <w:rsid w:val="00F03590"/>
    <w:rsid w:val="00F03622"/>
    <w:rsid w:val="00F03A35"/>
    <w:rsid w:val="00F077FD"/>
    <w:rsid w:val="00F12090"/>
    <w:rsid w:val="00F204F3"/>
    <w:rsid w:val="00F208DA"/>
    <w:rsid w:val="00F218AB"/>
    <w:rsid w:val="00F238B3"/>
    <w:rsid w:val="00F24FED"/>
    <w:rsid w:val="00F25586"/>
    <w:rsid w:val="00F2651D"/>
    <w:rsid w:val="00F27362"/>
    <w:rsid w:val="00F31498"/>
    <w:rsid w:val="00F32FEF"/>
    <w:rsid w:val="00F3534D"/>
    <w:rsid w:val="00F35673"/>
    <w:rsid w:val="00F37463"/>
    <w:rsid w:val="00F40971"/>
    <w:rsid w:val="00F41B1C"/>
    <w:rsid w:val="00F42E13"/>
    <w:rsid w:val="00F42F1C"/>
    <w:rsid w:val="00F43B44"/>
    <w:rsid w:val="00F440E5"/>
    <w:rsid w:val="00F448F6"/>
    <w:rsid w:val="00F4519C"/>
    <w:rsid w:val="00F45B51"/>
    <w:rsid w:val="00F50E89"/>
    <w:rsid w:val="00F52741"/>
    <w:rsid w:val="00F53477"/>
    <w:rsid w:val="00F53D8A"/>
    <w:rsid w:val="00F626F7"/>
    <w:rsid w:val="00F66EA0"/>
    <w:rsid w:val="00F6759A"/>
    <w:rsid w:val="00F675A7"/>
    <w:rsid w:val="00F71825"/>
    <w:rsid w:val="00F736F9"/>
    <w:rsid w:val="00F73833"/>
    <w:rsid w:val="00F742C6"/>
    <w:rsid w:val="00F81611"/>
    <w:rsid w:val="00F8259E"/>
    <w:rsid w:val="00F9211C"/>
    <w:rsid w:val="00FA0071"/>
    <w:rsid w:val="00FA069F"/>
    <w:rsid w:val="00FA095D"/>
    <w:rsid w:val="00FA40AE"/>
    <w:rsid w:val="00FA6C8B"/>
    <w:rsid w:val="00FA6CDA"/>
    <w:rsid w:val="00FA7C89"/>
    <w:rsid w:val="00FB4139"/>
    <w:rsid w:val="00FB476E"/>
    <w:rsid w:val="00FC0D90"/>
    <w:rsid w:val="00FC7D8C"/>
    <w:rsid w:val="00FD0CE0"/>
    <w:rsid w:val="00FD3980"/>
    <w:rsid w:val="00FD431E"/>
    <w:rsid w:val="00FD5A2C"/>
    <w:rsid w:val="00FD65B5"/>
    <w:rsid w:val="00FD76B0"/>
    <w:rsid w:val="00FE01FF"/>
    <w:rsid w:val="00FE0D47"/>
    <w:rsid w:val="00FE1D5C"/>
    <w:rsid w:val="00FE2F8B"/>
    <w:rsid w:val="00FE3669"/>
    <w:rsid w:val="00FE5204"/>
    <w:rsid w:val="00FE667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3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4D431F"/>
    <w:pPr>
      <w:keepNext/>
      <w:keepLines/>
      <w:spacing w:before="360"/>
      <w:ind w:left="794" w:hanging="794"/>
      <w:outlineLvl w:val="0"/>
    </w:pPr>
    <w:rPr>
      <w:b/>
    </w:rPr>
  </w:style>
  <w:style w:type="paragraph" w:styleId="Heading2">
    <w:name w:val="heading 2"/>
    <w:basedOn w:val="Heading1"/>
    <w:next w:val="Normal"/>
    <w:qFormat/>
    <w:rsid w:val="004D431F"/>
    <w:pPr>
      <w:spacing w:before="240"/>
      <w:outlineLvl w:val="1"/>
    </w:pPr>
  </w:style>
  <w:style w:type="paragraph" w:styleId="Heading3">
    <w:name w:val="heading 3"/>
    <w:basedOn w:val="Heading1"/>
    <w:next w:val="Normal"/>
    <w:qFormat/>
    <w:rsid w:val="004D431F"/>
    <w:pPr>
      <w:spacing w:before="160"/>
      <w:outlineLvl w:val="2"/>
    </w:pPr>
  </w:style>
  <w:style w:type="paragraph" w:styleId="Heading4">
    <w:name w:val="heading 4"/>
    <w:basedOn w:val="Heading3"/>
    <w:next w:val="Normal"/>
    <w:qFormat/>
    <w:rsid w:val="004D431F"/>
    <w:pPr>
      <w:tabs>
        <w:tab w:val="clear" w:pos="794"/>
        <w:tab w:val="left" w:pos="1021"/>
      </w:tabs>
      <w:ind w:left="1021" w:hanging="1021"/>
      <w:outlineLvl w:val="3"/>
    </w:pPr>
  </w:style>
  <w:style w:type="paragraph" w:styleId="Heading5">
    <w:name w:val="heading 5"/>
    <w:basedOn w:val="Heading4"/>
    <w:next w:val="Normal"/>
    <w:qFormat/>
    <w:rsid w:val="004D431F"/>
    <w:pPr>
      <w:outlineLvl w:val="4"/>
    </w:pPr>
  </w:style>
  <w:style w:type="paragraph" w:styleId="Heading6">
    <w:name w:val="heading 6"/>
    <w:basedOn w:val="Heading4"/>
    <w:next w:val="Normal"/>
    <w:qFormat/>
    <w:rsid w:val="004D431F"/>
    <w:pPr>
      <w:tabs>
        <w:tab w:val="clear" w:pos="1021"/>
        <w:tab w:val="clear" w:pos="1191"/>
      </w:tabs>
      <w:ind w:left="1588" w:hanging="1588"/>
      <w:outlineLvl w:val="5"/>
    </w:pPr>
  </w:style>
  <w:style w:type="paragraph" w:styleId="Heading7">
    <w:name w:val="heading 7"/>
    <w:basedOn w:val="Heading6"/>
    <w:next w:val="Normal"/>
    <w:qFormat/>
    <w:rsid w:val="004D431F"/>
    <w:pPr>
      <w:outlineLvl w:val="6"/>
    </w:pPr>
  </w:style>
  <w:style w:type="paragraph" w:styleId="Heading8">
    <w:name w:val="heading 8"/>
    <w:basedOn w:val="Heading6"/>
    <w:next w:val="Normal"/>
    <w:qFormat/>
    <w:rsid w:val="004D431F"/>
    <w:pPr>
      <w:outlineLvl w:val="7"/>
    </w:pPr>
  </w:style>
  <w:style w:type="paragraph" w:styleId="Heading9">
    <w:name w:val="heading 9"/>
    <w:basedOn w:val="Heading6"/>
    <w:next w:val="Normal"/>
    <w:qFormat/>
    <w:rsid w:val="004D43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D431F"/>
  </w:style>
  <w:style w:type="paragraph" w:styleId="TOC4">
    <w:name w:val="toc 4"/>
    <w:basedOn w:val="TOC3"/>
    <w:rsid w:val="004D431F"/>
  </w:style>
  <w:style w:type="paragraph" w:styleId="TOC3">
    <w:name w:val="toc 3"/>
    <w:basedOn w:val="TOC2"/>
    <w:rsid w:val="004D431F"/>
  </w:style>
  <w:style w:type="paragraph" w:styleId="TOC2">
    <w:name w:val="toc 2"/>
    <w:basedOn w:val="TOC1"/>
    <w:rsid w:val="004D431F"/>
    <w:pPr>
      <w:spacing w:before="80"/>
      <w:ind w:left="1531" w:hanging="851"/>
    </w:pPr>
  </w:style>
  <w:style w:type="paragraph" w:styleId="TOC1">
    <w:name w:val="toc 1"/>
    <w:basedOn w:val="Normal"/>
    <w:rsid w:val="004D431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4D431F"/>
  </w:style>
  <w:style w:type="paragraph" w:styleId="TOC6">
    <w:name w:val="toc 6"/>
    <w:basedOn w:val="TOC4"/>
    <w:rsid w:val="004D431F"/>
  </w:style>
  <w:style w:type="paragraph" w:styleId="TOC5">
    <w:name w:val="toc 5"/>
    <w:basedOn w:val="TOC4"/>
    <w:rsid w:val="004D431F"/>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4D431F"/>
    <w:pPr>
      <w:ind w:left="566"/>
    </w:pPr>
  </w:style>
  <w:style w:type="paragraph" w:styleId="Index2">
    <w:name w:val="index 2"/>
    <w:basedOn w:val="Normal"/>
    <w:next w:val="Normal"/>
    <w:rsid w:val="004D431F"/>
    <w:pPr>
      <w:ind w:left="283"/>
    </w:pPr>
  </w:style>
  <w:style w:type="paragraph" w:styleId="Index1">
    <w:name w:val="index 1"/>
    <w:basedOn w:val="Normal"/>
    <w:next w:val="Normal"/>
    <w:rsid w:val="004D431F"/>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4D431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4D431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4D431F"/>
    <w:rPr>
      <w:position w:val="6"/>
      <w:sz w:val="18"/>
    </w:rPr>
  </w:style>
  <w:style w:type="paragraph" w:styleId="FootnoteText">
    <w:name w:val="footnote text"/>
    <w:basedOn w:val="Note"/>
    <w:link w:val="FootnoteTextChar"/>
    <w:rsid w:val="004D431F"/>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4D431F"/>
    <w:pPr>
      <w:spacing w:before="80"/>
      <w:ind w:left="794" w:hanging="794"/>
    </w:pPr>
  </w:style>
  <w:style w:type="paragraph" w:customStyle="1" w:styleId="enumlev2">
    <w:name w:val="enumlev2"/>
    <w:basedOn w:val="enumlev1"/>
    <w:rsid w:val="004D431F"/>
    <w:pPr>
      <w:ind w:left="1191" w:hanging="397"/>
    </w:pPr>
  </w:style>
  <w:style w:type="paragraph" w:customStyle="1" w:styleId="enumlev3">
    <w:name w:val="enumlev3"/>
    <w:basedOn w:val="enumlev2"/>
    <w:rsid w:val="004D431F"/>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4D431F"/>
    <w:pPr>
      <w:tabs>
        <w:tab w:val="clear" w:pos="1191"/>
        <w:tab w:val="clear" w:pos="1588"/>
        <w:tab w:val="clear" w:pos="1985"/>
        <w:tab w:val="center" w:pos="4820"/>
        <w:tab w:val="right" w:pos="9639"/>
      </w:tabs>
    </w:pPr>
  </w:style>
  <w:style w:type="paragraph" w:customStyle="1" w:styleId="toc0">
    <w:name w:val="toc 0"/>
    <w:basedOn w:val="Normal"/>
    <w:next w:val="TOC1"/>
    <w:rsid w:val="004D431F"/>
    <w:pPr>
      <w:tabs>
        <w:tab w:val="clear" w:pos="794"/>
        <w:tab w:val="clear" w:pos="1191"/>
        <w:tab w:val="clear" w:pos="1588"/>
        <w:tab w:val="clear" w:pos="1985"/>
        <w:tab w:val="right" w:pos="9639"/>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4D43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Note">
    <w:name w:val="Note"/>
    <w:basedOn w:val="Normal"/>
    <w:rsid w:val="004D431F"/>
    <w:pPr>
      <w:spacing w:before="80"/>
    </w:pPr>
  </w:style>
  <w:style w:type="paragraph" w:styleId="TOC9">
    <w:name w:val="toc 9"/>
    <w:basedOn w:val="TOC3"/>
    <w:next w:val="Normal"/>
    <w:semiHidden/>
    <w:rsid w:val="00B37866"/>
  </w:style>
  <w:style w:type="paragraph" w:customStyle="1" w:styleId="Source">
    <w:name w:val="Source"/>
    <w:basedOn w:val="Normal"/>
    <w:next w:val="Normalaftertitle0"/>
    <w:rsid w:val="004D431F"/>
    <w:pPr>
      <w:spacing w:before="840" w:after="200"/>
      <w:jc w:val="center"/>
    </w:pPr>
    <w:rPr>
      <w:b/>
      <w:sz w:val="28"/>
    </w:rPr>
  </w:style>
  <w:style w:type="paragraph" w:customStyle="1" w:styleId="Title1">
    <w:name w:val="Title 1"/>
    <w:basedOn w:val="Source"/>
    <w:next w:val="Title2"/>
    <w:rsid w:val="004D431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431F"/>
  </w:style>
  <w:style w:type="paragraph" w:customStyle="1" w:styleId="Title3">
    <w:name w:val="Title 3"/>
    <w:basedOn w:val="Title2"/>
    <w:next w:val="Title4"/>
    <w:rsid w:val="004D431F"/>
    <w:rPr>
      <w:caps w:val="0"/>
    </w:rPr>
  </w:style>
  <w:style w:type="paragraph" w:customStyle="1" w:styleId="Title4">
    <w:name w:val="Title 4"/>
    <w:basedOn w:val="Title3"/>
    <w:next w:val="Heading1"/>
    <w:rsid w:val="004D431F"/>
    <w:rPr>
      <w:b/>
    </w:rPr>
  </w:style>
  <w:style w:type="paragraph" w:customStyle="1" w:styleId="FirstFooter">
    <w:name w:val="FirstFooter"/>
    <w:basedOn w:val="Footer"/>
    <w:rsid w:val="004D431F"/>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4D431F"/>
    <w:rPr>
      <w:rFonts w:ascii="Times New Roman" w:hAnsi="Times New Roman"/>
      <w:b/>
    </w:rPr>
  </w:style>
  <w:style w:type="character" w:customStyle="1" w:styleId="Appref">
    <w:name w:val="App_ref"/>
    <w:basedOn w:val="DefaultParagraphFont"/>
    <w:rsid w:val="004D431F"/>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4D431F"/>
    <w:rPr>
      <w:rFonts w:ascii="Times New Roman" w:hAnsi="Times New Roman"/>
      <w:b/>
    </w:rPr>
  </w:style>
  <w:style w:type="paragraph" w:customStyle="1" w:styleId="Artheading">
    <w:name w:val="Art_heading"/>
    <w:basedOn w:val="Normal"/>
    <w:next w:val="Normal"/>
    <w:rsid w:val="004D431F"/>
    <w:pPr>
      <w:spacing w:before="480"/>
      <w:jc w:val="center"/>
    </w:pPr>
    <w:rPr>
      <w:b/>
      <w:sz w:val="28"/>
    </w:rPr>
  </w:style>
  <w:style w:type="paragraph" w:customStyle="1" w:styleId="ArtNo">
    <w:name w:val="Art_No"/>
    <w:basedOn w:val="Normal"/>
    <w:next w:val="Arttitle"/>
    <w:rsid w:val="004D431F"/>
    <w:pPr>
      <w:keepNext/>
      <w:keepLines/>
      <w:spacing w:before="480"/>
      <w:jc w:val="center"/>
    </w:pPr>
    <w:rPr>
      <w:caps/>
      <w:sz w:val="28"/>
    </w:rPr>
  </w:style>
  <w:style w:type="paragraph" w:customStyle="1" w:styleId="Arttitle">
    <w:name w:val="Art_title"/>
    <w:basedOn w:val="Normal"/>
    <w:next w:val="Normal"/>
    <w:rsid w:val="004D431F"/>
    <w:pPr>
      <w:keepNext/>
      <w:keepLines/>
      <w:spacing w:before="240"/>
      <w:jc w:val="center"/>
    </w:pPr>
    <w:rPr>
      <w:b/>
      <w:sz w:val="28"/>
    </w:rPr>
  </w:style>
  <w:style w:type="character" w:customStyle="1" w:styleId="Artref">
    <w:name w:val="Art_ref"/>
    <w:basedOn w:val="DefaultParagraphFont"/>
    <w:rsid w:val="004D431F"/>
  </w:style>
  <w:style w:type="paragraph" w:customStyle="1" w:styleId="Call">
    <w:name w:val="Call"/>
    <w:basedOn w:val="Normal"/>
    <w:next w:val="Normal"/>
    <w:rsid w:val="004D431F"/>
    <w:pPr>
      <w:keepNext/>
      <w:keepLines/>
      <w:spacing w:before="160"/>
      <w:ind w:left="794"/>
    </w:pPr>
    <w:rPr>
      <w:i/>
    </w:rPr>
  </w:style>
  <w:style w:type="paragraph" w:customStyle="1" w:styleId="ChapNo">
    <w:name w:val="Chap_No"/>
    <w:basedOn w:val="Normal"/>
    <w:next w:val="Chaptitle"/>
    <w:rsid w:val="004D431F"/>
    <w:pPr>
      <w:keepNext/>
      <w:keepLines/>
      <w:spacing w:before="480"/>
      <w:jc w:val="center"/>
    </w:pPr>
    <w:rPr>
      <w:b/>
      <w:caps/>
      <w:sz w:val="28"/>
    </w:rPr>
  </w:style>
  <w:style w:type="paragraph" w:customStyle="1" w:styleId="Chaptitle">
    <w:name w:val="Chap_title"/>
    <w:basedOn w:val="Normal"/>
    <w:next w:val="Normal"/>
    <w:rsid w:val="004D431F"/>
    <w:pPr>
      <w:keepNext/>
      <w:keepLines/>
      <w:spacing w:before="240"/>
      <w:jc w:val="center"/>
    </w:pPr>
    <w:rPr>
      <w:b/>
      <w:sz w:val="28"/>
    </w:rPr>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4D431F"/>
    <w:rPr>
      <w:vertAlign w:val="superscript"/>
    </w:rPr>
  </w:style>
  <w:style w:type="paragraph" w:customStyle="1" w:styleId="Equationlegend">
    <w:name w:val="Equation_legend"/>
    <w:basedOn w:val="Normal"/>
    <w:rsid w:val="004D431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431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4D43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
    <w:rsid w:val="004D431F"/>
    <w:pPr>
      <w:keepLines/>
      <w:spacing w:before="240" w:after="120"/>
      <w:jc w:val="center"/>
    </w:pPr>
  </w:style>
  <w:style w:type="paragraph" w:customStyle="1" w:styleId="Headingb">
    <w:name w:val="Heading_b"/>
    <w:basedOn w:val="Normal"/>
    <w:next w:val="Normal"/>
    <w:rsid w:val="004D431F"/>
    <w:pPr>
      <w:keepNext/>
      <w:spacing w:before="160"/>
    </w:pPr>
    <w:rPr>
      <w:b/>
    </w:rPr>
  </w:style>
  <w:style w:type="paragraph" w:customStyle="1" w:styleId="Headingi">
    <w:name w:val="Heading_i"/>
    <w:basedOn w:val="Normal"/>
    <w:next w:val="Normal"/>
    <w:rsid w:val="004D431F"/>
    <w:pPr>
      <w:keepNext/>
      <w:spacing w:before="160"/>
    </w:pPr>
    <w:rPr>
      <w:i/>
    </w:rPr>
  </w:style>
  <w:style w:type="paragraph" w:customStyle="1" w:styleId="PartNo">
    <w:name w:val="Part_No"/>
    <w:basedOn w:val="Normal"/>
    <w:next w:val="Partref"/>
    <w:rsid w:val="004D431F"/>
    <w:pPr>
      <w:keepNext/>
      <w:keepLines/>
      <w:spacing w:before="480" w:after="80"/>
      <w:jc w:val="center"/>
    </w:pPr>
    <w:rPr>
      <w:caps/>
      <w:sz w:val="28"/>
    </w:rPr>
  </w:style>
  <w:style w:type="paragraph" w:customStyle="1" w:styleId="Partref">
    <w:name w:val="Part_ref"/>
    <w:basedOn w:val="Normal"/>
    <w:next w:val="Parttitle"/>
    <w:rsid w:val="004D431F"/>
    <w:pPr>
      <w:keepNext/>
      <w:keepLines/>
      <w:spacing w:before="280"/>
      <w:jc w:val="center"/>
    </w:pPr>
  </w:style>
  <w:style w:type="paragraph" w:customStyle="1" w:styleId="Parttitle">
    <w:name w:val="Part_title"/>
    <w:basedOn w:val="Normal"/>
    <w:next w:val="Normalaftertitle0"/>
    <w:rsid w:val="004D431F"/>
    <w:pPr>
      <w:keepNext/>
      <w:keepLines/>
      <w:spacing w:before="240" w:after="280"/>
      <w:jc w:val="center"/>
    </w:pPr>
    <w:rPr>
      <w:b/>
      <w:sz w:val="28"/>
    </w:rPr>
  </w:style>
  <w:style w:type="paragraph" w:customStyle="1" w:styleId="RecNo">
    <w:name w:val="Rec_No"/>
    <w:basedOn w:val="Normal"/>
    <w:next w:val="Rectitle"/>
    <w:rsid w:val="004D431F"/>
    <w:pPr>
      <w:keepNext/>
      <w:keepLines/>
      <w:spacing w:before="0"/>
    </w:pPr>
    <w:rPr>
      <w:b/>
      <w:sz w:val="28"/>
    </w:rPr>
  </w:style>
  <w:style w:type="paragraph" w:customStyle="1" w:styleId="Rectitle">
    <w:name w:val="Rec_title"/>
    <w:basedOn w:val="Normal"/>
    <w:next w:val="Normalaftertitle0"/>
    <w:rsid w:val="004D431F"/>
    <w:pPr>
      <w:keepNext/>
      <w:keepLines/>
      <w:spacing w:before="360"/>
      <w:jc w:val="center"/>
    </w:pPr>
    <w:rPr>
      <w:b/>
      <w:sz w:val="28"/>
    </w:rPr>
  </w:style>
  <w:style w:type="paragraph" w:customStyle="1" w:styleId="Recref">
    <w:name w:val="Rec_ref"/>
    <w:basedOn w:val="Normal"/>
    <w:next w:val="Recdate"/>
    <w:rsid w:val="004D431F"/>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4D431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4D431F"/>
  </w:style>
  <w:style w:type="paragraph" w:customStyle="1" w:styleId="QuestionNo">
    <w:name w:val="Question_No"/>
    <w:basedOn w:val="RecNo"/>
    <w:next w:val="Questiontitle"/>
    <w:rsid w:val="004D431F"/>
  </w:style>
  <w:style w:type="paragraph" w:customStyle="1" w:styleId="Questiontitle">
    <w:name w:val="Question_title"/>
    <w:basedOn w:val="Rectitle"/>
    <w:next w:val="Questionref"/>
    <w:rsid w:val="004D431F"/>
  </w:style>
  <w:style w:type="paragraph" w:customStyle="1" w:styleId="Questionref">
    <w:name w:val="Question_ref"/>
    <w:basedOn w:val="Recref"/>
    <w:next w:val="Questiondate"/>
    <w:rsid w:val="004D431F"/>
  </w:style>
  <w:style w:type="character" w:customStyle="1" w:styleId="Recdef">
    <w:name w:val="Rec_def"/>
    <w:basedOn w:val="DefaultParagraphFont"/>
    <w:rsid w:val="004D431F"/>
    <w:rPr>
      <w:b/>
    </w:rPr>
  </w:style>
  <w:style w:type="paragraph" w:customStyle="1" w:styleId="Reftext">
    <w:name w:val="Ref_text"/>
    <w:basedOn w:val="Normal"/>
    <w:rsid w:val="004D431F"/>
    <w:pPr>
      <w:ind w:left="794" w:hanging="794"/>
    </w:pPr>
  </w:style>
  <w:style w:type="paragraph" w:customStyle="1" w:styleId="Reftitle">
    <w:name w:val="Ref_title"/>
    <w:basedOn w:val="Normal"/>
    <w:next w:val="Reftext"/>
    <w:rsid w:val="004D431F"/>
    <w:pPr>
      <w:spacing w:before="480"/>
      <w:jc w:val="center"/>
    </w:pPr>
    <w:rPr>
      <w:b/>
    </w:rPr>
  </w:style>
  <w:style w:type="paragraph" w:customStyle="1" w:styleId="Repdate">
    <w:name w:val="Rep_date"/>
    <w:basedOn w:val="Recdate"/>
    <w:next w:val="Normalaftertitle0"/>
    <w:rsid w:val="004D431F"/>
  </w:style>
  <w:style w:type="paragraph" w:customStyle="1" w:styleId="RepNo">
    <w:name w:val="Rep_No"/>
    <w:basedOn w:val="RecNo"/>
    <w:next w:val="Reptitle"/>
    <w:rsid w:val="004D431F"/>
  </w:style>
  <w:style w:type="paragraph" w:customStyle="1" w:styleId="Reptitle">
    <w:name w:val="Rep_title"/>
    <w:basedOn w:val="Rectitle"/>
    <w:next w:val="Repref"/>
    <w:rsid w:val="004D431F"/>
  </w:style>
  <w:style w:type="paragraph" w:customStyle="1" w:styleId="Repref">
    <w:name w:val="Rep_ref"/>
    <w:basedOn w:val="Recref"/>
    <w:next w:val="Repdate"/>
    <w:rsid w:val="004D431F"/>
  </w:style>
  <w:style w:type="paragraph" w:customStyle="1" w:styleId="Resdate">
    <w:name w:val="Res_date"/>
    <w:basedOn w:val="Recdate"/>
    <w:next w:val="Normalaftertitle0"/>
    <w:rsid w:val="004D431F"/>
  </w:style>
  <w:style w:type="character" w:customStyle="1" w:styleId="Resdef">
    <w:name w:val="Res_def"/>
    <w:basedOn w:val="DefaultParagraphFont"/>
    <w:rsid w:val="004D431F"/>
    <w:rPr>
      <w:rFonts w:ascii="Times New Roman" w:hAnsi="Times New Roman"/>
      <w:b/>
    </w:rPr>
  </w:style>
  <w:style w:type="paragraph" w:customStyle="1" w:styleId="ResNo">
    <w:name w:val="Res_No"/>
    <w:basedOn w:val="RecNo"/>
    <w:next w:val="Restitle"/>
    <w:rsid w:val="004D431F"/>
  </w:style>
  <w:style w:type="paragraph" w:customStyle="1" w:styleId="Restitle">
    <w:name w:val="Res_title"/>
    <w:basedOn w:val="Rectitle"/>
    <w:next w:val="Resref"/>
    <w:rsid w:val="004D431F"/>
  </w:style>
  <w:style w:type="paragraph" w:customStyle="1" w:styleId="Resref">
    <w:name w:val="Res_ref"/>
    <w:basedOn w:val="Recref"/>
    <w:next w:val="Resdate"/>
    <w:rsid w:val="004D431F"/>
  </w:style>
  <w:style w:type="paragraph" w:customStyle="1" w:styleId="SectionNo">
    <w:name w:val="Section_No"/>
    <w:basedOn w:val="Normal"/>
    <w:next w:val="Sectiontitle"/>
    <w:rsid w:val="004D431F"/>
    <w:pPr>
      <w:keepNext/>
      <w:keepLines/>
      <w:spacing w:before="480" w:after="80"/>
      <w:jc w:val="center"/>
    </w:pPr>
    <w:rPr>
      <w:caps/>
      <w:sz w:val="28"/>
    </w:rPr>
  </w:style>
  <w:style w:type="paragraph" w:customStyle="1" w:styleId="Sectiontitle">
    <w:name w:val="Section_title"/>
    <w:basedOn w:val="Normal"/>
    <w:next w:val="Normalaftertitle0"/>
    <w:rsid w:val="004D431F"/>
    <w:pPr>
      <w:keepNext/>
      <w:keepLines/>
      <w:spacing w:before="480" w:after="280"/>
      <w:jc w:val="center"/>
    </w:pPr>
    <w:rPr>
      <w:b/>
      <w:sz w:val="28"/>
    </w:rPr>
  </w:style>
  <w:style w:type="paragraph" w:customStyle="1" w:styleId="SpecialFooter">
    <w:name w:val="Special Footer"/>
    <w:basedOn w:val="Footer"/>
    <w:rsid w:val="004D431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D431F"/>
    <w:rPr>
      <w:b/>
      <w:color w:val="auto"/>
    </w:rPr>
  </w:style>
  <w:style w:type="paragraph" w:customStyle="1" w:styleId="Tablehead">
    <w:name w:val="Table_head"/>
    <w:basedOn w:val="Normal"/>
    <w:next w:val="Tabletext"/>
    <w:rsid w:val="004D43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D43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BR"/>
    <w:rsid w:val="004D431F"/>
    <w:pPr>
      <w:keepNext/>
      <w:spacing w:before="0" w:after="120"/>
      <w:jc w:val="center"/>
    </w:pPr>
  </w:style>
  <w:style w:type="character" w:styleId="PageNumber">
    <w:name w:val="page number"/>
    <w:basedOn w:val="DefaultParagraphFont"/>
    <w:rsid w:val="004D431F"/>
  </w:style>
  <w:style w:type="character" w:customStyle="1" w:styleId="HeaderChar">
    <w:name w:val="Header Char"/>
    <w:basedOn w:val="DefaultParagraphFont"/>
    <w:link w:val="Header"/>
    <w:rsid w:val="00005791"/>
    <w:rPr>
      <w:rFonts w:asciiTheme="minorHAnsi" w:hAnsiTheme="minorHAnsi"/>
      <w:sz w:val="18"/>
      <w:lang w:val="fr-FR" w:eastAsia="en-US"/>
    </w:rPr>
  </w:style>
  <w:style w:type="character" w:customStyle="1" w:styleId="FooterChar">
    <w:name w:val="Footer Char"/>
    <w:basedOn w:val="DefaultParagraphFont"/>
    <w:link w:val="Footer"/>
    <w:rsid w:val="0056423B"/>
    <w:rPr>
      <w:rFonts w:asciiTheme="minorHAnsi" w:hAnsiTheme="minorHAnsi"/>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customStyle="1" w:styleId="ListParagraphChar">
    <w:name w:val="List Paragraph Char"/>
    <w:link w:val="ListParagraph"/>
    <w:uiPriority w:val="34"/>
    <w:locked/>
    <w:rsid w:val="00BE64E9"/>
    <w:rPr>
      <w:rFonts w:asciiTheme="minorHAnsi" w:hAnsiTheme="minorHAnsi"/>
      <w:sz w:val="24"/>
      <w:lang w:val="en-GB" w:eastAsia="en-US"/>
    </w:rPr>
  </w:style>
  <w:style w:type="paragraph" w:customStyle="1" w:styleId="Fixed">
    <w:name w:val="Fixed"/>
    <w:rsid w:val="00C918B5"/>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customStyle="1" w:styleId="Centered">
    <w:name w:val="Centered"/>
    <w:basedOn w:val="Fixed"/>
    <w:next w:val="Fixed"/>
    <w:uiPriority w:val="99"/>
    <w:rsid w:val="00C918B5"/>
    <w:pPr>
      <w:jc w:val="center"/>
    </w:pPr>
  </w:style>
  <w:style w:type="paragraph" w:styleId="NormalWeb">
    <w:name w:val="Normal (Web)"/>
    <w:basedOn w:val="Normal"/>
    <w:uiPriority w:val="99"/>
    <w:unhideWhenUsed/>
    <w:rsid w:val="00C918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ontinCol">
    <w:name w:val="Contin Col"/>
    <w:basedOn w:val="Normal"/>
    <w:next w:val="Normal"/>
    <w:uiPriority w:val="99"/>
    <w:rsid w:val="00C918B5"/>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styleId="CommentText">
    <w:name w:val="annotation text"/>
    <w:basedOn w:val="Normal"/>
    <w:link w:val="CommentTextChar"/>
    <w:unhideWhenUsed/>
    <w:rsid w:val="00A15F62"/>
    <w:rPr>
      <w:sz w:val="20"/>
    </w:rPr>
  </w:style>
  <w:style w:type="character" w:customStyle="1" w:styleId="CommentTextChar">
    <w:name w:val="Comment Text Char"/>
    <w:basedOn w:val="DefaultParagraphFont"/>
    <w:link w:val="CommentText"/>
    <w:rsid w:val="00A15F62"/>
    <w:rPr>
      <w:rFonts w:asciiTheme="minorHAnsi" w:hAnsiTheme="minorHAnsi"/>
      <w:lang w:val="en-GB" w:eastAsia="en-US"/>
    </w:rPr>
  </w:style>
  <w:style w:type="character" w:styleId="FollowedHyperlink">
    <w:name w:val="FollowedHyperlink"/>
    <w:basedOn w:val="DefaultParagraphFont"/>
    <w:semiHidden/>
    <w:unhideWhenUsed/>
    <w:rsid w:val="00463A5D"/>
    <w:rPr>
      <w:color w:val="800080" w:themeColor="followedHyperlink"/>
      <w:u w:val="single"/>
    </w:rPr>
  </w:style>
  <w:style w:type="paragraph" w:styleId="BalloonText">
    <w:name w:val="Balloon Text"/>
    <w:basedOn w:val="Normal"/>
    <w:link w:val="BalloonTextChar"/>
    <w:semiHidden/>
    <w:unhideWhenUsed/>
    <w:rsid w:val="003F54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5432"/>
    <w:rPr>
      <w:rFonts w:ascii="Segoe UI" w:hAnsi="Segoe UI" w:cs="Segoe UI"/>
      <w:sz w:val="18"/>
      <w:szCs w:val="18"/>
      <w:lang w:val="en-GB" w:eastAsia="en-US"/>
    </w:rPr>
  </w:style>
  <w:style w:type="paragraph" w:styleId="NoSpacing">
    <w:name w:val="No Spacing"/>
    <w:uiPriority w:val="1"/>
    <w:qFormat/>
    <w:rsid w:val="005D79F0"/>
    <w:pPr>
      <w:widowControl w:val="0"/>
      <w:autoSpaceDE w:val="0"/>
      <w:autoSpaceDN w:val="0"/>
      <w:adjustRightInd w:val="0"/>
      <w:ind w:right="1396" w:firstLine="720"/>
    </w:pPr>
    <w:rPr>
      <w:rFonts w:ascii="Courier New" w:hAnsi="Courier New" w:cs="Courier New"/>
      <w:sz w:val="24"/>
      <w:szCs w:val="24"/>
      <w:lang w:eastAsia="en-US"/>
    </w:rPr>
  </w:style>
  <w:style w:type="character" w:customStyle="1" w:styleId="FootnoteTextChar">
    <w:name w:val="Footnote Text Char"/>
    <w:basedOn w:val="DefaultParagraphFont"/>
    <w:link w:val="FootnoteText"/>
    <w:rsid w:val="005D79F0"/>
    <w:rPr>
      <w:rFonts w:asciiTheme="minorHAnsi" w:hAnsiTheme="minorHAnsi"/>
      <w:sz w:val="24"/>
      <w:lang w:val="fr-FR" w:eastAsia="en-US"/>
    </w:rPr>
  </w:style>
  <w:style w:type="character" w:styleId="Strong">
    <w:name w:val="Strong"/>
    <w:basedOn w:val="DefaultParagraphFont"/>
    <w:uiPriority w:val="22"/>
    <w:qFormat/>
    <w:rsid w:val="005D79F0"/>
    <w:rPr>
      <w:b/>
      <w:bCs/>
    </w:rPr>
  </w:style>
  <w:style w:type="paragraph" w:customStyle="1" w:styleId="AnnexNotitle">
    <w:name w:val="Annex_No &amp; title"/>
    <w:basedOn w:val="Normal"/>
    <w:next w:val="Normal"/>
    <w:rsid w:val="004D431F"/>
    <w:pPr>
      <w:keepNext/>
      <w:keepLines/>
      <w:spacing w:before="480"/>
      <w:jc w:val="center"/>
    </w:pPr>
    <w:rPr>
      <w:b/>
      <w:sz w:val="28"/>
    </w:rPr>
  </w:style>
  <w:style w:type="paragraph" w:customStyle="1" w:styleId="AppendixNotitle">
    <w:name w:val="Appendix_No &amp; title"/>
    <w:basedOn w:val="AnnexNotitle"/>
    <w:next w:val="Normal"/>
    <w:rsid w:val="004D431F"/>
  </w:style>
  <w:style w:type="paragraph" w:customStyle="1" w:styleId="Figure">
    <w:name w:val="Figure"/>
    <w:basedOn w:val="Normal"/>
    <w:next w:val="Normal"/>
    <w:rsid w:val="004D431F"/>
    <w:pPr>
      <w:keepNext/>
      <w:keepLines/>
      <w:spacing w:before="240" w:after="120"/>
      <w:jc w:val="center"/>
    </w:pPr>
  </w:style>
  <w:style w:type="paragraph" w:customStyle="1" w:styleId="FigureNotitle">
    <w:name w:val="Figure_No &amp; title"/>
    <w:basedOn w:val="Normal"/>
    <w:next w:val="Normal"/>
    <w:rsid w:val="004D431F"/>
    <w:pPr>
      <w:keepLines/>
      <w:spacing w:before="240" w:after="120"/>
      <w:jc w:val="center"/>
    </w:pPr>
    <w:rPr>
      <w:b/>
    </w:rPr>
  </w:style>
  <w:style w:type="paragraph" w:customStyle="1" w:styleId="FigureNoBR">
    <w:name w:val="Figure_No_BR"/>
    <w:basedOn w:val="Normal"/>
    <w:next w:val="Normal"/>
    <w:rsid w:val="004D431F"/>
    <w:pPr>
      <w:keepNext/>
      <w:keepLines/>
      <w:spacing w:before="480" w:after="120"/>
      <w:jc w:val="center"/>
    </w:pPr>
    <w:rPr>
      <w:caps/>
    </w:rPr>
  </w:style>
  <w:style w:type="paragraph" w:customStyle="1" w:styleId="TabletitleBR">
    <w:name w:val="Table_title_BR"/>
    <w:basedOn w:val="Normal"/>
    <w:next w:val="Tablehead"/>
    <w:rsid w:val="004D431F"/>
    <w:pPr>
      <w:keepNext/>
      <w:keepLines/>
      <w:spacing w:before="0" w:after="120"/>
      <w:jc w:val="center"/>
    </w:pPr>
    <w:rPr>
      <w:b/>
    </w:rPr>
  </w:style>
  <w:style w:type="paragraph" w:customStyle="1" w:styleId="FiguretitleBR">
    <w:name w:val="Figure_title_BR"/>
    <w:basedOn w:val="TabletitleBR"/>
    <w:next w:val="Figurewithouttitle"/>
    <w:rsid w:val="004D431F"/>
    <w:pPr>
      <w:keepNext w:val="0"/>
      <w:spacing w:after="480"/>
    </w:pPr>
  </w:style>
  <w:style w:type="paragraph" w:customStyle="1" w:styleId="FooterQP">
    <w:name w:val="Footer_QP"/>
    <w:basedOn w:val="Normal"/>
    <w:rsid w:val="004D431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D431F"/>
    <w:rPr>
      <w:b w:val="0"/>
    </w:rPr>
  </w:style>
  <w:style w:type="paragraph" w:customStyle="1" w:styleId="Normalaftertitle0">
    <w:name w:val="Normal_after_title"/>
    <w:basedOn w:val="Normal"/>
    <w:next w:val="Normal"/>
    <w:rsid w:val="004D431F"/>
    <w:pPr>
      <w:spacing w:before="360"/>
    </w:pPr>
  </w:style>
  <w:style w:type="paragraph" w:customStyle="1" w:styleId="RecNoBR">
    <w:name w:val="Rec_No_BR"/>
    <w:basedOn w:val="Normal"/>
    <w:next w:val="Rectitle"/>
    <w:rsid w:val="004D431F"/>
    <w:pPr>
      <w:keepNext/>
      <w:keepLines/>
      <w:spacing w:before="480"/>
      <w:jc w:val="center"/>
    </w:pPr>
    <w:rPr>
      <w:caps/>
      <w:sz w:val="28"/>
    </w:rPr>
  </w:style>
  <w:style w:type="paragraph" w:customStyle="1" w:styleId="QuestionNoBR">
    <w:name w:val="Question_No_BR"/>
    <w:basedOn w:val="RecNoBR"/>
    <w:next w:val="Questiontitle"/>
    <w:rsid w:val="004D431F"/>
  </w:style>
  <w:style w:type="paragraph" w:customStyle="1" w:styleId="RepNoBR">
    <w:name w:val="Rep_No_BR"/>
    <w:basedOn w:val="RecNoBR"/>
    <w:next w:val="Reptitle"/>
    <w:rsid w:val="004D431F"/>
  </w:style>
  <w:style w:type="paragraph" w:customStyle="1" w:styleId="ResNoBR">
    <w:name w:val="Res_No_BR"/>
    <w:basedOn w:val="RecNoBR"/>
    <w:next w:val="Restitle"/>
    <w:rsid w:val="004D431F"/>
  </w:style>
  <w:style w:type="paragraph" w:customStyle="1" w:styleId="Section1">
    <w:name w:val="Section_1"/>
    <w:basedOn w:val="Normal"/>
    <w:next w:val="Normal"/>
    <w:rsid w:val="004D431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431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431F"/>
    <w:pPr>
      <w:keepNext/>
      <w:keepLines/>
      <w:spacing w:before="360" w:after="120"/>
      <w:jc w:val="center"/>
    </w:pPr>
    <w:rPr>
      <w:b/>
    </w:rPr>
  </w:style>
  <w:style w:type="paragraph" w:customStyle="1" w:styleId="TableNoBR">
    <w:name w:val="Table_No_BR"/>
    <w:basedOn w:val="Normal"/>
    <w:next w:val="TabletitleBR"/>
    <w:rsid w:val="004D431F"/>
    <w:pPr>
      <w:keepNext/>
      <w:spacing w:before="560" w:after="120"/>
      <w:jc w:val="center"/>
    </w:pPr>
    <w:rPr>
      <w:caps/>
    </w:rPr>
  </w:style>
  <w:style w:type="character" w:styleId="UnresolvedMention">
    <w:name w:val="Unresolved Mention"/>
    <w:basedOn w:val="DefaultParagraphFont"/>
    <w:uiPriority w:val="99"/>
    <w:semiHidden/>
    <w:unhideWhenUsed/>
    <w:rsid w:val="000E6C4A"/>
    <w:rPr>
      <w:color w:val="605E5C"/>
      <w:shd w:val="clear" w:color="auto" w:fill="E1DFDD"/>
    </w:rPr>
  </w:style>
  <w:style w:type="paragraph" w:customStyle="1" w:styleId="Normal1">
    <w:name w:val="Normal 1"/>
    <w:basedOn w:val="Fixed"/>
    <w:next w:val="Fixed"/>
    <w:uiPriority w:val="99"/>
    <w:rsid w:val="009574FE"/>
    <w:pPr>
      <w:spacing w:line="528" w:lineRule="atLeast"/>
      <w:ind w:right="720" w:firstLine="720"/>
    </w:pPr>
    <w:rPr>
      <w:rFonts w:eastAsiaTheme="minorEastAsia"/>
    </w:rPr>
  </w:style>
  <w:style w:type="paragraph" w:customStyle="1" w:styleId="Colloquy1">
    <w:name w:val="Colloquy 1"/>
    <w:basedOn w:val="Normal"/>
    <w:next w:val="Normal"/>
    <w:uiPriority w:val="99"/>
    <w:rsid w:val="00AE18D3"/>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1440"/>
      <w:textAlignment w:val="auto"/>
    </w:pPr>
    <w:rPr>
      <w:rFonts w:ascii="Courier New" w:eastAsiaTheme="minorEastAsia" w:hAnsi="Courier New" w:cs="Courier Ne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542">
      <w:bodyDiv w:val="1"/>
      <w:marLeft w:val="0"/>
      <w:marRight w:val="0"/>
      <w:marTop w:val="0"/>
      <w:marBottom w:val="0"/>
      <w:divBdr>
        <w:top w:val="none" w:sz="0" w:space="0" w:color="auto"/>
        <w:left w:val="none" w:sz="0" w:space="0" w:color="auto"/>
        <w:bottom w:val="none" w:sz="0" w:space="0" w:color="auto"/>
        <w:right w:val="none" w:sz="0" w:space="0" w:color="auto"/>
      </w:divBdr>
      <w:divsChild>
        <w:div w:id="1751075642">
          <w:marLeft w:val="75"/>
          <w:marRight w:val="75"/>
          <w:marTop w:val="0"/>
          <w:marBottom w:val="75"/>
          <w:divBdr>
            <w:top w:val="none" w:sz="0" w:space="0" w:color="auto"/>
            <w:left w:val="none" w:sz="0" w:space="0" w:color="auto"/>
            <w:bottom w:val="none" w:sz="0" w:space="0" w:color="auto"/>
            <w:right w:val="none" w:sz="0" w:space="0" w:color="auto"/>
          </w:divBdr>
          <w:divsChild>
            <w:div w:id="1736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5546">
      <w:bodyDiv w:val="1"/>
      <w:marLeft w:val="0"/>
      <w:marRight w:val="0"/>
      <w:marTop w:val="0"/>
      <w:marBottom w:val="0"/>
      <w:divBdr>
        <w:top w:val="none" w:sz="0" w:space="0" w:color="auto"/>
        <w:left w:val="none" w:sz="0" w:space="0" w:color="auto"/>
        <w:bottom w:val="none" w:sz="0" w:space="0" w:color="auto"/>
        <w:right w:val="none" w:sz="0" w:space="0" w:color="auto"/>
      </w:divBdr>
    </w:div>
    <w:div w:id="1398088267">
      <w:bodyDiv w:val="1"/>
      <w:marLeft w:val="0"/>
      <w:marRight w:val="0"/>
      <w:marTop w:val="0"/>
      <w:marBottom w:val="0"/>
      <w:divBdr>
        <w:top w:val="none" w:sz="0" w:space="0" w:color="auto"/>
        <w:left w:val="none" w:sz="0" w:space="0" w:color="auto"/>
        <w:bottom w:val="none" w:sz="0" w:space="0" w:color="auto"/>
        <w:right w:val="none" w:sz="0" w:space="0" w:color="auto"/>
      </w:divBdr>
    </w:div>
    <w:div w:id="1416324018">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C-00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D18-TDAG27.WP-C-0011/" TargetMode="External"/><Relationship Id="rId2" Type="http://schemas.openxmlformats.org/officeDocument/2006/relationships/numbering" Target="numbering.xml"/><Relationship Id="rId16" Type="http://schemas.openxmlformats.org/officeDocument/2006/relationships/hyperlink" Target="https://www.itu.int/md/D18-TDAG27.WP-C-001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TDAG27.WP-C-0009/"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D18-BDT-CIR-0052/en" TargetMode="External"/><Relationship Id="rId14" Type="http://schemas.openxmlformats.org/officeDocument/2006/relationships/hyperlink" Target="https://www.itu.int/md/D18-TDAG27.WP-C-0008/"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A8FB-7B6C-42D6-B538-824BD9F6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43</TotalTime>
  <Pages>11</Pages>
  <Words>3641</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French</cp:lastModifiedBy>
  <cp:revision>5</cp:revision>
  <cp:lastPrinted>2014-11-04T09:22:00Z</cp:lastPrinted>
  <dcterms:created xsi:type="dcterms:W3CDTF">2020-10-08T10:43:00Z</dcterms:created>
  <dcterms:modified xsi:type="dcterms:W3CDTF">2020-10-09T06:19:00Z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