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4961"/>
        <w:gridCol w:w="3651"/>
      </w:tblGrid>
      <w:tr w:rsidR="00CA74EE" w14:paraId="78DF7B4F" w14:textId="77777777" w:rsidTr="00A64EC3">
        <w:trPr>
          <w:cantSplit/>
          <w:trHeight w:val="1134"/>
        </w:trPr>
        <w:tc>
          <w:tcPr>
            <w:tcW w:w="9888" w:type="dxa"/>
            <w:gridSpan w:val="3"/>
            <w:tcBorders>
              <w:bottom w:val="single" w:sz="2" w:space="0" w:color="00B0F0"/>
            </w:tcBorders>
          </w:tcPr>
          <w:p w14:paraId="6CB14929" w14:textId="3AAFB2E4" w:rsidR="00CA74EE" w:rsidRPr="0085753F" w:rsidRDefault="00CA74EE" w:rsidP="00A64EC3">
            <w:pPr>
              <w:spacing w:before="240" w:after="0" w:line="240" w:lineRule="auto"/>
              <w:ind w:left="34"/>
              <w:rPr>
                <w:b/>
                <w:bCs/>
                <w:sz w:val="32"/>
                <w:szCs w:val="32"/>
              </w:rPr>
            </w:pPr>
            <w:r>
              <w:rPr>
                <w:noProof/>
              </w:rPr>
              <w:drawing>
                <wp:anchor distT="0" distB="0" distL="114300" distR="114300" simplePos="0" relativeHeight="251658240" behindDoc="0" locked="0" layoutInCell="1" allowOverlap="1" wp14:anchorId="62A19A82" wp14:editId="300E967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53F">
              <w:rPr>
                <w:b/>
                <w:bCs/>
                <w:sz w:val="32"/>
                <w:szCs w:val="32"/>
              </w:rPr>
              <w:t>TDAG Working Group on WTDC Preparations</w:t>
            </w:r>
          </w:p>
          <w:p w14:paraId="6850A539" w14:textId="77777777" w:rsidR="00CA74EE" w:rsidRPr="00F45B51" w:rsidRDefault="00CA74EE" w:rsidP="00A64EC3">
            <w:pPr>
              <w:spacing w:before="120" w:after="0"/>
              <w:ind w:right="142"/>
              <w:rPr>
                <w:sz w:val="26"/>
                <w:szCs w:val="26"/>
              </w:rPr>
            </w:pPr>
            <w:r>
              <w:rPr>
                <w:b/>
                <w:bCs/>
                <w:sz w:val="26"/>
                <w:szCs w:val="26"/>
              </w:rPr>
              <w:t>7</w:t>
            </w:r>
            <w:r w:rsidRPr="00F45B51">
              <w:rPr>
                <w:b/>
                <w:bCs/>
                <w:sz w:val="26"/>
                <w:szCs w:val="26"/>
              </w:rPr>
              <w:t xml:space="preserve"> </w:t>
            </w:r>
            <w:r>
              <w:rPr>
                <w:b/>
                <w:bCs/>
                <w:sz w:val="26"/>
                <w:szCs w:val="26"/>
              </w:rPr>
              <w:t>September</w:t>
            </w:r>
            <w:r w:rsidRPr="00F45B51">
              <w:rPr>
                <w:b/>
                <w:bCs/>
                <w:sz w:val="26"/>
                <w:szCs w:val="26"/>
              </w:rPr>
              <w:t xml:space="preserve"> 2020, Virtual</w:t>
            </w:r>
          </w:p>
        </w:tc>
      </w:tr>
      <w:tr w:rsidR="00CA74EE" w:rsidRPr="00997358" w14:paraId="3E06ED45" w14:textId="77777777" w:rsidTr="00A64EC3">
        <w:trPr>
          <w:cantSplit/>
        </w:trPr>
        <w:tc>
          <w:tcPr>
            <w:tcW w:w="6237" w:type="dxa"/>
            <w:gridSpan w:val="2"/>
            <w:tcBorders>
              <w:top w:val="single" w:sz="2" w:space="0" w:color="00B0F0"/>
            </w:tcBorders>
          </w:tcPr>
          <w:p w14:paraId="308A6C5A" w14:textId="77777777" w:rsidR="00CA74EE" w:rsidRPr="00997358" w:rsidRDefault="00CA74EE" w:rsidP="00A64EC3">
            <w:pPr>
              <w:spacing w:before="120" w:after="0" w:line="240" w:lineRule="auto"/>
              <w:rPr>
                <w:b/>
                <w:bCs/>
                <w:sz w:val="20"/>
              </w:rPr>
            </w:pPr>
          </w:p>
        </w:tc>
        <w:tc>
          <w:tcPr>
            <w:tcW w:w="3651" w:type="dxa"/>
            <w:tcBorders>
              <w:top w:val="single" w:sz="2" w:space="0" w:color="00B0F0"/>
            </w:tcBorders>
          </w:tcPr>
          <w:p w14:paraId="496B8CD7" w14:textId="77777777" w:rsidR="00CA74EE" w:rsidRPr="00DD65EF" w:rsidRDefault="00CA74EE" w:rsidP="00A64EC3">
            <w:pPr>
              <w:spacing w:before="120" w:after="0" w:line="240" w:lineRule="auto"/>
              <w:rPr>
                <w:b/>
                <w:bCs/>
                <w:sz w:val="24"/>
                <w:szCs w:val="28"/>
              </w:rPr>
            </w:pPr>
            <w:r w:rsidRPr="00DD65EF">
              <w:rPr>
                <w:b/>
                <w:bCs/>
                <w:sz w:val="24"/>
                <w:szCs w:val="28"/>
              </w:rPr>
              <w:t>Document TDAG-WG-Prep/1</w:t>
            </w:r>
            <w:r>
              <w:rPr>
                <w:b/>
                <w:bCs/>
                <w:sz w:val="24"/>
                <w:szCs w:val="28"/>
              </w:rPr>
              <w:t>2</w:t>
            </w:r>
          </w:p>
        </w:tc>
      </w:tr>
      <w:tr w:rsidR="00CA74EE" w:rsidRPr="00997358" w14:paraId="4EFC1F80" w14:textId="77777777" w:rsidTr="00A64EC3">
        <w:trPr>
          <w:cantSplit/>
        </w:trPr>
        <w:tc>
          <w:tcPr>
            <w:tcW w:w="6237" w:type="dxa"/>
            <w:gridSpan w:val="2"/>
          </w:tcPr>
          <w:p w14:paraId="2AC94FC0" w14:textId="77777777" w:rsidR="00CA74EE" w:rsidRPr="00997358" w:rsidRDefault="00CA74EE" w:rsidP="00A64EC3">
            <w:pPr>
              <w:spacing w:after="0"/>
              <w:rPr>
                <w:b/>
                <w:bCs/>
                <w:sz w:val="20"/>
              </w:rPr>
            </w:pPr>
          </w:p>
        </w:tc>
        <w:tc>
          <w:tcPr>
            <w:tcW w:w="3651" w:type="dxa"/>
          </w:tcPr>
          <w:p w14:paraId="080550DF" w14:textId="77777777" w:rsidR="00CA74EE" w:rsidRPr="00DD65EF" w:rsidRDefault="00CA74EE" w:rsidP="00A64EC3">
            <w:pPr>
              <w:spacing w:after="0" w:line="240" w:lineRule="auto"/>
              <w:rPr>
                <w:b/>
                <w:bCs/>
                <w:sz w:val="24"/>
                <w:szCs w:val="28"/>
              </w:rPr>
            </w:pPr>
            <w:r>
              <w:rPr>
                <w:b/>
                <w:bCs/>
                <w:sz w:val="24"/>
                <w:szCs w:val="28"/>
              </w:rPr>
              <w:t>11 September</w:t>
            </w:r>
            <w:r w:rsidRPr="00DD65EF">
              <w:rPr>
                <w:b/>
                <w:bCs/>
                <w:sz w:val="24"/>
                <w:szCs w:val="28"/>
              </w:rPr>
              <w:t xml:space="preserve"> 2020</w:t>
            </w:r>
          </w:p>
        </w:tc>
      </w:tr>
      <w:tr w:rsidR="00CA74EE" w:rsidRPr="00997358" w14:paraId="7ED4237C" w14:textId="77777777" w:rsidTr="00A64EC3">
        <w:trPr>
          <w:cantSplit/>
        </w:trPr>
        <w:tc>
          <w:tcPr>
            <w:tcW w:w="6237" w:type="dxa"/>
            <w:gridSpan w:val="2"/>
          </w:tcPr>
          <w:p w14:paraId="39515CF3" w14:textId="77777777" w:rsidR="00CA74EE" w:rsidRPr="00997358" w:rsidRDefault="00CA74EE" w:rsidP="00A64EC3">
            <w:pPr>
              <w:spacing w:after="120" w:line="240" w:lineRule="auto"/>
              <w:rPr>
                <w:b/>
                <w:bCs/>
                <w:sz w:val="20"/>
              </w:rPr>
            </w:pPr>
          </w:p>
        </w:tc>
        <w:tc>
          <w:tcPr>
            <w:tcW w:w="3651" w:type="dxa"/>
          </w:tcPr>
          <w:p w14:paraId="01679BE4" w14:textId="77777777" w:rsidR="00CA74EE" w:rsidRPr="00DD65EF" w:rsidRDefault="00CA74EE" w:rsidP="00A64EC3">
            <w:pPr>
              <w:spacing w:after="120" w:line="240" w:lineRule="auto"/>
              <w:rPr>
                <w:b/>
                <w:bCs/>
                <w:sz w:val="24"/>
                <w:szCs w:val="28"/>
              </w:rPr>
            </w:pPr>
            <w:r>
              <w:rPr>
                <w:b/>
                <w:bCs/>
                <w:sz w:val="24"/>
                <w:szCs w:val="28"/>
              </w:rPr>
              <w:t xml:space="preserve">Original: </w:t>
            </w:r>
            <w:r w:rsidRPr="00DD65EF">
              <w:rPr>
                <w:b/>
                <w:bCs/>
                <w:sz w:val="24"/>
                <w:szCs w:val="28"/>
              </w:rPr>
              <w:t>English</w:t>
            </w:r>
          </w:p>
        </w:tc>
      </w:tr>
      <w:tr w:rsidR="00CA74EE" w:rsidRPr="00002716" w14:paraId="64B18F84" w14:textId="77777777" w:rsidTr="00A64EC3">
        <w:trPr>
          <w:cantSplit/>
          <w:trHeight w:val="408"/>
        </w:trPr>
        <w:tc>
          <w:tcPr>
            <w:tcW w:w="1276" w:type="dxa"/>
          </w:tcPr>
          <w:p w14:paraId="2B624BF4" w14:textId="77777777" w:rsidR="00CA74EE" w:rsidRPr="00DD65EF" w:rsidRDefault="00CA74EE" w:rsidP="00A64EC3">
            <w:pPr>
              <w:spacing w:before="80" w:after="80"/>
              <w:jc w:val="both"/>
              <w:rPr>
                <w:b/>
                <w:sz w:val="24"/>
                <w:szCs w:val="24"/>
              </w:rPr>
            </w:pPr>
            <w:r w:rsidRPr="00DD65EF">
              <w:rPr>
                <w:b/>
                <w:bCs/>
                <w:sz w:val="24"/>
                <w:szCs w:val="24"/>
              </w:rPr>
              <w:t>Source:</w:t>
            </w:r>
          </w:p>
        </w:tc>
        <w:tc>
          <w:tcPr>
            <w:tcW w:w="8612" w:type="dxa"/>
            <w:gridSpan w:val="2"/>
          </w:tcPr>
          <w:p w14:paraId="7508910D" w14:textId="77777777" w:rsidR="00CA74EE" w:rsidRPr="00DD65EF" w:rsidRDefault="00CA74EE" w:rsidP="00A64EC3">
            <w:pPr>
              <w:spacing w:before="80" w:after="80"/>
              <w:rPr>
                <w:bCs/>
                <w:sz w:val="24"/>
                <w:szCs w:val="24"/>
              </w:rPr>
            </w:pPr>
            <w:r w:rsidRPr="004B1B9E">
              <w:rPr>
                <w:bCs/>
                <w:sz w:val="24"/>
                <w:szCs w:val="24"/>
              </w:rPr>
              <w:t>Director, Telecommunication Development Bureau</w:t>
            </w:r>
          </w:p>
        </w:tc>
      </w:tr>
      <w:tr w:rsidR="00CA74EE" w:rsidRPr="00002716" w14:paraId="2CA4E6D3" w14:textId="77777777" w:rsidTr="00A64EC3">
        <w:trPr>
          <w:cantSplit/>
          <w:trHeight w:val="407"/>
        </w:trPr>
        <w:tc>
          <w:tcPr>
            <w:tcW w:w="1276" w:type="dxa"/>
            <w:tcBorders>
              <w:bottom w:val="single" w:sz="4" w:space="0" w:color="00B0F0"/>
            </w:tcBorders>
          </w:tcPr>
          <w:p w14:paraId="0ADB9518" w14:textId="77777777" w:rsidR="00CA74EE" w:rsidRPr="00DD65EF" w:rsidRDefault="00CA74EE" w:rsidP="00A64EC3">
            <w:pPr>
              <w:spacing w:before="80" w:after="80"/>
              <w:jc w:val="both"/>
              <w:rPr>
                <w:b/>
                <w:bCs/>
                <w:sz w:val="24"/>
                <w:szCs w:val="24"/>
              </w:rPr>
            </w:pPr>
            <w:r w:rsidRPr="00DD65EF">
              <w:rPr>
                <w:b/>
                <w:bCs/>
                <w:sz w:val="24"/>
                <w:szCs w:val="24"/>
              </w:rPr>
              <w:t>Title:</w:t>
            </w:r>
          </w:p>
        </w:tc>
        <w:tc>
          <w:tcPr>
            <w:tcW w:w="8612" w:type="dxa"/>
            <w:gridSpan w:val="2"/>
            <w:tcBorders>
              <w:bottom w:val="single" w:sz="4" w:space="0" w:color="00B0F0"/>
            </w:tcBorders>
          </w:tcPr>
          <w:p w14:paraId="24F380E7" w14:textId="77777777" w:rsidR="00CA74EE" w:rsidRPr="00DD65EF" w:rsidRDefault="00CA74EE" w:rsidP="00A64EC3">
            <w:pPr>
              <w:spacing w:before="80" w:after="80"/>
              <w:jc w:val="both"/>
              <w:rPr>
                <w:bCs/>
                <w:sz w:val="24"/>
                <w:szCs w:val="24"/>
              </w:rPr>
            </w:pPr>
            <w:r w:rsidRPr="004B1B9E">
              <w:rPr>
                <w:bCs/>
                <w:sz w:val="24"/>
                <w:szCs w:val="24"/>
              </w:rPr>
              <w:t>Report on TDAG Working Group on WTDC Preparations</w:t>
            </w:r>
          </w:p>
        </w:tc>
      </w:tr>
    </w:tbl>
    <w:p w14:paraId="4D37FC60" w14:textId="77777777" w:rsidR="00CA74EE" w:rsidRPr="004465B8" w:rsidRDefault="00CA74EE" w:rsidP="00524965">
      <w:pPr>
        <w:keepNext/>
        <w:spacing w:before="120" w:after="0" w:line="240" w:lineRule="auto"/>
        <w:rPr>
          <w:rFonts w:cstheme="minorHAnsi"/>
          <w:b/>
          <w:sz w:val="24"/>
          <w:szCs w:val="24"/>
        </w:rPr>
      </w:pPr>
      <w:r w:rsidRPr="004465B8">
        <w:rPr>
          <w:rFonts w:cstheme="minorHAnsi"/>
          <w:b/>
          <w:sz w:val="24"/>
          <w:szCs w:val="24"/>
        </w:rPr>
        <w:t>Summary</w:t>
      </w:r>
    </w:p>
    <w:p w14:paraId="2010ADC0" w14:textId="4A285D35" w:rsidR="00752649" w:rsidRPr="004465B8" w:rsidRDefault="004D1BAB" w:rsidP="00524965">
      <w:pPr>
        <w:spacing w:before="120" w:after="0" w:line="240" w:lineRule="auto"/>
        <w:rPr>
          <w:rFonts w:cstheme="minorHAnsi"/>
          <w:sz w:val="24"/>
          <w:szCs w:val="24"/>
        </w:rPr>
      </w:pPr>
      <w:r w:rsidRPr="004465B8">
        <w:rPr>
          <w:rFonts w:cstheme="minorHAnsi"/>
          <w:sz w:val="24"/>
          <w:szCs w:val="24"/>
        </w:rPr>
        <w:t xml:space="preserve">The </w:t>
      </w:r>
      <w:r w:rsidR="00CA74EE" w:rsidRPr="004465B8">
        <w:rPr>
          <w:rFonts w:cstheme="minorHAnsi"/>
          <w:sz w:val="24"/>
          <w:szCs w:val="24"/>
        </w:rPr>
        <w:t xml:space="preserve">TDAG Working Group on WTDC Preparations </w:t>
      </w:r>
      <w:r w:rsidR="00CA74EE" w:rsidRPr="004465B8">
        <w:rPr>
          <w:rFonts w:cstheme="minorHAnsi"/>
          <w:color w:val="444444"/>
          <w:sz w:val="24"/>
          <w:szCs w:val="24"/>
          <w:shd w:val="clear" w:color="auto" w:fill="FFFFFF"/>
        </w:rPr>
        <w:t xml:space="preserve">(TDAG-WG-Prep), chaired by </w:t>
      </w:r>
      <w:proofErr w:type="spellStart"/>
      <w:r w:rsidR="00CA74EE" w:rsidRPr="004465B8">
        <w:rPr>
          <w:rFonts w:cstheme="minorHAnsi"/>
          <w:sz w:val="24"/>
          <w:szCs w:val="24"/>
          <w:shd w:val="clear" w:color="auto" w:fill="FFFFFF"/>
        </w:rPr>
        <w:t>Mr</w:t>
      </w:r>
      <w:proofErr w:type="spellEnd"/>
      <w:r w:rsidR="00CA74EE" w:rsidRPr="004465B8">
        <w:rPr>
          <w:rFonts w:cstheme="minorHAnsi"/>
          <w:sz w:val="24"/>
          <w:szCs w:val="24"/>
          <w:shd w:val="clear" w:color="auto" w:fill="FFFFFF"/>
        </w:rPr>
        <w:t> </w:t>
      </w:r>
      <w:r w:rsidR="00CA74EE" w:rsidRPr="004465B8">
        <w:rPr>
          <w:rFonts w:cstheme="minorHAnsi"/>
          <w:bCs/>
          <w:sz w:val="24"/>
          <w:szCs w:val="24"/>
          <w:shd w:val="clear" w:color="auto" w:fill="FFFFFF"/>
        </w:rPr>
        <w:t>Santiago</w:t>
      </w:r>
      <w:r w:rsidR="00CA74EE" w:rsidRPr="004465B8">
        <w:rPr>
          <w:rFonts w:cstheme="minorHAnsi"/>
          <w:sz w:val="24"/>
          <w:szCs w:val="24"/>
          <w:shd w:val="clear" w:color="auto" w:fill="FFFFFF"/>
        </w:rPr>
        <w:t> Reyes-Borda (Canada)</w:t>
      </w:r>
      <w:r w:rsidR="008A1515" w:rsidRPr="004465B8">
        <w:rPr>
          <w:rFonts w:cstheme="minorHAnsi"/>
          <w:sz w:val="24"/>
          <w:szCs w:val="24"/>
          <w:shd w:val="clear" w:color="auto" w:fill="FFFFFF"/>
        </w:rPr>
        <w:t xml:space="preserve">, </w:t>
      </w:r>
      <w:r w:rsidRPr="004465B8">
        <w:rPr>
          <w:rFonts w:cstheme="minorHAnsi"/>
          <w:sz w:val="24"/>
          <w:szCs w:val="24"/>
          <w:shd w:val="clear" w:color="auto" w:fill="FFFFFF"/>
        </w:rPr>
        <w:t xml:space="preserve">held its second meeting on </w:t>
      </w:r>
      <w:r w:rsidR="00CA74EE" w:rsidRPr="004465B8">
        <w:rPr>
          <w:rFonts w:cstheme="minorHAnsi"/>
          <w:sz w:val="24"/>
          <w:szCs w:val="24"/>
        </w:rPr>
        <w:t xml:space="preserve">7 September 2020 </w:t>
      </w:r>
      <w:r w:rsidRPr="004465B8">
        <w:rPr>
          <w:rFonts w:cstheme="minorHAnsi"/>
          <w:sz w:val="24"/>
          <w:szCs w:val="24"/>
        </w:rPr>
        <w:t xml:space="preserve">attended by </w:t>
      </w:r>
      <w:r w:rsidR="00CA74EE" w:rsidRPr="004465B8">
        <w:rPr>
          <w:rFonts w:cstheme="minorHAnsi"/>
          <w:sz w:val="24"/>
          <w:szCs w:val="24"/>
        </w:rPr>
        <w:t>more than 100</w:t>
      </w:r>
      <w:r w:rsidR="00995E43" w:rsidRPr="004465B8">
        <w:rPr>
          <w:rFonts w:cstheme="minorHAnsi"/>
          <w:sz w:val="24"/>
          <w:szCs w:val="24"/>
        </w:rPr>
        <w:t> </w:t>
      </w:r>
      <w:r w:rsidR="00CA74EE" w:rsidRPr="004465B8">
        <w:rPr>
          <w:rFonts w:cstheme="minorHAnsi"/>
          <w:sz w:val="24"/>
          <w:szCs w:val="24"/>
        </w:rPr>
        <w:t xml:space="preserve">participants. </w:t>
      </w:r>
      <w:r w:rsidR="000122BB" w:rsidRPr="004465B8">
        <w:rPr>
          <w:rFonts w:cstheme="minorHAnsi"/>
          <w:sz w:val="24"/>
          <w:szCs w:val="24"/>
        </w:rPr>
        <w:t>C</w:t>
      </w:r>
      <w:r w:rsidR="00FB3533" w:rsidRPr="004465B8">
        <w:rPr>
          <w:rFonts w:cstheme="minorHAnsi"/>
          <w:sz w:val="24"/>
          <w:szCs w:val="24"/>
        </w:rPr>
        <w:t xml:space="preserve">ontributions </w:t>
      </w:r>
      <w:r w:rsidR="002E6DCC" w:rsidRPr="004465B8">
        <w:rPr>
          <w:rFonts w:cstheme="minorHAnsi"/>
          <w:sz w:val="24"/>
          <w:szCs w:val="24"/>
        </w:rPr>
        <w:t xml:space="preserve">received </w:t>
      </w:r>
      <w:r w:rsidR="00FB3533" w:rsidRPr="004465B8">
        <w:rPr>
          <w:rFonts w:cstheme="minorHAnsi"/>
          <w:sz w:val="24"/>
          <w:szCs w:val="24"/>
        </w:rPr>
        <w:t xml:space="preserve">from the Russian Federation, Lithuania, EMEA Satellite Operators Association (ESOA) and </w:t>
      </w:r>
      <w:r w:rsidR="00FB3533" w:rsidRPr="004465B8">
        <w:rPr>
          <w:rFonts w:cstheme="minorHAnsi"/>
          <w:sz w:val="24"/>
          <w:szCs w:val="24"/>
          <w:lang w:val="en-ZW"/>
        </w:rPr>
        <w:t>Zimbabwe</w:t>
      </w:r>
      <w:r w:rsidR="000122BB" w:rsidRPr="004465B8">
        <w:rPr>
          <w:rFonts w:cstheme="minorHAnsi"/>
          <w:sz w:val="24"/>
          <w:szCs w:val="24"/>
        </w:rPr>
        <w:t xml:space="preserve"> were presented to the meeting by delegates from each of these members. The meeting also considered the contribution received from Indonesia</w:t>
      </w:r>
      <w:r w:rsidR="00BF6177" w:rsidRPr="004465B8">
        <w:rPr>
          <w:rFonts w:cstheme="minorHAnsi"/>
          <w:sz w:val="24"/>
          <w:szCs w:val="24"/>
        </w:rPr>
        <w:t xml:space="preserve">, though this could not be presented </w:t>
      </w:r>
      <w:r w:rsidR="001C3763" w:rsidRPr="004465B8">
        <w:rPr>
          <w:rFonts w:cstheme="minorHAnsi"/>
          <w:sz w:val="24"/>
          <w:szCs w:val="24"/>
        </w:rPr>
        <w:t xml:space="preserve">orally </w:t>
      </w:r>
      <w:r w:rsidR="00BF6177" w:rsidRPr="004465B8">
        <w:rPr>
          <w:rFonts w:cstheme="minorHAnsi"/>
          <w:sz w:val="24"/>
          <w:szCs w:val="24"/>
        </w:rPr>
        <w:t>due to connectivity challenges</w:t>
      </w:r>
    </w:p>
    <w:p w14:paraId="3C999A84" w14:textId="695756BD" w:rsidR="00FB3533" w:rsidRPr="004465B8" w:rsidRDefault="00752649" w:rsidP="00524965">
      <w:pPr>
        <w:spacing w:before="120" w:after="0" w:line="240" w:lineRule="auto"/>
        <w:rPr>
          <w:rFonts w:cstheme="minorHAnsi"/>
          <w:sz w:val="24"/>
          <w:szCs w:val="24"/>
        </w:rPr>
      </w:pPr>
      <w:r w:rsidRPr="004465B8">
        <w:rPr>
          <w:rFonts w:cstheme="minorHAnsi"/>
          <w:sz w:val="24"/>
          <w:szCs w:val="24"/>
        </w:rPr>
        <w:t>T</w:t>
      </w:r>
      <w:r w:rsidR="00FB3533" w:rsidRPr="004465B8">
        <w:rPr>
          <w:rFonts w:cstheme="minorHAnsi"/>
          <w:sz w:val="24"/>
          <w:szCs w:val="24"/>
        </w:rPr>
        <w:t xml:space="preserve">he proposals put forward in these contributions </w:t>
      </w:r>
      <w:r w:rsidR="001C3763" w:rsidRPr="004465B8">
        <w:rPr>
          <w:rFonts w:cstheme="minorHAnsi"/>
          <w:sz w:val="24"/>
          <w:szCs w:val="24"/>
        </w:rPr>
        <w:t xml:space="preserve">are </w:t>
      </w:r>
      <w:r w:rsidRPr="004465B8">
        <w:rPr>
          <w:rFonts w:cstheme="minorHAnsi"/>
          <w:sz w:val="24"/>
          <w:szCs w:val="24"/>
        </w:rPr>
        <w:t xml:space="preserve">broadly aligned with </w:t>
      </w:r>
      <w:r w:rsidR="00FB3533" w:rsidRPr="004465B8">
        <w:rPr>
          <w:sz w:val="24"/>
          <w:szCs w:val="24"/>
        </w:rPr>
        <w:t xml:space="preserve">the </w:t>
      </w:r>
      <w:r w:rsidR="001C249D" w:rsidRPr="004465B8">
        <w:rPr>
          <w:sz w:val="24"/>
          <w:szCs w:val="24"/>
        </w:rPr>
        <w:t xml:space="preserve">questions </w:t>
      </w:r>
      <w:r w:rsidR="00FB3533" w:rsidRPr="004465B8">
        <w:rPr>
          <w:sz w:val="24"/>
          <w:szCs w:val="24"/>
        </w:rPr>
        <w:t xml:space="preserve">raised in Annex 4 of </w:t>
      </w:r>
      <w:hyperlink r:id="rId9" w:history="1">
        <w:r w:rsidR="00FB3533" w:rsidRPr="004465B8">
          <w:rPr>
            <w:rStyle w:val="Hyperlink"/>
            <w:rFonts w:cstheme="minorHAnsi"/>
            <w:sz w:val="24"/>
            <w:szCs w:val="24"/>
          </w:rPr>
          <w:t>Circular Letter BDT/DDR/TDAG/052</w:t>
        </w:r>
      </w:hyperlink>
      <w:r w:rsidR="002E6DCC" w:rsidRPr="004465B8">
        <w:rPr>
          <w:rFonts w:cstheme="minorHAnsi"/>
          <w:sz w:val="24"/>
          <w:szCs w:val="24"/>
        </w:rPr>
        <w:t>:</w:t>
      </w:r>
      <w:r w:rsidR="00FB3533" w:rsidRPr="004465B8">
        <w:rPr>
          <w:sz w:val="24"/>
          <w:szCs w:val="24"/>
        </w:rPr>
        <w:t xml:space="preserve"> “Guiding questions for the submission of contributions to the TDAG-WG-Prep by membership”.</w:t>
      </w:r>
      <w:r w:rsidRPr="004465B8">
        <w:rPr>
          <w:sz w:val="24"/>
          <w:szCs w:val="24"/>
        </w:rPr>
        <w:t xml:space="preserve"> A consolidated summary of the proposals is attached as Annex 1 to this report.</w:t>
      </w:r>
    </w:p>
    <w:p w14:paraId="6BC97C1D" w14:textId="0FCB4FD9" w:rsidR="00FB3533" w:rsidRPr="004465B8" w:rsidRDefault="00FB3533" w:rsidP="00524965">
      <w:pPr>
        <w:spacing w:before="120" w:after="0" w:line="240" w:lineRule="auto"/>
        <w:rPr>
          <w:rFonts w:cstheme="minorHAnsi"/>
          <w:sz w:val="24"/>
          <w:szCs w:val="24"/>
        </w:rPr>
      </w:pPr>
      <w:r w:rsidRPr="004465B8">
        <w:rPr>
          <w:rFonts w:cstheme="minorHAnsi"/>
          <w:sz w:val="24"/>
          <w:szCs w:val="24"/>
        </w:rPr>
        <w:t xml:space="preserve">This report presents </w:t>
      </w:r>
      <w:proofErr w:type="gramStart"/>
      <w:r w:rsidRPr="004465B8">
        <w:rPr>
          <w:rFonts w:cstheme="minorHAnsi"/>
          <w:sz w:val="24"/>
          <w:szCs w:val="24"/>
        </w:rPr>
        <w:t xml:space="preserve">a </w:t>
      </w:r>
      <w:r w:rsidR="00752649" w:rsidRPr="004465B8">
        <w:rPr>
          <w:rFonts w:cstheme="minorHAnsi"/>
          <w:sz w:val="24"/>
          <w:szCs w:val="24"/>
        </w:rPr>
        <w:t xml:space="preserve">brief </w:t>
      </w:r>
      <w:r w:rsidRPr="004465B8">
        <w:rPr>
          <w:rFonts w:cstheme="minorHAnsi"/>
          <w:sz w:val="24"/>
          <w:szCs w:val="24"/>
        </w:rPr>
        <w:t>summary</w:t>
      </w:r>
      <w:proofErr w:type="gramEnd"/>
      <w:r w:rsidRPr="004465B8">
        <w:rPr>
          <w:rFonts w:cstheme="minorHAnsi"/>
          <w:sz w:val="24"/>
          <w:szCs w:val="24"/>
        </w:rPr>
        <w:t xml:space="preserve"> of the </w:t>
      </w:r>
      <w:r w:rsidR="002E6DCC" w:rsidRPr="004465B8">
        <w:rPr>
          <w:rFonts w:cstheme="minorHAnsi"/>
          <w:sz w:val="24"/>
          <w:szCs w:val="24"/>
        </w:rPr>
        <w:t xml:space="preserve">observations and comments </w:t>
      </w:r>
      <w:r w:rsidR="001C3763" w:rsidRPr="004465B8">
        <w:rPr>
          <w:rFonts w:cstheme="minorHAnsi"/>
          <w:sz w:val="24"/>
          <w:szCs w:val="24"/>
        </w:rPr>
        <w:t xml:space="preserve">made </w:t>
      </w:r>
      <w:r w:rsidR="00752649" w:rsidRPr="004465B8">
        <w:rPr>
          <w:rFonts w:cstheme="minorHAnsi"/>
          <w:sz w:val="24"/>
          <w:szCs w:val="24"/>
        </w:rPr>
        <w:t xml:space="preserve">on those contributions during </w:t>
      </w:r>
      <w:r w:rsidR="002E6DCC" w:rsidRPr="004465B8">
        <w:rPr>
          <w:rFonts w:cstheme="minorHAnsi"/>
          <w:sz w:val="24"/>
          <w:szCs w:val="24"/>
        </w:rPr>
        <w:t xml:space="preserve">the meeting. </w:t>
      </w:r>
    </w:p>
    <w:p w14:paraId="3209481B" w14:textId="76C16209" w:rsidR="00CA74EE" w:rsidRPr="004465B8" w:rsidRDefault="00752649" w:rsidP="00524965">
      <w:pPr>
        <w:spacing w:before="120" w:after="0" w:line="240" w:lineRule="auto"/>
        <w:rPr>
          <w:rFonts w:cstheme="minorHAnsi"/>
          <w:sz w:val="24"/>
          <w:szCs w:val="24"/>
        </w:rPr>
      </w:pPr>
      <w:r w:rsidRPr="004465B8">
        <w:rPr>
          <w:rFonts w:cstheme="minorHAnsi"/>
          <w:b/>
          <w:sz w:val="24"/>
          <w:szCs w:val="24"/>
        </w:rPr>
        <w:t>Participant</w:t>
      </w:r>
      <w:r w:rsidR="0061054C" w:rsidRPr="004465B8">
        <w:rPr>
          <w:rFonts w:cstheme="minorHAnsi"/>
          <w:b/>
          <w:sz w:val="24"/>
          <w:szCs w:val="24"/>
        </w:rPr>
        <w:t>s</w:t>
      </w:r>
      <w:r w:rsidRPr="004465B8">
        <w:rPr>
          <w:rFonts w:cstheme="minorHAnsi"/>
          <w:b/>
          <w:sz w:val="24"/>
          <w:szCs w:val="24"/>
        </w:rPr>
        <w:t xml:space="preserve"> </w:t>
      </w:r>
      <w:r w:rsidR="001C3763" w:rsidRPr="004465B8">
        <w:rPr>
          <w:rFonts w:cstheme="minorHAnsi"/>
          <w:b/>
          <w:sz w:val="24"/>
          <w:szCs w:val="24"/>
        </w:rPr>
        <w:t xml:space="preserve">underlined </w:t>
      </w:r>
      <w:r w:rsidRPr="004465B8">
        <w:rPr>
          <w:rFonts w:cstheme="minorHAnsi"/>
          <w:b/>
          <w:sz w:val="24"/>
          <w:szCs w:val="24"/>
        </w:rPr>
        <w:t>the need to a</w:t>
      </w:r>
      <w:r w:rsidR="00CA74EE" w:rsidRPr="004465B8">
        <w:rPr>
          <w:rFonts w:cstheme="minorHAnsi"/>
          <w:b/>
          <w:sz w:val="24"/>
          <w:szCs w:val="24"/>
        </w:rPr>
        <w:t xml:space="preserve">llocate more time </w:t>
      </w:r>
      <w:r w:rsidR="00D53624" w:rsidRPr="004465B8">
        <w:rPr>
          <w:rFonts w:cstheme="minorHAnsi"/>
          <w:b/>
          <w:sz w:val="24"/>
          <w:szCs w:val="24"/>
        </w:rPr>
        <w:t>for discussions on</w:t>
      </w:r>
      <w:r w:rsidR="00CA74EE" w:rsidRPr="004465B8">
        <w:rPr>
          <w:rFonts w:cstheme="minorHAnsi"/>
          <w:b/>
          <w:sz w:val="24"/>
          <w:szCs w:val="24"/>
        </w:rPr>
        <w:t xml:space="preserve"> study group Que</w:t>
      </w:r>
      <w:r w:rsidR="00A64958" w:rsidRPr="004465B8">
        <w:rPr>
          <w:rFonts w:cstheme="minorHAnsi"/>
          <w:b/>
          <w:sz w:val="24"/>
          <w:szCs w:val="24"/>
        </w:rPr>
        <w:t>stions and resolutions</w:t>
      </w:r>
      <w:r w:rsidRPr="004465B8">
        <w:rPr>
          <w:rFonts w:cstheme="minorHAnsi"/>
          <w:b/>
          <w:sz w:val="24"/>
          <w:szCs w:val="24"/>
        </w:rPr>
        <w:t xml:space="preserve">. </w:t>
      </w:r>
      <w:r w:rsidRPr="004465B8">
        <w:rPr>
          <w:rFonts w:cstheme="minorHAnsi"/>
          <w:sz w:val="24"/>
          <w:szCs w:val="24"/>
        </w:rPr>
        <w:t>It was noted that</w:t>
      </w:r>
      <w:r w:rsidRPr="004465B8">
        <w:rPr>
          <w:rFonts w:cstheme="minorHAnsi"/>
          <w:b/>
          <w:sz w:val="24"/>
          <w:szCs w:val="24"/>
        </w:rPr>
        <w:t xml:space="preserve"> </w:t>
      </w:r>
      <w:r w:rsidRPr="004465B8">
        <w:rPr>
          <w:rFonts w:cstheme="minorHAnsi"/>
          <w:sz w:val="24"/>
          <w:szCs w:val="24"/>
        </w:rPr>
        <w:t>l</w:t>
      </w:r>
      <w:r w:rsidR="009700A6" w:rsidRPr="004465B8">
        <w:rPr>
          <w:rFonts w:cstheme="minorHAnsi"/>
          <w:sz w:val="24"/>
          <w:szCs w:val="24"/>
        </w:rPr>
        <w:t xml:space="preserve">essons learned from previous WTDCs indicate the need to </w:t>
      </w:r>
      <w:r w:rsidR="00A64958" w:rsidRPr="004465B8">
        <w:rPr>
          <w:rFonts w:cstheme="minorHAnsi"/>
          <w:sz w:val="24"/>
          <w:szCs w:val="24"/>
        </w:rPr>
        <w:t>reduce “side events”</w:t>
      </w:r>
      <w:r w:rsidR="00D53624" w:rsidRPr="004465B8">
        <w:rPr>
          <w:rFonts w:cstheme="minorHAnsi"/>
          <w:sz w:val="24"/>
          <w:szCs w:val="24"/>
        </w:rPr>
        <w:t xml:space="preserve"> to better accommodate these discussions</w:t>
      </w:r>
      <w:r w:rsidR="00A64958" w:rsidRPr="004465B8">
        <w:rPr>
          <w:rFonts w:cstheme="minorHAnsi"/>
          <w:sz w:val="24"/>
          <w:szCs w:val="24"/>
        </w:rPr>
        <w:t>.</w:t>
      </w:r>
    </w:p>
    <w:p w14:paraId="6783A669" w14:textId="077CB134" w:rsidR="00F07DB8" w:rsidRPr="004465B8" w:rsidRDefault="00F07DB8" w:rsidP="00524965">
      <w:pPr>
        <w:spacing w:before="120" w:after="0"/>
        <w:rPr>
          <w:color w:val="000000" w:themeColor="text1"/>
          <w:sz w:val="24"/>
          <w:szCs w:val="24"/>
        </w:rPr>
      </w:pPr>
      <w:r w:rsidRPr="004465B8">
        <w:rPr>
          <w:b/>
          <w:sz w:val="24"/>
          <w:szCs w:val="24"/>
        </w:rPr>
        <w:t>Participants welcomed the idea to devise a new scheme for high-level policy statements</w:t>
      </w:r>
      <w:r w:rsidRPr="004465B8">
        <w:rPr>
          <w:sz w:val="24"/>
          <w:szCs w:val="24"/>
        </w:rPr>
        <w:t xml:space="preserve"> – a scheme that would also contribute to the outcome of WTDC, as outlined in the proposal from Zimbabwe. </w:t>
      </w:r>
      <w:r w:rsidRPr="004465B8">
        <w:rPr>
          <w:color w:val="000000" w:themeColor="text1"/>
          <w:sz w:val="24"/>
          <w:szCs w:val="24"/>
        </w:rPr>
        <w:t xml:space="preserve">Notwithstanding the importance of high-level policy statements, ITU members have witnessed over the years how monotonous those statements tend to be, taking up the time of key conference work. </w:t>
      </w:r>
    </w:p>
    <w:p w14:paraId="673EDB0D" w14:textId="252FCBE5" w:rsidR="00985129" w:rsidRPr="004465B8" w:rsidRDefault="00F53311" w:rsidP="00524965">
      <w:pPr>
        <w:spacing w:before="120" w:after="0" w:line="240" w:lineRule="auto"/>
        <w:rPr>
          <w:rFonts w:cstheme="minorHAnsi"/>
          <w:sz w:val="24"/>
          <w:szCs w:val="24"/>
        </w:rPr>
      </w:pPr>
      <w:r w:rsidRPr="004465B8">
        <w:rPr>
          <w:rFonts w:cstheme="minorHAnsi"/>
          <w:b/>
          <w:sz w:val="24"/>
          <w:szCs w:val="24"/>
        </w:rPr>
        <w:t>A</w:t>
      </w:r>
      <w:r w:rsidR="00CA74EE" w:rsidRPr="004465B8">
        <w:rPr>
          <w:rFonts w:cstheme="minorHAnsi"/>
          <w:b/>
          <w:sz w:val="24"/>
          <w:szCs w:val="24"/>
        </w:rPr>
        <w:t xml:space="preserve"> conceptual framework </w:t>
      </w:r>
      <w:r w:rsidRPr="004465B8">
        <w:rPr>
          <w:rFonts w:cstheme="minorHAnsi"/>
          <w:b/>
          <w:sz w:val="24"/>
          <w:szCs w:val="24"/>
        </w:rPr>
        <w:t xml:space="preserve">is needed </w:t>
      </w:r>
      <w:r w:rsidR="00752649" w:rsidRPr="004465B8">
        <w:rPr>
          <w:rFonts w:cstheme="minorHAnsi"/>
          <w:b/>
          <w:sz w:val="24"/>
          <w:szCs w:val="24"/>
        </w:rPr>
        <w:t xml:space="preserve">which </w:t>
      </w:r>
      <w:r w:rsidR="00752649" w:rsidRPr="004465B8">
        <w:rPr>
          <w:rFonts w:cstheme="minorHAnsi"/>
          <w:sz w:val="24"/>
          <w:szCs w:val="24"/>
        </w:rPr>
        <w:t xml:space="preserve">defines </w:t>
      </w:r>
      <w:r w:rsidR="00D53624" w:rsidRPr="004465B8">
        <w:rPr>
          <w:rFonts w:cstheme="minorHAnsi"/>
          <w:sz w:val="24"/>
          <w:szCs w:val="24"/>
        </w:rPr>
        <w:t>the full range of stakeholders and the mechanism for their participation</w:t>
      </w:r>
      <w:r w:rsidR="00752649" w:rsidRPr="004465B8">
        <w:rPr>
          <w:rFonts w:cstheme="minorHAnsi"/>
          <w:sz w:val="24"/>
          <w:szCs w:val="24"/>
        </w:rPr>
        <w:t xml:space="preserve"> in the conference</w:t>
      </w:r>
      <w:r w:rsidR="00D53624" w:rsidRPr="004465B8">
        <w:rPr>
          <w:rFonts w:cstheme="minorHAnsi"/>
          <w:sz w:val="24"/>
          <w:szCs w:val="24"/>
        </w:rPr>
        <w:t>.</w:t>
      </w:r>
      <w:r w:rsidR="00985129" w:rsidRPr="004465B8">
        <w:rPr>
          <w:rFonts w:cstheme="minorHAnsi"/>
          <w:sz w:val="24"/>
          <w:szCs w:val="24"/>
        </w:rPr>
        <w:t xml:space="preserve"> Would that participation be limited only to side events? Will side events be held in parallel to the discussions of resolutions or study group Questions or other fundamental aspects of the conference? </w:t>
      </w:r>
    </w:p>
    <w:p w14:paraId="6FC8A5B4" w14:textId="6EF8ADFE" w:rsidR="00FB2AEB" w:rsidRPr="004465B8" w:rsidRDefault="00752649" w:rsidP="00524965">
      <w:pPr>
        <w:spacing w:before="120" w:after="0" w:line="240" w:lineRule="auto"/>
        <w:rPr>
          <w:rFonts w:cstheme="minorHAnsi"/>
          <w:sz w:val="24"/>
          <w:szCs w:val="24"/>
        </w:rPr>
      </w:pPr>
      <w:r w:rsidRPr="004465B8">
        <w:rPr>
          <w:rFonts w:cstheme="minorHAnsi"/>
          <w:b/>
          <w:sz w:val="24"/>
          <w:szCs w:val="24"/>
        </w:rPr>
        <w:t>When defining stakeholder groups</w:t>
      </w:r>
      <w:r w:rsidR="004116A2" w:rsidRPr="004465B8">
        <w:rPr>
          <w:rFonts w:cstheme="minorHAnsi"/>
          <w:b/>
          <w:sz w:val="24"/>
          <w:szCs w:val="24"/>
        </w:rPr>
        <w:t>,</w:t>
      </w:r>
      <w:r w:rsidRPr="004465B8">
        <w:rPr>
          <w:rFonts w:cstheme="minorHAnsi"/>
          <w:b/>
          <w:sz w:val="24"/>
          <w:szCs w:val="24"/>
        </w:rPr>
        <w:t xml:space="preserve"> it was noted that this should include </w:t>
      </w:r>
      <w:r w:rsidR="00985129" w:rsidRPr="004465B8">
        <w:rPr>
          <w:rFonts w:cstheme="minorHAnsi"/>
          <w:b/>
          <w:sz w:val="24"/>
          <w:szCs w:val="24"/>
        </w:rPr>
        <w:t xml:space="preserve">donors </w:t>
      </w:r>
      <w:r w:rsidRPr="004465B8">
        <w:rPr>
          <w:rFonts w:cstheme="minorHAnsi"/>
          <w:b/>
          <w:sz w:val="24"/>
          <w:szCs w:val="24"/>
        </w:rPr>
        <w:t xml:space="preserve">who should be encouraged </w:t>
      </w:r>
      <w:r w:rsidR="00985129" w:rsidRPr="004465B8">
        <w:rPr>
          <w:rFonts w:cstheme="minorHAnsi"/>
          <w:b/>
          <w:sz w:val="24"/>
          <w:szCs w:val="24"/>
        </w:rPr>
        <w:t>to participate in WTDC</w:t>
      </w:r>
      <w:r w:rsidRPr="004465B8">
        <w:rPr>
          <w:rFonts w:cstheme="minorHAnsi"/>
          <w:sz w:val="24"/>
          <w:szCs w:val="24"/>
        </w:rPr>
        <w:t>,</w:t>
      </w:r>
      <w:r w:rsidR="00F33FFD" w:rsidRPr="004465B8">
        <w:rPr>
          <w:rFonts w:cstheme="minorHAnsi"/>
          <w:sz w:val="24"/>
          <w:szCs w:val="24"/>
        </w:rPr>
        <w:t xml:space="preserve"> as they </w:t>
      </w:r>
      <w:r w:rsidRPr="004465B8">
        <w:rPr>
          <w:rFonts w:cstheme="minorHAnsi"/>
          <w:sz w:val="24"/>
          <w:szCs w:val="24"/>
        </w:rPr>
        <w:t xml:space="preserve">could </w:t>
      </w:r>
      <w:r w:rsidR="00985129" w:rsidRPr="004465B8">
        <w:rPr>
          <w:rFonts w:cstheme="minorHAnsi"/>
          <w:sz w:val="24"/>
          <w:szCs w:val="24"/>
        </w:rPr>
        <w:t xml:space="preserve">contribute to </w:t>
      </w:r>
      <w:r w:rsidR="00CA74EE" w:rsidRPr="004465B8">
        <w:rPr>
          <w:rFonts w:cstheme="minorHAnsi"/>
          <w:sz w:val="24"/>
          <w:szCs w:val="24"/>
        </w:rPr>
        <w:t>funding development projects in ITU</w:t>
      </w:r>
      <w:r w:rsidR="00CA74EE" w:rsidRPr="004465B8">
        <w:rPr>
          <w:rFonts w:cstheme="minorHAnsi"/>
          <w:sz w:val="24"/>
          <w:szCs w:val="24"/>
        </w:rPr>
        <w:noBreakHyphen/>
        <w:t>D.</w:t>
      </w:r>
      <w:r w:rsidR="00F33FFD" w:rsidRPr="004465B8">
        <w:rPr>
          <w:rFonts w:cstheme="minorHAnsi"/>
          <w:sz w:val="24"/>
          <w:szCs w:val="24"/>
        </w:rPr>
        <w:t xml:space="preserve"> T</w:t>
      </w:r>
      <w:r w:rsidR="00FB2AEB" w:rsidRPr="004465B8">
        <w:rPr>
          <w:rFonts w:cstheme="minorHAnsi"/>
          <w:sz w:val="24"/>
          <w:szCs w:val="24"/>
        </w:rPr>
        <w:t xml:space="preserve">here was a call to start engaging with </w:t>
      </w:r>
      <w:r w:rsidR="00340876" w:rsidRPr="004465B8">
        <w:rPr>
          <w:rFonts w:cstheme="minorHAnsi"/>
          <w:sz w:val="24"/>
          <w:szCs w:val="24"/>
        </w:rPr>
        <w:t xml:space="preserve">the </w:t>
      </w:r>
      <w:r w:rsidR="00FB2AEB" w:rsidRPr="004465B8">
        <w:rPr>
          <w:rFonts w:cstheme="minorHAnsi"/>
          <w:sz w:val="24"/>
          <w:szCs w:val="24"/>
        </w:rPr>
        <w:t xml:space="preserve">stakeholders involved in funding various activities – </w:t>
      </w:r>
      <w:r w:rsidR="00FB2AEB" w:rsidRPr="004465B8">
        <w:rPr>
          <w:rFonts w:cstheme="minorHAnsi"/>
          <w:sz w:val="24"/>
          <w:szCs w:val="24"/>
        </w:rPr>
        <w:lastRenderedPageBreak/>
        <w:t xml:space="preserve">the lending institutions, the private sector, the </w:t>
      </w:r>
      <w:proofErr w:type="spellStart"/>
      <w:r w:rsidR="00FB2AEB" w:rsidRPr="004465B8">
        <w:rPr>
          <w:rFonts w:cstheme="minorHAnsi"/>
          <w:sz w:val="24"/>
          <w:szCs w:val="24"/>
        </w:rPr>
        <w:t>multistakeholder</w:t>
      </w:r>
      <w:proofErr w:type="spellEnd"/>
      <w:r w:rsidR="00FB2AEB" w:rsidRPr="004465B8">
        <w:rPr>
          <w:rFonts w:cstheme="minorHAnsi"/>
          <w:sz w:val="24"/>
          <w:szCs w:val="24"/>
        </w:rPr>
        <w:t xml:space="preserve"> community. These different stakeholders have a </w:t>
      </w:r>
      <w:proofErr w:type="gramStart"/>
      <w:r w:rsidR="00FB2AEB" w:rsidRPr="004465B8">
        <w:rPr>
          <w:rFonts w:cstheme="minorHAnsi"/>
          <w:sz w:val="24"/>
          <w:szCs w:val="24"/>
        </w:rPr>
        <w:t>particular role</w:t>
      </w:r>
      <w:proofErr w:type="gramEnd"/>
      <w:r w:rsidR="00FB2AEB" w:rsidRPr="004465B8">
        <w:rPr>
          <w:rFonts w:cstheme="minorHAnsi"/>
          <w:sz w:val="24"/>
          <w:szCs w:val="24"/>
        </w:rPr>
        <w:t xml:space="preserve"> in implement</w:t>
      </w:r>
      <w:r w:rsidR="00F33FFD" w:rsidRPr="004465B8">
        <w:rPr>
          <w:rFonts w:cstheme="minorHAnsi"/>
          <w:sz w:val="24"/>
          <w:szCs w:val="24"/>
        </w:rPr>
        <w:t xml:space="preserve">ing </w:t>
      </w:r>
      <w:r w:rsidR="00FB2AEB" w:rsidRPr="004465B8">
        <w:rPr>
          <w:rFonts w:cstheme="minorHAnsi"/>
          <w:sz w:val="24"/>
          <w:szCs w:val="24"/>
        </w:rPr>
        <w:t xml:space="preserve">projects. In this regard, the project implementation function in </w:t>
      </w:r>
      <w:r w:rsidR="00F33FFD" w:rsidRPr="004465B8">
        <w:rPr>
          <w:rFonts w:cstheme="minorHAnsi"/>
          <w:sz w:val="24"/>
          <w:szCs w:val="24"/>
        </w:rPr>
        <w:t xml:space="preserve">ITU will be examined in greater </w:t>
      </w:r>
      <w:r w:rsidR="00FB2AEB" w:rsidRPr="004465B8">
        <w:rPr>
          <w:rFonts w:cstheme="minorHAnsi"/>
          <w:sz w:val="24"/>
          <w:szCs w:val="24"/>
        </w:rPr>
        <w:t>detail in terms of collaborating and partnering with relevant expert organizations at the regional and international levels.</w:t>
      </w:r>
    </w:p>
    <w:p w14:paraId="79BAE476" w14:textId="4ABF032E" w:rsidR="00C6335E" w:rsidRPr="004465B8" w:rsidRDefault="00752649" w:rsidP="00524965">
      <w:pPr>
        <w:spacing w:before="120" w:after="0" w:line="240" w:lineRule="auto"/>
        <w:rPr>
          <w:rFonts w:cstheme="minorHAnsi"/>
          <w:sz w:val="24"/>
          <w:szCs w:val="24"/>
        </w:rPr>
      </w:pPr>
      <w:r w:rsidRPr="004465B8">
        <w:rPr>
          <w:rFonts w:cstheme="minorHAnsi"/>
          <w:b/>
          <w:sz w:val="24"/>
          <w:szCs w:val="24"/>
        </w:rPr>
        <w:t>The Chair</w:t>
      </w:r>
      <w:r w:rsidR="00F07DB8" w:rsidRPr="004465B8">
        <w:rPr>
          <w:rFonts w:cstheme="minorHAnsi"/>
          <w:b/>
          <w:sz w:val="24"/>
          <w:szCs w:val="24"/>
        </w:rPr>
        <w:t>man</w:t>
      </w:r>
      <w:r w:rsidRPr="004465B8">
        <w:rPr>
          <w:rFonts w:cstheme="minorHAnsi"/>
          <w:b/>
          <w:sz w:val="24"/>
          <w:szCs w:val="24"/>
        </w:rPr>
        <w:t xml:space="preserve"> of TDAG noted that ITU should r</w:t>
      </w:r>
      <w:r w:rsidR="008013DA" w:rsidRPr="004465B8">
        <w:rPr>
          <w:rFonts w:cstheme="minorHAnsi"/>
          <w:b/>
          <w:sz w:val="24"/>
          <w:szCs w:val="24"/>
        </w:rPr>
        <w:t>evisit the “separate track” t</w:t>
      </w:r>
      <w:r w:rsidR="00C6335E" w:rsidRPr="004465B8">
        <w:rPr>
          <w:rFonts w:cstheme="minorHAnsi"/>
          <w:b/>
          <w:sz w:val="24"/>
          <w:szCs w:val="24"/>
        </w:rPr>
        <w:t>erminology</w:t>
      </w:r>
      <w:r w:rsidR="00340876" w:rsidRPr="004465B8">
        <w:rPr>
          <w:rFonts w:cstheme="minorHAnsi"/>
          <w:b/>
          <w:sz w:val="24"/>
          <w:szCs w:val="24"/>
        </w:rPr>
        <w:t xml:space="preserve"> </w:t>
      </w:r>
      <w:r w:rsidR="00340876" w:rsidRPr="004465B8">
        <w:rPr>
          <w:rFonts w:cstheme="minorHAnsi"/>
          <w:sz w:val="24"/>
          <w:szCs w:val="24"/>
        </w:rPr>
        <w:t>to avoid the current interpretation</w:t>
      </w:r>
      <w:r w:rsidR="00D53624" w:rsidRPr="004465B8">
        <w:rPr>
          <w:rFonts w:cstheme="minorHAnsi"/>
          <w:sz w:val="24"/>
          <w:szCs w:val="24"/>
        </w:rPr>
        <w:t xml:space="preserve"> that a</w:t>
      </w:r>
      <w:r w:rsidR="00F53311" w:rsidRPr="004465B8">
        <w:rPr>
          <w:rFonts w:cstheme="minorHAnsi"/>
          <w:sz w:val="24"/>
          <w:szCs w:val="24"/>
        </w:rPr>
        <w:t xml:space="preserve"> separate</w:t>
      </w:r>
      <w:r w:rsidR="00340876" w:rsidRPr="004465B8">
        <w:rPr>
          <w:rFonts w:cstheme="minorHAnsi"/>
          <w:sz w:val="24"/>
          <w:szCs w:val="24"/>
        </w:rPr>
        <w:t>-</w:t>
      </w:r>
      <w:r w:rsidR="00F53311" w:rsidRPr="004465B8">
        <w:rPr>
          <w:rFonts w:cstheme="minorHAnsi"/>
          <w:sz w:val="24"/>
          <w:szCs w:val="24"/>
        </w:rPr>
        <w:t>track approach could</w:t>
      </w:r>
      <w:r w:rsidR="008013DA" w:rsidRPr="004465B8">
        <w:rPr>
          <w:rFonts w:cstheme="minorHAnsi"/>
          <w:sz w:val="24"/>
          <w:szCs w:val="24"/>
        </w:rPr>
        <w:t xml:space="preserve"> jeopardize the participation of smaller ITU Member States and Sector Members with small delegations</w:t>
      </w:r>
      <w:r w:rsidR="00C6335E" w:rsidRPr="004465B8">
        <w:rPr>
          <w:rFonts w:cstheme="minorHAnsi"/>
          <w:sz w:val="24"/>
          <w:szCs w:val="24"/>
        </w:rPr>
        <w:t xml:space="preserve">. </w:t>
      </w:r>
      <w:r w:rsidR="00B314BC" w:rsidRPr="004465B8">
        <w:rPr>
          <w:rFonts w:cstheme="minorHAnsi"/>
          <w:sz w:val="24"/>
          <w:szCs w:val="24"/>
        </w:rPr>
        <w:t xml:space="preserve">Meanwhile, </w:t>
      </w:r>
      <w:proofErr w:type="gramStart"/>
      <w:r w:rsidR="00B314BC" w:rsidRPr="004465B8">
        <w:rPr>
          <w:rFonts w:cstheme="minorHAnsi"/>
          <w:sz w:val="24"/>
          <w:szCs w:val="24"/>
        </w:rPr>
        <w:t>it should be understood that there</w:t>
      </w:r>
      <w:proofErr w:type="gramEnd"/>
      <w:r w:rsidR="00B314BC" w:rsidRPr="004465B8">
        <w:rPr>
          <w:rFonts w:cstheme="minorHAnsi"/>
          <w:sz w:val="24"/>
          <w:szCs w:val="24"/>
        </w:rPr>
        <w:t xml:space="preserve"> will be two tracks: </w:t>
      </w:r>
      <w:r w:rsidR="00C6335E" w:rsidRPr="004465B8">
        <w:rPr>
          <w:rFonts w:cstheme="minorHAnsi"/>
          <w:sz w:val="24"/>
          <w:szCs w:val="24"/>
        </w:rPr>
        <w:t xml:space="preserve">one track for the </w:t>
      </w:r>
      <w:r w:rsidR="00B314BC" w:rsidRPr="004465B8">
        <w:rPr>
          <w:rFonts w:cstheme="minorHAnsi"/>
          <w:sz w:val="24"/>
          <w:szCs w:val="24"/>
        </w:rPr>
        <w:t xml:space="preserve">traditional </w:t>
      </w:r>
      <w:r w:rsidR="00C6335E" w:rsidRPr="004465B8">
        <w:rPr>
          <w:rFonts w:cstheme="minorHAnsi"/>
          <w:sz w:val="24"/>
          <w:szCs w:val="24"/>
        </w:rPr>
        <w:t>administrative functions the conference has to accomplish</w:t>
      </w:r>
      <w:r w:rsidR="00B314BC" w:rsidRPr="004465B8">
        <w:rPr>
          <w:rFonts w:cstheme="minorHAnsi"/>
          <w:sz w:val="24"/>
          <w:szCs w:val="24"/>
        </w:rPr>
        <w:t xml:space="preserve"> and a second </w:t>
      </w:r>
      <w:r w:rsidR="00C6335E" w:rsidRPr="004465B8">
        <w:rPr>
          <w:rFonts w:cstheme="minorHAnsi"/>
          <w:sz w:val="24"/>
          <w:szCs w:val="24"/>
        </w:rPr>
        <w:t>track that would focus on development</w:t>
      </w:r>
      <w:r w:rsidR="00C6335E" w:rsidRPr="004465B8">
        <w:rPr>
          <w:rFonts w:cstheme="minorHAnsi"/>
          <w:sz w:val="24"/>
          <w:szCs w:val="24"/>
        </w:rPr>
        <w:noBreakHyphen/>
        <w:t xml:space="preserve">oriented activities. </w:t>
      </w:r>
    </w:p>
    <w:p w14:paraId="52DAD685" w14:textId="6F5DC26E" w:rsidR="00F07DB8" w:rsidRPr="004465B8" w:rsidRDefault="00752649" w:rsidP="00524965">
      <w:pPr>
        <w:spacing w:before="120" w:after="0" w:line="240" w:lineRule="auto"/>
        <w:rPr>
          <w:sz w:val="24"/>
          <w:szCs w:val="24"/>
        </w:rPr>
      </w:pPr>
      <w:r w:rsidRPr="004465B8">
        <w:rPr>
          <w:rFonts w:cstheme="minorHAnsi"/>
          <w:sz w:val="24"/>
          <w:szCs w:val="24"/>
        </w:rPr>
        <w:t xml:space="preserve">The delegate from Brazil </w:t>
      </w:r>
      <w:r w:rsidR="004D134E" w:rsidRPr="004465B8">
        <w:rPr>
          <w:rFonts w:cstheme="minorHAnsi"/>
          <w:sz w:val="24"/>
          <w:szCs w:val="24"/>
        </w:rPr>
        <w:t xml:space="preserve">commented </w:t>
      </w:r>
      <w:r w:rsidRPr="004465B8">
        <w:rPr>
          <w:rFonts w:cstheme="minorHAnsi"/>
          <w:sz w:val="24"/>
          <w:szCs w:val="24"/>
        </w:rPr>
        <w:t xml:space="preserve">that </w:t>
      </w:r>
      <w:r w:rsidR="004A52A9" w:rsidRPr="004465B8">
        <w:rPr>
          <w:rFonts w:cstheme="minorHAnsi"/>
          <w:b/>
          <w:sz w:val="24"/>
          <w:szCs w:val="24"/>
        </w:rPr>
        <w:t>p</w:t>
      </w:r>
      <w:r w:rsidR="00CA74EE" w:rsidRPr="004465B8">
        <w:rPr>
          <w:rFonts w:cstheme="minorHAnsi"/>
          <w:b/>
          <w:sz w:val="24"/>
          <w:szCs w:val="24"/>
        </w:rPr>
        <w:t>reparatory work for WTDC-21 is well under way in many regional telecommunication organizations.</w:t>
      </w:r>
      <w:r w:rsidR="00CA74EE" w:rsidRPr="004465B8">
        <w:rPr>
          <w:rFonts w:cstheme="minorHAnsi"/>
          <w:sz w:val="24"/>
          <w:szCs w:val="24"/>
        </w:rPr>
        <w:t xml:space="preserve"> The Inter</w:t>
      </w:r>
      <w:r w:rsidR="00CA74EE" w:rsidRPr="004465B8">
        <w:rPr>
          <w:rFonts w:cstheme="minorHAnsi"/>
          <w:sz w:val="24"/>
          <w:szCs w:val="24"/>
        </w:rPr>
        <w:noBreakHyphen/>
        <w:t xml:space="preserve">American Telecommunication Commission (CITEL) has already designated three pairs of </w:t>
      </w:r>
      <w:r w:rsidR="00F07DB8" w:rsidRPr="004465B8">
        <w:rPr>
          <w:rFonts w:cstheme="minorHAnsi"/>
          <w:sz w:val="24"/>
          <w:szCs w:val="24"/>
        </w:rPr>
        <w:t>focal points</w:t>
      </w:r>
      <w:r w:rsidR="00CA74EE" w:rsidRPr="004465B8">
        <w:rPr>
          <w:rFonts w:cstheme="minorHAnsi"/>
          <w:sz w:val="24"/>
          <w:szCs w:val="24"/>
        </w:rPr>
        <w:t xml:space="preserve"> for the three TDAG working groups</w:t>
      </w:r>
      <w:r w:rsidR="004A52A9" w:rsidRPr="004465B8">
        <w:rPr>
          <w:rFonts w:cstheme="minorHAnsi"/>
          <w:sz w:val="24"/>
          <w:szCs w:val="24"/>
        </w:rPr>
        <w:t>:</w:t>
      </w:r>
      <w:r w:rsidR="00F179B7" w:rsidRPr="004465B8">
        <w:rPr>
          <w:rFonts w:cstheme="minorHAnsi"/>
          <w:sz w:val="24"/>
          <w:szCs w:val="24"/>
        </w:rPr>
        <w:t xml:space="preserve"> </w:t>
      </w:r>
      <w:r w:rsidR="00F07DB8" w:rsidRPr="004465B8">
        <w:rPr>
          <w:rFonts w:cstheme="minorHAnsi"/>
          <w:sz w:val="24"/>
          <w:szCs w:val="24"/>
        </w:rPr>
        <w:t>TDAG WTDC-Prep;</w:t>
      </w:r>
      <w:r w:rsidR="00F07DB8" w:rsidRPr="004465B8">
        <w:rPr>
          <w:sz w:val="24"/>
          <w:szCs w:val="24"/>
        </w:rPr>
        <w:t xml:space="preserve"> </w:t>
      </w:r>
      <w:r w:rsidR="00F07DB8" w:rsidRPr="004465B8">
        <w:rPr>
          <w:sz w:val="24"/>
          <w:szCs w:val="24"/>
          <w:shd w:val="clear" w:color="auto" w:fill="FFFFFF"/>
        </w:rPr>
        <w:t>TDAG Working Group on WTDC Resolutions, Declaration and Thematic Priorities (TDAG-WG-RDTP)</w:t>
      </w:r>
      <w:r w:rsidR="004D134E" w:rsidRPr="004465B8">
        <w:rPr>
          <w:sz w:val="24"/>
          <w:szCs w:val="24"/>
          <w:shd w:val="clear" w:color="auto" w:fill="FFFFFF"/>
        </w:rPr>
        <w:t>;</w:t>
      </w:r>
      <w:r w:rsidR="00F07DB8" w:rsidRPr="004465B8">
        <w:rPr>
          <w:sz w:val="24"/>
          <w:szCs w:val="24"/>
          <w:shd w:val="clear" w:color="auto" w:fill="FFFFFF"/>
        </w:rPr>
        <w:t> and TDAG Working Group on Strategic and Operational Plans (TDAG-WG-SOP).</w:t>
      </w:r>
    </w:p>
    <w:p w14:paraId="70354525" w14:textId="1E520504" w:rsidR="00CA74EE" w:rsidRPr="004465B8" w:rsidRDefault="004D134E" w:rsidP="00524965">
      <w:pPr>
        <w:spacing w:before="120" w:after="0" w:line="240" w:lineRule="auto"/>
        <w:rPr>
          <w:rFonts w:cstheme="minorHAnsi"/>
          <w:sz w:val="24"/>
          <w:szCs w:val="24"/>
        </w:rPr>
      </w:pPr>
      <w:r w:rsidRPr="004465B8">
        <w:rPr>
          <w:rFonts w:cstheme="minorHAnsi"/>
          <w:sz w:val="24"/>
          <w:szCs w:val="24"/>
        </w:rPr>
        <w:t xml:space="preserve">Given </w:t>
      </w:r>
      <w:r w:rsidR="00CA74EE" w:rsidRPr="004465B8">
        <w:rPr>
          <w:rFonts w:cstheme="minorHAnsi"/>
          <w:sz w:val="24"/>
          <w:szCs w:val="24"/>
        </w:rPr>
        <w:t xml:space="preserve">the interrelation of the issues in these groups, CITEL </w:t>
      </w:r>
      <w:r w:rsidRPr="004465B8">
        <w:rPr>
          <w:rFonts w:cstheme="minorHAnsi"/>
          <w:sz w:val="24"/>
          <w:szCs w:val="24"/>
        </w:rPr>
        <w:t xml:space="preserve">focal points </w:t>
      </w:r>
      <w:r w:rsidR="00CA74EE" w:rsidRPr="004465B8">
        <w:rPr>
          <w:rFonts w:cstheme="minorHAnsi"/>
          <w:sz w:val="24"/>
          <w:szCs w:val="24"/>
        </w:rPr>
        <w:t>are all working together to ensure that there is cohesion and consistency</w:t>
      </w:r>
      <w:r w:rsidR="00083858" w:rsidRPr="004465B8">
        <w:rPr>
          <w:rFonts w:cstheme="minorHAnsi"/>
          <w:sz w:val="24"/>
          <w:szCs w:val="24"/>
        </w:rPr>
        <w:t>.</w:t>
      </w:r>
      <w:r w:rsidRPr="004465B8">
        <w:rPr>
          <w:rFonts w:cstheme="minorHAnsi"/>
          <w:sz w:val="24"/>
          <w:szCs w:val="24"/>
        </w:rPr>
        <w:t xml:space="preserve"> Ms</w:t>
      </w:r>
      <w:r w:rsidR="00107F99" w:rsidRPr="004465B8">
        <w:rPr>
          <w:rFonts w:cstheme="minorHAnsi"/>
          <w:sz w:val="24"/>
          <w:szCs w:val="24"/>
        </w:rPr>
        <w:t> </w:t>
      </w:r>
      <w:r w:rsidRPr="004465B8">
        <w:rPr>
          <w:rFonts w:cstheme="minorHAnsi"/>
          <w:sz w:val="24"/>
          <w:szCs w:val="24"/>
        </w:rPr>
        <w:t xml:space="preserve">Andrea Grippa (Brazil) </w:t>
      </w:r>
      <w:r w:rsidR="00432E4C" w:rsidRPr="004465B8">
        <w:rPr>
          <w:rFonts w:cstheme="minorHAnsi"/>
          <w:sz w:val="24"/>
          <w:szCs w:val="24"/>
        </w:rPr>
        <w:t xml:space="preserve">has been designated by CITEL as a </w:t>
      </w:r>
      <w:r w:rsidRPr="004465B8">
        <w:rPr>
          <w:rFonts w:cstheme="minorHAnsi"/>
          <w:sz w:val="24"/>
          <w:szCs w:val="24"/>
        </w:rPr>
        <w:t>focal point for</w:t>
      </w:r>
      <w:r w:rsidR="00CA74EE" w:rsidRPr="004465B8">
        <w:rPr>
          <w:rFonts w:cstheme="minorHAnsi"/>
          <w:sz w:val="24"/>
          <w:szCs w:val="24"/>
        </w:rPr>
        <w:t xml:space="preserve"> </w:t>
      </w:r>
      <w:r w:rsidRPr="004465B8">
        <w:rPr>
          <w:rFonts w:cstheme="minorHAnsi"/>
          <w:sz w:val="24"/>
          <w:szCs w:val="24"/>
        </w:rPr>
        <w:t>TDAG WTDC-Prep.</w:t>
      </w:r>
      <w:r w:rsidR="002C294D" w:rsidRPr="004465B8">
        <w:rPr>
          <w:rFonts w:cstheme="minorHAnsi"/>
          <w:sz w:val="24"/>
          <w:szCs w:val="24"/>
        </w:rPr>
        <w:t xml:space="preserve"> </w:t>
      </w:r>
      <w:proofErr w:type="spellStart"/>
      <w:r w:rsidR="002C294D" w:rsidRPr="004465B8">
        <w:rPr>
          <w:rFonts w:cstheme="minorHAnsi"/>
          <w:sz w:val="24"/>
          <w:szCs w:val="24"/>
          <w:shd w:val="clear" w:color="auto" w:fill="FFFFFF"/>
        </w:rPr>
        <w:t>Mr</w:t>
      </w:r>
      <w:proofErr w:type="spellEnd"/>
      <w:r w:rsidR="002C294D" w:rsidRPr="004465B8">
        <w:rPr>
          <w:rFonts w:cstheme="minorHAnsi"/>
          <w:sz w:val="24"/>
          <w:szCs w:val="24"/>
          <w:shd w:val="clear" w:color="auto" w:fill="FFFFFF"/>
        </w:rPr>
        <w:t> </w:t>
      </w:r>
      <w:r w:rsidR="002C294D" w:rsidRPr="004465B8">
        <w:rPr>
          <w:rFonts w:cstheme="minorHAnsi"/>
          <w:bCs/>
          <w:sz w:val="24"/>
          <w:szCs w:val="24"/>
          <w:shd w:val="clear" w:color="auto" w:fill="FFFFFF"/>
        </w:rPr>
        <w:t>Santiago</w:t>
      </w:r>
      <w:r w:rsidR="002C294D" w:rsidRPr="004465B8">
        <w:rPr>
          <w:rFonts w:cstheme="minorHAnsi"/>
          <w:sz w:val="24"/>
          <w:szCs w:val="24"/>
          <w:shd w:val="clear" w:color="auto" w:fill="FFFFFF"/>
        </w:rPr>
        <w:t xml:space="preserve"> Reyes-Borda is </w:t>
      </w:r>
      <w:r w:rsidR="002C294D" w:rsidRPr="004465B8">
        <w:rPr>
          <w:rFonts w:cstheme="minorHAnsi"/>
          <w:sz w:val="24"/>
          <w:szCs w:val="24"/>
        </w:rPr>
        <w:t>the Chairman of CITEL's Working Group on WTDC.</w:t>
      </w:r>
      <w:r w:rsidRPr="004465B8">
        <w:rPr>
          <w:rFonts w:cstheme="minorHAnsi"/>
          <w:sz w:val="24"/>
          <w:szCs w:val="24"/>
        </w:rPr>
        <w:t xml:space="preserve"> </w:t>
      </w:r>
      <w:r w:rsidRPr="004465B8">
        <w:rPr>
          <w:rFonts w:cstheme="minorHAnsi"/>
          <w:sz w:val="24"/>
          <w:szCs w:val="24"/>
          <w:highlight w:val="yellow"/>
        </w:rPr>
        <w:t xml:space="preserve"> </w:t>
      </w:r>
    </w:p>
    <w:p w14:paraId="1734A29B" w14:textId="7D54E5B8" w:rsidR="00850779" w:rsidRPr="004465B8" w:rsidRDefault="00752649" w:rsidP="0052496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before="120"/>
        <w:ind w:firstLine="0"/>
        <w:rPr>
          <w:rFonts w:asciiTheme="minorHAnsi" w:hAnsiTheme="minorHAnsi" w:cstheme="minorHAnsi"/>
        </w:rPr>
      </w:pPr>
      <w:r w:rsidRPr="004465B8">
        <w:rPr>
          <w:rFonts w:asciiTheme="minorHAnsi" w:hAnsiTheme="minorHAnsi" w:cstheme="minorHAnsi"/>
        </w:rPr>
        <w:t xml:space="preserve">The delegate from Jordan </w:t>
      </w:r>
      <w:r w:rsidR="000E51C5" w:rsidRPr="004465B8">
        <w:rPr>
          <w:rFonts w:asciiTheme="minorHAnsi" w:hAnsiTheme="minorHAnsi" w:cstheme="minorHAnsi"/>
        </w:rPr>
        <w:t xml:space="preserve">recalled </w:t>
      </w:r>
      <w:r w:rsidRPr="004465B8">
        <w:rPr>
          <w:rFonts w:asciiTheme="minorHAnsi" w:hAnsiTheme="minorHAnsi" w:cstheme="minorHAnsi"/>
        </w:rPr>
        <w:t>that t</w:t>
      </w:r>
      <w:r w:rsidR="00850779" w:rsidRPr="004465B8">
        <w:rPr>
          <w:rFonts w:asciiTheme="minorHAnsi" w:hAnsiTheme="minorHAnsi" w:cstheme="minorHAnsi"/>
        </w:rPr>
        <w:t>he first Preparatory Meeting of the Arab States Working Group for WTDC was held online on 25-27 August 2020</w:t>
      </w:r>
      <w:r w:rsidR="002326ED" w:rsidRPr="004465B8">
        <w:rPr>
          <w:rFonts w:asciiTheme="minorHAnsi" w:hAnsiTheme="minorHAnsi" w:cstheme="minorHAnsi"/>
        </w:rPr>
        <w:t xml:space="preserve">, </w:t>
      </w:r>
      <w:r w:rsidR="004A52A9" w:rsidRPr="004465B8">
        <w:rPr>
          <w:rFonts w:asciiTheme="minorHAnsi" w:hAnsiTheme="minorHAnsi" w:cstheme="minorHAnsi"/>
        </w:rPr>
        <w:t>where the three TDAG working groups were an item on the agenda and where agreement was reached to designate focal points.</w:t>
      </w:r>
      <w:r w:rsidR="000E51C5" w:rsidRPr="004465B8">
        <w:rPr>
          <w:rFonts w:asciiTheme="minorHAnsi" w:hAnsiTheme="minorHAnsi" w:cstheme="minorHAnsi"/>
        </w:rPr>
        <w:t xml:space="preserve"> </w:t>
      </w:r>
      <w:proofErr w:type="spellStart"/>
      <w:r w:rsidR="000E51C5" w:rsidRPr="004465B8">
        <w:rPr>
          <w:rFonts w:asciiTheme="minorHAnsi" w:eastAsia="Times New Roman" w:hAnsiTheme="minorHAnsi"/>
          <w:bdr w:val="none" w:sz="0" w:space="0" w:color="auto" w:frame="1"/>
        </w:rPr>
        <w:t>Mr</w:t>
      </w:r>
      <w:proofErr w:type="spellEnd"/>
      <w:r w:rsidR="00795525" w:rsidRPr="004465B8">
        <w:rPr>
          <w:rFonts w:asciiTheme="minorHAnsi" w:eastAsia="Times New Roman" w:hAnsiTheme="minorHAnsi"/>
          <w:bdr w:val="none" w:sz="0" w:space="0" w:color="auto" w:frame="1"/>
        </w:rPr>
        <w:t> </w:t>
      </w:r>
      <w:r w:rsidR="000E51C5" w:rsidRPr="004465B8">
        <w:rPr>
          <w:rFonts w:asciiTheme="minorHAnsi" w:eastAsia="Times New Roman" w:hAnsiTheme="minorHAnsi"/>
          <w:bdr w:val="none" w:sz="0" w:space="0" w:color="auto" w:frame="1"/>
        </w:rPr>
        <w:t>Al-</w:t>
      </w:r>
      <w:proofErr w:type="spellStart"/>
      <w:r w:rsidR="000E51C5" w:rsidRPr="004465B8">
        <w:rPr>
          <w:rFonts w:asciiTheme="minorHAnsi" w:eastAsia="Times New Roman" w:hAnsiTheme="minorHAnsi"/>
          <w:bdr w:val="none" w:sz="0" w:space="0" w:color="auto" w:frame="1"/>
        </w:rPr>
        <w:t>ansari</w:t>
      </w:r>
      <w:proofErr w:type="spellEnd"/>
      <w:r w:rsidR="000E51C5" w:rsidRPr="004465B8">
        <w:rPr>
          <w:rFonts w:asciiTheme="minorHAnsi" w:eastAsia="Times New Roman" w:hAnsiTheme="minorHAnsi"/>
          <w:bdr w:val="none" w:sz="0" w:space="0" w:color="auto" w:frame="1"/>
        </w:rPr>
        <w:t> </w:t>
      </w:r>
      <w:proofErr w:type="spellStart"/>
      <w:r w:rsidR="000E51C5" w:rsidRPr="004465B8">
        <w:rPr>
          <w:rFonts w:asciiTheme="minorHAnsi" w:eastAsia="Times New Roman" w:hAnsiTheme="minorHAnsi"/>
          <w:bdr w:val="none" w:sz="0" w:space="0" w:color="auto" w:frame="1"/>
        </w:rPr>
        <w:t>Almashakbeh</w:t>
      </w:r>
      <w:proofErr w:type="spellEnd"/>
      <w:r w:rsidR="000E51C5" w:rsidRPr="004465B8">
        <w:rPr>
          <w:rFonts w:asciiTheme="minorHAnsi" w:hAnsiTheme="minorHAnsi" w:cstheme="minorHAnsi"/>
        </w:rPr>
        <w:t xml:space="preserve"> (Jordan) was designated focal point for TDAG WTDC-Prep.</w:t>
      </w:r>
    </w:p>
    <w:p w14:paraId="371E00AA" w14:textId="49AA63F9" w:rsidR="002C294D" w:rsidRPr="004465B8" w:rsidRDefault="00CA74EE" w:rsidP="00524965">
      <w:pPr>
        <w:spacing w:before="120" w:after="0" w:line="240" w:lineRule="auto"/>
        <w:rPr>
          <w:sz w:val="24"/>
          <w:szCs w:val="24"/>
        </w:rPr>
      </w:pPr>
      <w:r w:rsidRPr="004465B8">
        <w:rPr>
          <w:rFonts w:cstheme="minorHAnsi"/>
          <w:sz w:val="24"/>
          <w:szCs w:val="24"/>
        </w:rPr>
        <w:t xml:space="preserve">The </w:t>
      </w:r>
      <w:r w:rsidR="00752649" w:rsidRPr="004465B8">
        <w:rPr>
          <w:rFonts w:cstheme="minorHAnsi"/>
          <w:sz w:val="24"/>
          <w:szCs w:val="24"/>
        </w:rPr>
        <w:t xml:space="preserve">delegate from </w:t>
      </w:r>
      <w:r w:rsidR="000E51C5" w:rsidRPr="004465B8">
        <w:rPr>
          <w:rFonts w:cstheme="minorHAnsi"/>
          <w:sz w:val="24"/>
          <w:szCs w:val="24"/>
        </w:rPr>
        <w:t xml:space="preserve">the Islamic Republic of Iran informed the meeting </w:t>
      </w:r>
      <w:r w:rsidR="00752649" w:rsidRPr="004465B8">
        <w:rPr>
          <w:rFonts w:cstheme="minorHAnsi"/>
          <w:sz w:val="24"/>
          <w:szCs w:val="24"/>
        </w:rPr>
        <w:t xml:space="preserve">that </w:t>
      </w:r>
      <w:r w:rsidR="000E51C5" w:rsidRPr="004465B8">
        <w:rPr>
          <w:rFonts w:cstheme="minorHAnsi"/>
          <w:sz w:val="24"/>
          <w:szCs w:val="24"/>
        </w:rPr>
        <w:t xml:space="preserve">the </w:t>
      </w:r>
      <w:r w:rsidRPr="004465B8">
        <w:rPr>
          <w:rFonts w:cstheme="minorHAnsi"/>
          <w:sz w:val="24"/>
          <w:szCs w:val="24"/>
        </w:rPr>
        <w:t xml:space="preserve">Asia-Pacific </w:t>
      </w:r>
      <w:proofErr w:type="spellStart"/>
      <w:r w:rsidRPr="004465B8">
        <w:rPr>
          <w:rFonts w:cstheme="minorHAnsi"/>
          <w:sz w:val="24"/>
          <w:szCs w:val="24"/>
        </w:rPr>
        <w:t>Telecommunity</w:t>
      </w:r>
      <w:proofErr w:type="spellEnd"/>
      <w:r w:rsidRPr="004465B8">
        <w:rPr>
          <w:rFonts w:cstheme="minorHAnsi"/>
          <w:sz w:val="24"/>
          <w:szCs w:val="24"/>
        </w:rPr>
        <w:t xml:space="preserve"> (APT) plans to hold three meetings before WTDC-21. APT has scheduled one extraordinary meeting for WTDC on 4 November 2020 to coordinate the views of its member administrations and report to the TDAG meeting of 23 November 2020. </w:t>
      </w:r>
      <w:r w:rsidR="00A00DA6" w:rsidRPr="004465B8">
        <w:rPr>
          <w:sz w:val="24"/>
          <w:szCs w:val="24"/>
        </w:rPr>
        <w:t>Dr</w:t>
      </w:r>
      <w:r w:rsidR="00D80313" w:rsidRPr="004465B8">
        <w:rPr>
          <w:sz w:val="24"/>
          <w:szCs w:val="24"/>
        </w:rPr>
        <w:t> </w:t>
      </w:r>
      <w:r w:rsidR="00A00DA6" w:rsidRPr="004465B8">
        <w:rPr>
          <w:sz w:val="24"/>
          <w:szCs w:val="24"/>
        </w:rPr>
        <w:t>Ahmad Reza Sharafat</w:t>
      </w:r>
      <w:r w:rsidR="002C294D" w:rsidRPr="004465B8">
        <w:rPr>
          <w:sz w:val="24"/>
          <w:szCs w:val="24"/>
        </w:rPr>
        <w:t xml:space="preserve">, the Chairman of </w:t>
      </w:r>
      <w:r w:rsidR="002741A0" w:rsidRPr="004465B8">
        <w:rPr>
          <w:sz w:val="24"/>
          <w:szCs w:val="24"/>
          <w:shd w:val="clear" w:color="auto" w:fill="FFFFFF"/>
        </w:rPr>
        <w:t>TDAG-WG-RDTP</w:t>
      </w:r>
      <w:r w:rsidR="002C294D" w:rsidRPr="004465B8">
        <w:rPr>
          <w:sz w:val="24"/>
          <w:szCs w:val="24"/>
        </w:rPr>
        <w:t xml:space="preserve">, </w:t>
      </w:r>
      <w:r w:rsidR="000E51C5" w:rsidRPr="004465B8">
        <w:rPr>
          <w:sz w:val="24"/>
          <w:szCs w:val="24"/>
        </w:rPr>
        <w:t xml:space="preserve">has been appointed </w:t>
      </w:r>
      <w:r w:rsidR="002C294D" w:rsidRPr="004465B8">
        <w:rPr>
          <w:sz w:val="24"/>
          <w:szCs w:val="24"/>
        </w:rPr>
        <w:t>Chairman of the APT Preparatory Group for WTDC-21.</w:t>
      </w:r>
    </w:p>
    <w:p w14:paraId="19AC36B0" w14:textId="54ABE4E6" w:rsidR="00CA74EE" w:rsidRPr="004465B8" w:rsidRDefault="00A00DA6" w:rsidP="00524965">
      <w:pPr>
        <w:pStyle w:val="Colloquy1"/>
        <w:tabs>
          <w:tab w:val="clear" w:pos="7200"/>
          <w:tab w:val="clear" w:pos="7920"/>
          <w:tab w:val="clear" w:pos="8640"/>
          <w:tab w:val="left" w:pos="1"/>
          <w:tab w:val="left" w:pos="721"/>
          <w:tab w:val="left" w:pos="1441"/>
        </w:tabs>
        <w:spacing w:before="120"/>
        <w:ind w:firstLine="0"/>
        <w:rPr>
          <w:rFonts w:asciiTheme="minorHAnsi" w:hAnsiTheme="minorHAnsi" w:cstheme="minorHAnsi"/>
        </w:rPr>
      </w:pPr>
      <w:r w:rsidRPr="004465B8">
        <w:rPr>
          <w:rFonts w:asciiTheme="minorHAnsi" w:hAnsiTheme="minorHAnsi" w:cstheme="minorHAnsi"/>
        </w:rPr>
        <w:t>T</w:t>
      </w:r>
      <w:r w:rsidR="00752649" w:rsidRPr="004465B8">
        <w:rPr>
          <w:rFonts w:asciiTheme="minorHAnsi" w:hAnsiTheme="minorHAnsi" w:cstheme="minorHAnsi"/>
        </w:rPr>
        <w:t xml:space="preserve">he delegate from Saudi Arabia </w:t>
      </w:r>
      <w:r w:rsidRPr="004465B8">
        <w:rPr>
          <w:rFonts w:asciiTheme="minorHAnsi" w:hAnsiTheme="minorHAnsi" w:cstheme="minorHAnsi"/>
        </w:rPr>
        <w:t xml:space="preserve">recommended </w:t>
      </w:r>
      <w:r w:rsidR="00752649" w:rsidRPr="004465B8">
        <w:rPr>
          <w:rFonts w:asciiTheme="minorHAnsi" w:hAnsiTheme="minorHAnsi" w:cstheme="minorHAnsi"/>
        </w:rPr>
        <w:t>that BDT should</w:t>
      </w:r>
      <w:r w:rsidR="004920FD" w:rsidRPr="004465B8">
        <w:rPr>
          <w:rFonts w:asciiTheme="minorHAnsi" w:hAnsiTheme="minorHAnsi" w:cstheme="minorHAnsi"/>
        </w:rPr>
        <w:t xml:space="preserve"> prepare, for </w:t>
      </w:r>
      <w:r w:rsidR="0081010A" w:rsidRPr="004465B8">
        <w:rPr>
          <w:rFonts w:asciiTheme="minorHAnsi" w:hAnsiTheme="minorHAnsi" w:cstheme="minorHAnsi"/>
        </w:rPr>
        <w:t>the next meeting</w:t>
      </w:r>
      <w:r w:rsidR="004920FD" w:rsidRPr="004465B8">
        <w:rPr>
          <w:rFonts w:asciiTheme="minorHAnsi" w:hAnsiTheme="minorHAnsi" w:cstheme="minorHAnsi"/>
        </w:rPr>
        <w:t>,</w:t>
      </w:r>
      <w:r w:rsidR="00CA74EE" w:rsidRPr="004465B8">
        <w:rPr>
          <w:rFonts w:asciiTheme="minorHAnsi" w:hAnsiTheme="minorHAnsi" w:cstheme="minorHAnsi"/>
        </w:rPr>
        <w:t xml:space="preserve"> an information document featuring: </w:t>
      </w:r>
    </w:p>
    <w:p w14:paraId="7EBABA1A" w14:textId="18EC0A25" w:rsidR="00CA74EE" w:rsidRPr="004465B8" w:rsidRDefault="00CA74EE" w:rsidP="00524965">
      <w:pPr>
        <w:pStyle w:val="Colloquy1"/>
        <w:numPr>
          <w:ilvl w:val="0"/>
          <w:numId w:val="5"/>
        </w:numPr>
        <w:tabs>
          <w:tab w:val="clear" w:pos="7200"/>
          <w:tab w:val="clear" w:pos="7920"/>
          <w:tab w:val="clear" w:pos="8640"/>
          <w:tab w:val="left" w:pos="1"/>
          <w:tab w:val="left" w:pos="721"/>
          <w:tab w:val="left" w:pos="1441"/>
        </w:tabs>
        <w:spacing w:before="60"/>
        <w:ind w:left="714" w:hanging="357"/>
        <w:rPr>
          <w:rFonts w:asciiTheme="minorHAnsi" w:hAnsiTheme="minorHAnsi" w:cstheme="minorHAnsi"/>
        </w:rPr>
      </w:pPr>
      <w:r w:rsidRPr="004465B8">
        <w:rPr>
          <w:rFonts w:asciiTheme="minorHAnsi" w:hAnsiTheme="minorHAnsi" w:cstheme="minorHAnsi"/>
        </w:rPr>
        <w:t>a concept or dr</w:t>
      </w:r>
      <w:r w:rsidR="004920FD" w:rsidRPr="004465B8">
        <w:rPr>
          <w:rFonts w:asciiTheme="minorHAnsi" w:hAnsiTheme="minorHAnsi" w:cstheme="minorHAnsi"/>
        </w:rPr>
        <w:t xml:space="preserve">aft structure of the </w:t>
      </w:r>
      <w:proofErr w:type="gramStart"/>
      <w:r w:rsidR="004920FD" w:rsidRPr="004465B8">
        <w:rPr>
          <w:rFonts w:asciiTheme="minorHAnsi" w:hAnsiTheme="minorHAnsi" w:cstheme="minorHAnsi"/>
        </w:rPr>
        <w:t>conference</w:t>
      </w:r>
      <w:r w:rsidRPr="004465B8">
        <w:rPr>
          <w:rFonts w:asciiTheme="minorHAnsi" w:hAnsiTheme="minorHAnsi" w:cstheme="minorHAnsi"/>
        </w:rPr>
        <w:t>;</w:t>
      </w:r>
      <w:proofErr w:type="gramEnd"/>
      <w:r w:rsidRPr="004465B8">
        <w:rPr>
          <w:rFonts w:asciiTheme="minorHAnsi" w:hAnsiTheme="minorHAnsi" w:cstheme="minorHAnsi"/>
        </w:rPr>
        <w:t xml:space="preserve"> </w:t>
      </w:r>
    </w:p>
    <w:p w14:paraId="5C82722D" w14:textId="77777777" w:rsidR="00CA74EE" w:rsidRPr="004465B8" w:rsidRDefault="00CA74EE" w:rsidP="00524965">
      <w:pPr>
        <w:pStyle w:val="Colloquy1"/>
        <w:numPr>
          <w:ilvl w:val="0"/>
          <w:numId w:val="5"/>
        </w:numPr>
        <w:tabs>
          <w:tab w:val="clear" w:pos="7200"/>
          <w:tab w:val="clear" w:pos="7920"/>
          <w:tab w:val="clear" w:pos="8640"/>
          <w:tab w:val="left" w:pos="1"/>
          <w:tab w:val="left" w:pos="721"/>
          <w:tab w:val="left" w:pos="1441"/>
        </w:tabs>
        <w:spacing w:before="60"/>
        <w:ind w:left="714" w:hanging="357"/>
        <w:rPr>
          <w:rFonts w:asciiTheme="minorHAnsi" w:hAnsiTheme="minorHAnsi" w:cstheme="minorHAnsi"/>
        </w:rPr>
      </w:pPr>
      <w:r w:rsidRPr="004465B8">
        <w:rPr>
          <w:rFonts w:asciiTheme="minorHAnsi" w:hAnsiTheme="minorHAnsi" w:cstheme="minorHAnsi"/>
        </w:rPr>
        <w:t xml:space="preserve">candidate themes or possible themes for the </w:t>
      </w:r>
      <w:proofErr w:type="gramStart"/>
      <w:r w:rsidRPr="004465B8">
        <w:rPr>
          <w:rFonts w:asciiTheme="minorHAnsi" w:hAnsiTheme="minorHAnsi" w:cstheme="minorHAnsi"/>
        </w:rPr>
        <w:t>conference;</w:t>
      </w:r>
      <w:proofErr w:type="gramEnd"/>
    </w:p>
    <w:p w14:paraId="13631692" w14:textId="59A7115F" w:rsidR="00CA74EE" w:rsidRPr="004465B8" w:rsidRDefault="00CA74EE" w:rsidP="00524965">
      <w:pPr>
        <w:pStyle w:val="Colloquy1"/>
        <w:numPr>
          <w:ilvl w:val="0"/>
          <w:numId w:val="5"/>
        </w:numPr>
        <w:tabs>
          <w:tab w:val="clear" w:pos="7200"/>
          <w:tab w:val="clear" w:pos="7920"/>
          <w:tab w:val="clear" w:pos="8640"/>
          <w:tab w:val="left" w:pos="1"/>
          <w:tab w:val="left" w:pos="721"/>
          <w:tab w:val="left" w:pos="1441"/>
        </w:tabs>
        <w:spacing w:before="60"/>
        <w:ind w:left="714" w:hanging="357"/>
        <w:rPr>
          <w:rFonts w:asciiTheme="minorHAnsi" w:hAnsiTheme="minorHAnsi" w:cstheme="minorHAnsi"/>
        </w:rPr>
      </w:pPr>
      <w:r w:rsidRPr="004465B8">
        <w:rPr>
          <w:rFonts w:asciiTheme="minorHAnsi" w:hAnsiTheme="minorHAnsi" w:cstheme="minorHAnsi"/>
        </w:rPr>
        <w:t xml:space="preserve">how the high-level segment would take place and how the different tracks would </w:t>
      </w:r>
      <w:r w:rsidR="00BD1602" w:rsidRPr="004465B8">
        <w:rPr>
          <w:rFonts w:asciiTheme="minorHAnsi" w:hAnsiTheme="minorHAnsi" w:cstheme="minorHAnsi"/>
        </w:rPr>
        <w:t xml:space="preserve">fit together </w:t>
      </w:r>
      <w:r w:rsidRPr="004465B8">
        <w:rPr>
          <w:rFonts w:asciiTheme="minorHAnsi" w:hAnsiTheme="minorHAnsi" w:cstheme="minorHAnsi"/>
        </w:rPr>
        <w:t xml:space="preserve">and with the discussions of the administrative </w:t>
      </w:r>
      <w:proofErr w:type="gramStart"/>
      <w:r w:rsidRPr="004465B8">
        <w:rPr>
          <w:rFonts w:asciiTheme="minorHAnsi" w:hAnsiTheme="minorHAnsi" w:cstheme="minorHAnsi"/>
        </w:rPr>
        <w:t>track;</w:t>
      </w:r>
      <w:proofErr w:type="gramEnd"/>
      <w:r w:rsidRPr="004465B8">
        <w:rPr>
          <w:rFonts w:asciiTheme="minorHAnsi" w:hAnsiTheme="minorHAnsi" w:cstheme="minorHAnsi"/>
        </w:rPr>
        <w:t xml:space="preserve"> </w:t>
      </w:r>
    </w:p>
    <w:p w14:paraId="5B6599EE" w14:textId="2D810B15" w:rsidR="00CA74EE" w:rsidRPr="004465B8" w:rsidRDefault="00CA74EE" w:rsidP="00524965">
      <w:pPr>
        <w:pStyle w:val="Colloquy1"/>
        <w:numPr>
          <w:ilvl w:val="0"/>
          <w:numId w:val="5"/>
        </w:numPr>
        <w:tabs>
          <w:tab w:val="clear" w:pos="7200"/>
          <w:tab w:val="clear" w:pos="7920"/>
          <w:tab w:val="clear" w:pos="8640"/>
          <w:tab w:val="left" w:pos="1"/>
          <w:tab w:val="left" w:pos="721"/>
          <w:tab w:val="left" w:pos="1441"/>
        </w:tabs>
        <w:spacing w:before="60"/>
        <w:ind w:left="714" w:hanging="357"/>
        <w:rPr>
          <w:rFonts w:asciiTheme="minorHAnsi" w:hAnsiTheme="minorHAnsi" w:cstheme="minorHAnsi"/>
        </w:rPr>
      </w:pPr>
      <w:r w:rsidRPr="004465B8">
        <w:rPr>
          <w:rFonts w:asciiTheme="minorHAnsi" w:hAnsiTheme="minorHAnsi" w:cstheme="minorHAnsi"/>
        </w:rPr>
        <w:t xml:space="preserve">thoughts on the mechanisms and type of participants to be invited as experts or stakeholders. </w:t>
      </w:r>
    </w:p>
    <w:p w14:paraId="63CF36D2" w14:textId="77777777" w:rsidR="00CA74EE" w:rsidRPr="004465B8" w:rsidRDefault="00CA74EE" w:rsidP="00524965">
      <w:pPr>
        <w:pStyle w:val="Colloquy1"/>
        <w:tabs>
          <w:tab w:val="clear" w:pos="7200"/>
          <w:tab w:val="clear" w:pos="7920"/>
          <w:tab w:val="clear" w:pos="8640"/>
          <w:tab w:val="left" w:pos="1"/>
          <w:tab w:val="left" w:pos="721"/>
          <w:tab w:val="left" w:pos="1441"/>
        </w:tabs>
        <w:spacing w:before="120"/>
        <w:ind w:firstLine="0"/>
        <w:rPr>
          <w:rFonts w:asciiTheme="minorHAnsi" w:hAnsiTheme="minorHAnsi" w:cstheme="minorHAnsi"/>
        </w:rPr>
      </w:pPr>
      <w:r w:rsidRPr="004465B8">
        <w:rPr>
          <w:rFonts w:asciiTheme="minorHAnsi" w:hAnsiTheme="minorHAnsi" w:cstheme="minorHAnsi"/>
        </w:rPr>
        <w:t xml:space="preserve">All of this would provide a common understanding to members on how to develop and enhance the conference. </w:t>
      </w:r>
    </w:p>
    <w:p w14:paraId="1F76FDB1" w14:textId="77777777" w:rsidR="00CA74EE" w:rsidRPr="004465B8" w:rsidRDefault="00CA74EE" w:rsidP="00524965">
      <w:pPr>
        <w:keepNext/>
        <w:spacing w:before="120" w:after="0" w:line="240" w:lineRule="auto"/>
        <w:rPr>
          <w:rFonts w:cstheme="minorHAnsi"/>
          <w:b/>
          <w:sz w:val="24"/>
          <w:szCs w:val="24"/>
        </w:rPr>
      </w:pPr>
      <w:r w:rsidRPr="004465B8">
        <w:rPr>
          <w:rFonts w:cstheme="minorHAnsi"/>
          <w:b/>
          <w:sz w:val="24"/>
          <w:szCs w:val="24"/>
        </w:rPr>
        <w:t>Conclusion</w:t>
      </w:r>
    </w:p>
    <w:p w14:paraId="32EF3C41" w14:textId="6D73BC5A" w:rsidR="00CA74EE" w:rsidRPr="004465B8" w:rsidRDefault="00CA74EE" w:rsidP="00524965">
      <w:pPr>
        <w:spacing w:before="120" w:after="0" w:line="240" w:lineRule="auto"/>
        <w:rPr>
          <w:rFonts w:cstheme="minorHAnsi"/>
          <w:sz w:val="24"/>
          <w:szCs w:val="24"/>
        </w:rPr>
      </w:pPr>
      <w:r w:rsidRPr="004465B8">
        <w:rPr>
          <w:rFonts w:cstheme="minorHAnsi"/>
          <w:sz w:val="24"/>
          <w:szCs w:val="24"/>
        </w:rPr>
        <w:t xml:space="preserve">The </w:t>
      </w:r>
      <w:r w:rsidR="0081010A" w:rsidRPr="004465B8">
        <w:rPr>
          <w:rFonts w:cstheme="minorHAnsi"/>
          <w:sz w:val="24"/>
          <w:szCs w:val="24"/>
        </w:rPr>
        <w:t xml:space="preserve">contributions </w:t>
      </w:r>
      <w:r w:rsidRPr="004465B8">
        <w:rPr>
          <w:rFonts w:cstheme="minorHAnsi"/>
          <w:sz w:val="24"/>
          <w:szCs w:val="24"/>
        </w:rPr>
        <w:t xml:space="preserve">submitted </w:t>
      </w:r>
      <w:r w:rsidR="0081010A" w:rsidRPr="004465B8">
        <w:rPr>
          <w:rFonts w:cstheme="minorHAnsi"/>
          <w:sz w:val="24"/>
          <w:szCs w:val="24"/>
        </w:rPr>
        <w:t xml:space="preserve">to this second meeting of TDAG WTDC-Prep </w:t>
      </w:r>
      <w:r w:rsidRPr="004465B8">
        <w:rPr>
          <w:rFonts w:cstheme="minorHAnsi"/>
          <w:sz w:val="24"/>
          <w:szCs w:val="24"/>
        </w:rPr>
        <w:t>facilitated</w:t>
      </w:r>
      <w:r w:rsidR="00B12161" w:rsidRPr="004465B8">
        <w:rPr>
          <w:rFonts w:cstheme="minorHAnsi"/>
          <w:sz w:val="24"/>
          <w:szCs w:val="24"/>
        </w:rPr>
        <w:t xml:space="preserve"> </w:t>
      </w:r>
      <w:r w:rsidRPr="004465B8">
        <w:rPr>
          <w:rFonts w:cstheme="minorHAnsi"/>
          <w:sz w:val="24"/>
          <w:szCs w:val="24"/>
        </w:rPr>
        <w:t xml:space="preserve">the discussion and allowed </w:t>
      </w:r>
      <w:r w:rsidR="0081010A" w:rsidRPr="004465B8">
        <w:rPr>
          <w:rFonts w:cstheme="minorHAnsi"/>
          <w:sz w:val="24"/>
          <w:szCs w:val="24"/>
        </w:rPr>
        <w:t xml:space="preserve">the group </w:t>
      </w:r>
      <w:r w:rsidRPr="004465B8">
        <w:rPr>
          <w:rFonts w:cstheme="minorHAnsi"/>
          <w:sz w:val="24"/>
          <w:szCs w:val="24"/>
        </w:rPr>
        <w:t xml:space="preserve">to move forward. In line with its terms of reference, </w:t>
      </w:r>
      <w:r w:rsidR="0081010A" w:rsidRPr="004465B8">
        <w:rPr>
          <w:rFonts w:cstheme="minorHAnsi"/>
          <w:sz w:val="24"/>
          <w:szCs w:val="24"/>
        </w:rPr>
        <w:t xml:space="preserve">the group </w:t>
      </w:r>
      <w:r w:rsidRPr="004465B8">
        <w:rPr>
          <w:rFonts w:cstheme="minorHAnsi"/>
          <w:sz w:val="24"/>
          <w:szCs w:val="24"/>
        </w:rPr>
        <w:t xml:space="preserve">will develop </w:t>
      </w:r>
      <w:r w:rsidRPr="004465B8">
        <w:rPr>
          <w:rFonts w:cstheme="minorHAnsi"/>
          <w:sz w:val="24"/>
          <w:szCs w:val="24"/>
        </w:rPr>
        <w:lastRenderedPageBreak/>
        <w:t>proposals and make recommendations that enhance the arrangements for the conference, including conference content; determination of conference theme(s); consider</w:t>
      </w:r>
      <w:r w:rsidR="0081010A" w:rsidRPr="004465B8">
        <w:rPr>
          <w:rFonts w:cstheme="minorHAnsi"/>
          <w:sz w:val="24"/>
          <w:szCs w:val="24"/>
        </w:rPr>
        <w:t>ation of thematic tracks; and defining</w:t>
      </w:r>
      <w:r w:rsidRPr="004465B8">
        <w:rPr>
          <w:rFonts w:cstheme="minorHAnsi"/>
          <w:sz w:val="24"/>
          <w:szCs w:val="24"/>
        </w:rPr>
        <w:t xml:space="preserve"> key stakeholders. As the Chairman of the group put it: “At the end of the day this whole concept of fit-for-purpose is the one we </w:t>
      </w:r>
      <w:proofErr w:type="gramStart"/>
      <w:r w:rsidRPr="004465B8">
        <w:rPr>
          <w:rFonts w:cstheme="minorHAnsi"/>
          <w:sz w:val="24"/>
          <w:szCs w:val="24"/>
        </w:rPr>
        <w:t>need</w:t>
      </w:r>
      <w:proofErr w:type="gramEnd"/>
      <w:r w:rsidRPr="004465B8">
        <w:rPr>
          <w:rFonts w:cstheme="minorHAnsi"/>
          <w:sz w:val="24"/>
          <w:szCs w:val="24"/>
        </w:rPr>
        <w:t xml:space="preserve"> and we are aiming to ensure we attain.”</w:t>
      </w:r>
    </w:p>
    <w:p w14:paraId="0C0DAAEE" w14:textId="77777777" w:rsidR="00FF1A4B" w:rsidRDefault="00FF1A4B" w:rsidP="00CA74EE">
      <w:pPr>
        <w:spacing w:before="120" w:after="120" w:line="240" w:lineRule="auto"/>
        <w:rPr>
          <w:rFonts w:cstheme="minorHAnsi"/>
          <w:sz w:val="24"/>
          <w:szCs w:val="24"/>
        </w:rPr>
      </w:pPr>
    </w:p>
    <w:p w14:paraId="3DD08A72" w14:textId="77777777" w:rsidR="00FF1A4B" w:rsidRDefault="00FF1A4B" w:rsidP="00CA74EE">
      <w:pPr>
        <w:spacing w:before="120" w:after="120" w:line="240" w:lineRule="auto"/>
        <w:rPr>
          <w:rFonts w:cstheme="minorHAnsi"/>
          <w:sz w:val="24"/>
          <w:szCs w:val="24"/>
        </w:rPr>
        <w:sectPr w:rsidR="00FF1A4B" w:rsidSect="00FF1A4B">
          <w:headerReference w:type="default" r:id="rId10"/>
          <w:footerReference w:type="even" r:id="rId11"/>
          <w:footerReference w:type="first" r:id="rId12"/>
          <w:pgSz w:w="12240" w:h="15840"/>
          <w:pgMar w:top="1440" w:right="1134" w:bottom="1134" w:left="1134" w:header="720" w:footer="720" w:gutter="0"/>
          <w:cols w:space="720"/>
          <w:noEndnote/>
          <w:titlePg/>
          <w:docGrid w:linePitch="299"/>
        </w:sectPr>
      </w:pPr>
    </w:p>
    <w:p w14:paraId="4D21EE00" w14:textId="6C5EE9EC" w:rsidR="00D233E9" w:rsidRPr="00D233E9" w:rsidRDefault="00D233E9" w:rsidP="00720E8A">
      <w:pPr>
        <w:spacing w:before="120" w:after="0"/>
        <w:jc w:val="center"/>
      </w:pPr>
      <w:r>
        <w:lastRenderedPageBreak/>
        <w:t>ANNEX 1</w:t>
      </w:r>
    </w:p>
    <w:p w14:paraId="2CB6602B" w14:textId="4286EC3E" w:rsidR="00EB770E" w:rsidRPr="00720E8A" w:rsidRDefault="00EB770E" w:rsidP="00212B94">
      <w:pPr>
        <w:keepNext/>
        <w:spacing w:before="120" w:after="120"/>
        <w:jc w:val="center"/>
        <w:rPr>
          <w:b/>
          <w:bCs/>
        </w:rPr>
      </w:pPr>
      <w:r>
        <w:rPr>
          <w:b/>
          <w:bCs/>
        </w:rPr>
        <w:t>Compilation of proposals submitted to the 2</w:t>
      </w:r>
      <w:r w:rsidRPr="00720E8A">
        <w:rPr>
          <w:b/>
          <w:bCs/>
          <w:vertAlign w:val="superscript"/>
        </w:rPr>
        <w:t>nd</w:t>
      </w:r>
      <w:r>
        <w:rPr>
          <w:b/>
          <w:bCs/>
        </w:rPr>
        <w:t xml:space="preserve"> meeting of the TDAG-WG-Prep, 7 September 2020</w:t>
      </w:r>
    </w:p>
    <w:tbl>
      <w:tblPr>
        <w:tblStyle w:val="TableGrid"/>
        <w:tblW w:w="0" w:type="auto"/>
        <w:tblLook w:val="04A0" w:firstRow="1" w:lastRow="0" w:firstColumn="1" w:lastColumn="0" w:noHBand="0" w:noVBand="1"/>
      </w:tblPr>
      <w:tblGrid>
        <w:gridCol w:w="1907"/>
        <w:gridCol w:w="2443"/>
        <w:gridCol w:w="2413"/>
        <w:gridCol w:w="2819"/>
        <w:gridCol w:w="1841"/>
        <w:gridCol w:w="2139"/>
      </w:tblGrid>
      <w:tr w:rsidR="00EB770E" w14:paraId="694C605E" w14:textId="77777777" w:rsidTr="00212B94">
        <w:trPr>
          <w:tblHeader/>
        </w:trPr>
        <w:tc>
          <w:tcPr>
            <w:tcW w:w="1907" w:type="dxa"/>
            <w:shd w:val="clear" w:color="auto" w:fill="F4B083" w:themeFill="accent2" w:themeFillTint="99"/>
            <w:vAlign w:val="center"/>
          </w:tcPr>
          <w:p w14:paraId="2BADBE10" w14:textId="77777777" w:rsidR="00EB770E" w:rsidRPr="00D03C73" w:rsidRDefault="00EB770E" w:rsidP="00D03C73">
            <w:pPr>
              <w:spacing w:before="120" w:after="120"/>
              <w:jc w:val="center"/>
              <w:rPr>
                <w:b/>
                <w:bCs/>
                <w:sz w:val="18"/>
                <w:szCs w:val="18"/>
              </w:rPr>
            </w:pPr>
            <w:r w:rsidRPr="00D03C73">
              <w:rPr>
                <w:b/>
                <w:bCs/>
                <w:sz w:val="18"/>
                <w:szCs w:val="18"/>
              </w:rPr>
              <w:t>Topic</w:t>
            </w:r>
          </w:p>
        </w:tc>
        <w:tc>
          <w:tcPr>
            <w:tcW w:w="2443" w:type="dxa"/>
            <w:shd w:val="clear" w:color="auto" w:fill="F4B083" w:themeFill="accent2" w:themeFillTint="99"/>
            <w:vAlign w:val="center"/>
          </w:tcPr>
          <w:p w14:paraId="43612C7A" w14:textId="77777777" w:rsidR="00EB770E" w:rsidRPr="00D03C73" w:rsidRDefault="00EB770E" w:rsidP="00D03C73">
            <w:pPr>
              <w:spacing w:before="120" w:after="120"/>
              <w:jc w:val="center"/>
              <w:rPr>
                <w:b/>
                <w:bCs/>
                <w:sz w:val="18"/>
                <w:szCs w:val="18"/>
              </w:rPr>
            </w:pPr>
            <w:r w:rsidRPr="00D03C73">
              <w:rPr>
                <w:b/>
                <w:bCs/>
                <w:sz w:val="18"/>
                <w:szCs w:val="18"/>
              </w:rPr>
              <w:t>Russian Federation</w:t>
            </w:r>
            <w:r w:rsidRPr="00D03C73">
              <w:rPr>
                <w:b/>
                <w:bCs/>
                <w:sz w:val="18"/>
                <w:szCs w:val="18"/>
              </w:rPr>
              <w:br/>
              <w:t>(</w:t>
            </w:r>
            <w:hyperlink r:id="rId13" w:history="1">
              <w:r w:rsidRPr="005868B8">
                <w:rPr>
                  <w:rStyle w:val="Hyperlink"/>
                  <w:b/>
                  <w:bCs/>
                  <w:sz w:val="18"/>
                  <w:szCs w:val="18"/>
                </w:rPr>
                <w:t>TDAG-WG-Prep/7</w:t>
              </w:r>
            </w:hyperlink>
            <w:r w:rsidRPr="00D03C73">
              <w:rPr>
                <w:b/>
                <w:bCs/>
                <w:sz w:val="18"/>
                <w:szCs w:val="18"/>
              </w:rPr>
              <w:t>)</w:t>
            </w:r>
          </w:p>
        </w:tc>
        <w:tc>
          <w:tcPr>
            <w:tcW w:w="2413" w:type="dxa"/>
            <w:shd w:val="clear" w:color="auto" w:fill="F4B083" w:themeFill="accent2" w:themeFillTint="99"/>
            <w:vAlign w:val="center"/>
          </w:tcPr>
          <w:p w14:paraId="01F414CC" w14:textId="77777777" w:rsidR="00EB770E" w:rsidRPr="00D03C73" w:rsidRDefault="00EB770E" w:rsidP="00D03C73">
            <w:pPr>
              <w:spacing w:before="120" w:after="120"/>
              <w:jc w:val="center"/>
              <w:rPr>
                <w:b/>
                <w:bCs/>
                <w:sz w:val="18"/>
                <w:szCs w:val="18"/>
              </w:rPr>
            </w:pPr>
            <w:r w:rsidRPr="00D03C73">
              <w:rPr>
                <w:b/>
                <w:bCs/>
                <w:sz w:val="18"/>
                <w:szCs w:val="18"/>
              </w:rPr>
              <w:t>Indonesia</w:t>
            </w:r>
            <w:r w:rsidRPr="00D03C73">
              <w:rPr>
                <w:b/>
                <w:bCs/>
                <w:sz w:val="18"/>
                <w:szCs w:val="18"/>
              </w:rPr>
              <w:br/>
              <w:t>(</w:t>
            </w:r>
            <w:hyperlink r:id="rId14" w:history="1">
              <w:r w:rsidRPr="005868B8">
                <w:rPr>
                  <w:rStyle w:val="Hyperlink"/>
                  <w:b/>
                  <w:bCs/>
                  <w:sz w:val="18"/>
                  <w:szCs w:val="18"/>
                </w:rPr>
                <w:t>TDAG-WG-Prep/8</w:t>
              </w:r>
            </w:hyperlink>
            <w:r w:rsidRPr="00D03C73">
              <w:rPr>
                <w:b/>
                <w:bCs/>
                <w:sz w:val="18"/>
                <w:szCs w:val="18"/>
              </w:rPr>
              <w:t>)</w:t>
            </w:r>
          </w:p>
        </w:tc>
        <w:tc>
          <w:tcPr>
            <w:tcW w:w="2819" w:type="dxa"/>
            <w:shd w:val="clear" w:color="auto" w:fill="F4B083" w:themeFill="accent2" w:themeFillTint="99"/>
            <w:vAlign w:val="center"/>
          </w:tcPr>
          <w:p w14:paraId="0BCE8CBC" w14:textId="77777777" w:rsidR="00EB770E" w:rsidRPr="00D03C73" w:rsidRDefault="00EB770E" w:rsidP="00D03C73">
            <w:pPr>
              <w:spacing w:before="120" w:after="120"/>
              <w:jc w:val="center"/>
              <w:rPr>
                <w:b/>
                <w:bCs/>
                <w:sz w:val="18"/>
                <w:szCs w:val="18"/>
              </w:rPr>
            </w:pPr>
            <w:r w:rsidRPr="00D03C73">
              <w:rPr>
                <w:b/>
                <w:bCs/>
                <w:sz w:val="18"/>
                <w:szCs w:val="18"/>
              </w:rPr>
              <w:t>ESOA</w:t>
            </w:r>
            <w:r w:rsidRPr="00D03C73">
              <w:rPr>
                <w:b/>
                <w:bCs/>
                <w:sz w:val="18"/>
                <w:szCs w:val="18"/>
              </w:rPr>
              <w:br/>
              <w:t>(</w:t>
            </w:r>
            <w:hyperlink r:id="rId15" w:history="1">
              <w:r w:rsidRPr="005868B8">
                <w:rPr>
                  <w:rStyle w:val="Hyperlink"/>
                  <w:b/>
                  <w:bCs/>
                  <w:sz w:val="18"/>
                  <w:szCs w:val="18"/>
                </w:rPr>
                <w:t>TDAG-WG-Prep/9</w:t>
              </w:r>
            </w:hyperlink>
            <w:r w:rsidRPr="00D03C73">
              <w:rPr>
                <w:b/>
                <w:bCs/>
                <w:sz w:val="18"/>
                <w:szCs w:val="18"/>
              </w:rPr>
              <w:t>)</w:t>
            </w:r>
          </w:p>
        </w:tc>
        <w:tc>
          <w:tcPr>
            <w:tcW w:w="1841" w:type="dxa"/>
            <w:shd w:val="clear" w:color="auto" w:fill="F4B083" w:themeFill="accent2" w:themeFillTint="99"/>
            <w:vAlign w:val="center"/>
          </w:tcPr>
          <w:p w14:paraId="0DF9CBBD" w14:textId="77777777" w:rsidR="00EB770E" w:rsidRPr="00D03C73" w:rsidRDefault="00EB770E" w:rsidP="00D03C73">
            <w:pPr>
              <w:spacing w:before="120" w:after="120"/>
              <w:jc w:val="center"/>
              <w:rPr>
                <w:b/>
                <w:bCs/>
                <w:sz w:val="18"/>
                <w:szCs w:val="18"/>
              </w:rPr>
            </w:pPr>
            <w:r w:rsidRPr="00D03C73">
              <w:rPr>
                <w:b/>
                <w:bCs/>
                <w:sz w:val="18"/>
                <w:szCs w:val="18"/>
              </w:rPr>
              <w:t>Lithuania</w:t>
            </w:r>
            <w:r w:rsidRPr="00D03C73">
              <w:rPr>
                <w:b/>
                <w:bCs/>
                <w:sz w:val="18"/>
                <w:szCs w:val="18"/>
              </w:rPr>
              <w:br/>
              <w:t>(</w:t>
            </w:r>
            <w:hyperlink r:id="rId16" w:history="1">
              <w:r w:rsidRPr="005868B8">
                <w:rPr>
                  <w:rStyle w:val="Hyperlink"/>
                  <w:b/>
                  <w:bCs/>
                  <w:sz w:val="18"/>
                  <w:szCs w:val="18"/>
                </w:rPr>
                <w:t>TDAG-WG-Prep/10</w:t>
              </w:r>
            </w:hyperlink>
            <w:r w:rsidRPr="00D03C73">
              <w:rPr>
                <w:b/>
                <w:bCs/>
                <w:sz w:val="18"/>
                <w:szCs w:val="18"/>
              </w:rPr>
              <w:t>)</w:t>
            </w:r>
          </w:p>
        </w:tc>
        <w:tc>
          <w:tcPr>
            <w:tcW w:w="2139" w:type="dxa"/>
            <w:shd w:val="clear" w:color="auto" w:fill="F4B083" w:themeFill="accent2" w:themeFillTint="99"/>
            <w:vAlign w:val="center"/>
          </w:tcPr>
          <w:p w14:paraId="4309C80D" w14:textId="77777777" w:rsidR="00EB770E" w:rsidRPr="00D03C73" w:rsidRDefault="00EB770E" w:rsidP="00D03C73">
            <w:pPr>
              <w:spacing w:before="120" w:after="120"/>
              <w:jc w:val="center"/>
              <w:rPr>
                <w:b/>
                <w:bCs/>
                <w:sz w:val="18"/>
                <w:szCs w:val="18"/>
              </w:rPr>
            </w:pPr>
            <w:r w:rsidRPr="00D03C73">
              <w:rPr>
                <w:b/>
                <w:bCs/>
                <w:sz w:val="18"/>
                <w:szCs w:val="18"/>
              </w:rPr>
              <w:t>Zimbabwe</w:t>
            </w:r>
            <w:r w:rsidRPr="00D03C73">
              <w:rPr>
                <w:b/>
                <w:bCs/>
                <w:sz w:val="18"/>
                <w:szCs w:val="18"/>
              </w:rPr>
              <w:br/>
              <w:t>(</w:t>
            </w:r>
            <w:hyperlink r:id="rId17" w:history="1">
              <w:r w:rsidRPr="005868B8">
                <w:rPr>
                  <w:rStyle w:val="Hyperlink"/>
                  <w:b/>
                  <w:bCs/>
                  <w:sz w:val="18"/>
                  <w:szCs w:val="18"/>
                </w:rPr>
                <w:t>TDAG-WG-Prep/11</w:t>
              </w:r>
            </w:hyperlink>
            <w:r w:rsidRPr="00D03C73">
              <w:rPr>
                <w:b/>
                <w:bCs/>
                <w:sz w:val="18"/>
                <w:szCs w:val="18"/>
              </w:rPr>
              <w:t>)</w:t>
            </w:r>
          </w:p>
        </w:tc>
      </w:tr>
      <w:tr w:rsidR="00EB770E" w14:paraId="6E189A88" w14:textId="77777777" w:rsidTr="00212B94">
        <w:tc>
          <w:tcPr>
            <w:tcW w:w="1907" w:type="dxa"/>
            <w:shd w:val="clear" w:color="auto" w:fill="FFE599" w:themeFill="accent4" w:themeFillTint="66"/>
          </w:tcPr>
          <w:p w14:paraId="3219DCCD" w14:textId="77777777" w:rsidR="00EB770E" w:rsidRPr="00787BC4" w:rsidRDefault="00EB770E" w:rsidP="002A4060">
            <w:pPr>
              <w:keepNext/>
              <w:spacing w:before="40" w:after="40"/>
              <w:rPr>
                <w:b/>
                <w:bCs/>
                <w:sz w:val="18"/>
                <w:szCs w:val="18"/>
              </w:rPr>
            </w:pPr>
            <w:r>
              <w:rPr>
                <w:b/>
                <w:bCs/>
                <w:sz w:val="18"/>
                <w:szCs w:val="18"/>
              </w:rPr>
              <w:t>Before the Conference</w:t>
            </w:r>
          </w:p>
        </w:tc>
        <w:tc>
          <w:tcPr>
            <w:tcW w:w="2443" w:type="dxa"/>
            <w:shd w:val="clear" w:color="auto" w:fill="FFE599" w:themeFill="accent4" w:themeFillTint="66"/>
          </w:tcPr>
          <w:p w14:paraId="25387878" w14:textId="77777777" w:rsidR="00EB770E" w:rsidRDefault="00EB770E" w:rsidP="002A4060">
            <w:pPr>
              <w:keepNext/>
              <w:spacing w:before="40" w:after="40"/>
              <w:rPr>
                <w:sz w:val="18"/>
                <w:szCs w:val="18"/>
              </w:rPr>
            </w:pPr>
          </w:p>
        </w:tc>
        <w:tc>
          <w:tcPr>
            <w:tcW w:w="2413" w:type="dxa"/>
            <w:shd w:val="clear" w:color="auto" w:fill="FFE599" w:themeFill="accent4" w:themeFillTint="66"/>
          </w:tcPr>
          <w:p w14:paraId="02725ED3" w14:textId="77777777" w:rsidR="00EB770E" w:rsidRDefault="00EB770E" w:rsidP="002A4060">
            <w:pPr>
              <w:keepNext/>
              <w:spacing w:before="40" w:after="40"/>
              <w:rPr>
                <w:sz w:val="18"/>
                <w:szCs w:val="18"/>
              </w:rPr>
            </w:pPr>
          </w:p>
        </w:tc>
        <w:tc>
          <w:tcPr>
            <w:tcW w:w="2819" w:type="dxa"/>
            <w:shd w:val="clear" w:color="auto" w:fill="FFE599" w:themeFill="accent4" w:themeFillTint="66"/>
          </w:tcPr>
          <w:p w14:paraId="78AC8636" w14:textId="77777777" w:rsidR="00EB770E" w:rsidRDefault="00EB770E" w:rsidP="002A4060">
            <w:pPr>
              <w:keepNext/>
              <w:spacing w:before="40" w:after="40"/>
              <w:rPr>
                <w:sz w:val="18"/>
                <w:szCs w:val="18"/>
              </w:rPr>
            </w:pPr>
          </w:p>
        </w:tc>
        <w:tc>
          <w:tcPr>
            <w:tcW w:w="1841" w:type="dxa"/>
            <w:shd w:val="clear" w:color="auto" w:fill="FFE599" w:themeFill="accent4" w:themeFillTint="66"/>
          </w:tcPr>
          <w:p w14:paraId="0DA5C35A" w14:textId="77777777" w:rsidR="00EB770E" w:rsidRDefault="00EB770E" w:rsidP="002A4060">
            <w:pPr>
              <w:keepNext/>
              <w:spacing w:before="40" w:after="40"/>
              <w:rPr>
                <w:sz w:val="18"/>
                <w:szCs w:val="18"/>
              </w:rPr>
            </w:pPr>
          </w:p>
        </w:tc>
        <w:tc>
          <w:tcPr>
            <w:tcW w:w="2139" w:type="dxa"/>
            <w:shd w:val="clear" w:color="auto" w:fill="FFE599" w:themeFill="accent4" w:themeFillTint="66"/>
          </w:tcPr>
          <w:p w14:paraId="2B44164F" w14:textId="77777777" w:rsidR="00EB770E" w:rsidRDefault="00EB770E" w:rsidP="002A4060">
            <w:pPr>
              <w:keepNext/>
              <w:spacing w:before="40" w:after="40"/>
              <w:rPr>
                <w:sz w:val="18"/>
                <w:szCs w:val="18"/>
              </w:rPr>
            </w:pPr>
          </w:p>
        </w:tc>
      </w:tr>
      <w:tr w:rsidR="00EB770E" w14:paraId="412C57A3" w14:textId="77777777" w:rsidTr="00212B94">
        <w:tc>
          <w:tcPr>
            <w:tcW w:w="1907" w:type="dxa"/>
            <w:shd w:val="clear" w:color="auto" w:fill="FFF2CC" w:themeFill="accent4" w:themeFillTint="33"/>
          </w:tcPr>
          <w:p w14:paraId="40ED3856" w14:textId="77777777" w:rsidR="00EB770E" w:rsidRPr="001655F8" w:rsidRDefault="00EB770E" w:rsidP="009632E7">
            <w:pPr>
              <w:spacing w:before="40" w:after="40"/>
              <w:rPr>
                <w:bCs/>
                <w:sz w:val="18"/>
                <w:szCs w:val="18"/>
              </w:rPr>
            </w:pPr>
            <w:r w:rsidRPr="001655F8">
              <w:rPr>
                <w:bCs/>
                <w:sz w:val="18"/>
                <w:szCs w:val="18"/>
                <w:u w:val="single"/>
              </w:rPr>
              <w:t>Inter-Regional Coordination Meetings (IRMs)</w:t>
            </w:r>
          </w:p>
          <w:p w14:paraId="6797087E" w14:textId="77777777" w:rsidR="00EB770E" w:rsidRPr="001655F8" w:rsidRDefault="00EB770E" w:rsidP="00EB770E">
            <w:pPr>
              <w:numPr>
                <w:ilvl w:val="0"/>
                <w:numId w:val="9"/>
              </w:numPr>
              <w:spacing w:before="40" w:after="40"/>
              <w:ind w:left="227" w:hanging="227"/>
              <w:rPr>
                <w:bCs/>
                <w:sz w:val="18"/>
                <w:szCs w:val="18"/>
              </w:rPr>
            </w:pPr>
            <w:r w:rsidRPr="001655F8">
              <w:rPr>
                <w:bCs/>
                <w:sz w:val="18"/>
                <w:szCs w:val="18"/>
              </w:rPr>
              <w:t>How many IRMs should be held and when?</w:t>
            </w:r>
          </w:p>
          <w:p w14:paraId="282DAE07" w14:textId="77777777" w:rsidR="00EB770E" w:rsidRPr="001655F8" w:rsidRDefault="00EB770E" w:rsidP="00EB770E">
            <w:pPr>
              <w:numPr>
                <w:ilvl w:val="0"/>
                <w:numId w:val="9"/>
              </w:numPr>
              <w:spacing w:before="40" w:after="40"/>
              <w:ind w:left="227" w:hanging="227"/>
              <w:rPr>
                <w:bCs/>
                <w:sz w:val="18"/>
                <w:szCs w:val="18"/>
              </w:rPr>
            </w:pPr>
            <w:r w:rsidRPr="001655F8">
              <w:rPr>
                <w:bCs/>
                <w:sz w:val="18"/>
                <w:szCs w:val="18"/>
              </w:rPr>
              <w:t>What should be the format of IRMs?</w:t>
            </w:r>
          </w:p>
          <w:p w14:paraId="7B7A1DBA" w14:textId="77777777" w:rsidR="00EB770E" w:rsidRPr="001655F8" w:rsidRDefault="00EB770E" w:rsidP="00EB770E">
            <w:pPr>
              <w:numPr>
                <w:ilvl w:val="0"/>
                <w:numId w:val="9"/>
              </w:numPr>
              <w:spacing w:before="40" w:after="40"/>
              <w:ind w:left="227" w:hanging="227"/>
              <w:rPr>
                <w:bCs/>
                <w:sz w:val="18"/>
                <w:szCs w:val="18"/>
              </w:rPr>
            </w:pPr>
            <w:r w:rsidRPr="001655F8">
              <w:rPr>
                <w:bCs/>
                <w:sz w:val="18"/>
                <w:szCs w:val="18"/>
              </w:rPr>
              <w:t xml:space="preserve">What should the IRM Agenda include? </w:t>
            </w:r>
          </w:p>
          <w:p w14:paraId="16D36AF3" w14:textId="77777777" w:rsidR="00EB770E" w:rsidRPr="001655F8" w:rsidRDefault="00EB770E" w:rsidP="00EB770E">
            <w:pPr>
              <w:numPr>
                <w:ilvl w:val="0"/>
                <w:numId w:val="9"/>
              </w:numPr>
              <w:spacing w:before="40" w:after="40"/>
              <w:ind w:left="227" w:hanging="227"/>
              <w:rPr>
                <w:bCs/>
                <w:sz w:val="18"/>
                <w:szCs w:val="18"/>
              </w:rPr>
            </w:pPr>
            <w:r w:rsidRPr="001655F8">
              <w:rPr>
                <w:bCs/>
                <w:sz w:val="18"/>
                <w:szCs w:val="18"/>
              </w:rPr>
              <w:t>Should attendance at IRMs be limited, and if so, how many representatives from each region should attend IRMs?</w:t>
            </w:r>
          </w:p>
          <w:p w14:paraId="47BAA1DA" w14:textId="77777777" w:rsidR="00EB770E" w:rsidRPr="001655F8" w:rsidRDefault="00EB770E" w:rsidP="00EB770E">
            <w:pPr>
              <w:numPr>
                <w:ilvl w:val="0"/>
                <w:numId w:val="9"/>
              </w:numPr>
              <w:spacing w:before="40" w:after="40"/>
              <w:ind w:left="227" w:hanging="227"/>
              <w:rPr>
                <w:bCs/>
                <w:sz w:val="18"/>
                <w:szCs w:val="18"/>
              </w:rPr>
            </w:pPr>
            <w:r w:rsidRPr="001655F8">
              <w:rPr>
                <w:bCs/>
                <w:sz w:val="18"/>
                <w:szCs w:val="18"/>
              </w:rPr>
              <w:t>How will chairmanship of IRMs be decided?</w:t>
            </w:r>
          </w:p>
          <w:p w14:paraId="5DDFFD2A" w14:textId="77777777" w:rsidR="00EB770E" w:rsidRDefault="00EB770E" w:rsidP="00EB770E">
            <w:pPr>
              <w:numPr>
                <w:ilvl w:val="0"/>
                <w:numId w:val="9"/>
              </w:numPr>
              <w:spacing w:before="40" w:after="40"/>
              <w:ind w:left="227" w:hanging="227"/>
              <w:rPr>
                <w:sz w:val="18"/>
                <w:szCs w:val="18"/>
              </w:rPr>
            </w:pPr>
            <w:r w:rsidRPr="001655F8">
              <w:rPr>
                <w:bCs/>
                <w:sz w:val="18"/>
                <w:szCs w:val="18"/>
              </w:rPr>
              <w:t>What steps should be taken to ensure proper planning and coordination between RPMs, IRMs and RTO preparatory meetings?</w:t>
            </w:r>
          </w:p>
        </w:tc>
        <w:tc>
          <w:tcPr>
            <w:tcW w:w="2443" w:type="dxa"/>
            <w:shd w:val="clear" w:color="auto" w:fill="FFF2CC" w:themeFill="accent4" w:themeFillTint="33"/>
          </w:tcPr>
          <w:p w14:paraId="75000D58" w14:textId="77777777" w:rsidR="00EB770E" w:rsidRDefault="00EB770E" w:rsidP="009632E7">
            <w:pPr>
              <w:spacing w:before="40" w:after="40"/>
              <w:rPr>
                <w:sz w:val="18"/>
                <w:szCs w:val="18"/>
              </w:rPr>
            </w:pPr>
            <w:r w:rsidRPr="00F46412">
              <w:rPr>
                <w:b/>
                <w:bCs/>
                <w:sz w:val="18"/>
                <w:szCs w:val="18"/>
              </w:rPr>
              <w:t>1.</w:t>
            </w:r>
            <w:r>
              <w:rPr>
                <w:sz w:val="18"/>
                <w:szCs w:val="18"/>
              </w:rPr>
              <w:t xml:space="preserve"> One two-day meeting not together with TDAG (in replacement of CM-RPM).  Focus on </w:t>
            </w:r>
            <w:r w:rsidRPr="00516283">
              <w:rPr>
                <w:sz w:val="18"/>
                <w:szCs w:val="18"/>
              </w:rPr>
              <w:t>small list of critical issues defined at RPMs, and on organizational and management issues of WTDC</w:t>
            </w:r>
            <w:r>
              <w:rPr>
                <w:sz w:val="18"/>
                <w:szCs w:val="18"/>
              </w:rPr>
              <w:t>.</w:t>
            </w:r>
          </w:p>
          <w:p w14:paraId="1E0CE80D" w14:textId="77777777" w:rsidR="00EB770E" w:rsidRDefault="00EB770E" w:rsidP="009632E7">
            <w:pPr>
              <w:spacing w:before="40" w:after="40"/>
              <w:rPr>
                <w:sz w:val="18"/>
                <w:szCs w:val="18"/>
              </w:rPr>
            </w:pPr>
            <w:r w:rsidRPr="00F46412">
              <w:rPr>
                <w:b/>
                <w:bCs/>
                <w:sz w:val="18"/>
                <w:szCs w:val="18"/>
              </w:rPr>
              <w:t>2.</w:t>
            </w:r>
            <w:r>
              <w:rPr>
                <w:sz w:val="18"/>
                <w:szCs w:val="18"/>
              </w:rPr>
              <w:t xml:space="preserve"> </w:t>
            </w:r>
            <w:r w:rsidRPr="00221941">
              <w:rPr>
                <w:sz w:val="18"/>
                <w:szCs w:val="18"/>
              </w:rPr>
              <w:t xml:space="preserve">The </w:t>
            </w:r>
            <w:r>
              <w:rPr>
                <w:sz w:val="18"/>
                <w:szCs w:val="18"/>
              </w:rPr>
              <w:t>IRMs</w:t>
            </w:r>
            <w:r w:rsidRPr="00221941">
              <w:rPr>
                <w:sz w:val="18"/>
                <w:szCs w:val="18"/>
              </w:rPr>
              <w:t xml:space="preserve"> could help reaching a preliminary agreement, but any changes to the preparatory process must keep the sovereign right of any Member State to submit contributions at WTDC by their own.</w:t>
            </w:r>
          </w:p>
          <w:p w14:paraId="702EF098" w14:textId="77777777" w:rsidR="00EB770E" w:rsidRPr="00F46412" w:rsidRDefault="00EB770E" w:rsidP="009632E7">
            <w:pPr>
              <w:spacing w:before="40" w:after="40"/>
              <w:rPr>
                <w:b/>
                <w:bCs/>
                <w:sz w:val="18"/>
                <w:szCs w:val="18"/>
              </w:rPr>
            </w:pPr>
            <w:r w:rsidRPr="00F46412">
              <w:rPr>
                <w:b/>
                <w:bCs/>
                <w:sz w:val="18"/>
                <w:szCs w:val="18"/>
              </w:rPr>
              <w:t xml:space="preserve">3. </w:t>
            </w:r>
          </w:p>
          <w:p w14:paraId="53D0E80F" w14:textId="77777777" w:rsidR="00EB770E" w:rsidRPr="00957813" w:rsidRDefault="00EB770E" w:rsidP="00EB770E">
            <w:pPr>
              <w:numPr>
                <w:ilvl w:val="0"/>
                <w:numId w:val="8"/>
              </w:numPr>
              <w:spacing w:before="40" w:after="40"/>
              <w:ind w:left="227" w:hanging="227"/>
              <w:rPr>
                <w:bCs/>
                <w:sz w:val="18"/>
                <w:szCs w:val="18"/>
              </w:rPr>
            </w:pPr>
            <w:r w:rsidRPr="00957813">
              <w:rPr>
                <w:sz w:val="18"/>
                <w:szCs w:val="18"/>
              </w:rPr>
              <w:t xml:space="preserve">Discussion towards the list of WTDC </w:t>
            </w:r>
            <w:r w:rsidRPr="00957813">
              <w:rPr>
                <w:bCs/>
                <w:sz w:val="18"/>
                <w:szCs w:val="18"/>
              </w:rPr>
              <w:t xml:space="preserve">documents (Resolutions, Declaration, etc.) reflecting the preliminary proposals of </w:t>
            </w:r>
            <w:proofErr w:type="gramStart"/>
            <w:r w:rsidRPr="00957813">
              <w:rPr>
                <w:bCs/>
                <w:sz w:val="18"/>
                <w:szCs w:val="18"/>
              </w:rPr>
              <w:t>RTO;</w:t>
            </w:r>
            <w:proofErr w:type="gramEnd"/>
          </w:p>
          <w:p w14:paraId="10637692" w14:textId="77777777" w:rsidR="00EB770E" w:rsidRPr="00957813" w:rsidRDefault="00EB770E" w:rsidP="00EB770E">
            <w:pPr>
              <w:numPr>
                <w:ilvl w:val="0"/>
                <w:numId w:val="8"/>
              </w:numPr>
              <w:spacing w:before="40" w:after="40"/>
              <w:ind w:left="227" w:hanging="227"/>
              <w:rPr>
                <w:bCs/>
                <w:sz w:val="18"/>
                <w:szCs w:val="18"/>
              </w:rPr>
            </w:pPr>
            <w:r w:rsidRPr="00957813">
              <w:rPr>
                <w:bCs/>
                <w:sz w:val="18"/>
                <w:szCs w:val="18"/>
              </w:rPr>
              <w:t xml:space="preserve">List of RTO’s coordinators on the each of document discussed </w:t>
            </w:r>
            <w:proofErr w:type="gramStart"/>
            <w:r w:rsidRPr="00957813">
              <w:rPr>
                <w:bCs/>
                <w:sz w:val="18"/>
                <w:szCs w:val="18"/>
              </w:rPr>
              <w:t>above;</w:t>
            </w:r>
            <w:proofErr w:type="gramEnd"/>
          </w:p>
          <w:p w14:paraId="52C880D3" w14:textId="77777777" w:rsidR="00EB770E" w:rsidRPr="00957813" w:rsidRDefault="00EB770E" w:rsidP="00EB770E">
            <w:pPr>
              <w:numPr>
                <w:ilvl w:val="0"/>
                <w:numId w:val="8"/>
              </w:numPr>
              <w:spacing w:before="40" w:after="40"/>
              <w:ind w:left="227" w:hanging="227"/>
              <w:rPr>
                <w:sz w:val="18"/>
                <w:szCs w:val="18"/>
              </w:rPr>
            </w:pPr>
            <w:r w:rsidRPr="00957813">
              <w:rPr>
                <w:bCs/>
                <w:sz w:val="18"/>
                <w:szCs w:val="18"/>
              </w:rPr>
              <w:t>Identification of possible problematic documents for WTDC.</w:t>
            </w:r>
          </w:p>
          <w:p w14:paraId="71030AEC" w14:textId="77777777" w:rsidR="00EB770E" w:rsidRDefault="00EB770E" w:rsidP="00957813">
            <w:pPr>
              <w:spacing w:before="40" w:after="40"/>
              <w:rPr>
                <w:sz w:val="18"/>
                <w:szCs w:val="18"/>
              </w:rPr>
            </w:pPr>
            <w:r>
              <w:rPr>
                <w:b/>
                <w:bCs/>
                <w:sz w:val="18"/>
                <w:szCs w:val="18"/>
              </w:rPr>
              <w:t xml:space="preserve">4. </w:t>
            </w:r>
            <w:r w:rsidRPr="005127D0">
              <w:rPr>
                <w:sz w:val="18"/>
                <w:szCs w:val="18"/>
              </w:rPr>
              <w:t>IRM’s should be limited to the nominated coordinators from RTOs.</w:t>
            </w:r>
          </w:p>
          <w:p w14:paraId="1CC6EBA2" w14:textId="77777777" w:rsidR="00EB770E" w:rsidRDefault="00EB770E" w:rsidP="00957813">
            <w:pPr>
              <w:spacing w:before="40" w:after="40"/>
              <w:rPr>
                <w:sz w:val="18"/>
                <w:szCs w:val="18"/>
              </w:rPr>
            </w:pPr>
            <w:r>
              <w:rPr>
                <w:b/>
                <w:bCs/>
                <w:sz w:val="18"/>
                <w:szCs w:val="18"/>
              </w:rPr>
              <w:lastRenderedPageBreak/>
              <w:t xml:space="preserve">5. </w:t>
            </w:r>
            <w:r w:rsidRPr="00446CA3">
              <w:rPr>
                <w:sz w:val="18"/>
                <w:szCs w:val="18"/>
              </w:rPr>
              <w:t>Chairman of WTDC-21 should chair the IRMs preferably.</w:t>
            </w:r>
          </w:p>
          <w:p w14:paraId="164A6EE9" w14:textId="77777777" w:rsidR="00EB770E" w:rsidRPr="00C4314C" w:rsidRDefault="00EB770E" w:rsidP="00C4314C">
            <w:pPr>
              <w:spacing w:before="40" w:after="40"/>
              <w:rPr>
                <w:sz w:val="18"/>
                <w:szCs w:val="18"/>
              </w:rPr>
            </w:pPr>
            <w:r>
              <w:rPr>
                <w:b/>
                <w:bCs/>
                <w:sz w:val="18"/>
                <w:szCs w:val="18"/>
              </w:rPr>
              <w:t xml:space="preserve">6. </w:t>
            </w:r>
            <w:r>
              <w:rPr>
                <w:sz w:val="18"/>
                <w:szCs w:val="18"/>
              </w:rPr>
              <w:t>L</w:t>
            </w:r>
            <w:r w:rsidRPr="00BF390C">
              <w:rPr>
                <w:sz w:val="18"/>
                <w:szCs w:val="18"/>
              </w:rPr>
              <w:t>ast</w:t>
            </w:r>
            <w:r>
              <w:rPr>
                <w:b/>
                <w:bCs/>
                <w:sz w:val="18"/>
                <w:szCs w:val="18"/>
              </w:rPr>
              <w:t xml:space="preserve"> </w:t>
            </w:r>
            <w:r>
              <w:rPr>
                <w:sz w:val="18"/>
                <w:szCs w:val="18"/>
              </w:rPr>
              <w:t xml:space="preserve">RTO preparatory meeting should include one/two days of </w:t>
            </w:r>
            <w:r w:rsidRPr="00C4314C">
              <w:rPr>
                <w:sz w:val="18"/>
                <w:szCs w:val="18"/>
              </w:rPr>
              <w:t>inter-regional coordination</w:t>
            </w:r>
            <w:r>
              <w:rPr>
                <w:sz w:val="18"/>
                <w:szCs w:val="18"/>
              </w:rPr>
              <w:t>, with presence of other RTOs.</w:t>
            </w:r>
            <w:r w:rsidRPr="00C4314C">
              <w:rPr>
                <w:sz w:val="18"/>
                <w:szCs w:val="18"/>
              </w:rPr>
              <w:t xml:space="preserve"> This participation should be supported by:</w:t>
            </w:r>
          </w:p>
          <w:p w14:paraId="408D97F1" w14:textId="77777777" w:rsidR="00EB770E" w:rsidRPr="00C4314C" w:rsidRDefault="00EB770E" w:rsidP="00EB770E">
            <w:pPr>
              <w:numPr>
                <w:ilvl w:val="0"/>
                <w:numId w:val="8"/>
              </w:numPr>
              <w:spacing w:before="40" w:after="40"/>
              <w:ind w:left="227" w:hanging="227"/>
              <w:rPr>
                <w:bCs/>
                <w:sz w:val="18"/>
                <w:szCs w:val="18"/>
              </w:rPr>
            </w:pPr>
            <w:r w:rsidRPr="00C4314C">
              <w:rPr>
                <w:bCs/>
                <w:sz w:val="18"/>
                <w:szCs w:val="18"/>
              </w:rPr>
              <w:t>Translation</w:t>
            </w:r>
            <w:r>
              <w:rPr>
                <w:bCs/>
                <w:sz w:val="18"/>
                <w:szCs w:val="18"/>
              </w:rPr>
              <w:t>/interpretation</w:t>
            </w:r>
            <w:r w:rsidRPr="00C4314C">
              <w:rPr>
                <w:bCs/>
                <w:sz w:val="18"/>
                <w:szCs w:val="18"/>
              </w:rPr>
              <w:t xml:space="preserve"> to English.</w:t>
            </w:r>
          </w:p>
          <w:p w14:paraId="130AD457" w14:textId="77777777" w:rsidR="00EB770E" w:rsidRPr="00C4314C" w:rsidRDefault="00EB770E" w:rsidP="00EB770E">
            <w:pPr>
              <w:numPr>
                <w:ilvl w:val="0"/>
                <w:numId w:val="8"/>
              </w:numPr>
              <w:spacing w:before="40" w:after="40"/>
              <w:ind w:left="227" w:hanging="227"/>
              <w:rPr>
                <w:bCs/>
                <w:sz w:val="18"/>
                <w:szCs w:val="18"/>
              </w:rPr>
            </w:pPr>
            <w:r w:rsidRPr="00C4314C">
              <w:rPr>
                <w:bCs/>
                <w:sz w:val="18"/>
                <w:szCs w:val="18"/>
              </w:rPr>
              <w:t>Invitations containing means to access online the documents, defined by the RTO for interregional consideration</w:t>
            </w:r>
          </w:p>
          <w:p w14:paraId="2180D4A4" w14:textId="77777777" w:rsidR="00EB770E" w:rsidRDefault="00EB770E" w:rsidP="00EB770E">
            <w:pPr>
              <w:numPr>
                <w:ilvl w:val="0"/>
                <w:numId w:val="8"/>
              </w:numPr>
              <w:spacing w:before="40" w:after="40"/>
              <w:ind w:left="227" w:hanging="227"/>
              <w:rPr>
                <w:sz w:val="18"/>
                <w:szCs w:val="18"/>
              </w:rPr>
            </w:pPr>
            <w:r w:rsidRPr="00C4314C">
              <w:rPr>
                <w:bCs/>
                <w:sz w:val="18"/>
                <w:szCs w:val="18"/>
              </w:rPr>
              <w:t>Agenda containing items related to the input documents of other regional organizations</w:t>
            </w:r>
            <w:r w:rsidRPr="00C4314C">
              <w:rPr>
                <w:sz w:val="18"/>
                <w:szCs w:val="18"/>
              </w:rPr>
              <w:t xml:space="preserve"> on their preparatory activity.</w:t>
            </w:r>
          </w:p>
        </w:tc>
        <w:tc>
          <w:tcPr>
            <w:tcW w:w="2413" w:type="dxa"/>
            <w:shd w:val="clear" w:color="auto" w:fill="FFF2CC" w:themeFill="accent4" w:themeFillTint="33"/>
          </w:tcPr>
          <w:p w14:paraId="666A528B" w14:textId="77777777" w:rsidR="00EB770E" w:rsidRDefault="00EB770E" w:rsidP="002D3793">
            <w:pPr>
              <w:spacing w:before="40" w:after="40"/>
              <w:rPr>
                <w:sz w:val="18"/>
                <w:szCs w:val="18"/>
              </w:rPr>
            </w:pPr>
            <w:r>
              <w:rPr>
                <w:b/>
                <w:bCs/>
                <w:sz w:val="18"/>
                <w:szCs w:val="18"/>
              </w:rPr>
              <w:lastRenderedPageBreak/>
              <w:t>1.</w:t>
            </w:r>
            <w:r>
              <w:rPr>
                <w:sz w:val="18"/>
                <w:szCs w:val="18"/>
              </w:rPr>
              <w:t xml:space="preserve"> </w:t>
            </w:r>
          </w:p>
          <w:p w14:paraId="17ED9CD4" w14:textId="77777777" w:rsidR="00EB770E" w:rsidRPr="00E425F9" w:rsidRDefault="00EB770E" w:rsidP="00EB770E">
            <w:pPr>
              <w:pStyle w:val="ListParagraph"/>
              <w:numPr>
                <w:ilvl w:val="0"/>
                <w:numId w:val="10"/>
              </w:numPr>
              <w:spacing w:before="40" w:after="40"/>
              <w:rPr>
                <w:sz w:val="18"/>
                <w:szCs w:val="18"/>
                <w:lang w:val="id-ID"/>
              </w:rPr>
            </w:pPr>
            <w:r w:rsidRPr="00E425F9">
              <w:rPr>
                <w:sz w:val="18"/>
                <w:szCs w:val="18"/>
              </w:rPr>
              <w:t xml:space="preserve">One fully virtual/hybrid IRM prior to WTDC-21 to allow participation by all countries (including those still affected by COVID-19): aim to </w:t>
            </w:r>
            <w:r w:rsidRPr="00E425F9">
              <w:rPr>
                <w:sz w:val="18"/>
                <w:szCs w:val="18"/>
                <w:lang w:val="en-US"/>
              </w:rPr>
              <w:t>minimize deadlock and potential unresolved contentious issues during WTDC-21, and to leverage IRM as a “mini-WTDC” to fully discuss ideas prior to WTDC.</w:t>
            </w:r>
          </w:p>
          <w:p w14:paraId="11A62DEF" w14:textId="77777777" w:rsidR="00EB770E" w:rsidRPr="00AE2BF7" w:rsidRDefault="00EB770E" w:rsidP="00EB770E">
            <w:pPr>
              <w:pStyle w:val="ListParagraph"/>
              <w:numPr>
                <w:ilvl w:val="0"/>
                <w:numId w:val="10"/>
              </w:numPr>
              <w:spacing w:before="40" w:after="40"/>
              <w:rPr>
                <w:sz w:val="18"/>
                <w:szCs w:val="18"/>
                <w:lang w:val="en-US"/>
              </w:rPr>
            </w:pPr>
            <w:r>
              <w:rPr>
                <w:sz w:val="18"/>
                <w:szCs w:val="18"/>
                <w:lang w:val="en-US"/>
              </w:rPr>
              <w:t xml:space="preserve">One </w:t>
            </w:r>
            <w:r w:rsidRPr="00AE2BF7">
              <w:rPr>
                <w:sz w:val="18"/>
                <w:szCs w:val="18"/>
                <w:lang w:val="id-ID"/>
              </w:rPr>
              <w:t xml:space="preserve">IRM </w:t>
            </w:r>
            <w:r w:rsidRPr="00AE2BF7">
              <w:rPr>
                <w:sz w:val="18"/>
                <w:szCs w:val="18"/>
                <w:lang w:val="en-US"/>
              </w:rPr>
              <w:t xml:space="preserve">during 3Q </w:t>
            </w:r>
            <w:r w:rsidRPr="00AE2BF7">
              <w:rPr>
                <w:sz w:val="18"/>
                <w:szCs w:val="18"/>
                <w:lang w:val="id-ID"/>
              </w:rPr>
              <w:t>of 2021</w:t>
            </w:r>
            <w:r>
              <w:rPr>
                <w:sz w:val="18"/>
                <w:szCs w:val="18"/>
                <w:lang w:val="en-US"/>
              </w:rPr>
              <w:t xml:space="preserve"> -</w:t>
            </w:r>
            <w:r w:rsidRPr="00AE2BF7">
              <w:rPr>
                <w:sz w:val="18"/>
                <w:szCs w:val="18"/>
                <w:lang w:val="en-US"/>
              </w:rPr>
              <w:t xml:space="preserve"> allowing time for RTOs</w:t>
            </w:r>
            <w:r>
              <w:rPr>
                <w:sz w:val="18"/>
                <w:szCs w:val="18"/>
                <w:lang w:val="en-US"/>
              </w:rPr>
              <w:t xml:space="preserve"> and MS</w:t>
            </w:r>
            <w:r w:rsidRPr="00AE2BF7">
              <w:rPr>
                <w:sz w:val="18"/>
                <w:szCs w:val="18"/>
                <w:lang w:val="en-US"/>
              </w:rPr>
              <w:t xml:space="preserve"> to formulate </w:t>
            </w:r>
            <w:r>
              <w:rPr>
                <w:sz w:val="18"/>
                <w:szCs w:val="18"/>
                <w:lang w:val="en-US"/>
              </w:rPr>
              <w:t>(</w:t>
            </w:r>
            <w:r w:rsidRPr="00AE2BF7">
              <w:rPr>
                <w:sz w:val="18"/>
                <w:szCs w:val="18"/>
                <w:lang w:val="en-US"/>
              </w:rPr>
              <w:t>Preliminary</w:t>
            </w:r>
            <w:r>
              <w:rPr>
                <w:sz w:val="18"/>
                <w:szCs w:val="18"/>
                <w:lang w:val="en-US"/>
              </w:rPr>
              <w:t>)</w:t>
            </w:r>
            <w:r w:rsidRPr="00AE2BF7">
              <w:rPr>
                <w:sz w:val="18"/>
                <w:szCs w:val="18"/>
                <w:lang w:val="en-US"/>
              </w:rPr>
              <w:t xml:space="preserve"> Regional Common Proposals for WTDC-21, and individual country proposals/amendments to existing texts. </w:t>
            </w:r>
            <w:r>
              <w:rPr>
                <w:sz w:val="18"/>
                <w:szCs w:val="18"/>
                <w:lang w:val="en-US"/>
              </w:rPr>
              <w:t>A</w:t>
            </w:r>
            <w:r w:rsidRPr="00AE2BF7">
              <w:rPr>
                <w:sz w:val="18"/>
                <w:szCs w:val="18"/>
                <w:lang w:val="en-US"/>
              </w:rPr>
              <w:t>lso allow</w:t>
            </w:r>
            <w:r>
              <w:rPr>
                <w:sz w:val="18"/>
                <w:szCs w:val="18"/>
                <w:lang w:val="en-US"/>
              </w:rPr>
              <w:t>s</w:t>
            </w:r>
            <w:r w:rsidRPr="00AE2BF7">
              <w:rPr>
                <w:sz w:val="18"/>
                <w:szCs w:val="18"/>
                <w:lang w:val="en-US"/>
              </w:rPr>
              <w:t xml:space="preserve"> delegates of </w:t>
            </w:r>
            <w:r>
              <w:rPr>
                <w:sz w:val="18"/>
                <w:szCs w:val="18"/>
                <w:lang w:val="en-US"/>
              </w:rPr>
              <w:t>MS</w:t>
            </w:r>
            <w:r w:rsidRPr="00AE2BF7">
              <w:rPr>
                <w:sz w:val="18"/>
                <w:szCs w:val="18"/>
                <w:lang w:val="en-US"/>
              </w:rPr>
              <w:t xml:space="preserve"> to attend WTSA-20 (23 Feb.-5 March 2021) (1Q 2021).</w:t>
            </w:r>
          </w:p>
          <w:p w14:paraId="2F3CF727" w14:textId="77777777" w:rsidR="00EB770E" w:rsidRDefault="00EB770E" w:rsidP="00EB770E">
            <w:pPr>
              <w:pStyle w:val="ListParagraph"/>
              <w:numPr>
                <w:ilvl w:val="0"/>
                <w:numId w:val="10"/>
              </w:numPr>
              <w:spacing w:before="40" w:after="40"/>
              <w:rPr>
                <w:sz w:val="18"/>
                <w:szCs w:val="18"/>
                <w:lang w:val="id-ID"/>
              </w:rPr>
            </w:pPr>
            <w:r w:rsidRPr="00D51EE4">
              <w:rPr>
                <w:sz w:val="18"/>
                <w:szCs w:val="18"/>
                <w:lang w:val="en-US"/>
              </w:rPr>
              <w:t>IRM</w:t>
            </w:r>
            <w:r>
              <w:rPr>
                <w:sz w:val="18"/>
                <w:szCs w:val="18"/>
                <w:lang w:val="en-US"/>
              </w:rPr>
              <w:t>s</w:t>
            </w:r>
            <w:r w:rsidRPr="00D51EE4">
              <w:rPr>
                <w:sz w:val="18"/>
                <w:szCs w:val="18"/>
                <w:lang w:val="en-US"/>
              </w:rPr>
              <w:t xml:space="preserve"> </w:t>
            </w:r>
            <w:r w:rsidRPr="00D51EE4">
              <w:rPr>
                <w:sz w:val="18"/>
                <w:szCs w:val="18"/>
                <w:lang w:val="id-ID"/>
              </w:rPr>
              <w:t>should</w:t>
            </w:r>
            <w:r w:rsidRPr="00D51EE4">
              <w:rPr>
                <w:sz w:val="18"/>
                <w:szCs w:val="18"/>
                <w:lang w:val="en-US"/>
              </w:rPr>
              <w:t xml:space="preserve"> </w:t>
            </w:r>
            <w:r w:rsidRPr="00D51EE4">
              <w:rPr>
                <w:sz w:val="18"/>
                <w:szCs w:val="18"/>
                <w:lang w:val="id-ID"/>
              </w:rPr>
              <w:t>not coincide</w:t>
            </w:r>
            <w:r w:rsidRPr="00D51EE4">
              <w:rPr>
                <w:sz w:val="18"/>
                <w:szCs w:val="18"/>
                <w:lang w:val="en-US"/>
              </w:rPr>
              <w:t xml:space="preserve"> </w:t>
            </w:r>
            <w:r w:rsidRPr="00D51EE4">
              <w:rPr>
                <w:sz w:val="18"/>
                <w:szCs w:val="18"/>
                <w:lang w:val="id-ID"/>
              </w:rPr>
              <w:t xml:space="preserve">with RPM and RTO </w:t>
            </w:r>
            <w:r w:rsidRPr="00D51EE4">
              <w:rPr>
                <w:sz w:val="18"/>
                <w:szCs w:val="18"/>
                <w:lang w:val="en-US"/>
              </w:rPr>
              <w:t xml:space="preserve">Preparatory </w:t>
            </w:r>
            <w:r w:rsidRPr="00D51EE4">
              <w:rPr>
                <w:sz w:val="18"/>
                <w:szCs w:val="18"/>
                <w:lang w:val="id-ID"/>
              </w:rPr>
              <w:t>Meeting</w:t>
            </w:r>
            <w:r w:rsidRPr="00D51EE4">
              <w:rPr>
                <w:sz w:val="18"/>
                <w:szCs w:val="18"/>
                <w:lang w:val="en-US"/>
              </w:rPr>
              <w:t>s</w:t>
            </w:r>
            <w:r w:rsidRPr="00D51EE4">
              <w:rPr>
                <w:sz w:val="18"/>
                <w:szCs w:val="18"/>
                <w:lang w:val="id-ID"/>
              </w:rPr>
              <w:t>.</w:t>
            </w:r>
            <w:r w:rsidRPr="00D51EE4">
              <w:rPr>
                <w:sz w:val="18"/>
                <w:szCs w:val="18"/>
                <w:lang w:val="en-US"/>
              </w:rPr>
              <w:t xml:space="preserve"> </w:t>
            </w:r>
            <w:r>
              <w:rPr>
                <w:sz w:val="18"/>
                <w:szCs w:val="18"/>
                <w:lang w:val="en-US"/>
              </w:rPr>
              <w:t>C</w:t>
            </w:r>
            <w:r w:rsidRPr="00D51EE4">
              <w:rPr>
                <w:sz w:val="18"/>
                <w:szCs w:val="18"/>
                <w:lang w:val="en-US"/>
              </w:rPr>
              <w:t>onsultation BDT</w:t>
            </w:r>
            <w:r>
              <w:rPr>
                <w:sz w:val="18"/>
                <w:szCs w:val="18"/>
                <w:lang w:val="en-US"/>
              </w:rPr>
              <w:t>-</w:t>
            </w:r>
            <w:r w:rsidRPr="00D51EE4">
              <w:rPr>
                <w:sz w:val="18"/>
                <w:szCs w:val="18"/>
                <w:lang w:val="en-US"/>
              </w:rPr>
              <w:t xml:space="preserve">RTOs </w:t>
            </w:r>
            <w:r>
              <w:rPr>
                <w:sz w:val="18"/>
                <w:szCs w:val="18"/>
                <w:lang w:val="en-US"/>
              </w:rPr>
              <w:t>necessary</w:t>
            </w:r>
            <w:r w:rsidRPr="00D51EE4">
              <w:rPr>
                <w:sz w:val="18"/>
                <w:szCs w:val="18"/>
                <w:lang w:val="en-US"/>
              </w:rPr>
              <w:t>.</w:t>
            </w:r>
            <w:r w:rsidRPr="00D51EE4">
              <w:rPr>
                <w:sz w:val="18"/>
                <w:szCs w:val="18"/>
                <w:lang w:val="id-ID"/>
              </w:rPr>
              <w:t xml:space="preserve"> </w:t>
            </w:r>
            <w:r>
              <w:rPr>
                <w:sz w:val="18"/>
                <w:szCs w:val="18"/>
                <w:lang w:val="en-US"/>
              </w:rPr>
              <w:t>P</w:t>
            </w:r>
            <w:r w:rsidRPr="00D51EE4">
              <w:rPr>
                <w:sz w:val="18"/>
                <w:szCs w:val="18"/>
                <w:lang w:val="en-US"/>
              </w:rPr>
              <w:t xml:space="preserve">roposed </w:t>
            </w:r>
            <w:r>
              <w:rPr>
                <w:sz w:val="18"/>
                <w:szCs w:val="18"/>
                <w:lang w:val="en-US"/>
              </w:rPr>
              <w:t>schedule for ASP</w:t>
            </w:r>
            <w:r w:rsidRPr="00D51EE4">
              <w:rPr>
                <w:sz w:val="18"/>
                <w:szCs w:val="18"/>
                <w:lang w:val="id-ID"/>
              </w:rPr>
              <w:t xml:space="preserve"> in Annex</w:t>
            </w:r>
            <w:r>
              <w:rPr>
                <w:sz w:val="18"/>
                <w:szCs w:val="18"/>
                <w:lang w:val="en-US"/>
              </w:rPr>
              <w:t> </w:t>
            </w:r>
            <w:r w:rsidRPr="00D51EE4">
              <w:rPr>
                <w:sz w:val="18"/>
                <w:szCs w:val="18"/>
                <w:lang w:val="id-ID"/>
              </w:rPr>
              <w:t>1.</w:t>
            </w:r>
          </w:p>
          <w:p w14:paraId="50E25807" w14:textId="77777777" w:rsidR="00EB770E" w:rsidRPr="001B4E37" w:rsidRDefault="00EB770E" w:rsidP="00B71E83">
            <w:pPr>
              <w:spacing w:before="40" w:after="40"/>
              <w:rPr>
                <w:sz w:val="18"/>
                <w:szCs w:val="18"/>
              </w:rPr>
            </w:pPr>
            <w:r>
              <w:rPr>
                <w:b/>
                <w:bCs/>
                <w:sz w:val="18"/>
                <w:szCs w:val="18"/>
              </w:rPr>
              <w:lastRenderedPageBreak/>
              <w:t>2.</w:t>
            </w:r>
            <w:r>
              <w:rPr>
                <w:sz w:val="18"/>
                <w:szCs w:val="18"/>
              </w:rPr>
              <w:t xml:space="preserve"> Attendance fully open to MS so IRM become </w:t>
            </w:r>
            <w:r w:rsidRPr="001B4E37">
              <w:rPr>
                <w:sz w:val="18"/>
                <w:szCs w:val="18"/>
              </w:rPr>
              <w:t xml:space="preserve">a platform where RTOs and </w:t>
            </w:r>
            <w:r>
              <w:rPr>
                <w:sz w:val="18"/>
                <w:szCs w:val="18"/>
              </w:rPr>
              <w:t>MS</w:t>
            </w:r>
            <w:r w:rsidRPr="001B4E37">
              <w:rPr>
                <w:sz w:val="18"/>
                <w:szCs w:val="18"/>
              </w:rPr>
              <w:t xml:space="preserve"> can discuss and debate their views regarding proposals for streamlining of WTDC </w:t>
            </w:r>
            <w:r>
              <w:rPr>
                <w:sz w:val="18"/>
                <w:szCs w:val="18"/>
              </w:rPr>
              <w:t>texts</w:t>
            </w:r>
            <w:r w:rsidRPr="001B4E37">
              <w:rPr>
                <w:sz w:val="18"/>
                <w:szCs w:val="18"/>
              </w:rPr>
              <w:t>, prior to WTDC</w:t>
            </w:r>
            <w:r>
              <w:rPr>
                <w:sz w:val="18"/>
                <w:szCs w:val="18"/>
              </w:rPr>
              <w:t xml:space="preserve"> (refer to </w:t>
            </w:r>
            <w:r w:rsidRPr="001B4E37">
              <w:rPr>
                <w:sz w:val="18"/>
                <w:szCs w:val="18"/>
                <w:lang w:val="id-ID"/>
              </w:rPr>
              <w:t>CPM</w:t>
            </w:r>
            <w:r w:rsidRPr="001B4E37">
              <w:rPr>
                <w:sz w:val="18"/>
                <w:szCs w:val="18"/>
              </w:rPr>
              <w:t xml:space="preserve"> for </w:t>
            </w:r>
            <w:r w:rsidRPr="001B4E37">
              <w:rPr>
                <w:sz w:val="18"/>
                <w:szCs w:val="18"/>
                <w:lang w:val="id-ID"/>
              </w:rPr>
              <w:t>WRC-19 and Interregional Meeting for WTSA-20.</w:t>
            </w:r>
          </w:p>
          <w:p w14:paraId="1657DB9D" w14:textId="77777777" w:rsidR="00EB770E" w:rsidRPr="0080000B" w:rsidRDefault="00EB770E" w:rsidP="0080000B">
            <w:pPr>
              <w:spacing w:before="40" w:after="40"/>
              <w:rPr>
                <w:sz w:val="18"/>
                <w:szCs w:val="18"/>
              </w:rPr>
            </w:pPr>
            <w:r>
              <w:rPr>
                <w:b/>
                <w:bCs/>
                <w:sz w:val="18"/>
                <w:szCs w:val="18"/>
              </w:rPr>
              <w:t xml:space="preserve">3. </w:t>
            </w:r>
            <w:r w:rsidRPr="0080000B">
              <w:rPr>
                <w:sz w:val="18"/>
                <w:szCs w:val="18"/>
              </w:rPr>
              <w:t xml:space="preserve">The IRM Agenda should comprise of the following items, but not limited to: </w:t>
            </w:r>
          </w:p>
          <w:p w14:paraId="4390CC0F" w14:textId="77777777" w:rsidR="00EB770E" w:rsidRPr="0080000B" w:rsidRDefault="00EB770E" w:rsidP="00EB770E">
            <w:pPr>
              <w:numPr>
                <w:ilvl w:val="0"/>
                <w:numId w:val="8"/>
              </w:numPr>
              <w:spacing w:before="40" w:after="40"/>
              <w:ind w:left="227" w:hanging="227"/>
              <w:rPr>
                <w:bCs/>
                <w:sz w:val="18"/>
                <w:szCs w:val="18"/>
              </w:rPr>
            </w:pPr>
            <w:r w:rsidRPr="0080000B">
              <w:rPr>
                <w:bCs/>
                <w:sz w:val="18"/>
                <w:szCs w:val="18"/>
              </w:rPr>
              <w:t>Suppression, modification, or streamlining of WTDC resolutions</w:t>
            </w:r>
          </w:p>
          <w:p w14:paraId="24F133DE" w14:textId="77777777" w:rsidR="00EB770E" w:rsidRPr="0080000B" w:rsidRDefault="00EB770E" w:rsidP="00EB770E">
            <w:pPr>
              <w:numPr>
                <w:ilvl w:val="0"/>
                <w:numId w:val="8"/>
              </w:numPr>
              <w:spacing w:before="40" w:after="40"/>
              <w:ind w:left="227" w:hanging="227"/>
              <w:rPr>
                <w:bCs/>
                <w:sz w:val="18"/>
                <w:szCs w:val="18"/>
              </w:rPr>
            </w:pPr>
            <w:r w:rsidRPr="0080000B">
              <w:rPr>
                <w:bCs/>
                <w:sz w:val="18"/>
                <w:szCs w:val="18"/>
              </w:rPr>
              <w:t>Structure and agenda of WTDC-21 (ideas on how the high-level track and side events would be arranged to maximize their impact for future ITU-D projects)</w:t>
            </w:r>
          </w:p>
          <w:p w14:paraId="545F8C03" w14:textId="77777777" w:rsidR="00EB770E" w:rsidRPr="0080000B" w:rsidRDefault="00EB770E" w:rsidP="00EB770E">
            <w:pPr>
              <w:numPr>
                <w:ilvl w:val="0"/>
                <w:numId w:val="8"/>
              </w:numPr>
              <w:spacing w:before="40" w:after="40"/>
              <w:ind w:left="227" w:hanging="227"/>
              <w:rPr>
                <w:b/>
                <w:bCs/>
                <w:sz w:val="18"/>
                <w:szCs w:val="18"/>
              </w:rPr>
            </w:pPr>
            <w:r w:rsidRPr="0080000B">
              <w:rPr>
                <w:bCs/>
                <w:sz w:val="18"/>
                <w:szCs w:val="18"/>
              </w:rPr>
              <w:t>Target invitations (ITU-D member countries, sector members, academia, funding</w:t>
            </w:r>
            <w:r w:rsidRPr="0080000B">
              <w:rPr>
                <w:sz w:val="18"/>
                <w:szCs w:val="18"/>
              </w:rPr>
              <w:t xml:space="preserve"> entities, etc.)</w:t>
            </w:r>
          </w:p>
          <w:p w14:paraId="708B2A0D" w14:textId="77777777" w:rsidR="00EB770E" w:rsidRDefault="00EB770E" w:rsidP="0080000B">
            <w:pPr>
              <w:spacing w:before="40" w:after="40"/>
              <w:rPr>
                <w:sz w:val="18"/>
                <w:szCs w:val="18"/>
                <w:lang w:val="id-ID"/>
              </w:rPr>
            </w:pPr>
            <w:r>
              <w:rPr>
                <w:b/>
                <w:bCs/>
                <w:sz w:val="18"/>
                <w:szCs w:val="18"/>
              </w:rPr>
              <w:t xml:space="preserve">4. </w:t>
            </w:r>
            <w:r>
              <w:rPr>
                <w:sz w:val="18"/>
                <w:szCs w:val="18"/>
              </w:rPr>
              <w:t xml:space="preserve">Attendance fully open to MS so IRM become </w:t>
            </w:r>
            <w:r w:rsidRPr="001B4E37">
              <w:rPr>
                <w:sz w:val="18"/>
                <w:szCs w:val="18"/>
              </w:rPr>
              <w:t xml:space="preserve">a platform where RTOs and </w:t>
            </w:r>
            <w:r>
              <w:rPr>
                <w:sz w:val="18"/>
                <w:szCs w:val="18"/>
              </w:rPr>
              <w:t>MS</w:t>
            </w:r>
            <w:r w:rsidRPr="001B4E37">
              <w:rPr>
                <w:sz w:val="18"/>
                <w:szCs w:val="18"/>
              </w:rPr>
              <w:t xml:space="preserve"> can discuss and debate their views regarding proposals for streamlining of WTDC </w:t>
            </w:r>
            <w:r>
              <w:rPr>
                <w:sz w:val="18"/>
                <w:szCs w:val="18"/>
              </w:rPr>
              <w:t>texts</w:t>
            </w:r>
            <w:r w:rsidRPr="001B4E37">
              <w:rPr>
                <w:sz w:val="18"/>
                <w:szCs w:val="18"/>
              </w:rPr>
              <w:t>, prior to WTDC</w:t>
            </w:r>
            <w:r>
              <w:rPr>
                <w:sz w:val="18"/>
                <w:szCs w:val="18"/>
              </w:rPr>
              <w:t xml:space="preserve"> (refer to </w:t>
            </w:r>
            <w:r w:rsidRPr="001B4E37">
              <w:rPr>
                <w:sz w:val="18"/>
                <w:szCs w:val="18"/>
                <w:lang w:val="id-ID"/>
              </w:rPr>
              <w:t>CPM</w:t>
            </w:r>
            <w:r w:rsidRPr="001B4E37">
              <w:rPr>
                <w:sz w:val="18"/>
                <w:szCs w:val="18"/>
              </w:rPr>
              <w:t xml:space="preserve"> for </w:t>
            </w:r>
            <w:r w:rsidRPr="001B4E37">
              <w:rPr>
                <w:sz w:val="18"/>
                <w:szCs w:val="18"/>
                <w:lang w:val="id-ID"/>
              </w:rPr>
              <w:t>WRC-19 and Interregional Meeting for WTSA-20.</w:t>
            </w:r>
          </w:p>
          <w:p w14:paraId="25D92232" w14:textId="77777777" w:rsidR="00EB770E" w:rsidRPr="00793D42" w:rsidRDefault="00EB770E" w:rsidP="0080000B">
            <w:pPr>
              <w:spacing w:before="40" w:after="40"/>
              <w:rPr>
                <w:b/>
                <w:bCs/>
                <w:sz w:val="18"/>
                <w:szCs w:val="18"/>
              </w:rPr>
            </w:pPr>
            <w:r>
              <w:rPr>
                <w:b/>
                <w:bCs/>
                <w:sz w:val="18"/>
                <w:szCs w:val="18"/>
              </w:rPr>
              <w:t xml:space="preserve">5. </w:t>
            </w:r>
            <w:r w:rsidRPr="00AB4783">
              <w:rPr>
                <w:sz w:val="18"/>
                <w:szCs w:val="18"/>
                <w:lang w:val="id-ID"/>
              </w:rPr>
              <w:t xml:space="preserve">The chairmanship </w:t>
            </w:r>
            <w:r w:rsidRPr="00AB4783">
              <w:rPr>
                <w:sz w:val="18"/>
                <w:szCs w:val="18"/>
              </w:rPr>
              <w:t xml:space="preserve">and office bearers </w:t>
            </w:r>
            <w:r w:rsidRPr="00AB4783">
              <w:rPr>
                <w:sz w:val="18"/>
                <w:szCs w:val="18"/>
                <w:lang w:val="id-ID"/>
              </w:rPr>
              <w:t xml:space="preserve">of </w:t>
            </w:r>
            <w:r w:rsidRPr="00AB4783">
              <w:rPr>
                <w:sz w:val="18"/>
                <w:szCs w:val="18"/>
              </w:rPr>
              <w:t xml:space="preserve">the </w:t>
            </w:r>
            <w:r w:rsidRPr="00AB4783">
              <w:rPr>
                <w:sz w:val="18"/>
                <w:szCs w:val="18"/>
                <w:lang w:val="id-ID"/>
              </w:rPr>
              <w:t xml:space="preserve">IRM should be decided </w:t>
            </w:r>
            <w:r w:rsidRPr="00AB4783">
              <w:rPr>
                <w:sz w:val="18"/>
                <w:szCs w:val="18"/>
              </w:rPr>
              <w:t xml:space="preserve">during </w:t>
            </w:r>
            <w:r w:rsidRPr="00AB4783">
              <w:rPr>
                <w:sz w:val="18"/>
                <w:szCs w:val="18"/>
                <w:lang w:val="id-ID"/>
              </w:rPr>
              <w:lastRenderedPageBreak/>
              <w:t>TDAG-20</w:t>
            </w:r>
            <w:r>
              <w:rPr>
                <w:sz w:val="18"/>
                <w:szCs w:val="18"/>
              </w:rPr>
              <w:t>/</w:t>
            </w:r>
            <w:r w:rsidRPr="00AB4783">
              <w:rPr>
                <w:sz w:val="18"/>
                <w:szCs w:val="18"/>
                <w:lang w:val="id-ID"/>
              </w:rPr>
              <w:t>3</w:t>
            </w:r>
            <w:r w:rsidRPr="00AB4783">
              <w:rPr>
                <w:sz w:val="18"/>
                <w:szCs w:val="18"/>
              </w:rPr>
              <w:t>, on</w:t>
            </w:r>
            <w:r w:rsidRPr="00AB4783">
              <w:rPr>
                <w:sz w:val="18"/>
                <w:szCs w:val="18"/>
                <w:lang w:val="id-ID"/>
              </w:rPr>
              <w:t xml:space="preserve"> 23 November 2020</w:t>
            </w:r>
            <w:r w:rsidRPr="00AB4783">
              <w:rPr>
                <w:sz w:val="18"/>
                <w:szCs w:val="18"/>
              </w:rPr>
              <w:t>.</w:t>
            </w:r>
          </w:p>
        </w:tc>
        <w:tc>
          <w:tcPr>
            <w:tcW w:w="2819" w:type="dxa"/>
            <w:shd w:val="clear" w:color="auto" w:fill="FFF2CC" w:themeFill="accent4" w:themeFillTint="33"/>
          </w:tcPr>
          <w:p w14:paraId="16019A2E" w14:textId="77777777" w:rsidR="00EB770E" w:rsidRDefault="00EB770E" w:rsidP="009632E7">
            <w:pPr>
              <w:spacing w:before="40" w:after="40"/>
              <w:rPr>
                <w:sz w:val="18"/>
                <w:szCs w:val="18"/>
              </w:rPr>
            </w:pPr>
            <w:r>
              <w:rPr>
                <w:sz w:val="18"/>
                <w:szCs w:val="18"/>
              </w:rPr>
              <w:lastRenderedPageBreak/>
              <w:t>--</w:t>
            </w:r>
          </w:p>
        </w:tc>
        <w:tc>
          <w:tcPr>
            <w:tcW w:w="1841" w:type="dxa"/>
            <w:shd w:val="clear" w:color="auto" w:fill="FFF2CC" w:themeFill="accent4" w:themeFillTint="33"/>
          </w:tcPr>
          <w:p w14:paraId="56848B29" w14:textId="77777777" w:rsidR="00EB770E" w:rsidRDefault="00EB770E" w:rsidP="009632E7">
            <w:pPr>
              <w:spacing w:before="40" w:after="40"/>
              <w:rPr>
                <w:sz w:val="18"/>
                <w:szCs w:val="18"/>
              </w:rPr>
            </w:pPr>
            <w:r>
              <w:rPr>
                <w:b/>
                <w:bCs/>
                <w:sz w:val="18"/>
                <w:szCs w:val="18"/>
              </w:rPr>
              <w:t>1.</w:t>
            </w:r>
            <w:r>
              <w:rPr>
                <w:sz w:val="18"/>
                <w:szCs w:val="18"/>
              </w:rPr>
              <w:t xml:space="preserve"> </w:t>
            </w:r>
            <w:r w:rsidRPr="009D1DDC">
              <w:rPr>
                <w:sz w:val="18"/>
                <w:szCs w:val="18"/>
              </w:rPr>
              <w:t xml:space="preserve">IRMs </w:t>
            </w:r>
            <w:r>
              <w:rPr>
                <w:sz w:val="18"/>
                <w:szCs w:val="18"/>
              </w:rPr>
              <w:t xml:space="preserve">to </w:t>
            </w:r>
            <w:r w:rsidRPr="009D1DDC">
              <w:rPr>
                <w:sz w:val="18"/>
                <w:szCs w:val="18"/>
              </w:rPr>
              <w:t xml:space="preserve">be held after every two RPMs (after 2, 4, 6 RPMs), </w:t>
            </w:r>
            <w:r w:rsidRPr="009D1DDC">
              <w:rPr>
                <w:i/>
                <w:iCs/>
                <w:sz w:val="18"/>
                <w:szCs w:val="18"/>
              </w:rPr>
              <w:t>i.e.</w:t>
            </w:r>
            <w:r w:rsidRPr="009D1DDC">
              <w:rPr>
                <w:sz w:val="18"/>
                <w:szCs w:val="18"/>
              </w:rPr>
              <w:t xml:space="preserve"> three in 2021, with possibility to </w:t>
            </w:r>
            <w:r>
              <w:rPr>
                <w:sz w:val="18"/>
                <w:szCs w:val="18"/>
              </w:rPr>
              <w:t>hold</w:t>
            </w:r>
            <w:r w:rsidRPr="009D1DDC">
              <w:rPr>
                <w:sz w:val="18"/>
                <w:szCs w:val="18"/>
              </w:rPr>
              <w:t xml:space="preserve"> additional </w:t>
            </w:r>
            <w:r>
              <w:rPr>
                <w:sz w:val="18"/>
                <w:szCs w:val="18"/>
              </w:rPr>
              <w:t>IRMs</w:t>
            </w:r>
            <w:r w:rsidRPr="009D1DDC">
              <w:rPr>
                <w:sz w:val="18"/>
                <w:szCs w:val="18"/>
              </w:rPr>
              <w:t xml:space="preserve"> if needed. </w:t>
            </w:r>
            <w:r>
              <w:rPr>
                <w:sz w:val="18"/>
                <w:szCs w:val="18"/>
              </w:rPr>
              <w:t>Need</w:t>
            </w:r>
            <w:r w:rsidRPr="009D1DDC">
              <w:rPr>
                <w:sz w:val="18"/>
                <w:szCs w:val="18"/>
              </w:rPr>
              <w:t xml:space="preserve"> reasonable time after RPMs (</w:t>
            </w:r>
            <w:r w:rsidRPr="009D1DDC">
              <w:rPr>
                <w:i/>
                <w:iCs/>
                <w:sz w:val="18"/>
                <w:szCs w:val="18"/>
              </w:rPr>
              <w:t>e. g.</w:t>
            </w:r>
            <w:r w:rsidRPr="009D1DDC">
              <w:rPr>
                <w:sz w:val="18"/>
                <w:szCs w:val="18"/>
              </w:rPr>
              <w:t xml:space="preserve"> a week) till successive IRM to share the outcomes of regional meetings with the representatives of other regions and give them sufficient time to prepare for IRM.</w:t>
            </w:r>
          </w:p>
          <w:p w14:paraId="35DB836E" w14:textId="77777777" w:rsidR="00EB770E" w:rsidRDefault="00EB770E" w:rsidP="009632E7">
            <w:pPr>
              <w:spacing w:before="40" w:after="40"/>
              <w:rPr>
                <w:sz w:val="18"/>
                <w:szCs w:val="18"/>
              </w:rPr>
            </w:pPr>
            <w:r>
              <w:rPr>
                <w:b/>
                <w:bCs/>
                <w:sz w:val="18"/>
                <w:szCs w:val="18"/>
              </w:rPr>
              <w:t>2.</w:t>
            </w:r>
            <w:r>
              <w:rPr>
                <w:sz w:val="18"/>
                <w:szCs w:val="18"/>
              </w:rPr>
              <w:t xml:space="preserve"> </w:t>
            </w:r>
            <w:r w:rsidRPr="00850ED8">
              <w:rPr>
                <w:sz w:val="18"/>
                <w:szCs w:val="18"/>
              </w:rPr>
              <w:t>Agenda for IRMs may be organized mainly basing on the proposals from BDT, RPMs and RTOs and cover the topics that need coordination between different regions. IRMs shall</w:t>
            </w:r>
            <w:r>
              <w:rPr>
                <w:sz w:val="18"/>
                <w:szCs w:val="18"/>
              </w:rPr>
              <w:t xml:space="preserve"> also</w:t>
            </w:r>
            <w:r w:rsidRPr="00850ED8">
              <w:rPr>
                <w:sz w:val="18"/>
                <w:szCs w:val="18"/>
              </w:rPr>
              <w:t xml:space="preserve"> be used for sharing the relevant information (presenting the reports from regional activities).</w:t>
            </w:r>
          </w:p>
          <w:p w14:paraId="414DDD24" w14:textId="77777777" w:rsidR="00EB770E" w:rsidRDefault="00EB770E" w:rsidP="009632E7">
            <w:pPr>
              <w:spacing w:before="40" w:after="40"/>
              <w:rPr>
                <w:sz w:val="18"/>
                <w:szCs w:val="18"/>
              </w:rPr>
            </w:pPr>
            <w:r>
              <w:rPr>
                <w:b/>
                <w:bCs/>
                <w:sz w:val="18"/>
                <w:szCs w:val="18"/>
              </w:rPr>
              <w:t>3.</w:t>
            </w:r>
            <w:r>
              <w:rPr>
                <w:sz w:val="18"/>
                <w:szCs w:val="18"/>
              </w:rPr>
              <w:t xml:space="preserve"> </w:t>
            </w:r>
            <w:r w:rsidRPr="005E774C">
              <w:rPr>
                <w:sz w:val="18"/>
                <w:szCs w:val="18"/>
              </w:rPr>
              <w:t xml:space="preserve">RTOs shall decide who will represent a </w:t>
            </w:r>
            <w:r w:rsidRPr="005E774C">
              <w:rPr>
                <w:sz w:val="18"/>
                <w:szCs w:val="18"/>
              </w:rPr>
              <w:lastRenderedPageBreak/>
              <w:t xml:space="preserve">region at IRMs, up to 5 representatives </w:t>
            </w:r>
            <w:r>
              <w:rPr>
                <w:sz w:val="18"/>
                <w:szCs w:val="18"/>
              </w:rPr>
              <w:t>max.</w:t>
            </w:r>
            <w:r w:rsidRPr="005E774C">
              <w:rPr>
                <w:sz w:val="18"/>
                <w:szCs w:val="18"/>
              </w:rPr>
              <w:t xml:space="preserve"> per region. </w:t>
            </w:r>
            <w:r>
              <w:rPr>
                <w:sz w:val="18"/>
                <w:szCs w:val="18"/>
              </w:rPr>
              <w:t xml:space="preserve">Representatives from </w:t>
            </w:r>
            <w:r w:rsidRPr="005E774C">
              <w:rPr>
                <w:sz w:val="18"/>
                <w:szCs w:val="18"/>
              </w:rPr>
              <w:t xml:space="preserve">other stakeholders involved in preparation </w:t>
            </w:r>
            <w:r>
              <w:rPr>
                <w:sz w:val="18"/>
                <w:szCs w:val="18"/>
              </w:rPr>
              <w:t>of</w:t>
            </w:r>
            <w:r w:rsidRPr="005E774C">
              <w:rPr>
                <w:sz w:val="18"/>
                <w:szCs w:val="18"/>
              </w:rPr>
              <w:t xml:space="preserve"> WTDC-21 </w:t>
            </w:r>
            <w:r>
              <w:rPr>
                <w:sz w:val="18"/>
                <w:szCs w:val="18"/>
              </w:rPr>
              <w:t>may also attend</w:t>
            </w:r>
            <w:r w:rsidRPr="005E774C">
              <w:rPr>
                <w:sz w:val="18"/>
                <w:szCs w:val="18"/>
              </w:rPr>
              <w:t>.</w:t>
            </w:r>
          </w:p>
          <w:p w14:paraId="6329812C" w14:textId="77777777" w:rsidR="00EB770E" w:rsidRPr="005E774C" w:rsidRDefault="00EB770E" w:rsidP="009632E7">
            <w:pPr>
              <w:spacing w:before="40" w:after="40"/>
              <w:rPr>
                <w:sz w:val="18"/>
                <w:szCs w:val="18"/>
              </w:rPr>
            </w:pPr>
            <w:r>
              <w:rPr>
                <w:b/>
                <w:bCs/>
                <w:sz w:val="18"/>
                <w:szCs w:val="18"/>
              </w:rPr>
              <w:t>4.</w:t>
            </w:r>
            <w:r>
              <w:rPr>
                <w:sz w:val="18"/>
                <w:szCs w:val="18"/>
              </w:rPr>
              <w:t xml:space="preserve"> </w:t>
            </w:r>
            <w:r w:rsidRPr="00277E94">
              <w:rPr>
                <w:sz w:val="18"/>
                <w:szCs w:val="18"/>
              </w:rPr>
              <w:t>The best practice of preparation for other ITU conferences shall be incorporated in planning and work of IRMs.</w:t>
            </w:r>
          </w:p>
        </w:tc>
        <w:tc>
          <w:tcPr>
            <w:tcW w:w="2139" w:type="dxa"/>
            <w:shd w:val="clear" w:color="auto" w:fill="FFF2CC" w:themeFill="accent4" w:themeFillTint="33"/>
          </w:tcPr>
          <w:p w14:paraId="4A4D5FAF" w14:textId="77777777" w:rsidR="00EB770E" w:rsidRPr="00AF322D" w:rsidRDefault="00EB770E" w:rsidP="00AF322D">
            <w:pPr>
              <w:spacing w:before="40" w:after="40"/>
              <w:rPr>
                <w:sz w:val="18"/>
                <w:szCs w:val="18"/>
                <w:lang w:val="en-ZW"/>
              </w:rPr>
            </w:pPr>
            <w:r>
              <w:rPr>
                <w:b/>
                <w:bCs/>
                <w:sz w:val="18"/>
                <w:szCs w:val="18"/>
              </w:rPr>
              <w:lastRenderedPageBreak/>
              <w:t>1-2-3.</w:t>
            </w:r>
            <w:r>
              <w:rPr>
                <w:sz w:val="18"/>
                <w:szCs w:val="18"/>
              </w:rPr>
              <w:t xml:space="preserve"> </w:t>
            </w:r>
            <w:r w:rsidRPr="00AF322D">
              <w:rPr>
                <w:sz w:val="18"/>
                <w:szCs w:val="18"/>
                <w:lang w:val="en-ZW"/>
              </w:rPr>
              <w:t>The ideal</w:t>
            </w:r>
            <w:r>
              <w:rPr>
                <w:sz w:val="18"/>
                <w:szCs w:val="18"/>
                <w:lang w:val="en-ZW"/>
              </w:rPr>
              <w:t>:</w:t>
            </w:r>
            <w:r w:rsidRPr="00AF322D">
              <w:rPr>
                <w:sz w:val="18"/>
                <w:szCs w:val="18"/>
                <w:lang w:val="en-ZW"/>
              </w:rPr>
              <w:t xml:space="preserve"> one after every </w:t>
            </w:r>
            <w:r>
              <w:rPr>
                <w:sz w:val="18"/>
                <w:szCs w:val="18"/>
                <w:lang w:val="en-ZW"/>
              </w:rPr>
              <w:t xml:space="preserve">RPM. Practically </w:t>
            </w:r>
            <w:r w:rsidRPr="00AF322D">
              <w:rPr>
                <w:sz w:val="18"/>
                <w:szCs w:val="18"/>
                <w:lang w:val="en-ZW"/>
              </w:rPr>
              <w:t xml:space="preserve">and </w:t>
            </w:r>
            <w:r>
              <w:rPr>
                <w:sz w:val="18"/>
                <w:szCs w:val="18"/>
                <w:lang w:val="en-ZW"/>
              </w:rPr>
              <w:t xml:space="preserve">due to </w:t>
            </w:r>
            <w:r w:rsidRPr="00AF322D">
              <w:rPr>
                <w:sz w:val="18"/>
                <w:szCs w:val="18"/>
                <w:lang w:val="en-ZW"/>
              </w:rPr>
              <w:t xml:space="preserve">cost </w:t>
            </w:r>
            <w:r>
              <w:rPr>
                <w:sz w:val="18"/>
                <w:szCs w:val="18"/>
                <w:lang w:val="en-ZW"/>
              </w:rPr>
              <w:t xml:space="preserve">issues, it is </w:t>
            </w:r>
            <w:r w:rsidRPr="00AF322D">
              <w:rPr>
                <w:sz w:val="18"/>
                <w:szCs w:val="18"/>
                <w:lang w:val="en-ZW"/>
              </w:rPr>
              <w:t>proposed to hold four IRMs as follows:</w:t>
            </w:r>
          </w:p>
          <w:p w14:paraId="155C893B" w14:textId="77777777" w:rsidR="00EB770E" w:rsidRPr="00AF322D" w:rsidRDefault="00EB770E" w:rsidP="00EB770E">
            <w:pPr>
              <w:numPr>
                <w:ilvl w:val="0"/>
                <w:numId w:val="8"/>
              </w:numPr>
              <w:spacing w:before="40" w:after="40"/>
              <w:ind w:left="227" w:hanging="227"/>
              <w:rPr>
                <w:sz w:val="18"/>
                <w:szCs w:val="18"/>
              </w:rPr>
            </w:pPr>
            <w:r w:rsidRPr="00AF322D">
              <w:rPr>
                <w:sz w:val="18"/>
                <w:szCs w:val="18"/>
              </w:rPr>
              <w:t xml:space="preserve">IRM after every two </w:t>
            </w:r>
            <w:r>
              <w:rPr>
                <w:sz w:val="18"/>
                <w:szCs w:val="18"/>
              </w:rPr>
              <w:t>RPMs</w:t>
            </w:r>
            <w:r w:rsidRPr="00AF322D">
              <w:rPr>
                <w:sz w:val="18"/>
                <w:szCs w:val="18"/>
              </w:rPr>
              <w:t xml:space="preserve">.  For example, after the </w:t>
            </w:r>
            <w:r>
              <w:rPr>
                <w:sz w:val="18"/>
                <w:szCs w:val="18"/>
              </w:rPr>
              <w:t>AFR</w:t>
            </w:r>
            <w:r w:rsidRPr="00AF322D">
              <w:rPr>
                <w:sz w:val="18"/>
                <w:szCs w:val="18"/>
              </w:rPr>
              <w:t xml:space="preserve"> and </w:t>
            </w:r>
            <w:r>
              <w:rPr>
                <w:sz w:val="18"/>
                <w:szCs w:val="18"/>
              </w:rPr>
              <w:t>ARB</w:t>
            </w:r>
            <w:r w:rsidRPr="00AF322D">
              <w:rPr>
                <w:sz w:val="18"/>
                <w:szCs w:val="18"/>
              </w:rPr>
              <w:t xml:space="preserve"> Regions </w:t>
            </w:r>
            <w:r>
              <w:rPr>
                <w:sz w:val="18"/>
                <w:szCs w:val="18"/>
              </w:rPr>
              <w:t>RPMs</w:t>
            </w:r>
            <w:r w:rsidRPr="00AF322D">
              <w:rPr>
                <w:sz w:val="18"/>
                <w:szCs w:val="18"/>
              </w:rPr>
              <w:t xml:space="preserve"> that adopt the proposals for each region, an IRM attended by representatives from all regions, is held. This would apply to rest of six regions. </w:t>
            </w:r>
            <w:r>
              <w:rPr>
                <w:sz w:val="18"/>
                <w:szCs w:val="18"/>
              </w:rPr>
              <w:t>A</w:t>
            </w:r>
            <w:r w:rsidRPr="00AF322D">
              <w:rPr>
                <w:sz w:val="18"/>
                <w:szCs w:val="18"/>
              </w:rPr>
              <w:t xml:space="preserve">t the end of all </w:t>
            </w:r>
            <w:r>
              <w:rPr>
                <w:sz w:val="18"/>
                <w:szCs w:val="18"/>
              </w:rPr>
              <w:t>RPMs</w:t>
            </w:r>
            <w:r w:rsidRPr="00AF322D">
              <w:rPr>
                <w:sz w:val="18"/>
                <w:szCs w:val="18"/>
              </w:rPr>
              <w:t xml:space="preserve">, three IRMs, would have been held. </w:t>
            </w:r>
          </w:p>
          <w:p w14:paraId="1A0948F2" w14:textId="77777777" w:rsidR="00EB770E" w:rsidRPr="00AF322D" w:rsidRDefault="00EB770E" w:rsidP="00EB770E">
            <w:pPr>
              <w:numPr>
                <w:ilvl w:val="0"/>
                <w:numId w:val="8"/>
              </w:numPr>
              <w:spacing w:before="40" w:after="40"/>
              <w:ind w:left="227" w:hanging="227"/>
              <w:rPr>
                <w:sz w:val="18"/>
                <w:szCs w:val="18"/>
              </w:rPr>
            </w:pPr>
            <w:r w:rsidRPr="00AF322D">
              <w:rPr>
                <w:sz w:val="18"/>
                <w:szCs w:val="18"/>
              </w:rPr>
              <w:t>Agenda</w:t>
            </w:r>
            <w:r>
              <w:rPr>
                <w:sz w:val="18"/>
                <w:szCs w:val="18"/>
              </w:rPr>
              <w:t>s</w:t>
            </w:r>
            <w:r w:rsidRPr="00AF322D">
              <w:rPr>
                <w:sz w:val="18"/>
                <w:szCs w:val="18"/>
              </w:rPr>
              <w:t xml:space="preserve"> of IRM</w:t>
            </w:r>
            <w:r>
              <w:rPr>
                <w:sz w:val="18"/>
                <w:szCs w:val="18"/>
              </w:rPr>
              <w:t>s</w:t>
            </w:r>
            <w:r w:rsidRPr="00AF322D">
              <w:rPr>
                <w:sz w:val="18"/>
                <w:szCs w:val="18"/>
              </w:rPr>
              <w:t xml:space="preserve"> would be to discuss any issues of common interest arising from the relevant two </w:t>
            </w:r>
            <w:r>
              <w:rPr>
                <w:sz w:val="18"/>
                <w:szCs w:val="18"/>
              </w:rPr>
              <w:t>RPMs</w:t>
            </w:r>
            <w:r w:rsidRPr="00AF322D">
              <w:rPr>
                <w:sz w:val="18"/>
                <w:szCs w:val="18"/>
              </w:rPr>
              <w:t xml:space="preserve">, issues which the regions whose meetings preceded the IRM require support, as well as issues relating formulation of </w:t>
            </w:r>
            <w:r>
              <w:rPr>
                <w:sz w:val="18"/>
                <w:szCs w:val="18"/>
              </w:rPr>
              <w:t>SG</w:t>
            </w:r>
            <w:r w:rsidRPr="00AF322D">
              <w:rPr>
                <w:sz w:val="18"/>
                <w:szCs w:val="18"/>
              </w:rPr>
              <w:t xml:space="preserve"> questions, streamlining of resolutions and regional priorities.</w:t>
            </w:r>
          </w:p>
          <w:p w14:paraId="71401B57" w14:textId="77777777" w:rsidR="00EB770E" w:rsidRPr="00AF322D" w:rsidRDefault="00EB770E" w:rsidP="00EB770E">
            <w:pPr>
              <w:numPr>
                <w:ilvl w:val="0"/>
                <w:numId w:val="8"/>
              </w:numPr>
              <w:spacing w:before="40" w:after="40"/>
              <w:ind w:left="227" w:hanging="227"/>
              <w:rPr>
                <w:sz w:val="18"/>
                <w:szCs w:val="18"/>
              </w:rPr>
            </w:pPr>
            <w:r>
              <w:rPr>
                <w:sz w:val="18"/>
                <w:szCs w:val="18"/>
              </w:rPr>
              <w:lastRenderedPageBreak/>
              <w:t>F</w:t>
            </w:r>
            <w:r w:rsidRPr="00AF322D">
              <w:rPr>
                <w:sz w:val="18"/>
                <w:szCs w:val="18"/>
              </w:rPr>
              <w:t xml:space="preserve">inal IRM at least two months before WTDC </w:t>
            </w:r>
            <w:r>
              <w:rPr>
                <w:sz w:val="18"/>
                <w:szCs w:val="18"/>
              </w:rPr>
              <w:t>to</w:t>
            </w:r>
            <w:r w:rsidRPr="00AF322D">
              <w:rPr>
                <w:sz w:val="18"/>
                <w:szCs w:val="18"/>
              </w:rPr>
              <w:t xml:space="preserve"> review consolidated outcomes of the three IRMs and work at reaching consensus on Regional priorities</w:t>
            </w:r>
            <w:r>
              <w:rPr>
                <w:sz w:val="18"/>
                <w:szCs w:val="18"/>
              </w:rPr>
              <w:t>/</w:t>
            </w:r>
            <w:r w:rsidRPr="00AF322D">
              <w:rPr>
                <w:sz w:val="18"/>
                <w:szCs w:val="18"/>
              </w:rPr>
              <w:t xml:space="preserve">initiatives, new and or revised </w:t>
            </w:r>
            <w:proofErr w:type="spellStart"/>
            <w:r w:rsidRPr="00AF322D">
              <w:rPr>
                <w:sz w:val="18"/>
                <w:szCs w:val="18"/>
              </w:rPr>
              <w:t>resolu</w:t>
            </w:r>
            <w:r w:rsidRPr="00AF322D">
              <w:rPr>
                <w:sz w:val="18"/>
                <w:szCs w:val="18"/>
                <w:lang w:val="en-ZW"/>
              </w:rPr>
              <w:t>tions</w:t>
            </w:r>
            <w:proofErr w:type="spellEnd"/>
            <w:r w:rsidRPr="00AF322D">
              <w:rPr>
                <w:sz w:val="18"/>
                <w:szCs w:val="18"/>
                <w:lang w:val="en-ZW"/>
              </w:rPr>
              <w:t xml:space="preserve">, strategic plan and budget, draft </w:t>
            </w:r>
            <w:r>
              <w:rPr>
                <w:sz w:val="18"/>
                <w:szCs w:val="18"/>
                <w:lang w:val="en-ZW"/>
              </w:rPr>
              <w:t>SG</w:t>
            </w:r>
            <w:r w:rsidRPr="00AF322D">
              <w:rPr>
                <w:sz w:val="18"/>
                <w:szCs w:val="18"/>
                <w:lang w:val="en-ZW"/>
              </w:rPr>
              <w:t xml:space="preserve"> questions, Declaration and discuss strategic partnerships.</w:t>
            </w:r>
          </w:p>
          <w:p w14:paraId="4365D7FC" w14:textId="77777777" w:rsidR="00EB770E" w:rsidRDefault="00EB770E" w:rsidP="00996301">
            <w:pPr>
              <w:spacing w:before="40" w:after="40"/>
              <w:rPr>
                <w:sz w:val="18"/>
                <w:szCs w:val="18"/>
                <w:lang w:val="en-ZW"/>
              </w:rPr>
            </w:pPr>
            <w:r>
              <w:rPr>
                <w:b/>
                <w:bCs/>
                <w:sz w:val="18"/>
                <w:szCs w:val="18"/>
              </w:rPr>
              <w:t>4-5.</w:t>
            </w:r>
            <w:r>
              <w:rPr>
                <w:sz w:val="18"/>
                <w:szCs w:val="18"/>
              </w:rPr>
              <w:t xml:space="preserve"> </w:t>
            </w:r>
            <w:r>
              <w:rPr>
                <w:sz w:val="18"/>
                <w:szCs w:val="18"/>
                <w:lang w:val="en-ZW"/>
              </w:rPr>
              <w:t>Participation l</w:t>
            </w:r>
            <w:r w:rsidRPr="00996301">
              <w:rPr>
                <w:sz w:val="18"/>
                <w:szCs w:val="18"/>
                <w:lang w:val="en-ZW"/>
              </w:rPr>
              <w:t>imited to a maximum of ten representatives per region</w:t>
            </w:r>
            <w:r>
              <w:rPr>
                <w:sz w:val="18"/>
                <w:szCs w:val="18"/>
                <w:lang w:val="en-ZW"/>
              </w:rPr>
              <w:t xml:space="preserve"> (cut costs and keep meetings manageable)</w:t>
            </w:r>
            <w:r w:rsidRPr="00996301">
              <w:rPr>
                <w:sz w:val="18"/>
                <w:szCs w:val="18"/>
                <w:lang w:val="en-ZW"/>
              </w:rPr>
              <w:t xml:space="preserve">. </w:t>
            </w:r>
          </w:p>
          <w:p w14:paraId="351BB04B" w14:textId="77777777" w:rsidR="00EB770E" w:rsidRPr="00996301" w:rsidRDefault="00EB770E" w:rsidP="00996301">
            <w:pPr>
              <w:spacing w:before="40" w:after="40"/>
              <w:rPr>
                <w:sz w:val="18"/>
                <w:szCs w:val="18"/>
                <w:lang w:val="en-ZW"/>
              </w:rPr>
            </w:pPr>
            <w:r>
              <w:rPr>
                <w:sz w:val="18"/>
                <w:szCs w:val="18"/>
                <w:lang w:val="en-ZW"/>
              </w:rPr>
              <w:t>R</w:t>
            </w:r>
            <w:r w:rsidRPr="00996301">
              <w:rPr>
                <w:sz w:val="18"/>
                <w:szCs w:val="18"/>
                <w:lang w:val="en-ZW"/>
              </w:rPr>
              <w:t>egions to use sub regions or geographical representation as a determining factor</w:t>
            </w:r>
            <w:r>
              <w:rPr>
                <w:sz w:val="18"/>
                <w:szCs w:val="18"/>
                <w:lang w:val="en-ZW"/>
              </w:rPr>
              <w:t xml:space="preserve"> and</w:t>
            </w:r>
            <w:r w:rsidRPr="00996301">
              <w:rPr>
                <w:sz w:val="18"/>
                <w:szCs w:val="18"/>
                <w:lang w:val="en-ZW"/>
              </w:rPr>
              <w:t xml:space="preserve"> have representatives that speak to underserved communities, when appointing representatives. For </w:t>
            </w:r>
            <w:proofErr w:type="gramStart"/>
            <w:r w:rsidRPr="00996301">
              <w:rPr>
                <w:sz w:val="18"/>
                <w:szCs w:val="18"/>
                <w:lang w:val="en-ZW"/>
              </w:rPr>
              <w:t>example</w:t>
            </w:r>
            <w:proofErr w:type="gramEnd"/>
            <w:r w:rsidRPr="00996301">
              <w:rPr>
                <w:sz w:val="18"/>
                <w:szCs w:val="18"/>
                <w:lang w:val="en-ZW"/>
              </w:rPr>
              <w:t xml:space="preserve"> for Africa</w:t>
            </w:r>
            <w:r>
              <w:rPr>
                <w:sz w:val="18"/>
                <w:szCs w:val="18"/>
                <w:lang w:val="en-ZW"/>
              </w:rPr>
              <w:t xml:space="preserve">: </w:t>
            </w:r>
            <w:r w:rsidRPr="00996301">
              <w:rPr>
                <w:sz w:val="18"/>
                <w:szCs w:val="18"/>
                <w:lang w:val="en-ZW"/>
              </w:rPr>
              <w:t xml:space="preserve">North Africa, Southern Africa, East Africa West Africa and central Africa. Other representatives could cover, investors including financial institutions, operators, the </w:t>
            </w:r>
            <w:proofErr w:type="gramStart"/>
            <w:r w:rsidRPr="00996301">
              <w:rPr>
                <w:sz w:val="18"/>
                <w:szCs w:val="18"/>
                <w:lang w:val="en-ZW"/>
              </w:rPr>
              <w:t>youth</w:t>
            </w:r>
            <w:proofErr w:type="gramEnd"/>
            <w:r w:rsidRPr="00996301">
              <w:rPr>
                <w:sz w:val="18"/>
                <w:szCs w:val="18"/>
                <w:lang w:val="en-ZW"/>
              </w:rPr>
              <w:t xml:space="preserve"> and donor organisations</w:t>
            </w:r>
            <w:r>
              <w:rPr>
                <w:sz w:val="18"/>
                <w:szCs w:val="18"/>
                <w:lang w:val="en-ZW"/>
              </w:rPr>
              <w:t>.</w:t>
            </w:r>
          </w:p>
          <w:p w14:paraId="02470D9C" w14:textId="77777777" w:rsidR="00EB770E" w:rsidRDefault="00EB770E" w:rsidP="00996301">
            <w:pPr>
              <w:spacing w:before="40" w:after="40"/>
              <w:rPr>
                <w:sz w:val="18"/>
                <w:szCs w:val="18"/>
                <w:lang w:val="en-ZW"/>
              </w:rPr>
            </w:pPr>
            <w:r w:rsidRPr="00996301">
              <w:rPr>
                <w:sz w:val="18"/>
                <w:szCs w:val="18"/>
                <w:lang w:val="en-ZW"/>
              </w:rPr>
              <w:t xml:space="preserve">Given the link between the first three IRMs with </w:t>
            </w:r>
            <w:r w:rsidRPr="00996301">
              <w:rPr>
                <w:sz w:val="18"/>
                <w:szCs w:val="18"/>
                <w:lang w:val="en-ZW"/>
              </w:rPr>
              <w:lastRenderedPageBreak/>
              <w:t xml:space="preserve">specific regions, </w:t>
            </w:r>
            <w:r>
              <w:rPr>
                <w:sz w:val="18"/>
                <w:szCs w:val="18"/>
                <w:lang w:val="en-ZW"/>
              </w:rPr>
              <w:t xml:space="preserve">concerned regions to </w:t>
            </w:r>
            <w:r w:rsidRPr="00996301">
              <w:rPr>
                <w:sz w:val="18"/>
                <w:szCs w:val="18"/>
                <w:lang w:val="en-ZW"/>
              </w:rPr>
              <w:t>appoint the Chair of the IRM related to their regions, with vice chairs coming from all regions.</w:t>
            </w:r>
          </w:p>
          <w:p w14:paraId="7AE1BD69" w14:textId="77777777" w:rsidR="00EB770E" w:rsidRPr="00996301" w:rsidRDefault="00EB770E" w:rsidP="00996301">
            <w:pPr>
              <w:spacing w:before="40" w:after="40"/>
              <w:rPr>
                <w:sz w:val="18"/>
                <w:szCs w:val="18"/>
              </w:rPr>
            </w:pPr>
            <w:r>
              <w:rPr>
                <w:b/>
                <w:bCs/>
                <w:sz w:val="18"/>
                <w:szCs w:val="18"/>
                <w:lang w:val="en-ZW"/>
              </w:rPr>
              <w:t>6.</w:t>
            </w:r>
            <w:r>
              <w:rPr>
                <w:sz w:val="18"/>
                <w:szCs w:val="18"/>
                <w:lang w:val="en-ZW"/>
              </w:rPr>
              <w:t xml:space="preserve"> </w:t>
            </w:r>
            <w:proofErr w:type="gramStart"/>
            <w:r w:rsidRPr="00E73CE5">
              <w:rPr>
                <w:sz w:val="18"/>
                <w:szCs w:val="18"/>
                <w:lang w:val="en-ZW"/>
              </w:rPr>
              <w:t>With regard to</w:t>
            </w:r>
            <w:proofErr w:type="gramEnd"/>
            <w:r w:rsidRPr="00E73CE5">
              <w:rPr>
                <w:sz w:val="18"/>
                <w:szCs w:val="18"/>
                <w:lang w:val="en-ZW"/>
              </w:rPr>
              <w:t xml:space="preserve"> coordinators between RPMs and IRMs and </w:t>
            </w:r>
            <w:r>
              <w:rPr>
                <w:sz w:val="18"/>
                <w:szCs w:val="18"/>
                <w:lang w:val="en-ZW"/>
              </w:rPr>
              <w:t xml:space="preserve">RTOs: </w:t>
            </w:r>
            <w:r w:rsidRPr="00E73CE5">
              <w:rPr>
                <w:sz w:val="18"/>
                <w:szCs w:val="18"/>
                <w:lang w:val="en-ZW"/>
              </w:rPr>
              <w:t xml:space="preserve">each region </w:t>
            </w:r>
            <w:r>
              <w:rPr>
                <w:sz w:val="18"/>
                <w:szCs w:val="18"/>
                <w:lang w:val="en-ZW"/>
              </w:rPr>
              <w:t xml:space="preserve">to </w:t>
            </w:r>
            <w:r w:rsidRPr="00E73CE5">
              <w:rPr>
                <w:sz w:val="18"/>
                <w:szCs w:val="18"/>
                <w:lang w:val="en-ZW"/>
              </w:rPr>
              <w:t>appoint coordinators for the region, while the secretariat of the RTOs are allowed to play an overall coordinating role.</w:t>
            </w:r>
          </w:p>
        </w:tc>
      </w:tr>
      <w:tr w:rsidR="00EB770E" w14:paraId="73D8357A" w14:textId="77777777" w:rsidTr="00212B94">
        <w:tc>
          <w:tcPr>
            <w:tcW w:w="1907" w:type="dxa"/>
            <w:shd w:val="clear" w:color="auto" w:fill="FBE4D5" w:themeFill="accent2" w:themeFillTint="33"/>
          </w:tcPr>
          <w:p w14:paraId="5D2AE7BF" w14:textId="77777777" w:rsidR="00EB770E" w:rsidRPr="002E439A" w:rsidRDefault="00EB770E" w:rsidP="009632E7">
            <w:pPr>
              <w:spacing w:before="40" w:after="40"/>
              <w:rPr>
                <w:bCs/>
                <w:sz w:val="18"/>
                <w:szCs w:val="18"/>
                <w:u w:val="single"/>
              </w:rPr>
            </w:pPr>
            <w:r w:rsidRPr="002E439A">
              <w:rPr>
                <w:bCs/>
                <w:sz w:val="18"/>
                <w:szCs w:val="18"/>
                <w:u w:val="single"/>
              </w:rPr>
              <w:lastRenderedPageBreak/>
              <w:t>Promoting Wider Participation in WTDC</w:t>
            </w:r>
          </w:p>
          <w:p w14:paraId="52097AEE" w14:textId="77777777" w:rsidR="00EB770E" w:rsidRPr="002E439A" w:rsidRDefault="00EB770E" w:rsidP="00EB770E">
            <w:pPr>
              <w:numPr>
                <w:ilvl w:val="0"/>
                <w:numId w:val="1"/>
              </w:numPr>
              <w:spacing w:before="40" w:after="40"/>
              <w:ind w:left="227" w:hanging="227"/>
              <w:rPr>
                <w:bCs/>
                <w:sz w:val="18"/>
                <w:szCs w:val="18"/>
              </w:rPr>
            </w:pPr>
            <w:r w:rsidRPr="002E439A">
              <w:rPr>
                <w:bCs/>
                <w:sz w:val="18"/>
                <w:szCs w:val="18"/>
              </w:rPr>
              <w:t>What constituent groups should be targeted for WTDC-21?</w:t>
            </w:r>
          </w:p>
          <w:p w14:paraId="50BDCF8E" w14:textId="77777777" w:rsidR="00EB770E" w:rsidRPr="002E439A" w:rsidRDefault="00EB770E" w:rsidP="00EB770E">
            <w:pPr>
              <w:numPr>
                <w:ilvl w:val="0"/>
                <w:numId w:val="1"/>
              </w:numPr>
              <w:spacing w:before="40" w:after="40"/>
              <w:ind w:left="227" w:hanging="227"/>
              <w:rPr>
                <w:bCs/>
                <w:sz w:val="18"/>
                <w:szCs w:val="18"/>
              </w:rPr>
            </w:pPr>
            <w:r w:rsidRPr="002E439A">
              <w:rPr>
                <w:bCs/>
                <w:sz w:val="18"/>
                <w:szCs w:val="18"/>
              </w:rPr>
              <w:t>How should WTDC-21 be promoted?</w:t>
            </w:r>
          </w:p>
          <w:p w14:paraId="1CD06549" w14:textId="77777777" w:rsidR="00EB770E" w:rsidRDefault="00EB770E" w:rsidP="00EB770E">
            <w:pPr>
              <w:numPr>
                <w:ilvl w:val="0"/>
                <w:numId w:val="1"/>
              </w:numPr>
              <w:spacing w:before="40" w:after="40"/>
              <w:ind w:left="227" w:hanging="227"/>
              <w:rPr>
                <w:sz w:val="18"/>
                <w:szCs w:val="18"/>
              </w:rPr>
            </w:pPr>
            <w:r w:rsidRPr="002E439A">
              <w:rPr>
                <w:bCs/>
                <w:sz w:val="18"/>
                <w:szCs w:val="18"/>
              </w:rPr>
              <w:t>Which other high-profile forums can be used to raise awareness and interest on WTDC, and how should ITU go about doing this?</w:t>
            </w:r>
          </w:p>
        </w:tc>
        <w:tc>
          <w:tcPr>
            <w:tcW w:w="2443" w:type="dxa"/>
            <w:shd w:val="clear" w:color="auto" w:fill="FBE4D5" w:themeFill="accent2" w:themeFillTint="33"/>
          </w:tcPr>
          <w:p w14:paraId="01CA6E2D" w14:textId="77777777" w:rsidR="00EB770E" w:rsidRDefault="00EB770E" w:rsidP="009632E7">
            <w:pPr>
              <w:spacing w:before="40" w:after="40"/>
              <w:rPr>
                <w:sz w:val="18"/>
                <w:szCs w:val="18"/>
              </w:rPr>
            </w:pPr>
            <w:r>
              <w:rPr>
                <w:b/>
                <w:bCs/>
                <w:sz w:val="18"/>
                <w:szCs w:val="18"/>
              </w:rPr>
              <w:t xml:space="preserve">1. </w:t>
            </w:r>
            <w:r w:rsidRPr="00061841">
              <w:rPr>
                <w:sz w:val="18"/>
                <w:szCs w:val="18"/>
              </w:rPr>
              <w:t>Strengthen the participation of international finance institutions (World Bank, regional development banks, including recent newcomers) and OECD Development assistance committee, especially on relevant discussions of financing ICT development, statistics and ITU outreach. In this regard, participation of UNCTAD, and the contributors to 2018 Survey on Donor Support to the Digital Economy in Developing Countries might also be desirable.</w:t>
            </w:r>
          </w:p>
          <w:p w14:paraId="4DF160DB" w14:textId="77777777" w:rsidR="00EB770E" w:rsidRPr="00D678B4" w:rsidRDefault="00EB770E" w:rsidP="00D678B4">
            <w:pPr>
              <w:spacing w:before="40" w:after="40"/>
              <w:rPr>
                <w:sz w:val="18"/>
                <w:szCs w:val="18"/>
              </w:rPr>
            </w:pPr>
            <w:r>
              <w:rPr>
                <w:b/>
                <w:bCs/>
                <w:sz w:val="18"/>
                <w:szCs w:val="18"/>
              </w:rPr>
              <w:t xml:space="preserve">2. </w:t>
            </w:r>
            <w:r w:rsidRPr="00D678B4">
              <w:rPr>
                <w:sz w:val="18"/>
                <w:szCs w:val="18"/>
              </w:rPr>
              <w:t xml:space="preserve">Attractiveness of WTDC depends on importance, relevance and timeliness of the issues addressed. The high-level decision makers and global leaders could be interested if ITU proposes </w:t>
            </w:r>
            <w:r w:rsidRPr="00D678B4">
              <w:rPr>
                <w:sz w:val="18"/>
                <w:szCs w:val="18"/>
              </w:rPr>
              <w:lastRenderedPageBreak/>
              <w:t xml:space="preserve">programs, initiatives and actions that answer the current situation challenges at the global level in conjunction with UNGA decisions, for example, on the 2030 Agenda, health, food, climate, cyber security etc. </w:t>
            </w:r>
          </w:p>
          <w:p w14:paraId="401D875B" w14:textId="77777777" w:rsidR="00EB770E" w:rsidRDefault="00EB770E" w:rsidP="00D678B4">
            <w:pPr>
              <w:spacing w:before="40" w:after="40"/>
              <w:rPr>
                <w:sz w:val="18"/>
                <w:szCs w:val="18"/>
              </w:rPr>
            </w:pPr>
            <w:r w:rsidRPr="00D678B4">
              <w:rPr>
                <w:sz w:val="18"/>
                <w:szCs w:val="18"/>
              </w:rPr>
              <w:t>It has been noted that important development challenges are not sufficiently addressed at WTDC and that the conference agenda could be made more attractive to high-level decision makers and global leaders.</w:t>
            </w:r>
          </w:p>
          <w:p w14:paraId="47DE77B7" w14:textId="77777777" w:rsidR="00EB770E" w:rsidRDefault="00EB770E" w:rsidP="00D678B4">
            <w:pPr>
              <w:spacing w:before="40" w:after="40"/>
              <w:rPr>
                <w:sz w:val="18"/>
                <w:szCs w:val="18"/>
              </w:rPr>
            </w:pPr>
            <w:r>
              <w:rPr>
                <w:b/>
                <w:bCs/>
                <w:sz w:val="18"/>
                <w:szCs w:val="18"/>
              </w:rPr>
              <w:t xml:space="preserve">3. </w:t>
            </w:r>
            <w:r w:rsidRPr="0049669B">
              <w:rPr>
                <w:sz w:val="18"/>
                <w:szCs w:val="18"/>
              </w:rPr>
              <w:t>Regional forums like Asian-Pacific economic cooperation – APEC (particularly WG on Telecommunications and Information, Steering Committee on Economic and Technical Cooperation) can be utilized to raise awareness about WTDC and the relevant work done on the actual lines of work, e.g. reports on Study questions.</w:t>
            </w:r>
          </w:p>
        </w:tc>
        <w:tc>
          <w:tcPr>
            <w:tcW w:w="2413" w:type="dxa"/>
            <w:shd w:val="clear" w:color="auto" w:fill="FBE4D5" w:themeFill="accent2" w:themeFillTint="33"/>
          </w:tcPr>
          <w:p w14:paraId="3CA37029" w14:textId="77777777" w:rsidR="00EB770E" w:rsidRDefault="00EB770E" w:rsidP="009632E7">
            <w:pPr>
              <w:spacing w:before="40" w:after="40"/>
              <w:rPr>
                <w:sz w:val="18"/>
                <w:szCs w:val="18"/>
              </w:rPr>
            </w:pPr>
            <w:r>
              <w:rPr>
                <w:b/>
                <w:bCs/>
                <w:sz w:val="18"/>
                <w:szCs w:val="18"/>
              </w:rPr>
              <w:lastRenderedPageBreak/>
              <w:t xml:space="preserve">2. </w:t>
            </w:r>
            <w:r w:rsidRPr="00AB4783">
              <w:rPr>
                <w:sz w:val="18"/>
                <w:szCs w:val="18"/>
              </w:rPr>
              <w:t>ITU-D</w:t>
            </w:r>
            <w:r w:rsidRPr="00AB4783">
              <w:rPr>
                <w:sz w:val="18"/>
                <w:szCs w:val="18"/>
                <w:lang w:val="id-ID"/>
              </w:rPr>
              <w:t xml:space="preserve"> should promote WTDC-21 </w:t>
            </w:r>
            <w:r w:rsidRPr="00AB4783">
              <w:rPr>
                <w:sz w:val="18"/>
                <w:szCs w:val="18"/>
              </w:rPr>
              <w:t xml:space="preserve">during </w:t>
            </w:r>
            <w:r w:rsidRPr="00AB4783">
              <w:rPr>
                <w:sz w:val="18"/>
                <w:szCs w:val="18"/>
                <w:lang w:val="id-ID"/>
              </w:rPr>
              <w:t>high-profile forum</w:t>
            </w:r>
            <w:r w:rsidRPr="00AB4783">
              <w:rPr>
                <w:sz w:val="18"/>
                <w:szCs w:val="18"/>
              </w:rPr>
              <w:t xml:space="preserve">s held prior to </w:t>
            </w:r>
            <w:r w:rsidRPr="00AB4783">
              <w:rPr>
                <w:sz w:val="18"/>
                <w:szCs w:val="18"/>
                <w:lang w:val="id-ID"/>
              </w:rPr>
              <w:t>WTDC-21</w:t>
            </w:r>
            <w:r w:rsidRPr="00AB4783">
              <w:rPr>
                <w:sz w:val="18"/>
                <w:szCs w:val="18"/>
              </w:rPr>
              <w:t xml:space="preserve">, such as </w:t>
            </w:r>
            <w:r w:rsidRPr="00AB4783">
              <w:rPr>
                <w:sz w:val="18"/>
                <w:szCs w:val="18"/>
                <w:lang w:val="id-ID"/>
              </w:rPr>
              <w:t>World Economic Forum 2021, Mobile World Congress 2021, and other Ministerial Level/Senior Official Level meetings.</w:t>
            </w:r>
          </w:p>
        </w:tc>
        <w:tc>
          <w:tcPr>
            <w:tcW w:w="2819" w:type="dxa"/>
            <w:shd w:val="clear" w:color="auto" w:fill="FBE4D5" w:themeFill="accent2" w:themeFillTint="33"/>
          </w:tcPr>
          <w:p w14:paraId="6512B613" w14:textId="77777777" w:rsidR="00EB770E" w:rsidRPr="00AE2357" w:rsidRDefault="00EB770E" w:rsidP="009632E7">
            <w:pPr>
              <w:spacing w:before="40" w:after="40"/>
              <w:rPr>
                <w:sz w:val="18"/>
                <w:szCs w:val="18"/>
              </w:rPr>
            </w:pPr>
            <w:r>
              <w:rPr>
                <w:b/>
                <w:bCs/>
                <w:sz w:val="18"/>
                <w:szCs w:val="18"/>
              </w:rPr>
              <w:t>1.</w:t>
            </w:r>
            <w:r>
              <w:rPr>
                <w:sz w:val="18"/>
                <w:szCs w:val="18"/>
              </w:rPr>
              <w:t xml:space="preserve"> ITU to</w:t>
            </w:r>
            <w:r w:rsidRPr="00B17772">
              <w:rPr>
                <w:sz w:val="18"/>
                <w:szCs w:val="18"/>
              </w:rPr>
              <w:t xml:space="preserve"> be mindful to ensure that engagement with private sector stakeholders is balanced across major relevant industry sectors and not perceived as an endorsement of any one industry sector/D-member</w:t>
            </w:r>
            <w:r>
              <w:rPr>
                <w:sz w:val="18"/>
                <w:szCs w:val="18"/>
              </w:rPr>
              <w:t xml:space="preserve">: </w:t>
            </w:r>
            <w:r w:rsidRPr="00B17772">
              <w:rPr>
                <w:sz w:val="18"/>
                <w:szCs w:val="18"/>
              </w:rPr>
              <w:t xml:space="preserve">any session or activity </w:t>
            </w:r>
            <w:proofErr w:type="spellStart"/>
            <w:r w:rsidRPr="00B17772">
              <w:rPr>
                <w:sz w:val="18"/>
                <w:szCs w:val="18"/>
              </w:rPr>
              <w:t>organised</w:t>
            </w:r>
            <w:proofErr w:type="spellEnd"/>
            <w:r w:rsidRPr="00B17772">
              <w:rPr>
                <w:sz w:val="18"/>
                <w:szCs w:val="18"/>
              </w:rPr>
              <w:t xml:space="preserve"> during a private sector event should be considered as a platform for the ICT sector as a whole in line with the overarching objective of promoting connectivity for all</w:t>
            </w:r>
            <w:r>
              <w:rPr>
                <w:sz w:val="18"/>
                <w:szCs w:val="18"/>
              </w:rPr>
              <w:t xml:space="preserve"> - </w:t>
            </w:r>
            <w:r w:rsidRPr="00B17772">
              <w:rPr>
                <w:sz w:val="18"/>
                <w:szCs w:val="18"/>
              </w:rPr>
              <w:t>ITU ensure multi-sector representation and involvement in any sessions/activities/communications arising from the initiative.</w:t>
            </w:r>
          </w:p>
          <w:p w14:paraId="19DFE74C" w14:textId="77777777" w:rsidR="00EB770E" w:rsidRDefault="00EB770E" w:rsidP="009632E7">
            <w:pPr>
              <w:spacing w:before="40" w:after="40"/>
              <w:rPr>
                <w:sz w:val="18"/>
                <w:szCs w:val="18"/>
              </w:rPr>
            </w:pPr>
            <w:r>
              <w:rPr>
                <w:b/>
                <w:bCs/>
                <w:sz w:val="18"/>
                <w:szCs w:val="18"/>
              </w:rPr>
              <w:t>3.</w:t>
            </w:r>
            <w:r>
              <w:rPr>
                <w:sz w:val="18"/>
                <w:szCs w:val="18"/>
              </w:rPr>
              <w:t xml:space="preserve"> P</w:t>
            </w:r>
            <w:r w:rsidRPr="00A12720">
              <w:rPr>
                <w:sz w:val="18"/>
                <w:szCs w:val="18"/>
              </w:rPr>
              <w:t xml:space="preserve">romote WTDC at events </w:t>
            </w:r>
            <w:proofErr w:type="spellStart"/>
            <w:r w:rsidRPr="00A12720">
              <w:rPr>
                <w:sz w:val="18"/>
                <w:szCs w:val="18"/>
              </w:rPr>
              <w:t>organised</w:t>
            </w:r>
            <w:proofErr w:type="spellEnd"/>
            <w:r w:rsidRPr="00A12720">
              <w:rPr>
                <w:sz w:val="18"/>
                <w:szCs w:val="18"/>
              </w:rPr>
              <w:t xml:space="preserve"> by other institutions such as: OCHA, UNICEF, WEF, FAO, the Broadband Commission, European Commission, etc.</w:t>
            </w:r>
          </w:p>
          <w:p w14:paraId="3DB913C5" w14:textId="77777777" w:rsidR="00EB770E" w:rsidRPr="00AE2357" w:rsidRDefault="00EB770E" w:rsidP="009632E7">
            <w:pPr>
              <w:spacing w:before="40" w:after="40"/>
              <w:rPr>
                <w:sz w:val="18"/>
                <w:szCs w:val="18"/>
              </w:rPr>
            </w:pPr>
            <w:r>
              <w:rPr>
                <w:b/>
                <w:bCs/>
                <w:sz w:val="18"/>
                <w:szCs w:val="18"/>
              </w:rPr>
              <w:t xml:space="preserve">2-3. </w:t>
            </w:r>
            <w:r w:rsidRPr="00AE2357">
              <w:rPr>
                <w:sz w:val="18"/>
                <w:szCs w:val="18"/>
              </w:rPr>
              <w:t xml:space="preserve">Consider this text instead: “The ITU should make best efforts </w:t>
            </w:r>
            <w:r w:rsidRPr="00AE2357">
              <w:rPr>
                <w:sz w:val="18"/>
                <w:szCs w:val="18"/>
              </w:rPr>
              <w:lastRenderedPageBreak/>
              <w:t xml:space="preserve">to bring all relevant stakeholders together e.g. with a session dedicated to WTDC, at events </w:t>
            </w:r>
            <w:proofErr w:type="spellStart"/>
            <w:r w:rsidRPr="00AE2357">
              <w:rPr>
                <w:sz w:val="18"/>
                <w:szCs w:val="18"/>
              </w:rPr>
              <w:t>organised</w:t>
            </w:r>
            <w:proofErr w:type="spellEnd"/>
            <w:r w:rsidRPr="00AE2357">
              <w:rPr>
                <w:sz w:val="18"/>
                <w:szCs w:val="18"/>
              </w:rPr>
              <w:t xml:space="preserve"> by the most relevant private sector stakeholders (mobile, satellite, OTTs, etc.) to profile the event in front of high-level industry executives, call for greater cross-sector collaboration and drive greater engagement in WTDC.”</w:t>
            </w:r>
          </w:p>
          <w:p w14:paraId="00383926" w14:textId="77777777" w:rsidR="00EB770E" w:rsidRPr="007F062E" w:rsidRDefault="00EB770E" w:rsidP="009632E7">
            <w:pPr>
              <w:spacing w:before="40" w:after="40"/>
              <w:rPr>
                <w:sz w:val="18"/>
                <w:szCs w:val="18"/>
              </w:rPr>
            </w:pPr>
            <w:r>
              <w:rPr>
                <w:sz w:val="18"/>
                <w:szCs w:val="18"/>
              </w:rPr>
              <w:t>E</w:t>
            </w:r>
            <w:r w:rsidRPr="00025214">
              <w:rPr>
                <w:sz w:val="18"/>
                <w:szCs w:val="18"/>
              </w:rPr>
              <w:t>ncourage a multi-technology approach to achieve its objectives</w:t>
            </w:r>
            <w:r>
              <w:rPr>
                <w:sz w:val="18"/>
                <w:szCs w:val="18"/>
              </w:rPr>
              <w:t xml:space="preserve">: </w:t>
            </w:r>
            <w:r w:rsidRPr="00025214">
              <w:rPr>
                <w:sz w:val="18"/>
                <w:szCs w:val="18"/>
              </w:rPr>
              <w:t xml:space="preserve">BDT as the unique umbrella body actively fostering an inclusive approach amongst technologies and helping to break down silos between sectors </w:t>
            </w:r>
            <w:proofErr w:type="gramStart"/>
            <w:r w:rsidRPr="00025214">
              <w:rPr>
                <w:sz w:val="18"/>
                <w:szCs w:val="18"/>
              </w:rPr>
              <w:t>in order to</w:t>
            </w:r>
            <w:proofErr w:type="gramEnd"/>
            <w:r w:rsidRPr="00025214">
              <w:rPr>
                <w:sz w:val="18"/>
                <w:szCs w:val="18"/>
              </w:rPr>
              <w:t xml:space="preserve"> connect everyone and deliver on the SDGs.</w:t>
            </w:r>
          </w:p>
        </w:tc>
        <w:tc>
          <w:tcPr>
            <w:tcW w:w="1841" w:type="dxa"/>
            <w:shd w:val="clear" w:color="auto" w:fill="FBE4D5" w:themeFill="accent2" w:themeFillTint="33"/>
          </w:tcPr>
          <w:p w14:paraId="07F50C59" w14:textId="77777777" w:rsidR="00EB770E" w:rsidRDefault="00EB770E" w:rsidP="009632E7">
            <w:pPr>
              <w:spacing w:before="40" w:after="40"/>
              <w:rPr>
                <w:sz w:val="18"/>
                <w:szCs w:val="18"/>
              </w:rPr>
            </w:pPr>
            <w:r>
              <w:rPr>
                <w:b/>
                <w:bCs/>
                <w:sz w:val="18"/>
                <w:szCs w:val="18"/>
              </w:rPr>
              <w:lastRenderedPageBreak/>
              <w:t>1.</w:t>
            </w:r>
            <w:r>
              <w:rPr>
                <w:sz w:val="18"/>
                <w:szCs w:val="18"/>
              </w:rPr>
              <w:t xml:space="preserve"> </w:t>
            </w:r>
            <w:r w:rsidRPr="00183122">
              <w:rPr>
                <w:sz w:val="18"/>
                <w:szCs w:val="18"/>
              </w:rPr>
              <w:t>Visibility and awareness promotion strategy shall be elaborated by ITU with proposals and implementation support from the membership.</w:t>
            </w:r>
          </w:p>
          <w:p w14:paraId="5EE765E2" w14:textId="77777777" w:rsidR="00EB770E" w:rsidRDefault="00EB770E" w:rsidP="009632E7">
            <w:pPr>
              <w:spacing w:before="40" w:after="40"/>
              <w:rPr>
                <w:sz w:val="18"/>
                <w:szCs w:val="18"/>
              </w:rPr>
            </w:pPr>
            <w:r>
              <w:rPr>
                <w:b/>
                <w:bCs/>
                <w:sz w:val="18"/>
                <w:szCs w:val="18"/>
              </w:rPr>
              <w:t>2.</w:t>
            </w:r>
            <w:r>
              <w:rPr>
                <w:sz w:val="18"/>
                <w:szCs w:val="18"/>
              </w:rPr>
              <w:t xml:space="preserve"> </w:t>
            </w:r>
            <w:r w:rsidRPr="00E62544">
              <w:rPr>
                <w:sz w:val="18"/>
                <w:szCs w:val="18"/>
              </w:rPr>
              <w:t xml:space="preserve">The main objectives of WTDC-21, the value of participation in the conference and possible ways of contributing shall be clearly and loudly communicated to the public. </w:t>
            </w:r>
          </w:p>
          <w:p w14:paraId="6E3C761E" w14:textId="77777777" w:rsidR="00EB770E" w:rsidRDefault="00EB770E" w:rsidP="009632E7">
            <w:pPr>
              <w:spacing w:before="40" w:after="40"/>
              <w:rPr>
                <w:sz w:val="18"/>
                <w:szCs w:val="18"/>
              </w:rPr>
            </w:pPr>
            <w:r w:rsidRPr="0040750F">
              <w:rPr>
                <w:sz w:val="18"/>
                <w:szCs w:val="18"/>
              </w:rPr>
              <w:t xml:space="preserve">Specific measures shall be developed for promotion of WTDC-21 in every region to attract the best regional </w:t>
            </w:r>
            <w:r w:rsidRPr="0040750F">
              <w:rPr>
                <w:sz w:val="18"/>
                <w:szCs w:val="18"/>
              </w:rPr>
              <w:lastRenderedPageBreak/>
              <w:t>representation at this conference.</w:t>
            </w:r>
          </w:p>
          <w:p w14:paraId="208C4474" w14:textId="77777777" w:rsidR="00EB770E" w:rsidRPr="00E62544" w:rsidRDefault="00EB770E" w:rsidP="009632E7">
            <w:pPr>
              <w:spacing w:before="40" w:after="40"/>
              <w:rPr>
                <w:sz w:val="18"/>
                <w:szCs w:val="18"/>
              </w:rPr>
            </w:pPr>
            <w:r>
              <w:rPr>
                <w:b/>
                <w:bCs/>
                <w:sz w:val="18"/>
                <w:szCs w:val="18"/>
              </w:rPr>
              <w:t>3.</w:t>
            </w:r>
            <w:r>
              <w:rPr>
                <w:sz w:val="18"/>
                <w:szCs w:val="18"/>
              </w:rPr>
              <w:t xml:space="preserve"> MS</w:t>
            </w:r>
            <w:r w:rsidRPr="002A30F1">
              <w:rPr>
                <w:sz w:val="18"/>
                <w:szCs w:val="18"/>
              </w:rPr>
              <w:t xml:space="preserve"> invited to put efforts in promoting the WTDC-21 on national level, especially addressing groups that may benefit the most from outcomes of WTDC-21 (</w:t>
            </w:r>
            <w:r w:rsidRPr="002A30F1">
              <w:rPr>
                <w:i/>
                <w:iCs/>
                <w:sz w:val="18"/>
                <w:szCs w:val="18"/>
              </w:rPr>
              <w:t>e. g.</w:t>
            </w:r>
            <w:r w:rsidRPr="002A30F1">
              <w:rPr>
                <w:sz w:val="18"/>
                <w:szCs w:val="18"/>
              </w:rPr>
              <w:t xml:space="preserve"> the youth organizations, girls and women, organizations of people with disabilities, etc.) inviting them to contribute.</w:t>
            </w:r>
          </w:p>
        </w:tc>
        <w:tc>
          <w:tcPr>
            <w:tcW w:w="2139" w:type="dxa"/>
            <w:shd w:val="clear" w:color="auto" w:fill="FBE4D5" w:themeFill="accent2" w:themeFillTint="33"/>
          </w:tcPr>
          <w:p w14:paraId="402ACAD1" w14:textId="77777777" w:rsidR="00EB770E" w:rsidRPr="002154D2" w:rsidRDefault="00EB770E" w:rsidP="002154D2">
            <w:pPr>
              <w:spacing w:before="40" w:after="40"/>
              <w:rPr>
                <w:sz w:val="18"/>
                <w:szCs w:val="18"/>
                <w:lang w:val="en-ZW"/>
              </w:rPr>
            </w:pPr>
            <w:r>
              <w:rPr>
                <w:b/>
                <w:bCs/>
                <w:sz w:val="18"/>
                <w:szCs w:val="18"/>
              </w:rPr>
              <w:lastRenderedPageBreak/>
              <w:t>1.</w:t>
            </w:r>
            <w:r>
              <w:rPr>
                <w:sz w:val="18"/>
                <w:szCs w:val="18"/>
              </w:rPr>
              <w:t xml:space="preserve"> </w:t>
            </w:r>
            <w:r w:rsidRPr="002154D2">
              <w:rPr>
                <w:sz w:val="18"/>
                <w:szCs w:val="18"/>
                <w:lang w:val="en-ZW"/>
              </w:rPr>
              <w:t>Groups to be targeted for participation in WTDC</w:t>
            </w:r>
            <w:r>
              <w:rPr>
                <w:sz w:val="18"/>
                <w:szCs w:val="18"/>
                <w:lang w:val="en-ZW"/>
              </w:rPr>
              <w:t xml:space="preserve">, </w:t>
            </w:r>
            <w:r w:rsidRPr="002154D2">
              <w:rPr>
                <w:sz w:val="18"/>
                <w:szCs w:val="18"/>
                <w:lang w:val="en-ZW"/>
              </w:rPr>
              <w:t>in addition to Policy makers and Regulatory Authorities:</w:t>
            </w:r>
          </w:p>
          <w:p w14:paraId="44B38200" w14:textId="77777777" w:rsidR="00EB770E" w:rsidRPr="002154D2" w:rsidRDefault="00EB770E" w:rsidP="00EB770E">
            <w:pPr>
              <w:numPr>
                <w:ilvl w:val="0"/>
                <w:numId w:val="8"/>
              </w:numPr>
              <w:spacing w:before="40" w:after="40"/>
              <w:ind w:left="227" w:hanging="227"/>
              <w:rPr>
                <w:sz w:val="18"/>
                <w:szCs w:val="18"/>
                <w:lang w:val="en-ZW"/>
              </w:rPr>
            </w:pPr>
            <w:r w:rsidRPr="002154D2">
              <w:rPr>
                <w:sz w:val="18"/>
                <w:szCs w:val="18"/>
                <w:lang w:val="en-ZW"/>
              </w:rPr>
              <w:t>Financial institutions</w:t>
            </w:r>
            <w:r>
              <w:rPr>
                <w:sz w:val="18"/>
                <w:szCs w:val="18"/>
                <w:lang w:val="en-ZW"/>
              </w:rPr>
              <w:t xml:space="preserve"> (</w:t>
            </w:r>
            <w:r w:rsidRPr="002154D2">
              <w:rPr>
                <w:sz w:val="18"/>
                <w:szCs w:val="18"/>
                <w:lang w:val="en-ZW"/>
              </w:rPr>
              <w:t>they play a big role in funding projects and implementation of financial inclusion. Care should be taken however to ensure that they do dominate and dictate what should be done. In this regard, they should be part of the delegation of the Member State from which they come from</w:t>
            </w:r>
            <w:r>
              <w:rPr>
                <w:sz w:val="18"/>
                <w:szCs w:val="18"/>
                <w:lang w:val="en-ZW"/>
              </w:rPr>
              <w:t>)</w:t>
            </w:r>
            <w:r w:rsidRPr="002154D2">
              <w:rPr>
                <w:sz w:val="18"/>
                <w:szCs w:val="18"/>
                <w:lang w:val="en-ZW"/>
              </w:rPr>
              <w:t>.</w:t>
            </w:r>
          </w:p>
          <w:p w14:paraId="358F1E2E" w14:textId="77777777" w:rsidR="00EB770E" w:rsidRPr="002154D2" w:rsidRDefault="00EB770E" w:rsidP="00EB770E">
            <w:pPr>
              <w:numPr>
                <w:ilvl w:val="0"/>
                <w:numId w:val="8"/>
              </w:numPr>
              <w:spacing w:before="40" w:after="40"/>
              <w:ind w:left="227" w:hanging="227"/>
              <w:rPr>
                <w:sz w:val="18"/>
                <w:szCs w:val="18"/>
                <w:lang w:val="en-ZW"/>
              </w:rPr>
            </w:pPr>
            <w:r w:rsidRPr="002154D2">
              <w:rPr>
                <w:sz w:val="18"/>
                <w:szCs w:val="18"/>
                <w:lang w:val="en-ZW"/>
              </w:rPr>
              <w:t>Development and Donor organisations</w:t>
            </w:r>
            <w:r>
              <w:rPr>
                <w:sz w:val="18"/>
                <w:szCs w:val="18"/>
                <w:lang w:val="en-ZW"/>
              </w:rPr>
              <w:t xml:space="preserve"> (</w:t>
            </w:r>
            <w:r w:rsidRPr="002154D2">
              <w:rPr>
                <w:sz w:val="18"/>
                <w:szCs w:val="18"/>
                <w:lang w:val="en-ZW"/>
              </w:rPr>
              <w:t xml:space="preserve">will assist with assessing the areas </w:t>
            </w:r>
            <w:r w:rsidRPr="002154D2">
              <w:rPr>
                <w:sz w:val="18"/>
                <w:szCs w:val="18"/>
                <w:lang w:val="en-ZW"/>
              </w:rPr>
              <w:lastRenderedPageBreak/>
              <w:t xml:space="preserve">that require </w:t>
            </w:r>
            <w:r w:rsidRPr="002154D2">
              <w:rPr>
                <w:bCs/>
                <w:sz w:val="18"/>
                <w:szCs w:val="18"/>
              </w:rPr>
              <w:t>intervention</w:t>
            </w:r>
            <w:r w:rsidRPr="002154D2">
              <w:rPr>
                <w:sz w:val="18"/>
                <w:szCs w:val="18"/>
                <w:lang w:val="en-ZW"/>
              </w:rPr>
              <w:t xml:space="preserve"> </w:t>
            </w:r>
            <w:proofErr w:type="gramStart"/>
            <w:r w:rsidRPr="002154D2">
              <w:rPr>
                <w:sz w:val="18"/>
                <w:szCs w:val="18"/>
                <w:lang w:val="en-ZW"/>
              </w:rPr>
              <w:t>with regard to</w:t>
            </w:r>
            <w:proofErr w:type="gramEnd"/>
            <w:r w:rsidRPr="002154D2">
              <w:rPr>
                <w:sz w:val="18"/>
                <w:szCs w:val="18"/>
                <w:lang w:val="en-ZW"/>
              </w:rPr>
              <w:t xml:space="preserve"> connectivity and development issues</w:t>
            </w:r>
            <w:r>
              <w:rPr>
                <w:sz w:val="18"/>
                <w:szCs w:val="18"/>
                <w:lang w:val="en-ZW"/>
              </w:rPr>
              <w:t>)</w:t>
            </w:r>
          </w:p>
          <w:p w14:paraId="4E859EEE" w14:textId="77777777" w:rsidR="00EB770E" w:rsidRPr="002154D2" w:rsidRDefault="00EB770E" w:rsidP="00EB770E">
            <w:pPr>
              <w:numPr>
                <w:ilvl w:val="0"/>
                <w:numId w:val="8"/>
              </w:numPr>
              <w:spacing w:before="40" w:after="40"/>
              <w:ind w:left="227" w:hanging="227"/>
              <w:rPr>
                <w:sz w:val="18"/>
                <w:szCs w:val="18"/>
                <w:lang w:val="en-ZW"/>
              </w:rPr>
            </w:pPr>
            <w:r w:rsidRPr="002154D2">
              <w:rPr>
                <w:sz w:val="18"/>
                <w:szCs w:val="18"/>
                <w:lang w:val="en-ZW"/>
              </w:rPr>
              <w:t>Gender groups and youth</w:t>
            </w:r>
            <w:r>
              <w:rPr>
                <w:sz w:val="18"/>
                <w:szCs w:val="18"/>
                <w:lang w:val="en-ZW"/>
              </w:rPr>
              <w:t xml:space="preserve"> (</w:t>
            </w:r>
            <w:r w:rsidRPr="002154D2">
              <w:rPr>
                <w:sz w:val="18"/>
                <w:szCs w:val="18"/>
                <w:lang w:val="en-ZW"/>
              </w:rPr>
              <w:t xml:space="preserve">can </w:t>
            </w:r>
            <w:r w:rsidRPr="002154D2">
              <w:rPr>
                <w:bCs/>
                <w:sz w:val="18"/>
                <w:szCs w:val="18"/>
              </w:rPr>
              <w:t>highlight</w:t>
            </w:r>
            <w:r w:rsidRPr="002154D2">
              <w:rPr>
                <w:sz w:val="18"/>
                <w:szCs w:val="18"/>
                <w:lang w:val="en-ZW"/>
              </w:rPr>
              <w:t xml:space="preserve"> the challenges faced by their constituencies </w:t>
            </w:r>
            <w:r>
              <w:rPr>
                <w:sz w:val="18"/>
                <w:szCs w:val="18"/>
                <w:lang w:val="en-ZW"/>
              </w:rPr>
              <w:t>and</w:t>
            </w:r>
            <w:r w:rsidRPr="002154D2">
              <w:rPr>
                <w:sz w:val="18"/>
                <w:szCs w:val="18"/>
                <w:lang w:val="en-ZW"/>
              </w:rPr>
              <w:t xml:space="preserve"> propos</w:t>
            </w:r>
            <w:r>
              <w:rPr>
                <w:sz w:val="18"/>
                <w:szCs w:val="18"/>
                <w:lang w:val="en-ZW"/>
              </w:rPr>
              <w:t>e</w:t>
            </w:r>
            <w:r w:rsidRPr="002154D2">
              <w:rPr>
                <w:sz w:val="18"/>
                <w:szCs w:val="18"/>
                <w:lang w:val="en-ZW"/>
              </w:rPr>
              <w:t xml:space="preserve"> innovations that can provide solutions for the development of ICTs</w:t>
            </w:r>
            <w:r>
              <w:rPr>
                <w:sz w:val="18"/>
                <w:szCs w:val="18"/>
                <w:lang w:val="en-ZW"/>
              </w:rPr>
              <w:t>).</w:t>
            </w:r>
          </w:p>
          <w:p w14:paraId="772EF097" w14:textId="77777777" w:rsidR="00EB770E" w:rsidRPr="002154D2" w:rsidRDefault="00EB770E" w:rsidP="00EB770E">
            <w:pPr>
              <w:numPr>
                <w:ilvl w:val="0"/>
                <w:numId w:val="8"/>
              </w:numPr>
              <w:spacing w:before="40" w:after="40"/>
              <w:ind w:left="227" w:hanging="227"/>
              <w:rPr>
                <w:sz w:val="18"/>
                <w:szCs w:val="18"/>
                <w:lang w:val="en-ZW"/>
              </w:rPr>
            </w:pPr>
            <w:r w:rsidRPr="002154D2">
              <w:rPr>
                <w:sz w:val="18"/>
                <w:szCs w:val="18"/>
                <w:lang w:val="en-ZW"/>
              </w:rPr>
              <w:t>Manufacturers of ICT equipment and gadgets</w:t>
            </w:r>
            <w:r>
              <w:rPr>
                <w:sz w:val="18"/>
                <w:szCs w:val="18"/>
                <w:lang w:val="en-ZW"/>
              </w:rPr>
              <w:t xml:space="preserve"> (so </w:t>
            </w:r>
            <w:r w:rsidRPr="002154D2">
              <w:rPr>
                <w:sz w:val="18"/>
                <w:szCs w:val="18"/>
                <w:lang w:val="en-ZW"/>
              </w:rPr>
              <w:t xml:space="preserve">they have a clear understanding of what products they need to produce to support ICT development. </w:t>
            </w:r>
            <w:r>
              <w:rPr>
                <w:sz w:val="18"/>
                <w:szCs w:val="18"/>
                <w:lang w:val="en-ZW"/>
              </w:rPr>
              <w:t>N</w:t>
            </w:r>
            <w:r w:rsidRPr="002154D2">
              <w:rPr>
                <w:sz w:val="18"/>
                <w:szCs w:val="18"/>
                <w:lang w:val="en-ZW"/>
              </w:rPr>
              <w:t>eed to ensure that creation of business for these entities does not hijack the development programme for WTDC</w:t>
            </w:r>
            <w:r>
              <w:rPr>
                <w:sz w:val="18"/>
                <w:szCs w:val="18"/>
                <w:lang w:val="en-ZW"/>
              </w:rPr>
              <w:t xml:space="preserve">: </w:t>
            </w:r>
            <w:r w:rsidRPr="002154D2">
              <w:rPr>
                <w:sz w:val="18"/>
                <w:szCs w:val="18"/>
                <w:lang w:val="en-ZW"/>
              </w:rPr>
              <w:t xml:space="preserve">these entities to participate under the banner of their </w:t>
            </w:r>
            <w:r>
              <w:rPr>
                <w:sz w:val="18"/>
                <w:szCs w:val="18"/>
                <w:lang w:val="en-ZW"/>
              </w:rPr>
              <w:t>MS)</w:t>
            </w:r>
            <w:r w:rsidRPr="002154D2">
              <w:rPr>
                <w:sz w:val="18"/>
                <w:szCs w:val="18"/>
                <w:lang w:val="en-ZW"/>
              </w:rPr>
              <w:t>.</w:t>
            </w:r>
          </w:p>
          <w:p w14:paraId="5ED0D2C8" w14:textId="77777777" w:rsidR="00EB770E" w:rsidRPr="002154D2" w:rsidRDefault="00EB770E" w:rsidP="00EB770E">
            <w:pPr>
              <w:numPr>
                <w:ilvl w:val="0"/>
                <w:numId w:val="8"/>
              </w:numPr>
              <w:spacing w:before="40" w:after="40"/>
              <w:ind w:left="227" w:hanging="227"/>
              <w:rPr>
                <w:sz w:val="18"/>
                <w:szCs w:val="18"/>
                <w:lang w:val="en-ZW"/>
              </w:rPr>
            </w:pPr>
            <w:r w:rsidRPr="002154D2">
              <w:rPr>
                <w:sz w:val="18"/>
                <w:szCs w:val="18"/>
                <w:lang w:val="en-ZW"/>
              </w:rPr>
              <w:t xml:space="preserve">Academia </w:t>
            </w:r>
            <w:r>
              <w:rPr>
                <w:sz w:val="18"/>
                <w:szCs w:val="18"/>
                <w:lang w:val="en-ZW"/>
              </w:rPr>
              <w:t>(</w:t>
            </w:r>
            <w:r w:rsidRPr="002154D2">
              <w:rPr>
                <w:sz w:val="18"/>
                <w:szCs w:val="18"/>
                <w:lang w:val="en-ZW"/>
              </w:rPr>
              <w:t>ICT skills education requirements are also catered for</w:t>
            </w:r>
            <w:r>
              <w:rPr>
                <w:sz w:val="18"/>
                <w:szCs w:val="18"/>
                <w:lang w:val="en-ZW"/>
              </w:rPr>
              <w:t>).</w:t>
            </w:r>
          </w:p>
          <w:p w14:paraId="0C331B4D" w14:textId="77777777" w:rsidR="00EB770E" w:rsidRPr="00A2691D" w:rsidRDefault="00EB770E" w:rsidP="00A2691D">
            <w:pPr>
              <w:spacing w:before="40" w:after="40"/>
              <w:rPr>
                <w:sz w:val="18"/>
                <w:szCs w:val="18"/>
                <w:lang w:val="en-ZW"/>
              </w:rPr>
            </w:pPr>
            <w:r>
              <w:rPr>
                <w:b/>
                <w:bCs/>
                <w:sz w:val="18"/>
                <w:szCs w:val="18"/>
                <w:lang w:val="en-ZW"/>
              </w:rPr>
              <w:t>2 &amp; 3.</w:t>
            </w:r>
            <w:r>
              <w:rPr>
                <w:sz w:val="18"/>
                <w:szCs w:val="18"/>
                <w:lang w:val="en-ZW"/>
              </w:rPr>
              <w:t xml:space="preserve"> </w:t>
            </w:r>
            <w:r w:rsidRPr="00A2691D">
              <w:rPr>
                <w:sz w:val="18"/>
                <w:szCs w:val="18"/>
                <w:lang w:val="en-ZW"/>
              </w:rPr>
              <w:t xml:space="preserve">Promotion of WTDC to stakeholder </w:t>
            </w:r>
            <w:r>
              <w:rPr>
                <w:sz w:val="18"/>
                <w:szCs w:val="18"/>
                <w:lang w:val="en-ZW"/>
              </w:rPr>
              <w:t>groups:</w:t>
            </w:r>
          </w:p>
          <w:p w14:paraId="1FAB07E1" w14:textId="77777777" w:rsidR="00EB770E" w:rsidRPr="00A2691D" w:rsidRDefault="00EB770E" w:rsidP="00EB770E">
            <w:pPr>
              <w:numPr>
                <w:ilvl w:val="0"/>
                <w:numId w:val="8"/>
              </w:numPr>
              <w:spacing w:before="40" w:after="40"/>
              <w:ind w:left="227" w:hanging="227"/>
              <w:rPr>
                <w:sz w:val="18"/>
                <w:szCs w:val="18"/>
                <w:lang w:val="en-ZW"/>
              </w:rPr>
            </w:pPr>
            <w:r w:rsidRPr="00A2691D">
              <w:rPr>
                <w:sz w:val="18"/>
                <w:szCs w:val="18"/>
                <w:lang w:val="en-ZW"/>
              </w:rPr>
              <w:t xml:space="preserve">Nationally, regulators could dedicate of any </w:t>
            </w:r>
            <w:r w:rsidRPr="00A2691D">
              <w:rPr>
                <w:sz w:val="18"/>
                <w:szCs w:val="18"/>
                <w:lang w:val="en-ZW"/>
              </w:rPr>
              <w:lastRenderedPageBreak/>
              <w:t xml:space="preserve">speeches delivered during key ICT events to the role of WTDC and encouraging industry, </w:t>
            </w:r>
            <w:proofErr w:type="gramStart"/>
            <w:r w:rsidRPr="00A2691D">
              <w:rPr>
                <w:sz w:val="18"/>
                <w:szCs w:val="18"/>
                <w:lang w:val="en-ZW"/>
              </w:rPr>
              <w:t>academia</w:t>
            </w:r>
            <w:proofErr w:type="gramEnd"/>
            <w:r w:rsidRPr="00A2691D">
              <w:rPr>
                <w:sz w:val="18"/>
                <w:szCs w:val="18"/>
                <w:lang w:val="en-ZW"/>
              </w:rPr>
              <w:t xml:space="preserve"> and various stake holders to participate in the preparations and take up the responsibility to take awareness to their constituencies</w:t>
            </w:r>
          </w:p>
          <w:p w14:paraId="7F5A1156" w14:textId="77777777" w:rsidR="00EB770E" w:rsidRPr="00A2691D" w:rsidRDefault="00EB770E" w:rsidP="00EB770E">
            <w:pPr>
              <w:numPr>
                <w:ilvl w:val="0"/>
                <w:numId w:val="8"/>
              </w:numPr>
              <w:spacing w:before="40" w:after="40"/>
              <w:ind w:left="227" w:hanging="227"/>
              <w:rPr>
                <w:sz w:val="18"/>
                <w:szCs w:val="18"/>
                <w:lang w:val="en-ZW"/>
              </w:rPr>
            </w:pPr>
            <w:r w:rsidRPr="00A2691D">
              <w:rPr>
                <w:sz w:val="18"/>
                <w:szCs w:val="18"/>
                <w:lang w:val="en-ZW"/>
              </w:rPr>
              <w:t xml:space="preserve">Regionally, all regional meetings and conferences </w:t>
            </w:r>
            <w:r>
              <w:rPr>
                <w:sz w:val="18"/>
                <w:szCs w:val="18"/>
                <w:lang w:val="en-ZW"/>
              </w:rPr>
              <w:t>to</w:t>
            </w:r>
            <w:r w:rsidRPr="00A2691D">
              <w:rPr>
                <w:sz w:val="18"/>
                <w:szCs w:val="18"/>
                <w:lang w:val="en-ZW"/>
              </w:rPr>
              <w:t xml:space="preserve"> incorporate a segment </w:t>
            </w:r>
            <w:r>
              <w:rPr>
                <w:sz w:val="18"/>
                <w:szCs w:val="18"/>
                <w:lang w:val="en-ZW"/>
              </w:rPr>
              <w:t>with</w:t>
            </w:r>
            <w:r w:rsidRPr="00A2691D">
              <w:rPr>
                <w:sz w:val="18"/>
                <w:szCs w:val="18"/>
                <w:lang w:val="en-ZW"/>
              </w:rPr>
              <w:t xml:space="preserve"> discussion on the importance of participating in WTDC and its role in development</w:t>
            </w:r>
            <w:r>
              <w:rPr>
                <w:sz w:val="18"/>
                <w:szCs w:val="18"/>
                <w:lang w:val="en-ZW"/>
              </w:rPr>
              <w:t>.</w:t>
            </w:r>
          </w:p>
          <w:p w14:paraId="3D57FED6" w14:textId="77777777" w:rsidR="00EB770E" w:rsidRPr="00AE46B1" w:rsidRDefault="00EB770E" w:rsidP="00EB770E">
            <w:pPr>
              <w:numPr>
                <w:ilvl w:val="0"/>
                <w:numId w:val="8"/>
              </w:numPr>
              <w:spacing w:before="40" w:after="40"/>
              <w:ind w:left="227" w:hanging="227"/>
              <w:rPr>
                <w:sz w:val="18"/>
                <w:szCs w:val="18"/>
                <w:lang w:val="en-ZW"/>
              </w:rPr>
            </w:pPr>
            <w:r w:rsidRPr="00A2691D">
              <w:rPr>
                <w:sz w:val="18"/>
                <w:szCs w:val="18"/>
                <w:lang w:val="en-ZW"/>
              </w:rPr>
              <w:t>Internationally</w:t>
            </w:r>
            <w:r>
              <w:rPr>
                <w:sz w:val="18"/>
                <w:szCs w:val="18"/>
                <w:lang w:val="en-ZW"/>
              </w:rPr>
              <w:t>,</w:t>
            </w:r>
            <w:r w:rsidRPr="00A2691D">
              <w:rPr>
                <w:sz w:val="18"/>
                <w:szCs w:val="18"/>
                <w:lang w:val="en-ZW"/>
              </w:rPr>
              <w:t xml:space="preserve"> major </w:t>
            </w:r>
            <w:r>
              <w:rPr>
                <w:sz w:val="18"/>
                <w:szCs w:val="18"/>
                <w:lang w:val="en-ZW"/>
              </w:rPr>
              <w:t>UN</w:t>
            </w:r>
            <w:r w:rsidRPr="00A2691D">
              <w:rPr>
                <w:sz w:val="18"/>
                <w:szCs w:val="18"/>
                <w:lang w:val="en-ZW"/>
              </w:rPr>
              <w:t xml:space="preserve"> relating conferences to promote WTDC</w:t>
            </w:r>
            <w:r>
              <w:rPr>
                <w:sz w:val="18"/>
                <w:szCs w:val="18"/>
                <w:lang w:val="en-ZW"/>
              </w:rPr>
              <w:t>:</w:t>
            </w:r>
            <w:r w:rsidRPr="00A2691D">
              <w:rPr>
                <w:sz w:val="18"/>
                <w:szCs w:val="18"/>
                <w:lang w:val="en-ZW"/>
              </w:rPr>
              <w:t xml:space="preserve"> Global sustainable transport Summits, The Conference on Sustainable Development and Summits, The International Conference on financing for development, the world education forum and world Summits on social Development</w:t>
            </w:r>
            <w:r>
              <w:rPr>
                <w:sz w:val="18"/>
                <w:szCs w:val="18"/>
                <w:lang w:val="en-ZW"/>
              </w:rPr>
              <w:t>, etc</w:t>
            </w:r>
            <w:r w:rsidRPr="00A2691D">
              <w:rPr>
                <w:sz w:val="18"/>
                <w:szCs w:val="18"/>
                <w:lang w:val="en-ZW"/>
              </w:rPr>
              <w:t xml:space="preserve">. </w:t>
            </w:r>
          </w:p>
        </w:tc>
      </w:tr>
      <w:tr w:rsidR="00EB770E" w14:paraId="0974DF72" w14:textId="77777777" w:rsidTr="00212B94">
        <w:tc>
          <w:tcPr>
            <w:tcW w:w="1907" w:type="dxa"/>
            <w:shd w:val="clear" w:color="auto" w:fill="A8D08D" w:themeFill="accent6" w:themeFillTint="99"/>
          </w:tcPr>
          <w:p w14:paraId="48886C13" w14:textId="77777777" w:rsidR="00EB770E" w:rsidRDefault="00EB770E" w:rsidP="002A4060">
            <w:pPr>
              <w:keepNext/>
              <w:spacing w:before="40" w:after="40"/>
              <w:rPr>
                <w:sz w:val="18"/>
                <w:szCs w:val="18"/>
              </w:rPr>
            </w:pPr>
            <w:r w:rsidRPr="00E57FCA">
              <w:rPr>
                <w:b/>
                <w:bCs/>
                <w:sz w:val="18"/>
                <w:szCs w:val="18"/>
              </w:rPr>
              <w:lastRenderedPageBreak/>
              <w:t>During the conference</w:t>
            </w:r>
          </w:p>
        </w:tc>
        <w:tc>
          <w:tcPr>
            <w:tcW w:w="2443" w:type="dxa"/>
            <w:shd w:val="clear" w:color="auto" w:fill="A8D08D" w:themeFill="accent6" w:themeFillTint="99"/>
          </w:tcPr>
          <w:p w14:paraId="34A6FE54" w14:textId="77777777" w:rsidR="00EB770E" w:rsidRDefault="00EB770E" w:rsidP="002A4060">
            <w:pPr>
              <w:keepNext/>
              <w:spacing w:before="40" w:after="40"/>
              <w:rPr>
                <w:sz w:val="18"/>
                <w:szCs w:val="18"/>
              </w:rPr>
            </w:pPr>
          </w:p>
        </w:tc>
        <w:tc>
          <w:tcPr>
            <w:tcW w:w="2413" w:type="dxa"/>
            <w:shd w:val="clear" w:color="auto" w:fill="A8D08D" w:themeFill="accent6" w:themeFillTint="99"/>
          </w:tcPr>
          <w:p w14:paraId="0577A5CD" w14:textId="77777777" w:rsidR="00EB770E" w:rsidRDefault="00EB770E" w:rsidP="002A4060">
            <w:pPr>
              <w:keepNext/>
              <w:spacing w:before="40" w:after="40"/>
              <w:rPr>
                <w:sz w:val="18"/>
                <w:szCs w:val="18"/>
              </w:rPr>
            </w:pPr>
          </w:p>
        </w:tc>
        <w:tc>
          <w:tcPr>
            <w:tcW w:w="2819" w:type="dxa"/>
            <w:shd w:val="clear" w:color="auto" w:fill="A8D08D" w:themeFill="accent6" w:themeFillTint="99"/>
          </w:tcPr>
          <w:p w14:paraId="5A204F4F" w14:textId="77777777" w:rsidR="00EB770E" w:rsidRDefault="00EB770E" w:rsidP="002A4060">
            <w:pPr>
              <w:keepNext/>
              <w:spacing w:before="40" w:after="40"/>
              <w:rPr>
                <w:sz w:val="18"/>
                <w:szCs w:val="18"/>
              </w:rPr>
            </w:pPr>
          </w:p>
        </w:tc>
        <w:tc>
          <w:tcPr>
            <w:tcW w:w="1841" w:type="dxa"/>
            <w:shd w:val="clear" w:color="auto" w:fill="A8D08D" w:themeFill="accent6" w:themeFillTint="99"/>
          </w:tcPr>
          <w:p w14:paraId="248F7F7D" w14:textId="77777777" w:rsidR="00EB770E" w:rsidRDefault="00EB770E" w:rsidP="002A4060">
            <w:pPr>
              <w:keepNext/>
              <w:spacing w:before="40" w:after="40"/>
              <w:rPr>
                <w:sz w:val="18"/>
                <w:szCs w:val="18"/>
              </w:rPr>
            </w:pPr>
          </w:p>
        </w:tc>
        <w:tc>
          <w:tcPr>
            <w:tcW w:w="2139" w:type="dxa"/>
            <w:shd w:val="clear" w:color="auto" w:fill="A8D08D" w:themeFill="accent6" w:themeFillTint="99"/>
          </w:tcPr>
          <w:p w14:paraId="301AA691" w14:textId="77777777" w:rsidR="00EB770E" w:rsidRDefault="00EB770E" w:rsidP="002A4060">
            <w:pPr>
              <w:keepNext/>
              <w:spacing w:before="40" w:after="40"/>
              <w:rPr>
                <w:sz w:val="18"/>
                <w:szCs w:val="18"/>
              </w:rPr>
            </w:pPr>
          </w:p>
        </w:tc>
      </w:tr>
      <w:tr w:rsidR="00EB770E" w14:paraId="3F8DD28B" w14:textId="77777777" w:rsidTr="00212B94">
        <w:tc>
          <w:tcPr>
            <w:tcW w:w="1907" w:type="dxa"/>
          </w:tcPr>
          <w:p w14:paraId="63ACD8ED" w14:textId="77777777" w:rsidR="00EB770E" w:rsidRDefault="00EB770E" w:rsidP="009632E7">
            <w:pPr>
              <w:spacing w:before="40" w:after="40"/>
              <w:rPr>
                <w:sz w:val="18"/>
                <w:szCs w:val="18"/>
              </w:rPr>
            </w:pPr>
            <w:r w:rsidRPr="003072BD">
              <w:rPr>
                <w:bCs/>
                <w:sz w:val="18"/>
                <w:szCs w:val="18"/>
              </w:rPr>
              <w:t>Should the High-Level Segment be changed, and if so, what form should it take?</w:t>
            </w:r>
          </w:p>
        </w:tc>
        <w:tc>
          <w:tcPr>
            <w:tcW w:w="2443" w:type="dxa"/>
          </w:tcPr>
          <w:p w14:paraId="790AE4FE" w14:textId="77777777" w:rsidR="00EB770E" w:rsidRDefault="00EB770E" w:rsidP="009632E7">
            <w:pPr>
              <w:spacing w:before="40" w:after="40"/>
              <w:rPr>
                <w:sz w:val="18"/>
                <w:szCs w:val="18"/>
              </w:rPr>
            </w:pPr>
            <w:r w:rsidRPr="007859C3">
              <w:rPr>
                <w:sz w:val="18"/>
                <w:szCs w:val="18"/>
              </w:rPr>
              <w:t>Any High-Level Segments should not take time from the work of WTDC Plenary and Committees and their related groups.</w:t>
            </w:r>
          </w:p>
        </w:tc>
        <w:tc>
          <w:tcPr>
            <w:tcW w:w="2413" w:type="dxa"/>
          </w:tcPr>
          <w:p w14:paraId="31FFEFDE" w14:textId="77777777" w:rsidR="00EB770E" w:rsidRDefault="00EB770E" w:rsidP="009632E7">
            <w:pPr>
              <w:spacing w:before="40" w:after="40"/>
              <w:rPr>
                <w:sz w:val="18"/>
                <w:szCs w:val="18"/>
              </w:rPr>
            </w:pPr>
            <w:r w:rsidRPr="0021235A">
              <w:rPr>
                <w:sz w:val="18"/>
                <w:szCs w:val="18"/>
                <w:lang w:val="id-ID"/>
              </w:rPr>
              <w:t>Minimize side events</w:t>
            </w:r>
            <w:r w:rsidRPr="0021235A">
              <w:rPr>
                <w:sz w:val="18"/>
                <w:szCs w:val="18"/>
              </w:rPr>
              <w:t xml:space="preserve"> or </w:t>
            </w:r>
            <w:r w:rsidRPr="0021235A">
              <w:rPr>
                <w:sz w:val="18"/>
                <w:szCs w:val="18"/>
                <w:lang w:val="id-ID"/>
              </w:rPr>
              <w:t xml:space="preserve">merge High-Level segment </w:t>
            </w:r>
            <w:r w:rsidRPr="0021235A">
              <w:rPr>
                <w:sz w:val="18"/>
                <w:szCs w:val="18"/>
              </w:rPr>
              <w:t xml:space="preserve">with </w:t>
            </w:r>
            <w:r w:rsidRPr="0021235A">
              <w:rPr>
                <w:sz w:val="18"/>
                <w:szCs w:val="18"/>
                <w:lang w:val="id-ID"/>
              </w:rPr>
              <w:t>side events</w:t>
            </w:r>
            <w:r w:rsidRPr="0021235A">
              <w:rPr>
                <w:sz w:val="18"/>
                <w:szCs w:val="18"/>
              </w:rPr>
              <w:t>,</w:t>
            </w:r>
            <w:r w:rsidRPr="0021235A">
              <w:rPr>
                <w:sz w:val="18"/>
                <w:szCs w:val="18"/>
                <w:lang w:val="id-ID"/>
              </w:rPr>
              <w:t xml:space="preserve"> in order to make WTDC-21 more efficient, effective, and focus</w:t>
            </w:r>
            <w:r>
              <w:rPr>
                <w:sz w:val="18"/>
                <w:szCs w:val="18"/>
              </w:rPr>
              <w:t>ed</w:t>
            </w:r>
            <w:r w:rsidRPr="0021235A">
              <w:rPr>
                <w:sz w:val="18"/>
                <w:szCs w:val="18"/>
                <w:lang w:val="id-ID"/>
              </w:rPr>
              <w:t xml:space="preserve"> on development </w:t>
            </w:r>
            <w:r w:rsidRPr="0021235A">
              <w:rPr>
                <w:sz w:val="18"/>
                <w:szCs w:val="18"/>
              </w:rPr>
              <w:t xml:space="preserve">issues </w:t>
            </w:r>
            <w:r w:rsidRPr="0021235A">
              <w:rPr>
                <w:sz w:val="18"/>
                <w:szCs w:val="18"/>
                <w:lang w:val="id-ID"/>
              </w:rPr>
              <w:t>of telecommunications/ICTs.</w:t>
            </w:r>
          </w:p>
        </w:tc>
        <w:tc>
          <w:tcPr>
            <w:tcW w:w="2819" w:type="dxa"/>
          </w:tcPr>
          <w:p w14:paraId="42A1DA69" w14:textId="77777777" w:rsidR="00EB770E" w:rsidRDefault="00EB770E" w:rsidP="009632E7">
            <w:pPr>
              <w:spacing w:before="40" w:after="40"/>
              <w:rPr>
                <w:sz w:val="18"/>
                <w:szCs w:val="18"/>
              </w:rPr>
            </w:pPr>
            <w:r>
              <w:rPr>
                <w:sz w:val="18"/>
                <w:szCs w:val="18"/>
              </w:rPr>
              <w:t>--</w:t>
            </w:r>
          </w:p>
        </w:tc>
        <w:tc>
          <w:tcPr>
            <w:tcW w:w="1841" w:type="dxa"/>
          </w:tcPr>
          <w:p w14:paraId="5644C1EA" w14:textId="77777777" w:rsidR="00EB770E" w:rsidRDefault="00EB770E" w:rsidP="009632E7">
            <w:pPr>
              <w:spacing w:before="40" w:after="40"/>
              <w:rPr>
                <w:sz w:val="18"/>
                <w:szCs w:val="18"/>
              </w:rPr>
            </w:pPr>
            <w:r>
              <w:rPr>
                <w:sz w:val="18"/>
                <w:szCs w:val="18"/>
              </w:rPr>
              <w:t>--</w:t>
            </w:r>
          </w:p>
        </w:tc>
        <w:tc>
          <w:tcPr>
            <w:tcW w:w="2139" w:type="dxa"/>
          </w:tcPr>
          <w:p w14:paraId="26D00AB2" w14:textId="77777777" w:rsidR="00EB770E" w:rsidRPr="00B01F58" w:rsidRDefault="00EB770E" w:rsidP="00B01F58">
            <w:pPr>
              <w:spacing w:before="40" w:after="40"/>
              <w:rPr>
                <w:sz w:val="18"/>
                <w:szCs w:val="18"/>
                <w:lang w:val="en-ZW"/>
              </w:rPr>
            </w:pPr>
            <w:r w:rsidRPr="00B01F58">
              <w:rPr>
                <w:sz w:val="18"/>
                <w:szCs w:val="18"/>
                <w:lang w:val="en-ZW"/>
              </w:rPr>
              <w:t xml:space="preserve">During the TDAG web dialogues held earlier during the year, there were proposals to merge the high-level segment and the side events. A challenge was also posed on whether the format of policy statements should be changed.  </w:t>
            </w:r>
          </w:p>
          <w:p w14:paraId="16371C98" w14:textId="77777777" w:rsidR="00EB770E" w:rsidRDefault="00EB770E" w:rsidP="00B01F58">
            <w:pPr>
              <w:spacing w:before="40" w:after="40"/>
              <w:rPr>
                <w:sz w:val="18"/>
                <w:szCs w:val="18"/>
                <w:lang w:val="en-ZW"/>
              </w:rPr>
            </w:pPr>
            <w:r>
              <w:rPr>
                <w:sz w:val="18"/>
                <w:szCs w:val="18"/>
                <w:lang w:val="en-ZW"/>
              </w:rPr>
              <w:t>In</w:t>
            </w:r>
            <w:r w:rsidRPr="00B01F58">
              <w:rPr>
                <w:sz w:val="18"/>
                <w:szCs w:val="18"/>
                <w:lang w:val="en-ZW"/>
              </w:rPr>
              <w:t xml:space="preserve"> current WTDC set up, side events held during the tea breaks, lunch breaks and after conference hours, are not well attended</w:t>
            </w:r>
            <w:r>
              <w:rPr>
                <w:sz w:val="18"/>
                <w:szCs w:val="18"/>
                <w:lang w:val="en-ZW"/>
              </w:rPr>
              <w:t xml:space="preserve"> (</w:t>
            </w:r>
            <w:r w:rsidRPr="00B01F58">
              <w:rPr>
                <w:sz w:val="18"/>
                <w:szCs w:val="18"/>
                <w:lang w:val="en-ZW"/>
              </w:rPr>
              <w:t xml:space="preserve">participants </w:t>
            </w:r>
            <w:r>
              <w:rPr>
                <w:sz w:val="18"/>
                <w:szCs w:val="18"/>
                <w:lang w:val="en-ZW"/>
              </w:rPr>
              <w:t>attending</w:t>
            </w:r>
            <w:r w:rsidRPr="00B01F58">
              <w:rPr>
                <w:sz w:val="18"/>
                <w:szCs w:val="18"/>
                <w:lang w:val="en-ZW"/>
              </w:rPr>
              <w:t xml:space="preserve"> various ad-hoc </w:t>
            </w:r>
            <w:r>
              <w:rPr>
                <w:sz w:val="18"/>
                <w:szCs w:val="18"/>
                <w:lang w:val="en-ZW"/>
              </w:rPr>
              <w:t xml:space="preserve">and </w:t>
            </w:r>
            <w:r w:rsidRPr="00B01F58">
              <w:rPr>
                <w:sz w:val="18"/>
                <w:szCs w:val="18"/>
                <w:lang w:val="en-ZW"/>
              </w:rPr>
              <w:t>drafting groups</w:t>
            </w:r>
            <w:r>
              <w:rPr>
                <w:sz w:val="18"/>
                <w:szCs w:val="18"/>
                <w:lang w:val="en-ZW"/>
              </w:rPr>
              <w:t>)</w:t>
            </w:r>
            <w:r w:rsidRPr="00B01F58">
              <w:rPr>
                <w:sz w:val="18"/>
                <w:szCs w:val="18"/>
                <w:lang w:val="en-ZW"/>
              </w:rPr>
              <w:t xml:space="preserve">. </w:t>
            </w:r>
            <w:r>
              <w:rPr>
                <w:sz w:val="18"/>
                <w:szCs w:val="18"/>
                <w:lang w:val="en-ZW"/>
              </w:rPr>
              <w:t>T</w:t>
            </w:r>
            <w:r w:rsidRPr="00B01F58">
              <w:rPr>
                <w:sz w:val="18"/>
                <w:szCs w:val="18"/>
                <w:lang w:val="en-ZW"/>
              </w:rPr>
              <w:t xml:space="preserve">ime allocated </w:t>
            </w:r>
            <w:r>
              <w:rPr>
                <w:sz w:val="18"/>
                <w:szCs w:val="18"/>
                <w:lang w:val="en-ZW"/>
              </w:rPr>
              <w:t xml:space="preserve">may </w:t>
            </w:r>
            <w:r w:rsidRPr="00B01F58">
              <w:rPr>
                <w:sz w:val="18"/>
                <w:szCs w:val="18"/>
                <w:lang w:val="en-ZW"/>
              </w:rPr>
              <w:t xml:space="preserve">not </w:t>
            </w:r>
            <w:r>
              <w:rPr>
                <w:sz w:val="18"/>
                <w:szCs w:val="18"/>
                <w:lang w:val="en-ZW"/>
              </w:rPr>
              <w:t xml:space="preserve">be </w:t>
            </w:r>
            <w:r w:rsidRPr="00B01F58">
              <w:rPr>
                <w:sz w:val="18"/>
                <w:szCs w:val="18"/>
                <w:lang w:val="en-ZW"/>
              </w:rPr>
              <w:t xml:space="preserve">sufficient for speakers to articulate issues and take questions from the floor. For </w:t>
            </w:r>
            <w:r>
              <w:rPr>
                <w:sz w:val="18"/>
                <w:szCs w:val="18"/>
                <w:lang w:val="en-ZW"/>
              </w:rPr>
              <w:t xml:space="preserve">high-level invited participants </w:t>
            </w:r>
            <w:r w:rsidRPr="00B01F58">
              <w:rPr>
                <w:sz w:val="18"/>
                <w:szCs w:val="18"/>
                <w:lang w:val="en-ZW"/>
              </w:rPr>
              <w:t>there may appear to be no value to them in these ill</w:t>
            </w:r>
            <w:r>
              <w:rPr>
                <w:sz w:val="18"/>
                <w:szCs w:val="18"/>
                <w:lang w:val="en-ZW"/>
              </w:rPr>
              <w:t>-</w:t>
            </w:r>
            <w:r w:rsidRPr="00B01F58">
              <w:rPr>
                <w:sz w:val="18"/>
                <w:szCs w:val="18"/>
                <w:lang w:val="en-ZW"/>
              </w:rPr>
              <w:t>attende</w:t>
            </w:r>
            <w:r>
              <w:rPr>
                <w:sz w:val="18"/>
                <w:szCs w:val="18"/>
                <w:lang w:val="en-ZW"/>
              </w:rPr>
              <w:t>d</w:t>
            </w:r>
            <w:r w:rsidRPr="00B01F58">
              <w:rPr>
                <w:sz w:val="18"/>
                <w:szCs w:val="18"/>
                <w:lang w:val="en-ZW"/>
              </w:rPr>
              <w:t xml:space="preserve"> side events</w:t>
            </w:r>
            <w:r>
              <w:rPr>
                <w:sz w:val="18"/>
                <w:szCs w:val="18"/>
                <w:lang w:val="en-ZW"/>
              </w:rPr>
              <w:t xml:space="preserve"> and are </w:t>
            </w:r>
            <w:r w:rsidRPr="00B01F58">
              <w:rPr>
                <w:sz w:val="18"/>
                <w:szCs w:val="18"/>
                <w:lang w:val="en-ZW"/>
              </w:rPr>
              <w:t>discourage</w:t>
            </w:r>
            <w:r>
              <w:rPr>
                <w:sz w:val="18"/>
                <w:szCs w:val="18"/>
                <w:lang w:val="en-ZW"/>
              </w:rPr>
              <w:t xml:space="preserve">d from </w:t>
            </w:r>
            <w:r w:rsidRPr="00B01F58">
              <w:rPr>
                <w:sz w:val="18"/>
                <w:szCs w:val="18"/>
                <w:lang w:val="en-ZW"/>
              </w:rPr>
              <w:t>participat</w:t>
            </w:r>
            <w:r>
              <w:rPr>
                <w:sz w:val="18"/>
                <w:szCs w:val="18"/>
                <w:lang w:val="en-ZW"/>
              </w:rPr>
              <w:t>ing</w:t>
            </w:r>
            <w:r w:rsidRPr="00B01F58">
              <w:rPr>
                <w:sz w:val="18"/>
                <w:szCs w:val="18"/>
                <w:lang w:val="en-ZW"/>
              </w:rPr>
              <w:t xml:space="preserve"> </w:t>
            </w:r>
            <w:r>
              <w:rPr>
                <w:sz w:val="18"/>
                <w:szCs w:val="18"/>
                <w:lang w:val="en-ZW"/>
              </w:rPr>
              <w:t xml:space="preserve">in </w:t>
            </w:r>
            <w:r w:rsidRPr="00B01F58">
              <w:rPr>
                <w:sz w:val="18"/>
                <w:szCs w:val="18"/>
                <w:lang w:val="en-ZW"/>
              </w:rPr>
              <w:t>WTDC.</w:t>
            </w:r>
          </w:p>
          <w:p w14:paraId="5B50A319" w14:textId="77777777" w:rsidR="00EB770E" w:rsidRDefault="00EB770E" w:rsidP="00B01F58">
            <w:pPr>
              <w:spacing w:before="40" w:after="40"/>
              <w:rPr>
                <w:sz w:val="18"/>
                <w:szCs w:val="18"/>
              </w:rPr>
            </w:pPr>
            <w:r>
              <w:rPr>
                <w:sz w:val="18"/>
                <w:szCs w:val="18"/>
                <w:lang w:val="en-ZW"/>
              </w:rPr>
              <w:t xml:space="preserve">BDT and MS to </w:t>
            </w:r>
            <w:r w:rsidRPr="00BE54C5">
              <w:rPr>
                <w:sz w:val="18"/>
                <w:szCs w:val="18"/>
                <w:lang w:val="en-ZW"/>
              </w:rPr>
              <w:t xml:space="preserve">come up with a list of critical topics that can have an impact on development, for which panel discussions can be held during normal conference times. Speakers </w:t>
            </w:r>
            <w:r>
              <w:rPr>
                <w:sz w:val="18"/>
                <w:szCs w:val="18"/>
                <w:lang w:val="en-ZW"/>
              </w:rPr>
              <w:t>to</w:t>
            </w:r>
            <w:r w:rsidRPr="00BE54C5">
              <w:rPr>
                <w:sz w:val="18"/>
                <w:szCs w:val="18"/>
                <w:lang w:val="en-ZW"/>
              </w:rPr>
              <w:t xml:space="preserve"> include </w:t>
            </w:r>
            <w:r w:rsidRPr="00BE54C5">
              <w:rPr>
                <w:sz w:val="18"/>
                <w:szCs w:val="18"/>
                <w:lang w:val="en-ZW"/>
              </w:rPr>
              <w:lastRenderedPageBreak/>
              <w:t xml:space="preserve">industry experts, consumers, different community representatives, as well policy makers. </w:t>
            </w:r>
            <w:r>
              <w:rPr>
                <w:sz w:val="18"/>
                <w:szCs w:val="18"/>
                <w:lang w:val="en-ZW"/>
              </w:rPr>
              <w:t>P</w:t>
            </w:r>
            <w:r w:rsidRPr="00BE54C5">
              <w:rPr>
                <w:sz w:val="18"/>
                <w:szCs w:val="18"/>
                <w:lang w:val="en-ZW"/>
              </w:rPr>
              <w:t>articipation of policy makers will obviate the need for a monoton</w:t>
            </w:r>
            <w:r>
              <w:rPr>
                <w:sz w:val="18"/>
                <w:szCs w:val="18"/>
                <w:lang w:val="en-ZW"/>
              </w:rPr>
              <w:t>ous</w:t>
            </w:r>
            <w:r w:rsidRPr="00BE54C5">
              <w:rPr>
                <w:sz w:val="18"/>
                <w:szCs w:val="18"/>
                <w:lang w:val="en-ZW"/>
              </w:rPr>
              <w:t xml:space="preserve"> </w:t>
            </w:r>
            <w:r>
              <w:rPr>
                <w:sz w:val="18"/>
                <w:szCs w:val="18"/>
                <w:lang w:val="en-ZW"/>
              </w:rPr>
              <w:t>delivery</w:t>
            </w:r>
            <w:r w:rsidRPr="00BE54C5">
              <w:rPr>
                <w:sz w:val="18"/>
                <w:szCs w:val="18"/>
                <w:lang w:val="en-ZW"/>
              </w:rPr>
              <w:t xml:space="preserve"> of policy Statements. </w:t>
            </w:r>
            <w:r>
              <w:rPr>
                <w:sz w:val="18"/>
                <w:szCs w:val="18"/>
                <w:lang w:val="en-ZW"/>
              </w:rPr>
              <w:t>MS and SM</w:t>
            </w:r>
            <w:r w:rsidRPr="00BE54C5">
              <w:rPr>
                <w:sz w:val="18"/>
                <w:szCs w:val="18"/>
                <w:lang w:val="en-ZW"/>
              </w:rPr>
              <w:t xml:space="preserve"> can </w:t>
            </w:r>
            <w:r>
              <w:rPr>
                <w:sz w:val="18"/>
                <w:szCs w:val="18"/>
                <w:lang w:val="en-ZW"/>
              </w:rPr>
              <w:t xml:space="preserve">still </w:t>
            </w:r>
            <w:r w:rsidRPr="00BE54C5">
              <w:rPr>
                <w:sz w:val="18"/>
                <w:szCs w:val="18"/>
                <w:lang w:val="en-ZW"/>
              </w:rPr>
              <w:t>submit written policy statements, which are then posted on dedicated page on the WTDC website.</w:t>
            </w:r>
          </w:p>
        </w:tc>
      </w:tr>
      <w:tr w:rsidR="00EB770E" w14:paraId="633D7EFF" w14:textId="77777777" w:rsidTr="00212B94">
        <w:tc>
          <w:tcPr>
            <w:tcW w:w="1907" w:type="dxa"/>
            <w:shd w:val="clear" w:color="auto" w:fill="E2EFD9" w:themeFill="accent6" w:themeFillTint="33"/>
          </w:tcPr>
          <w:p w14:paraId="3ED2FDE1" w14:textId="77777777" w:rsidR="00EB770E" w:rsidRDefault="00EB770E" w:rsidP="009632E7">
            <w:pPr>
              <w:spacing w:before="40" w:after="40"/>
              <w:rPr>
                <w:sz w:val="18"/>
                <w:szCs w:val="18"/>
              </w:rPr>
            </w:pPr>
            <w:r w:rsidRPr="00933E44">
              <w:rPr>
                <w:bCs/>
                <w:sz w:val="18"/>
                <w:szCs w:val="18"/>
              </w:rPr>
              <w:lastRenderedPageBreak/>
              <w:t>What theme or themes (connected to development challenges and membership priorities) should be established for WTDC-21, and how should the theme(s) be connected to the content and structure of the conference?</w:t>
            </w:r>
          </w:p>
        </w:tc>
        <w:tc>
          <w:tcPr>
            <w:tcW w:w="2443" w:type="dxa"/>
            <w:shd w:val="clear" w:color="auto" w:fill="E2EFD9" w:themeFill="accent6" w:themeFillTint="33"/>
          </w:tcPr>
          <w:p w14:paraId="3F628358" w14:textId="77777777" w:rsidR="00EB770E" w:rsidRPr="00E86818" w:rsidRDefault="00EB770E" w:rsidP="00E86818">
            <w:pPr>
              <w:spacing w:before="40" w:after="40"/>
              <w:rPr>
                <w:sz w:val="18"/>
                <w:szCs w:val="18"/>
              </w:rPr>
            </w:pPr>
            <w:r>
              <w:rPr>
                <w:sz w:val="18"/>
                <w:szCs w:val="18"/>
              </w:rPr>
              <w:t>Minimize side-events and move those discussions to sessions discussing related Resolutions to save time.</w:t>
            </w:r>
          </w:p>
          <w:p w14:paraId="4155A24E" w14:textId="77777777" w:rsidR="00EB770E" w:rsidRPr="00E86818" w:rsidRDefault="00EB770E" w:rsidP="00E86818">
            <w:pPr>
              <w:spacing w:before="40" w:after="40"/>
              <w:rPr>
                <w:sz w:val="18"/>
                <w:szCs w:val="18"/>
              </w:rPr>
            </w:pPr>
            <w:r w:rsidRPr="00E86818">
              <w:rPr>
                <w:sz w:val="18"/>
                <w:szCs w:val="18"/>
              </w:rPr>
              <w:t xml:space="preserve">Agenda of side events should have strong connection with the Study Group Questions, ITU index and BDT activities. </w:t>
            </w:r>
            <w:r>
              <w:rPr>
                <w:sz w:val="18"/>
                <w:szCs w:val="18"/>
              </w:rPr>
              <w:t xml:space="preserve">Explain clearly how </w:t>
            </w:r>
            <w:r w:rsidRPr="00E86818">
              <w:rPr>
                <w:sz w:val="18"/>
                <w:szCs w:val="18"/>
              </w:rPr>
              <w:t xml:space="preserve">every event </w:t>
            </w:r>
            <w:r>
              <w:rPr>
                <w:sz w:val="18"/>
                <w:szCs w:val="18"/>
              </w:rPr>
              <w:t xml:space="preserve">contributes </w:t>
            </w:r>
            <w:r w:rsidRPr="00E86818">
              <w:rPr>
                <w:sz w:val="18"/>
                <w:szCs w:val="18"/>
              </w:rPr>
              <w:t>to the Study Group Questions, ITU index and/or BDT activities, preferably with outputs which can be transposed to the concrete benefit or inputs to the WTDC Resolutions and mandates of Study Group Questions.</w:t>
            </w:r>
          </w:p>
          <w:p w14:paraId="0D40744A" w14:textId="77777777" w:rsidR="00EB770E" w:rsidRDefault="00EB770E" w:rsidP="00E86818">
            <w:pPr>
              <w:spacing w:before="40" w:after="40"/>
              <w:rPr>
                <w:sz w:val="18"/>
                <w:szCs w:val="18"/>
              </w:rPr>
            </w:pPr>
            <w:r>
              <w:rPr>
                <w:sz w:val="18"/>
                <w:szCs w:val="18"/>
              </w:rPr>
              <w:t>A</w:t>
            </w:r>
            <w:r w:rsidRPr="00E86818">
              <w:rPr>
                <w:sz w:val="18"/>
                <w:szCs w:val="18"/>
              </w:rPr>
              <w:t xml:space="preserve">dditional side-event held with </w:t>
            </w:r>
            <w:r>
              <w:rPr>
                <w:sz w:val="18"/>
                <w:szCs w:val="18"/>
              </w:rPr>
              <w:t>the</w:t>
            </w:r>
            <w:r w:rsidRPr="00E86818">
              <w:rPr>
                <w:sz w:val="18"/>
                <w:szCs w:val="18"/>
              </w:rPr>
              <w:t xml:space="preserve"> aim to strengthen the capacity of ITU members to express their opinions and transform them into </w:t>
            </w:r>
            <w:r w:rsidRPr="00E86818">
              <w:rPr>
                <w:sz w:val="18"/>
                <w:szCs w:val="18"/>
              </w:rPr>
              <w:lastRenderedPageBreak/>
              <w:t>contributions to the next ITU-D Study period.</w:t>
            </w:r>
          </w:p>
        </w:tc>
        <w:tc>
          <w:tcPr>
            <w:tcW w:w="2413" w:type="dxa"/>
            <w:shd w:val="clear" w:color="auto" w:fill="E2EFD9" w:themeFill="accent6" w:themeFillTint="33"/>
          </w:tcPr>
          <w:p w14:paraId="7CB9E836" w14:textId="77777777" w:rsidR="00EB770E" w:rsidRPr="0021235A" w:rsidRDefault="00EB770E" w:rsidP="0021235A">
            <w:pPr>
              <w:spacing w:before="40" w:after="40"/>
              <w:rPr>
                <w:sz w:val="18"/>
                <w:szCs w:val="18"/>
                <w:lang w:val="id-ID"/>
              </w:rPr>
            </w:pPr>
            <w:r w:rsidRPr="0021235A">
              <w:rPr>
                <w:sz w:val="18"/>
                <w:szCs w:val="18"/>
                <w:lang w:val="id-ID"/>
              </w:rPr>
              <w:lastRenderedPageBreak/>
              <w:t xml:space="preserve">The themes for WTDC-21 should </w:t>
            </w:r>
            <w:r w:rsidRPr="0021235A">
              <w:rPr>
                <w:sz w:val="18"/>
                <w:szCs w:val="18"/>
              </w:rPr>
              <w:t xml:space="preserve">be holistic enough to encompass the </w:t>
            </w:r>
            <w:r w:rsidRPr="0021235A">
              <w:rPr>
                <w:sz w:val="18"/>
                <w:szCs w:val="18"/>
                <w:lang w:val="id-ID"/>
              </w:rPr>
              <w:t xml:space="preserve">focus </w:t>
            </w:r>
            <w:r w:rsidRPr="0021235A">
              <w:rPr>
                <w:sz w:val="18"/>
                <w:szCs w:val="18"/>
              </w:rPr>
              <w:t xml:space="preserve">of telecommunication development issues arising from all </w:t>
            </w:r>
            <w:r w:rsidRPr="0021235A">
              <w:rPr>
                <w:sz w:val="18"/>
                <w:szCs w:val="18"/>
                <w:lang w:val="id-ID"/>
              </w:rPr>
              <w:t>regional level</w:t>
            </w:r>
            <w:r w:rsidRPr="0021235A">
              <w:rPr>
                <w:sz w:val="18"/>
                <w:szCs w:val="18"/>
              </w:rPr>
              <w:t>s</w:t>
            </w:r>
            <w:r w:rsidRPr="0021235A">
              <w:rPr>
                <w:sz w:val="18"/>
                <w:szCs w:val="18"/>
                <w:lang w:val="id-ID"/>
              </w:rPr>
              <w:t>.</w:t>
            </w:r>
            <w:r w:rsidRPr="0021235A">
              <w:rPr>
                <w:sz w:val="18"/>
                <w:szCs w:val="18"/>
              </w:rPr>
              <w:t xml:space="preserve"> Further, bearing in mind the current global health crisis, we propose the following themes for WTDC-21:</w:t>
            </w:r>
          </w:p>
          <w:p w14:paraId="030E5BB4" w14:textId="77777777" w:rsidR="00EB770E" w:rsidRPr="0021235A" w:rsidRDefault="00EB770E" w:rsidP="0021235A">
            <w:pPr>
              <w:spacing w:before="40" w:after="40"/>
              <w:rPr>
                <w:sz w:val="18"/>
                <w:szCs w:val="18"/>
                <w:lang w:val="id-ID"/>
              </w:rPr>
            </w:pPr>
            <w:r w:rsidRPr="0021235A">
              <w:rPr>
                <w:sz w:val="18"/>
                <w:szCs w:val="18"/>
                <w:u w:val="single"/>
                <w:lang w:val="id-ID"/>
              </w:rPr>
              <w:t>Alternative 1:</w:t>
            </w:r>
            <w:r w:rsidRPr="0021235A">
              <w:rPr>
                <w:sz w:val="18"/>
                <w:szCs w:val="18"/>
                <w:lang w:val="id-ID"/>
              </w:rPr>
              <w:t xml:space="preserve"> </w:t>
            </w:r>
            <w:r w:rsidRPr="0021235A">
              <w:rPr>
                <w:sz w:val="18"/>
                <w:szCs w:val="18"/>
              </w:rPr>
              <w:t>Creating a resilient global digital economy to withstand global pandemics/crises/disasters.</w:t>
            </w:r>
          </w:p>
          <w:p w14:paraId="58E0B413" w14:textId="77777777" w:rsidR="00EB770E" w:rsidRDefault="00EB770E" w:rsidP="0021235A">
            <w:pPr>
              <w:spacing w:before="40" w:after="40"/>
              <w:rPr>
                <w:sz w:val="18"/>
                <w:szCs w:val="18"/>
              </w:rPr>
            </w:pPr>
            <w:r w:rsidRPr="0021235A">
              <w:rPr>
                <w:sz w:val="18"/>
                <w:szCs w:val="18"/>
                <w:u w:val="single"/>
                <w:lang w:val="id-ID"/>
              </w:rPr>
              <w:t>Alternative 2:</w:t>
            </w:r>
            <w:r w:rsidRPr="0021235A">
              <w:rPr>
                <w:sz w:val="18"/>
                <w:szCs w:val="18"/>
                <w:lang w:val="id-ID"/>
              </w:rPr>
              <w:t xml:space="preserve"> Recovery of Global Digital Economy and Connectivity to Build Back Better.</w:t>
            </w:r>
          </w:p>
        </w:tc>
        <w:tc>
          <w:tcPr>
            <w:tcW w:w="2819" w:type="dxa"/>
            <w:shd w:val="clear" w:color="auto" w:fill="E2EFD9" w:themeFill="accent6" w:themeFillTint="33"/>
          </w:tcPr>
          <w:p w14:paraId="3F6912C6" w14:textId="77777777" w:rsidR="00EB770E" w:rsidRDefault="00EB770E" w:rsidP="009632E7">
            <w:pPr>
              <w:spacing w:before="40" w:after="40"/>
              <w:rPr>
                <w:sz w:val="18"/>
                <w:szCs w:val="18"/>
              </w:rPr>
            </w:pPr>
            <w:r>
              <w:rPr>
                <w:sz w:val="18"/>
                <w:szCs w:val="18"/>
              </w:rPr>
              <w:t>--</w:t>
            </w:r>
          </w:p>
        </w:tc>
        <w:tc>
          <w:tcPr>
            <w:tcW w:w="1841" w:type="dxa"/>
            <w:shd w:val="clear" w:color="auto" w:fill="E2EFD9" w:themeFill="accent6" w:themeFillTint="33"/>
          </w:tcPr>
          <w:p w14:paraId="3D02068E" w14:textId="77777777" w:rsidR="00EB770E" w:rsidRDefault="00EB770E" w:rsidP="009632E7">
            <w:pPr>
              <w:spacing w:before="40" w:after="40"/>
              <w:rPr>
                <w:sz w:val="18"/>
                <w:szCs w:val="18"/>
              </w:rPr>
            </w:pPr>
            <w:r>
              <w:rPr>
                <w:sz w:val="18"/>
                <w:szCs w:val="18"/>
              </w:rPr>
              <w:t>--</w:t>
            </w:r>
          </w:p>
        </w:tc>
        <w:tc>
          <w:tcPr>
            <w:tcW w:w="2139" w:type="dxa"/>
            <w:shd w:val="clear" w:color="auto" w:fill="E2EFD9" w:themeFill="accent6" w:themeFillTint="33"/>
          </w:tcPr>
          <w:p w14:paraId="11C23A26" w14:textId="77777777" w:rsidR="00EB770E" w:rsidRDefault="00EB770E" w:rsidP="009632E7">
            <w:pPr>
              <w:spacing w:before="40" w:after="40"/>
              <w:rPr>
                <w:sz w:val="18"/>
                <w:szCs w:val="18"/>
              </w:rPr>
            </w:pPr>
            <w:r w:rsidRPr="00BE54C5">
              <w:rPr>
                <w:sz w:val="18"/>
                <w:szCs w:val="18"/>
                <w:lang w:val="en-ZW"/>
              </w:rPr>
              <w:t xml:space="preserve">Proposed themes for WTDC, which can be utilised for thematic tracks, include innovation that assist in achieving the Sustainable Development Goals, demand stimulation initiatives, ICT capacity building for disadvantaged communities, Implementation of ICT technical skill resource training and investment in ICT infrastructure. </w:t>
            </w:r>
          </w:p>
        </w:tc>
      </w:tr>
      <w:tr w:rsidR="00EB770E" w14:paraId="5518C164" w14:textId="77777777" w:rsidTr="00212B94">
        <w:tc>
          <w:tcPr>
            <w:tcW w:w="1907" w:type="dxa"/>
          </w:tcPr>
          <w:p w14:paraId="493DE982" w14:textId="77777777" w:rsidR="00EB770E" w:rsidRDefault="00EB770E" w:rsidP="009632E7">
            <w:pPr>
              <w:spacing w:before="40" w:after="40"/>
              <w:rPr>
                <w:sz w:val="18"/>
                <w:szCs w:val="18"/>
              </w:rPr>
            </w:pPr>
            <w:r w:rsidRPr="005658FC">
              <w:rPr>
                <w:bCs/>
                <w:sz w:val="18"/>
                <w:szCs w:val="18"/>
              </w:rPr>
              <w:t>What high-level participants should be invited to chair and/or deliver keynote speeches on the theme(s) selected?</w:t>
            </w:r>
          </w:p>
        </w:tc>
        <w:tc>
          <w:tcPr>
            <w:tcW w:w="2443" w:type="dxa"/>
          </w:tcPr>
          <w:p w14:paraId="6733F724" w14:textId="77777777" w:rsidR="00EB770E" w:rsidRDefault="00EB770E" w:rsidP="009632E7">
            <w:pPr>
              <w:spacing w:before="40" w:after="40"/>
              <w:rPr>
                <w:sz w:val="18"/>
                <w:szCs w:val="18"/>
              </w:rPr>
            </w:pPr>
            <w:r>
              <w:rPr>
                <w:sz w:val="18"/>
                <w:szCs w:val="18"/>
              </w:rPr>
              <w:t>--</w:t>
            </w:r>
          </w:p>
        </w:tc>
        <w:tc>
          <w:tcPr>
            <w:tcW w:w="2413" w:type="dxa"/>
          </w:tcPr>
          <w:p w14:paraId="4F9D14E4" w14:textId="77777777" w:rsidR="00EB770E" w:rsidRDefault="00EB770E" w:rsidP="009632E7">
            <w:pPr>
              <w:spacing w:before="40" w:after="40"/>
              <w:rPr>
                <w:sz w:val="18"/>
                <w:szCs w:val="18"/>
              </w:rPr>
            </w:pPr>
            <w:r w:rsidRPr="009E48B7">
              <w:rPr>
                <w:sz w:val="18"/>
                <w:szCs w:val="18"/>
                <w:lang w:val="id-ID"/>
              </w:rPr>
              <w:t xml:space="preserve">High-level participants </w:t>
            </w:r>
            <w:r w:rsidRPr="009E48B7">
              <w:rPr>
                <w:sz w:val="18"/>
                <w:szCs w:val="18"/>
              </w:rPr>
              <w:t xml:space="preserve">to WTDC-21 are by invitation only, arising from </w:t>
            </w:r>
            <w:r>
              <w:rPr>
                <w:sz w:val="18"/>
                <w:szCs w:val="18"/>
              </w:rPr>
              <w:t>MS</w:t>
            </w:r>
            <w:r w:rsidRPr="009E48B7">
              <w:rPr>
                <w:sz w:val="18"/>
                <w:szCs w:val="18"/>
                <w:lang w:val="id-ID"/>
              </w:rPr>
              <w:t xml:space="preserve">, </w:t>
            </w:r>
            <w:r>
              <w:rPr>
                <w:sz w:val="18"/>
                <w:szCs w:val="18"/>
              </w:rPr>
              <w:t>SM</w:t>
            </w:r>
            <w:r w:rsidRPr="009E48B7">
              <w:rPr>
                <w:sz w:val="18"/>
                <w:szCs w:val="18"/>
                <w:lang w:val="id-ID"/>
              </w:rPr>
              <w:t>, academia</w:t>
            </w:r>
            <w:r w:rsidRPr="009E48B7">
              <w:rPr>
                <w:sz w:val="18"/>
                <w:szCs w:val="18"/>
              </w:rPr>
              <w:t>, and international/regional financial/funding organizations.</w:t>
            </w:r>
          </w:p>
        </w:tc>
        <w:tc>
          <w:tcPr>
            <w:tcW w:w="2819" w:type="dxa"/>
          </w:tcPr>
          <w:p w14:paraId="58374F7C" w14:textId="77777777" w:rsidR="00EB770E" w:rsidRDefault="00EB770E" w:rsidP="009632E7">
            <w:pPr>
              <w:spacing w:before="40" w:after="40"/>
              <w:rPr>
                <w:sz w:val="18"/>
                <w:szCs w:val="18"/>
              </w:rPr>
            </w:pPr>
            <w:r>
              <w:rPr>
                <w:sz w:val="18"/>
                <w:szCs w:val="18"/>
              </w:rPr>
              <w:t>--</w:t>
            </w:r>
          </w:p>
        </w:tc>
        <w:tc>
          <w:tcPr>
            <w:tcW w:w="1841" w:type="dxa"/>
          </w:tcPr>
          <w:p w14:paraId="5CF12E06" w14:textId="77777777" w:rsidR="00EB770E" w:rsidRDefault="00EB770E" w:rsidP="009632E7">
            <w:pPr>
              <w:spacing w:before="40" w:after="40"/>
              <w:rPr>
                <w:sz w:val="18"/>
                <w:szCs w:val="18"/>
              </w:rPr>
            </w:pPr>
            <w:r>
              <w:rPr>
                <w:sz w:val="18"/>
                <w:szCs w:val="18"/>
              </w:rPr>
              <w:t>--</w:t>
            </w:r>
          </w:p>
        </w:tc>
        <w:tc>
          <w:tcPr>
            <w:tcW w:w="2139" w:type="dxa"/>
          </w:tcPr>
          <w:p w14:paraId="2B7F7E30" w14:textId="77777777" w:rsidR="00EB770E" w:rsidRDefault="00EB770E" w:rsidP="009632E7">
            <w:pPr>
              <w:spacing w:before="40" w:after="40"/>
              <w:rPr>
                <w:sz w:val="18"/>
                <w:szCs w:val="18"/>
              </w:rPr>
            </w:pPr>
            <w:r>
              <w:rPr>
                <w:sz w:val="18"/>
                <w:szCs w:val="18"/>
              </w:rPr>
              <w:t>--</w:t>
            </w:r>
          </w:p>
        </w:tc>
      </w:tr>
      <w:tr w:rsidR="00EB770E" w14:paraId="4559776C" w14:textId="77777777" w:rsidTr="00212B94">
        <w:tc>
          <w:tcPr>
            <w:tcW w:w="1907" w:type="dxa"/>
            <w:shd w:val="clear" w:color="auto" w:fill="E2EFD9" w:themeFill="accent6" w:themeFillTint="33"/>
          </w:tcPr>
          <w:p w14:paraId="31BFFDE2" w14:textId="77777777" w:rsidR="00EB770E" w:rsidRDefault="00EB770E" w:rsidP="009632E7">
            <w:pPr>
              <w:spacing w:before="40" w:after="40"/>
              <w:rPr>
                <w:sz w:val="18"/>
                <w:szCs w:val="18"/>
              </w:rPr>
            </w:pPr>
            <w:r w:rsidRPr="009632E7">
              <w:rPr>
                <w:bCs/>
                <w:sz w:val="18"/>
                <w:szCs w:val="18"/>
              </w:rPr>
              <w:t>Submit proposals for thematic tracks that can be incorporated into the conference.”</w:t>
            </w:r>
          </w:p>
        </w:tc>
        <w:tc>
          <w:tcPr>
            <w:tcW w:w="2443" w:type="dxa"/>
            <w:shd w:val="clear" w:color="auto" w:fill="E2EFD9" w:themeFill="accent6" w:themeFillTint="33"/>
          </w:tcPr>
          <w:p w14:paraId="2D7B97CD" w14:textId="77777777" w:rsidR="00EB770E" w:rsidRDefault="00EB770E" w:rsidP="009632E7">
            <w:pPr>
              <w:spacing w:before="40" w:after="40"/>
              <w:rPr>
                <w:sz w:val="18"/>
                <w:szCs w:val="18"/>
              </w:rPr>
            </w:pPr>
            <w:r w:rsidRPr="00397B5F">
              <w:rPr>
                <w:sz w:val="18"/>
                <w:szCs w:val="18"/>
              </w:rPr>
              <w:t>Explanation on the linkages between thematic priorities, ITU-D Action plan, WTDC Resolutions, BDT programs and ITU-D study Questions.</w:t>
            </w:r>
          </w:p>
        </w:tc>
        <w:tc>
          <w:tcPr>
            <w:tcW w:w="2413" w:type="dxa"/>
            <w:shd w:val="clear" w:color="auto" w:fill="E2EFD9" w:themeFill="accent6" w:themeFillTint="33"/>
          </w:tcPr>
          <w:p w14:paraId="797B5EFF" w14:textId="77777777" w:rsidR="00EB770E" w:rsidRDefault="00EB770E" w:rsidP="009632E7">
            <w:pPr>
              <w:spacing w:before="40" w:after="40"/>
              <w:rPr>
                <w:sz w:val="18"/>
                <w:szCs w:val="18"/>
              </w:rPr>
            </w:pPr>
            <w:r>
              <w:rPr>
                <w:sz w:val="18"/>
                <w:szCs w:val="18"/>
              </w:rPr>
              <w:t>--</w:t>
            </w:r>
          </w:p>
        </w:tc>
        <w:tc>
          <w:tcPr>
            <w:tcW w:w="2819" w:type="dxa"/>
            <w:shd w:val="clear" w:color="auto" w:fill="E2EFD9" w:themeFill="accent6" w:themeFillTint="33"/>
          </w:tcPr>
          <w:p w14:paraId="0CF86070" w14:textId="77777777" w:rsidR="00EB770E" w:rsidRDefault="00EB770E" w:rsidP="006C7C4C">
            <w:pPr>
              <w:spacing w:before="40" w:after="40"/>
              <w:rPr>
                <w:sz w:val="18"/>
                <w:szCs w:val="18"/>
              </w:rPr>
            </w:pPr>
            <w:r>
              <w:rPr>
                <w:sz w:val="18"/>
                <w:szCs w:val="18"/>
              </w:rPr>
              <w:t xml:space="preserve">Avoid having </w:t>
            </w:r>
            <w:r w:rsidRPr="00BE5FBB">
              <w:rPr>
                <w:sz w:val="18"/>
                <w:szCs w:val="18"/>
              </w:rPr>
              <w:t xml:space="preserve">separate </w:t>
            </w:r>
            <w:r>
              <w:rPr>
                <w:sz w:val="18"/>
                <w:szCs w:val="18"/>
              </w:rPr>
              <w:t xml:space="preserve">parallel </w:t>
            </w:r>
            <w:r w:rsidRPr="00BE5FBB">
              <w:rPr>
                <w:sz w:val="18"/>
                <w:szCs w:val="18"/>
              </w:rPr>
              <w:t>track</w:t>
            </w:r>
            <w:r>
              <w:rPr>
                <w:sz w:val="18"/>
                <w:szCs w:val="18"/>
              </w:rPr>
              <w:t xml:space="preserve">s as this </w:t>
            </w:r>
            <w:r w:rsidRPr="00BE5FBB">
              <w:rPr>
                <w:sz w:val="18"/>
                <w:szCs w:val="18"/>
              </w:rPr>
              <w:t xml:space="preserve">could discriminate against smaller ITU Member States and Sector Members </w:t>
            </w:r>
            <w:r>
              <w:rPr>
                <w:sz w:val="18"/>
                <w:szCs w:val="18"/>
              </w:rPr>
              <w:t xml:space="preserve">with small delegations.  </w:t>
            </w:r>
            <w:r w:rsidRPr="00BE5FBB">
              <w:rPr>
                <w:sz w:val="18"/>
                <w:szCs w:val="18"/>
              </w:rPr>
              <w:t>This recommendation is also in line with previous TDAG discussions around the desire to simplify engagement with the ITU and in its meetings and events.</w:t>
            </w:r>
          </w:p>
        </w:tc>
        <w:tc>
          <w:tcPr>
            <w:tcW w:w="1841" w:type="dxa"/>
            <w:shd w:val="clear" w:color="auto" w:fill="E2EFD9" w:themeFill="accent6" w:themeFillTint="33"/>
          </w:tcPr>
          <w:p w14:paraId="2F986FA5" w14:textId="77777777" w:rsidR="00EB770E" w:rsidRDefault="00EB770E" w:rsidP="009632E7">
            <w:pPr>
              <w:spacing w:before="40" w:after="40"/>
              <w:rPr>
                <w:sz w:val="18"/>
                <w:szCs w:val="18"/>
              </w:rPr>
            </w:pPr>
            <w:r>
              <w:rPr>
                <w:sz w:val="18"/>
                <w:szCs w:val="18"/>
              </w:rPr>
              <w:t>--</w:t>
            </w:r>
          </w:p>
        </w:tc>
        <w:tc>
          <w:tcPr>
            <w:tcW w:w="2139" w:type="dxa"/>
            <w:shd w:val="clear" w:color="auto" w:fill="E2EFD9" w:themeFill="accent6" w:themeFillTint="33"/>
          </w:tcPr>
          <w:p w14:paraId="05FFE74F" w14:textId="77777777" w:rsidR="00EB770E" w:rsidRDefault="00EB770E" w:rsidP="009632E7">
            <w:pPr>
              <w:spacing w:before="40" w:after="40"/>
              <w:rPr>
                <w:sz w:val="18"/>
                <w:szCs w:val="18"/>
              </w:rPr>
            </w:pPr>
            <w:r w:rsidRPr="00605FFD">
              <w:rPr>
                <w:sz w:val="18"/>
                <w:szCs w:val="18"/>
                <w:lang w:val="en-ZW"/>
              </w:rPr>
              <w:t xml:space="preserve">Proposed themes for WTDC, which can be utilised for thematic tracks, include innovation that assist in achieving the Sustainable Development Goals, demand stimulation initiatives, ICT capacity building for disadvantaged communities, Implementation of ICT technical skill resource training and investment in ICT infrastructure. </w:t>
            </w:r>
          </w:p>
        </w:tc>
      </w:tr>
    </w:tbl>
    <w:p w14:paraId="742FEBBE" w14:textId="77777777" w:rsidR="00FF1A4B" w:rsidRPr="004B1B9E" w:rsidRDefault="00FF1A4B" w:rsidP="00CA74EE">
      <w:pPr>
        <w:spacing w:before="120" w:after="120" w:line="240" w:lineRule="auto"/>
        <w:rPr>
          <w:rFonts w:cstheme="minorHAnsi"/>
          <w:sz w:val="24"/>
          <w:szCs w:val="24"/>
        </w:rPr>
      </w:pPr>
    </w:p>
    <w:p w14:paraId="2DF001D5" w14:textId="22ADC50D" w:rsidR="00CF6946" w:rsidRDefault="00EA382C" w:rsidP="00EA382C">
      <w:pPr>
        <w:jc w:val="center"/>
      </w:pPr>
      <w:r>
        <w:t>________________</w:t>
      </w:r>
    </w:p>
    <w:sectPr w:rsidR="00CF6946" w:rsidSect="00483C9C">
      <w:headerReference w:type="first" r:id="rId18"/>
      <w:footerReference w:type="first" r:id="rId19"/>
      <w:pgSz w:w="15840" w:h="12240" w:orient="landscape"/>
      <w:pgMar w:top="1418"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73765" w14:textId="77777777" w:rsidR="004171E8" w:rsidRDefault="004171E8" w:rsidP="000C1DD8">
      <w:pPr>
        <w:spacing w:after="0" w:line="240" w:lineRule="auto"/>
      </w:pPr>
      <w:r>
        <w:separator/>
      </w:r>
    </w:p>
  </w:endnote>
  <w:endnote w:type="continuationSeparator" w:id="0">
    <w:p w14:paraId="0EBDC9F2" w14:textId="77777777" w:rsidR="004171E8" w:rsidRDefault="004171E8" w:rsidP="000C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C276C" w14:textId="77777777" w:rsidR="00D12FFB" w:rsidRDefault="00BD0173">
    <w:pPr>
      <w:pStyle w:val="Footer"/>
      <w:framePr w:w="576" w:wrap="around" w:vAnchor="page" w:hAnchor="page" w:x="10945" w:y="14760"/>
      <w:jc w:val="right"/>
      <w:rPr>
        <w:rStyle w:val="PageNumber"/>
      </w:rPr>
    </w:pPr>
    <w:r>
      <w:rPr>
        <w:rStyle w:val="PageNumber"/>
      </w:rPr>
      <w:fldChar w:fldCharType="begin"/>
    </w:r>
    <w:r>
      <w:rPr>
        <w:rStyle w:val="PageNumber"/>
      </w:rPr>
      <w:instrText xml:space="preserve"> PAGE </w:instrText>
    </w:r>
    <w:r>
      <w:rPr>
        <w:rStyle w:val="PageNumber"/>
      </w:rPr>
      <w:fldChar w:fldCharType="end"/>
    </w:r>
  </w:p>
  <w:p w14:paraId="0E615233" w14:textId="77777777" w:rsidR="00D12FFB" w:rsidRDefault="00417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0C1DD8" w14:paraId="3A77EE18" w14:textId="77777777" w:rsidTr="00A64EC3">
      <w:tc>
        <w:tcPr>
          <w:tcW w:w="1527" w:type="dxa"/>
          <w:tcBorders>
            <w:top w:val="single" w:sz="4" w:space="0" w:color="000000"/>
            <w:left w:val="nil"/>
            <w:bottom w:val="nil"/>
            <w:right w:val="nil"/>
          </w:tcBorders>
          <w:hideMark/>
        </w:tcPr>
        <w:p w14:paraId="2E333934" w14:textId="77777777" w:rsidR="000C1DD8" w:rsidRDefault="000C1DD8" w:rsidP="000C1DD8">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7E264652" w14:textId="77777777" w:rsidR="000C1DD8" w:rsidRDefault="000C1DD8" w:rsidP="000C1DD8">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1D64AE1A" w14:textId="77777777" w:rsidR="000C1DD8" w:rsidRDefault="000C1DD8" w:rsidP="000C1DD8">
          <w:pPr>
            <w:pStyle w:val="FirstFooter"/>
            <w:tabs>
              <w:tab w:val="left" w:pos="2302"/>
            </w:tabs>
            <w:rPr>
              <w:sz w:val="18"/>
              <w:szCs w:val="18"/>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lang w:val="en-GB"/>
            </w:rPr>
            <w:t>Telecommunication Development Bureau</w:t>
          </w:r>
        </w:p>
      </w:tc>
      <w:bookmarkStart w:id="0" w:name="OrgName"/>
      <w:bookmarkEnd w:id="0"/>
    </w:tr>
    <w:tr w:rsidR="000C1DD8" w14:paraId="49432ADF" w14:textId="77777777" w:rsidTr="00A64EC3">
      <w:tc>
        <w:tcPr>
          <w:tcW w:w="1527" w:type="dxa"/>
        </w:tcPr>
        <w:p w14:paraId="25F5CF9C" w14:textId="77777777" w:rsidR="000C1DD8" w:rsidRDefault="000C1DD8" w:rsidP="000C1DD8">
          <w:pPr>
            <w:pStyle w:val="FirstFooter"/>
            <w:tabs>
              <w:tab w:val="left" w:pos="1559"/>
              <w:tab w:val="left" w:pos="3828"/>
            </w:tabs>
            <w:rPr>
              <w:sz w:val="20"/>
              <w:lang w:val="en-US"/>
            </w:rPr>
          </w:pPr>
        </w:p>
      </w:tc>
      <w:tc>
        <w:tcPr>
          <w:tcW w:w="2412" w:type="dxa"/>
          <w:hideMark/>
        </w:tcPr>
        <w:p w14:paraId="622A52AF" w14:textId="77777777" w:rsidR="000C1DD8" w:rsidRDefault="000C1DD8" w:rsidP="000C1DD8">
          <w:pPr>
            <w:pStyle w:val="FirstFooter"/>
            <w:tabs>
              <w:tab w:val="left" w:pos="2302"/>
            </w:tabs>
            <w:rPr>
              <w:sz w:val="18"/>
              <w:szCs w:val="18"/>
              <w:lang w:val="en-US"/>
            </w:rPr>
          </w:pPr>
          <w:r>
            <w:rPr>
              <w:sz w:val="18"/>
              <w:szCs w:val="18"/>
              <w:lang w:val="en-US"/>
            </w:rPr>
            <w:t>Phone number:</w:t>
          </w:r>
        </w:p>
      </w:tc>
      <w:tc>
        <w:tcPr>
          <w:tcW w:w="5991" w:type="dxa"/>
        </w:tcPr>
        <w:p w14:paraId="0CB2FA90" w14:textId="77777777" w:rsidR="000C1DD8" w:rsidRDefault="000C1DD8" w:rsidP="000C1DD8">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1" w:name="PhoneNo"/>
      <w:bookmarkEnd w:id="1"/>
    </w:tr>
    <w:tr w:rsidR="000C1DD8" w14:paraId="64FC72BE" w14:textId="77777777" w:rsidTr="00A64EC3">
      <w:tc>
        <w:tcPr>
          <w:tcW w:w="1527" w:type="dxa"/>
        </w:tcPr>
        <w:p w14:paraId="30D08E92" w14:textId="77777777" w:rsidR="000C1DD8" w:rsidRDefault="000C1DD8" w:rsidP="000C1DD8">
          <w:pPr>
            <w:pStyle w:val="FirstFooter"/>
            <w:tabs>
              <w:tab w:val="left" w:pos="1559"/>
              <w:tab w:val="left" w:pos="3828"/>
            </w:tabs>
            <w:rPr>
              <w:sz w:val="20"/>
              <w:lang w:val="en-US"/>
            </w:rPr>
          </w:pPr>
        </w:p>
      </w:tc>
      <w:tc>
        <w:tcPr>
          <w:tcW w:w="2412" w:type="dxa"/>
          <w:hideMark/>
        </w:tcPr>
        <w:p w14:paraId="4BFA3D8C" w14:textId="77777777" w:rsidR="000C1DD8" w:rsidRDefault="000C1DD8" w:rsidP="000C1DD8">
          <w:pPr>
            <w:pStyle w:val="FirstFooter"/>
            <w:tabs>
              <w:tab w:val="left" w:pos="2302"/>
            </w:tabs>
            <w:rPr>
              <w:sz w:val="18"/>
              <w:szCs w:val="18"/>
              <w:lang w:val="en-US"/>
            </w:rPr>
          </w:pPr>
          <w:r>
            <w:rPr>
              <w:sz w:val="18"/>
              <w:szCs w:val="18"/>
              <w:lang w:val="en-US"/>
            </w:rPr>
            <w:t>E-mail:</w:t>
          </w:r>
        </w:p>
      </w:tc>
      <w:tc>
        <w:tcPr>
          <w:tcW w:w="5991" w:type="dxa"/>
        </w:tcPr>
        <w:p w14:paraId="5A17FAC6" w14:textId="77777777" w:rsidR="000C1DD8" w:rsidRDefault="004171E8" w:rsidP="000C1DD8">
          <w:pPr>
            <w:pStyle w:val="FirstFooter"/>
            <w:tabs>
              <w:tab w:val="left" w:pos="2302"/>
            </w:tabs>
            <w:rPr>
              <w:sz w:val="18"/>
              <w:szCs w:val="18"/>
              <w:lang w:val="en-US"/>
            </w:rPr>
          </w:pPr>
          <w:hyperlink r:id="rId1" w:history="1">
            <w:r w:rsidR="000C1DD8" w:rsidRPr="00D934D7">
              <w:rPr>
                <w:rStyle w:val="Hyperlink"/>
                <w:sz w:val="18"/>
                <w:szCs w:val="22"/>
              </w:rPr>
              <w:t>stephen.bereaux@itu.int</w:t>
            </w:r>
          </w:hyperlink>
          <w:r w:rsidR="000C1DD8" w:rsidRPr="00D934D7">
            <w:rPr>
              <w:sz w:val="18"/>
              <w:szCs w:val="22"/>
            </w:rPr>
            <w:t xml:space="preserve"> </w:t>
          </w:r>
        </w:p>
      </w:tc>
      <w:bookmarkStart w:id="2" w:name="Email"/>
      <w:bookmarkEnd w:id="2"/>
    </w:tr>
  </w:tbl>
  <w:p w14:paraId="31C13A71" w14:textId="6FB9975E" w:rsidR="000C1DD8" w:rsidRDefault="000C1DD8" w:rsidP="002B7584">
    <w:pPr>
      <w:tabs>
        <w:tab w:val="center" w:pos="4678"/>
        <w:tab w:val="right" w:pos="9639"/>
      </w:tabs>
      <w:spacing w:before="120" w:after="0" w:line="240" w:lineRule="auto"/>
    </w:pPr>
    <w:r w:rsidRPr="00972BCD">
      <w:tab/>
    </w:r>
    <w:hyperlink r:id="rId2" w:history="1">
      <w:r w:rsidRPr="00BE53BF">
        <w:rPr>
          <w:rStyle w:val="Hyperlink"/>
          <w:sz w:val="18"/>
          <w:szCs w:val="18"/>
        </w:rPr>
        <w:t>TDAG-WG-Prep</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FF8A8" w14:textId="63E8822D" w:rsidR="00FF1A4B" w:rsidRPr="00FF1A4B" w:rsidRDefault="00FF1A4B" w:rsidP="00FF1A4B">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05F4F" w14:textId="77777777" w:rsidR="004171E8" w:rsidRDefault="004171E8" w:rsidP="000C1DD8">
      <w:pPr>
        <w:spacing w:after="0" w:line="240" w:lineRule="auto"/>
      </w:pPr>
      <w:r>
        <w:separator/>
      </w:r>
    </w:p>
  </w:footnote>
  <w:footnote w:type="continuationSeparator" w:id="0">
    <w:p w14:paraId="087094C7" w14:textId="77777777" w:rsidR="004171E8" w:rsidRDefault="004171E8" w:rsidP="000C1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C5689" w14:textId="5C65D096" w:rsidR="000C1DD8" w:rsidRPr="000C1DD8" w:rsidRDefault="000C1DD8" w:rsidP="000C1DD8">
    <w:pPr>
      <w:pStyle w:val="Header"/>
      <w:jc w:val="center"/>
      <w:rPr>
        <w:sz w:val="18"/>
        <w:szCs w:val="18"/>
      </w:rPr>
    </w:pPr>
    <w:r w:rsidRPr="000C1DD8">
      <w:rPr>
        <w:rStyle w:val="PageNumber"/>
        <w:sz w:val="18"/>
        <w:szCs w:val="18"/>
      </w:rPr>
      <w:t>TDAG-WG-Prep/</w:t>
    </w:r>
    <w:r>
      <w:rPr>
        <w:rStyle w:val="PageNumber"/>
        <w:sz w:val="18"/>
        <w:szCs w:val="18"/>
      </w:rPr>
      <w:t>1</w:t>
    </w:r>
    <w:r w:rsidR="00FF1A4B">
      <w:rPr>
        <w:rStyle w:val="PageNumber"/>
        <w:sz w:val="18"/>
        <w:szCs w:val="18"/>
      </w:rPr>
      <w:t>2</w:t>
    </w:r>
    <w:r w:rsidRPr="000C1DD8">
      <w:rPr>
        <w:rStyle w:val="PageNumber"/>
        <w:sz w:val="18"/>
        <w:szCs w:val="18"/>
      </w:rPr>
      <w:t>-E</w:t>
    </w:r>
    <w:r w:rsidRPr="000C1DD8">
      <w:rPr>
        <w:rStyle w:val="PageNumber"/>
        <w:sz w:val="18"/>
        <w:szCs w:val="18"/>
      </w:rPr>
      <w:br/>
      <w:t>-</w:t>
    </w:r>
    <w:r w:rsidRPr="000C1DD8">
      <w:rPr>
        <w:rStyle w:val="PageNumber"/>
        <w:sz w:val="18"/>
        <w:szCs w:val="18"/>
      </w:rPr>
      <w:fldChar w:fldCharType="begin"/>
    </w:r>
    <w:r w:rsidRPr="000C1DD8">
      <w:rPr>
        <w:rStyle w:val="PageNumber"/>
        <w:sz w:val="18"/>
        <w:szCs w:val="18"/>
      </w:rPr>
      <w:instrText xml:space="preserve"> PAGE   \* MERGEFORMAT </w:instrText>
    </w:r>
    <w:r w:rsidRPr="000C1DD8">
      <w:rPr>
        <w:rStyle w:val="PageNumber"/>
        <w:sz w:val="18"/>
        <w:szCs w:val="18"/>
      </w:rPr>
      <w:fldChar w:fldCharType="separate"/>
    </w:r>
    <w:r w:rsidR="00F179B7">
      <w:rPr>
        <w:rStyle w:val="PageNumber"/>
        <w:noProof/>
        <w:sz w:val="18"/>
        <w:szCs w:val="18"/>
      </w:rPr>
      <w:t>3</w:t>
    </w:r>
    <w:r w:rsidRPr="000C1DD8">
      <w:rPr>
        <w:rStyle w:val="PageNumber"/>
        <w:noProof/>
        <w:sz w:val="18"/>
        <w:szCs w:val="18"/>
      </w:rPr>
      <w:fldChar w:fldCharType="end"/>
    </w:r>
    <w:r w:rsidRPr="000C1DD8">
      <w:rPr>
        <w:rStyle w:val="PageNumbe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21288" w14:textId="64FCDD42" w:rsidR="00FF1A4B" w:rsidRDefault="00FF1A4B" w:rsidP="00FF1A4B">
    <w:pPr>
      <w:pStyle w:val="Header"/>
      <w:jc w:val="center"/>
    </w:pPr>
    <w:r w:rsidRPr="000C1DD8">
      <w:rPr>
        <w:rStyle w:val="PageNumber"/>
        <w:sz w:val="18"/>
        <w:szCs w:val="18"/>
      </w:rPr>
      <w:t>TDAG-WG-Prep/</w:t>
    </w:r>
    <w:r>
      <w:rPr>
        <w:rStyle w:val="PageNumber"/>
        <w:sz w:val="18"/>
        <w:szCs w:val="18"/>
      </w:rPr>
      <w:t>12</w:t>
    </w:r>
    <w:r w:rsidRPr="000C1DD8">
      <w:rPr>
        <w:rStyle w:val="PageNumber"/>
        <w:sz w:val="18"/>
        <w:szCs w:val="18"/>
      </w:rPr>
      <w:t>-E</w:t>
    </w:r>
    <w:r w:rsidRPr="000C1DD8">
      <w:rPr>
        <w:rStyle w:val="PageNumber"/>
        <w:sz w:val="18"/>
        <w:szCs w:val="18"/>
      </w:rPr>
      <w:br/>
      <w:t>-</w:t>
    </w:r>
    <w:r w:rsidRPr="000C1DD8">
      <w:rPr>
        <w:rStyle w:val="PageNumber"/>
        <w:sz w:val="18"/>
        <w:szCs w:val="18"/>
      </w:rPr>
      <w:fldChar w:fldCharType="begin"/>
    </w:r>
    <w:r w:rsidRPr="000C1DD8">
      <w:rPr>
        <w:rStyle w:val="PageNumber"/>
        <w:sz w:val="18"/>
        <w:szCs w:val="18"/>
      </w:rPr>
      <w:instrText xml:space="preserve"> PAGE   \* MERGEFORMAT </w:instrText>
    </w:r>
    <w:r w:rsidRPr="000C1DD8">
      <w:rPr>
        <w:rStyle w:val="PageNumber"/>
        <w:sz w:val="18"/>
        <w:szCs w:val="18"/>
      </w:rPr>
      <w:fldChar w:fldCharType="separate"/>
    </w:r>
    <w:r>
      <w:rPr>
        <w:rStyle w:val="PageNumber"/>
        <w:sz w:val="18"/>
        <w:szCs w:val="18"/>
      </w:rPr>
      <w:t>3</w:t>
    </w:r>
    <w:r w:rsidRPr="000C1DD8">
      <w:rPr>
        <w:rStyle w:val="PageNumber"/>
        <w:noProof/>
        <w:sz w:val="18"/>
        <w:szCs w:val="18"/>
      </w:rPr>
      <w:fldChar w:fldCharType="end"/>
    </w:r>
    <w:r w:rsidRPr="000C1DD8">
      <w:rPr>
        <w:rStyle w:val="PageNumbe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6179D"/>
    <w:multiLevelType w:val="hybridMultilevel"/>
    <w:tmpl w:val="40F0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F3DA0"/>
    <w:multiLevelType w:val="hybridMultilevel"/>
    <w:tmpl w:val="B3043CB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141947"/>
    <w:multiLevelType w:val="hybridMultilevel"/>
    <w:tmpl w:val="D298AD30"/>
    <w:lvl w:ilvl="0" w:tplc="D8AA70EE">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 w15:restartNumberingAfterBreak="0">
    <w:nsid w:val="37514A69"/>
    <w:multiLevelType w:val="hybridMultilevel"/>
    <w:tmpl w:val="C974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830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536C0F"/>
    <w:multiLevelType w:val="hybridMultilevel"/>
    <w:tmpl w:val="9D7E5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510583"/>
    <w:multiLevelType w:val="hybridMultilevel"/>
    <w:tmpl w:val="2D66F890"/>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A1306"/>
    <w:multiLevelType w:val="hybridMultilevel"/>
    <w:tmpl w:val="2522053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5839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9C4834"/>
    <w:multiLevelType w:val="hybridMultilevel"/>
    <w:tmpl w:val="BB36B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2"/>
  </w:num>
  <w:num w:numId="6">
    <w:abstractNumId w:val="3"/>
  </w:num>
  <w:num w:numId="7">
    <w:abstractNumId w:val="6"/>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EE"/>
    <w:rsid w:val="00005842"/>
    <w:rsid w:val="000122BB"/>
    <w:rsid w:val="00066CFF"/>
    <w:rsid w:val="00083858"/>
    <w:rsid w:val="000C1DD8"/>
    <w:rsid w:val="000E51C5"/>
    <w:rsid w:val="00107F99"/>
    <w:rsid w:val="001264E6"/>
    <w:rsid w:val="0012792F"/>
    <w:rsid w:val="00153BEF"/>
    <w:rsid w:val="00191C40"/>
    <w:rsid w:val="001A0219"/>
    <w:rsid w:val="001A19F0"/>
    <w:rsid w:val="001C249D"/>
    <w:rsid w:val="001C3763"/>
    <w:rsid w:val="0020232D"/>
    <w:rsid w:val="00212B94"/>
    <w:rsid w:val="00230AEA"/>
    <w:rsid w:val="002326ED"/>
    <w:rsid w:val="00236DEA"/>
    <w:rsid w:val="002417AA"/>
    <w:rsid w:val="00245499"/>
    <w:rsid w:val="002741A0"/>
    <w:rsid w:val="0029270C"/>
    <w:rsid w:val="002938EC"/>
    <w:rsid w:val="002B7584"/>
    <w:rsid w:val="002C294D"/>
    <w:rsid w:val="002D0FD0"/>
    <w:rsid w:val="002E6DCC"/>
    <w:rsid w:val="002F4323"/>
    <w:rsid w:val="00340876"/>
    <w:rsid w:val="0036027F"/>
    <w:rsid w:val="00390C99"/>
    <w:rsid w:val="003C1D4A"/>
    <w:rsid w:val="003F47A9"/>
    <w:rsid w:val="00410E6E"/>
    <w:rsid w:val="004116A2"/>
    <w:rsid w:val="004171E8"/>
    <w:rsid w:val="00432E4C"/>
    <w:rsid w:val="004465B8"/>
    <w:rsid w:val="00454C68"/>
    <w:rsid w:val="00477A1E"/>
    <w:rsid w:val="00483C9C"/>
    <w:rsid w:val="004920FD"/>
    <w:rsid w:val="004A52A9"/>
    <w:rsid w:val="004D134E"/>
    <w:rsid w:val="004D1BAB"/>
    <w:rsid w:val="004D78D1"/>
    <w:rsid w:val="004E5719"/>
    <w:rsid w:val="00524965"/>
    <w:rsid w:val="0056725C"/>
    <w:rsid w:val="00577FE0"/>
    <w:rsid w:val="005C68C6"/>
    <w:rsid w:val="005D6B67"/>
    <w:rsid w:val="005E725E"/>
    <w:rsid w:val="0061054C"/>
    <w:rsid w:val="00627CAD"/>
    <w:rsid w:val="0069524B"/>
    <w:rsid w:val="006C6836"/>
    <w:rsid w:val="006F1ABB"/>
    <w:rsid w:val="006F1E88"/>
    <w:rsid w:val="006F3B4E"/>
    <w:rsid w:val="00706CCB"/>
    <w:rsid w:val="007255FC"/>
    <w:rsid w:val="007402DE"/>
    <w:rsid w:val="00752649"/>
    <w:rsid w:val="00760C16"/>
    <w:rsid w:val="00795525"/>
    <w:rsid w:val="008013DA"/>
    <w:rsid w:val="0081010A"/>
    <w:rsid w:val="00850779"/>
    <w:rsid w:val="00886FA1"/>
    <w:rsid w:val="0089441B"/>
    <w:rsid w:val="008A1515"/>
    <w:rsid w:val="008E0C97"/>
    <w:rsid w:val="008F0881"/>
    <w:rsid w:val="00921E84"/>
    <w:rsid w:val="00955EDD"/>
    <w:rsid w:val="009700A6"/>
    <w:rsid w:val="00985129"/>
    <w:rsid w:val="00995E43"/>
    <w:rsid w:val="009B6042"/>
    <w:rsid w:val="009C010B"/>
    <w:rsid w:val="009C02BC"/>
    <w:rsid w:val="00A00DA6"/>
    <w:rsid w:val="00A64958"/>
    <w:rsid w:val="00A653A0"/>
    <w:rsid w:val="00AD60E6"/>
    <w:rsid w:val="00AE3A0B"/>
    <w:rsid w:val="00AE55AA"/>
    <w:rsid w:val="00B12161"/>
    <w:rsid w:val="00B13DB2"/>
    <w:rsid w:val="00B30ACE"/>
    <w:rsid w:val="00B314BC"/>
    <w:rsid w:val="00B47E2E"/>
    <w:rsid w:val="00B91F9B"/>
    <w:rsid w:val="00BD0173"/>
    <w:rsid w:val="00BD1602"/>
    <w:rsid w:val="00BF08AF"/>
    <w:rsid w:val="00BF24FE"/>
    <w:rsid w:val="00BF6177"/>
    <w:rsid w:val="00C00C1C"/>
    <w:rsid w:val="00C301E2"/>
    <w:rsid w:val="00C6335E"/>
    <w:rsid w:val="00C81B06"/>
    <w:rsid w:val="00CA2EA0"/>
    <w:rsid w:val="00CA3D98"/>
    <w:rsid w:val="00CA526B"/>
    <w:rsid w:val="00CA74EE"/>
    <w:rsid w:val="00CB48C1"/>
    <w:rsid w:val="00CC1E55"/>
    <w:rsid w:val="00CE7AF7"/>
    <w:rsid w:val="00D233E9"/>
    <w:rsid w:val="00D261AC"/>
    <w:rsid w:val="00D46315"/>
    <w:rsid w:val="00D53624"/>
    <w:rsid w:val="00D80313"/>
    <w:rsid w:val="00D97071"/>
    <w:rsid w:val="00DA193D"/>
    <w:rsid w:val="00E54AAD"/>
    <w:rsid w:val="00EA382C"/>
    <w:rsid w:val="00EB770E"/>
    <w:rsid w:val="00EF03C3"/>
    <w:rsid w:val="00F0626F"/>
    <w:rsid w:val="00F07DB8"/>
    <w:rsid w:val="00F179B7"/>
    <w:rsid w:val="00F33FFD"/>
    <w:rsid w:val="00F44C14"/>
    <w:rsid w:val="00F53311"/>
    <w:rsid w:val="00FB2AEB"/>
    <w:rsid w:val="00FB3533"/>
    <w:rsid w:val="00FB64BA"/>
    <w:rsid w:val="00FC216E"/>
    <w:rsid w:val="00FE7B2B"/>
    <w:rsid w:val="00FF1A4B"/>
    <w:rsid w:val="00FF5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0E2E6"/>
  <w15:chartTrackingRefBased/>
  <w15:docId w15:val="{48198835-C4BF-4896-99C9-D51D6A4C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4EE"/>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1">
    <w:name w:val="Colloquy 1"/>
    <w:basedOn w:val="Normal"/>
    <w:next w:val="ColContin1"/>
    <w:uiPriority w:val="99"/>
    <w:rsid w:val="00CA74EE"/>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440"/>
    </w:pPr>
    <w:rPr>
      <w:rFonts w:ascii="Courier New" w:hAnsi="Courier New" w:cs="Courier New"/>
      <w:sz w:val="24"/>
      <w:szCs w:val="24"/>
    </w:rPr>
  </w:style>
  <w:style w:type="paragraph" w:customStyle="1" w:styleId="ColContin1">
    <w:name w:val="Col Contin 1"/>
    <w:basedOn w:val="Colloquy1"/>
    <w:uiPriority w:val="99"/>
    <w:rsid w:val="00CA74EE"/>
    <w:pPr>
      <w:tabs>
        <w:tab w:val="clear" w:pos="2880"/>
        <w:tab w:val="clear" w:pos="3600"/>
        <w:tab w:val="clear" w:pos="4320"/>
        <w:tab w:val="clear" w:pos="5040"/>
        <w:tab w:val="clear" w:pos="5760"/>
        <w:tab w:val="clear" w:pos="6480"/>
        <w:tab w:val="clear" w:pos="7200"/>
        <w:tab w:val="clear" w:pos="7920"/>
        <w:tab w:val="clear" w:pos="8640"/>
      </w:tabs>
    </w:pPr>
  </w:style>
  <w:style w:type="paragraph" w:styleId="Footer">
    <w:name w:val="footer"/>
    <w:basedOn w:val="Normal"/>
    <w:link w:val="FooterChar"/>
    <w:uiPriority w:val="99"/>
    <w:unhideWhenUsed/>
    <w:rsid w:val="00CA74EE"/>
    <w:pPr>
      <w:tabs>
        <w:tab w:val="center" w:pos="4680"/>
        <w:tab w:val="right" w:pos="9360"/>
      </w:tabs>
    </w:pPr>
  </w:style>
  <w:style w:type="character" w:customStyle="1" w:styleId="FooterChar">
    <w:name w:val="Footer Char"/>
    <w:basedOn w:val="DefaultParagraphFont"/>
    <w:link w:val="Footer"/>
    <w:uiPriority w:val="99"/>
    <w:rsid w:val="00CA74EE"/>
    <w:rPr>
      <w:rFonts w:eastAsiaTheme="minorEastAsia" w:cs="Times New Roman"/>
      <w:lang w:val="en-US"/>
    </w:rPr>
  </w:style>
  <w:style w:type="character" w:styleId="PageNumber">
    <w:name w:val="page number"/>
    <w:basedOn w:val="DefaultParagraphFont"/>
    <w:unhideWhenUsed/>
    <w:rsid w:val="00CA74EE"/>
    <w:rPr>
      <w:rFonts w:cs="Times New Roman"/>
    </w:rPr>
  </w:style>
  <w:style w:type="paragraph" w:styleId="ListParagraph">
    <w:name w:val="List Paragraph"/>
    <w:basedOn w:val="Normal"/>
    <w:uiPriority w:val="34"/>
    <w:qFormat/>
    <w:rsid w:val="00CA74EE"/>
    <w:pPr>
      <w:ind w:left="720"/>
      <w:contextualSpacing/>
    </w:pPr>
    <w:rPr>
      <w:lang w:val="en-GB"/>
    </w:rPr>
  </w:style>
  <w:style w:type="paragraph" w:customStyle="1" w:styleId="FirstFooter">
    <w:name w:val="FirstFooter"/>
    <w:basedOn w:val="Footer"/>
    <w:rsid w:val="00CA74EE"/>
    <w:pPr>
      <w:tabs>
        <w:tab w:val="clear" w:pos="4680"/>
        <w:tab w:val="clear" w:pos="9360"/>
      </w:tabs>
      <w:spacing w:before="40" w:after="0" w:line="240" w:lineRule="auto"/>
    </w:pPr>
    <w:rPr>
      <w:rFonts w:eastAsia="Times New Roman"/>
      <w:sz w:val="16"/>
      <w:szCs w:val="20"/>
      <w:lang w:val="fr-FR"/>
    </w:rPr>
  </w:style>
  <w:style w:type="character" w:styleId="Hyperlink">
    <w:name w:val="Hyperlink"/>
    <w:aliases w:val="CEO_Hyperlink"/>
    <w:uiPriority w:val="99"/>
    <w:rsid w:val="00CA74EE"/>
    <w:rPr>
      <w:color w:val="0000FF"/>
      <w:u w:val="single"/>
    </w:rPr>
  </w:style>
  <w:style w:type="paragraph" w:styleId="Header">
    <w:name w:val="header"/>
    <w:basedOn w:val="Normal"/>
    <w:link w:val="HeaderChar"/>
    <w:uiPriority w:val="99"/>
    <w:unhideWhenUsed/>
    <w:rsid w:val="000C1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DD8"/>
    <w:rPr>
      <w:rFonts w:eastAsiaTheme="minorEastAsia" w:cs="Times New Roman"/>
      <w:lang w:val="en-US"/>
    </w:rPr>
  </w:style>
  <w:style w:type="paragraph" w:styleId="BalloonText">
    <w:name w:val="Balloon Text"/>
    <w:basedOn w:val="Normal"/>
    <w:link w:val="BalloonTextChar"/>
    <w:uiPriority w:val="99"/>
    <w:semiHidden/>
    <w:unhideWhenUsed/>
    <w:rsid w:val="00245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99"/>
    <w:rPr>
      <w:rFonts w:ascii="Segoe UI" w:eastAsiaTheme="minorEastAsia" w:hAnsi="Segoe UI" w:cs="Segoe UI"/>
      <w:sz w:val="18"/>
      <w:szCs w:val="18"/>
      <w:lang w:val="en-US"/>
    </w:rPr>
  </w:style>
  <w:style w:type="character" w:styleId="CommentReference">
    <w:name w:val="annotation reference"/>
    <w:basedOn w:val="DefaultParagraphFont"/>
    <w:uiPriority w:val="99"/>
    <w:semiHidden/>
    <w:unhideWhenUsed/>
    <w:rsid w:val="00245499"/>
    <w:rPr>
      <w:sz w:val="16"/>
      <w:szCs w:val="16"/>
    </w:rPr>
  </w:style>
  <w:style w:type="paragraph" w:styleId="CommentText">
    <w:name w:val="annotation text"/>
    <w:basedOn w:val="Normal"/>
    <w:link w:val="CommentTextChar"/>
    <w:uiPriority w:val="99"/>
    <w:semiHidden/>
    <w:unhideWhenUsed/>
    <w:rsid w:val="00245499"/>
    <w:pPr>
      <w:spacing w:line="240" w:lineRule="auto"/>
    </w:pPr>
    <w:rPr>
      <w:sz w:val="20"/>
      <w:szCs w:val="20"/>
    </w:rPr>
  </w:style>
  <w:style w:type="character" w:customStyle="1" w:styleId="CommentTextChar">
    <w:name w:val="Comment Text Char"/>
    <w:basedOn w:val="DefaultParagraphFont"/>
    <w:link w:val="CommentText"/>
    <w:uiPriority w:val="99"/>
    <w:semiHidden/>
    <w:rsid w:val="00245499"/>
    <w:rPr>
      <w:rFonts w:eastAsiaTheme="minorEastAs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45499"/>
    <w:rPr>
      <w:b/>
      <w:bCs/>
    </w:rPr>
  </w:style>
  <w:style w:type="character" w:customStyle="1" w:styleId="CommentSubjectChar">
    <w:name w:val="Comment Subject Char"/>
    <w:basedOn w:val="CommentTextChar"/>
    <w:link w:val="CommentSubject"/>
    <w:uiPriority w:val="99"/>
    <w:semiHidden/>
    <w:rsid w:val="00245499"/>
    <w:rPr>
      <w:rFonts w:eastAsiaTheme="minorEastAsia" w:cs="Times New Roman"/>
      <w:b/>
      <w:bCs/>
      <w:sz w:val="20"/>
      <w:szCs w:val="20"/>
      <w:lang w:val="en-US"/>
    </w:rPr>
  </w:style>
  <w:style w:type="table" w:styleId="TableGrid">
    <w:name w:val="Table Grid"/>
    <w:basedOn w:val="TableNormal"/>
    <w:uiPriority w:val="39"/>
    <w:rsid w:val="00EB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0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12517">
      <w:bodyDiv w:val="1"/>
      <w:marLeft w:val="0"/>
      <w:marRight w:val="0"/>
      <w:marTop w:val="0"/>
      <w:marBottom w:val="0"/>
      <w:divBdr>
        <w:top w:val="none" w:sz="0" w:space="0" w:color="auto"/>
        <w:left w:val="none" w:sz="0" w:space="0" w:color="auto"/>
        <w:bottom w:val="none" w:sz="0" w:space="0" w:color="auto"/>
        <w:right w:val="none" w:sz="0" w:space="0" w:color="auto"/>
      </w:divBdr>
    </w:div>
    <w:div w:id="1193542536">
      <w:bodyDiv w:val="1"/>
      <w:marLeft w:val="0"/>
      <w:marRight w:val="0"/>
      <w:marTop w:val="0"/>
      <w:marBottom w:val="0"/>
      <w:divBdr>
        <w:top w:val="none" w:sz="0" w:space="0" w:color="auto"/>
        <w:left w:val="none" w:sz="0" w:space="0" w:color="auto"/>
        <w:bottom w:val="none" w:sz="0" w:space="0" w:color="auto"/>
        <w:right w:val="none" w:sz="0" w:space="0" w:color="auto"/>
      </w:divBdr>
    </w:div>
    <w:div w:id="12813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WP-C-000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D18-TDAG27.WP-C-0011/" TargetMode="External"/><Relationship Id="rId2" Type="http://schemas.openxmlformats.org/officeDocument/2006/relationships/numbering" Target="numbering.xml"/><Relationship Id="rId16" Type="http://schemas.openxmlformats.org/officeDocument/2006/relationships/hyperlink" Target="https://www.itu.int/md/D18-TDAG27.WP-C-00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18-TDAG27.WP-C-0009/"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D18-BDT-CIR-0052/en" TargetMode="External"/><Relationship Id="rId14" Type="http://schemas.openxmlformats.org/officeDocument/2006/relationships/hyperlink" Target="https://www.itu.int/md/D18-TDAG27.WP-C-000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WTDC_Prep.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FF84C-D281-4D75-B2D4-5D4FA186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3424</Words>
  <Characters>19520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BDT-nd</dc:creator>
  <cp:keywords/>
  <dc:description/>
  <cp:lastModifiedBy>Comas Barnes, Maite</cp:lastModifiedBy>
  <cp:revision>23</cp:revision>
  <dcterms:created xsi:type="dcterms:W3CDTF">2020-09-14T07:16:00Z</dcterms:created>
  <dcterms:modified xsi:type="dcterms:W3CDTF">2020-09-14T07:55:00Z</dcterms:modified>
</cp:coreProperties>
</file>