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194F24" w14:paraId="5E10E816" w14:textId="77777777" w:rsidTr="006D0FFA">
        <w:trPr>
          <w:cantSplit/>
          <w:trHeight w:val="1134"/>
        </w:trPr>
        <w:tc>
          <w:tcPr>
            <w:tcW w:w="9888" w:type="dxa"/>
            <w:gridSpan w:val="3"/>
            <w:tcBorders>
              <w:bottom w:val="single" w:sz="2" w:space="0" w:color="00B0F0"/>
            </w:tcBorders>
          </w:tcPr>
          <w:p w14:paraId="52CF8821" w14:textId="4DA1BD37" w:rsidR="007F66AD" w:rsidRDefault="00194F24" w:rsidP="00491224">
            <w:pPr>
              <w:spacing w:before="320"/>
              <w:ind w:right="142"/>
              <w:rPr>
                <w:rFonts w:eastAsiaTheme="majorEastAsia" w:cs="Microsoft JhengHei"/>
                <w:b/>
                <w:bCs/>
                <w:sz w:val="32"/>
                <w:szCs w:val="32"/>
                <w:lang w:eastAsia="zh-CN"/>
              </w:rPr>
            </w:pPr>
            <w:r w:rsidRPr="000F2E62">
              <w:rPr>
                <w:rFonts w:eastAsiaTheme="majorEastAsia"/>
                <w:noProof/>
                <w:color w:val="3399FF"/>
                <w:sz w:val="32"/>
                <w:szCs w:val="32"/>
                <w:lang w:val="en-US" w:eastAsia="zh-CN"/>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7F66AD" w:rsidRPr="007F66AD">
              <w:rPr>
                <w:rFonts w:eastAsiaTheme="majorEastAsia" w:cs="Microsoft JhengHei"/>
                <w:b/>
                <w:bCs/>
                <w:sz w:val="32"/>
                <w:szCs w:val="32"/>
                <w:lang w:eastAsia="zh-CN"/>
              </w:rPr>
              <w:t>电信发展顾问组世界电信发展大会筹备工作</w:t>
            </w:r>
            <w:r w:rsidR="007F66AD" w:rsidRPr="007F66AD">
              <w:rPr>
                <w:rFonts w:eastAsiaTheme="majorEastAsia" w:cs="Microsoft JhengHei" w:hint="eastAsia"/>
                <w:b/>
                <w:bCs/>
                <w:sz w:val="32"/>
                <w:szCs w:val="32"/>
                <w:lang w:eastAsia="zh-CN"/>
              </w:rPr>
              <w:t>组</w:t>
            </w:r>
          </w:p>
          <w:p w14:paraId="49124C96" w14:textId="010C1FC8" w:rsidR="00194F24" w:rsidRPr="000F2E62" w:rsidRDefault="00C53C52" w:rsidP="005A39BC">
            <w:pPr>
              <w:ind w:right="142"/>
              <w:rPr>
                <w:rFonts w:eastAsiaTheme="majorEastAsia"/>
                <w:sz w:val="26"/>
                <w:szCs w:val="26"/>
                <w:lang w:eastAsia="zh-CN"/>
              </w:rPr>
            </w:pPr>
            <w:r w:rsidRPr="000F2E62">
              <w:rPr>
                <w:rFonts w:eastAsiaTheme="majorEastAsia"/>
                <w:b/>
                <w:bCs/>
                <w:sz w:val="26"/>
                <w:szCs w:val="26"/>
                <w:lang w:eastAsia="zh-CN"/>
              </w:rPr>
              <w:t>2020</w:t>
            </w:r>
            <w:r w:rsidRPr="000F2E62">
              <w:rPr>
                <w:rFonts w:eastAsiaTheme="majorEastAsia" w:cs="MS Gothic"/>
                <w:b/>
                <w:bCs/>
                <w:sz w:val="26"/>
                <w:szCs w:val="26"/>
                <w:lang w:eastAsia="zh-CN"/>
              </w:rPr>
              <w:t>年</w:t>
            </w:r>
            <w:r w:rsidR="005A39BC">
              <w:rPr>
                <w:rFonts w:eastAsiaTheme="majorEastAsia"/>
                <w:b/>
                <w:bCs/>
                <w:sz w:val="26"/>
                <w:szCs w:val="26"/>
                <w:lang w:eastAsia="zh-CN"/>
              </w:rPr>
              <w:t>9</w:t>
            </w:r>
            <w:r w:rsidRPr="000F2E62">
              <w:rPr>
                <w:rFonts w:eastAsiaTheme="majorEastAsia" w:cs="MS Gothic"/>
                <w:b/>
                <w:bCs/>
                <w:sz w:val="26"/>
                <w:szCs w:val="26"/>
                <w:lang w:eastAsia="zh-CN"/>
              </w:rPr>
              <w:t>月</w:t>
            </w:r>
            <w:r w:rsidR="005A39BC">
              <w:rPr>
                <w:rFonts w:eastAsiaTheme="majorEastAsia"/>
                <w:b/>
                <w:bCs/>
                <w:sz w:val="26"/>
                <w:szCs w:val="26"/>
                <w:lang w:eastAsia="zh-CN"/>
              </w:rPr>
              <w:t>7</w:t>
            </w:r>
            <w:r w:rsidRPr="000F2E62">
              <w:rPr>
                <w:rFonts w:eastAsiaTheme="majorEastAsia" w:cs="MS Gothic"/>
                <w:b/>
                <w:bCs/>
                <w:sz w:val="26"/>
                <w:szCs w:val="26"/>
                <w:lang w:eastAsia="zh-CN"/>
              </w:rPr>
              <w:t>日</w:t>
            </w:r>
            <w:r w:rsidR="00113CE7" w:rsidRPr="000F2E62">
              <w:rPr>
                <w:rFonts w:eastAsiaTheme="majorEastAsia" w:cs="MS Gothic"/>
                <w:b/>
                <w:bCs/>
                <w:sz w:val="26"/>
                <w:szCs w:val="26"/>
                <w:lang w:eastAsia="zh-CN"/>
              </w:rPr>
              <w:t>，</w:t>
            </w:r>
            <w:r w:rsidR="007C7CE6" w:rsidRPr="000F2E62">
              <w:rPr>
                <w:rFonts w:eastAsiaTheme="majorEastAsia" w:cs="MS Gothic"/>
                <w:b/>
                <w:bCs/>
                <w:sz w:val="26"/>
                <w:szCs w:val="26"/>
                <w:lang w:eastAsia="zh-CN"/>
              </w:rPr>
              <w:t>虚</w:t>
            </w:r>
            <w:r w:rsidR="007C7CE6" w:rsidRPr="000F2E62">
              <w:rPr>
                <w:rFonts w:eastAsiaTheme="majorEastAsia" w:cs="Microsoft JhengHei"/>
                <w:b/>
                <w:bCs/>
                <w:sz w:val="26"/>
                <w:szCs w:val="26"/>
                <w:lang w:eastAsia="zh-CN"/>
              </w:rPr>
              <w:t>拟会议</w:t>
            </w:r>
          </w:p>
        </w:tc>
      </w:tr>
      <w:tr w:rsidR="006D0FFA" w:rsidRPr="00997358" w14:paraId="48B980A4" w14:textId="77777777" w:rsidTr="00262766">
        <w:trPr>
          <w:cantSplit/>
        </w:trPr>
        <w:tc>
          <w:tcPr>
            <w:tcW w:w="6237" w:type="dxa"/>
            <w:gridSpan w:val="2"/>
            <w:tcBorders>
              <w:top w:val="single" w:sz="2" w:space="0" w:color="00B0F0"/>
            </w:tcBorders>
          </w:tcPr>
          <w:p w14:paraId="418C6355" w14:textId="77777777" w:rsidR="006D0FFA" w:rsidRPr="000F2E62" w:rsidRDefault="006D0FFA" w:rsidP="00F35673">
            <w:pPr>
              <w:spacing w:before="0"/>
              <w:rPr>
                <w:rFonts w:eastAsiaTheme="majorEastAsia"/>
                <w:b/>
                <w:bCs/>
                <w:sz w:val="20"/>
                <w:lang w:eastAsia="zh-CN"/>
              </w:rPr>
            </w:pPr>
          </w:p>
        </w:tc>
        <w:tc>
          <w:tcPr>
            <w:tcW w:w="3651" w:type="dxa"/>
            <w:tcBorders>
              <w:top w:val="single" w:sz="2" w:space="0" w:color="00B0F0"/>
            </w:tcBorders>
          </w:tcPr>
          <w:p w14:paraId="49A48CC7" w14:textId="7A43ED59" w:rsidR="006D0FFA" w:rsidRPr="000F2E62" w:rsidRDefault="00C53C52" w:rsidP="00F35673">
            <w:pPr>
              <w:rPr>
                <w:rFonts w:eastAsiaTheme="majorEastAsia"/>
                <w:b/>
                <w:bCs/>
                <w:szCs w:val="24"/>
              </w:rPr>
            </w:pPr>
            <w:r w:rsidRPr="000F2E62">
              <w:rPr>
                <w:rFonts w:eastAsiaTheme="majorEastAsia" w:cs="MS Gothic"/>
                <w:b/>
                <w:bCs/>
                <w:szCs w:val="24"/>
              </w:rPr>
              <w:t>文件</w:t>
            </w:r>
            <w:r w:rsidR="005A39BC" w:rsidRPr="005A39BC">
              <w:rPr>
                <w:rFonts w:eastAsiaTheme="minorEastAsia"/>
                <w:b/>
                <w:bCs/>
                <w:szCs w:val="28"/>
                <w:lang w:val="en-US"/>
              </w:rPr>
              <w:t xml:space="preserve"> </w:t>
            </w:r>
            <w:r w:rsidR="005A39BC" w:rsidRPr="005A39BC">
              <w:rPr>
                <w:rFonts w:eastAsiaTheme="majorEastAsia"/>
                <w:b/>
                <w:bCs/>
                <w:szCs w:val="24"/>
                <w:lang w:val="en-US"/>
              </w:rPr>
              <w:t>TDAG-WG-Prep/12-</w:t>
            </w:r>
            <w:r w:rsidR="005A39BC">
              <w:rPr>
                <w:rFonts w:eastAsiaTheme="majorEastAsia"/>
                <w:b/>
                <w:bCs/>
                <w:szCs w:val="24"/>
                <w:lang w:val="en-US"/>
              </w:rPr>
              <w:t>C</w:t>
            </w:r>
          </w:p>
        </w:tc>
      </w:tr>
      <w:tr w:rsidR="006D0FFA" w:rsidRPr="00997358" w14:paraId="7302F6BC" w14:textId="77777777" w:rsidTr="00262766">
        <w:trPr>
          <w:cantSplit/>
        </w:trPr>
        <w:tc>
          <w:tcPr>
            <w:tcW w:w="6237" w:type="dxa"/>
            <w:gridSpan w:val="2"/>
          </w:tcPr>
          <w:p w14:paraId="1F9741FC" w14:textId="77777777" w:rsidR="006D0FFA" w:rsidRPr="000F2E62" w:rsidRDefault="006D0FFA" w:rsidP="00F35673">
            <w:pPr>
              <w:spacing w:before="0"/>
              <w:rPr>
                <w:rFonts w:eastAsiaTheme="majorEastAsia"/>
                <w:b/>
                <w:bCs/>
                <w:sz w:val="20"/>
              </w:rPr>
            </w:pPr>
          </w:p>
        </w:tc>
        <w:tc>
          <w:tcPr>
            <w:tcW w:w="3651" w:type="dxa"/>
          </w:tcPr>
          <w:p w14:paraId="65511797" w14:textId="7674D497" w:rsidR="006D0FFA" w:rsidRPr="000F2E62" w:rsidRDefault="00171B1B" w:rsidP="005A39BC">
            <w:pPr>
              <w:spacing w:before="0"/>
              <w:rPr>
                <w:rFonts w:eastAsiaTheme="majorEastAsia"/>
                <w:b/>
                <w:bCs/>
                <w:szCs w:val="24"/>
              </w:rPr>
            </w:pPr>
            <w:r w:rsidRPr="000F2E62">
              <w:rPr>
                <w:rFonts w:eastAsiaTheme="majorEastAsia"/>
                <w:b/>
                <w:bCs/>
                <w:szCs w:val="24"/>
              </w:rPr>
              <w:t>2020</w:t>
            </w:r>
            <w:r w:rsidRPr="000F2E62">
              <w:rPr>
                <w:rFonts w:eastAsiaTheme="majorEastAsia" w:cs="MS Gothic"/>
                <w:b/>
                <w:bCs/>
                <w:szCs w:val="24"/>
              </w:rPr>
              <w:t>年</w:t>
            </w:r>
            <w:r w:rsidR="005A39BC">
              <w:rPr>
                <w:rFonts w:eastAsiaTheme="majorEastAsia"/>
                <w:b/>
                <w:bCs/>
                <w:szCs w:val="24"/>
              </w:rPr>
              <w:t>9</w:t>
            </w:r>
            <w:r w:rsidRPr="000F2E62">
              <w:rPr>
                <w:rFonts w:eastAsiaTheme="majorEastAsia" w:cs="MS Gothic"/>
                <w:b/>
                <w:bCs/>
                <w:szCs w:val="24"/>
              </w:rPr>
              <w:t>月</w:t>
            </w:r>
            <w:r w:rsidR="005A39BC">
              <w:rPr>
                <w:rFonts w:eastAsiaTheme="majorEastAsia"/>
                <w:b/>
                <w:bCs/>
                <w:szCs w:val="24"/>
              </w:rPr>
              <w:t>11</w:t>
            </w:r>
            <w:r w:rsidRPr="000F2E62">
              <w:rPr>
                <w:rFonts w:eastAsiaTheme="majorEastAsia" w:cs="MS Gothic"/>
                <w:b/>
                <w:bCs/>
                <w:szCs w:val="24"/>
              </w:rPr>
              <w:t>日</w:t>
            </w:r>
          </w:p>
        </w:tc>
      </w:tr>
      <w:tr w:rsidR="00F35673" w:rsidRPr="00997358" w14:paraId="769980A4" w14:textId="77777777" w:rsidTr="00262766">
        <w:trPr>
          <w:cantSplit/>
        </w:trPr>
        <w:tc>
          <w:tcPr>
            <w:tcW w:w="6237" w:type="dxa"/>
            <w:gridSpan w:val="2"/>
          </w:tcPr>
          <w:p w14:paraId="4DFD97DF" w14:textId="77777777" w:rsidR="00F35673" w:rsidRPr="000F2E62" w:rsidRDefault="00F35673" w:rsidP="00F35673">
            <w:pPr>
              <w:spacing w:before="0"/>
              <w:rPr>
                <w:rFonts w:eastAsiaTheme="majorEastAsia"/>
                <w:b/>
                <w:bCs/>
                <w:sz w:val="20"/>
              </w:rPr>
            </w:pPr>
          </w:p>
        </w:tc>
        <w:tc>
          <w:tcPr>
            <w:tcW w:w="3651" w:type="dxa"/>
          </w:tcPr>
          <w:p w14:paraId="14B81F67" w14:textId="425B4E95" w:rsidR="00F35673" w:rsidRPr="000F2E62" w:rsidRDefault="00171B1B" w:rsidP="00AA0B5B">
            <w:pPr>
              <w:spacing w:before="0" w:after="120"/>
              <w:rPr>
                <w:rFonts w:eastAsiaTheme="majorEastAsia"/>
                <w:b/>
                <w:bCs/>
                <w:szCs w:val="24"/>
              </w:rPr>
            </w:pPr>
            <w:r w:rsidRPr="000F2E62">
              <w:rPr>
                <w:rFonts w:eastAsiaTheme="majorEastAsia" w:cstheme="minorHAnsi"/>
                <w:b/>
                <w:szCs w:val="24"/>
                <w:lang w:eastAsia="zh-CN"/>
              </w:rPr>
              <w:t>原文：</w:t>
            </w:r>
            <w:bookmarkStart w:id="0" w:name="Original"/>
            <w:bookmarkEnd w:id="0"/>
            <w:r w:rsidRPr="000F2E62">
              <w:rPr>
                <w:rFonts w:eastAsiaTheme="majorEastAsia" w:cs="Calibri"/>
                <w:b/>
                <w:szCs w:val="24"/>
                <w:lang w:eastAsia="zh-CN"/>
              </w:rPr>
              <w:t>英文</w:t>
            </w:r>
          </w:p>
        </w:tc>
      </w:tr>
      <w:tr w:rsidR="00AA0B5B" w:rsidRPr="00002716" w14:paraId="10DE2C82" w14:textId="77777777" w:rsidTr="00262766">
        <w:trPr>
          <w:cantSplit/>
          <w:trHeight w:val="408"/>
        </w:trPr>
        <w:tc>
          <w:tcPr>
            <w:tcW w:w="1276" w:type="dxa"/>
          </w:tcPr>
          <w:p w14:paraId="46B4A90F" w14:textId="28A7021D" w:rsidR="00AA0B5B" w:rsidRPr="000F2E62" w:rsidRDefault="00C53C52" w:rsidP="00194F24">
            <w:pPr>
              <w:spacing w:before="80" w:after="80"/>
              <w:jc w:val="both"/>
              <w:rPr>
                <w:rFonts w:eastAsiaTheme="majorEastAsia"/>
                <w:b/>
                <w:szCs w:val="24"/>
                <w:lang w:val="en-US"/>
              </w:rPr>
            </w:pPr>
            <w:r w:rsidRPr="000F2E62">
              <w:rPr>
                <w:rFonts w:eastAsiaTheme="majorEastAsia" w:cs="MS Gothic"/>
                <w:b/>
                <w:bCs/>
                <w:lang w:val="en-US"/>
              </w:rPr>
              <w:t>来源：</w:t>
            </w:r>
          </w:p>
        </w:tc>
        <w:tc>
          <w:tcPr>
            <w:tcW w:w="8612" w:type="dxa"/>
            <w:gridSpan w:val="2"/>
          </w:tcPr>
          <w:p w14:paraId="0F88DEF6" w14:textId="7326F77C" w:rsidR="00AA0B5B" w:rsidRPr="000F2E62" w:rsidRDefault="00171B1B" w:rsidP="001C2D5B">
            <w:pPr>
              <w:spacing w:before="80" w:after="80"/>
              <w:rPr>
                <w:rFonts w:eastAsiaTheme="majorEastAsia"/>
                <w:bCs/>
                <w:szCs w:val="24"/>
                <w:lang w:val="en-US"/>
              </w:rPr>
            </w:pPr>
            <w:r w:rsidRPr="000F2E62">
              <w:rPr>
                <w:rFonts w:eastAsiaTheme="majorEastAsia" w:cs="Microsoft JhengHei"/>
                <w:bCs/>
                <w:szCs w:val="24"/>
                <w:lang w:val="en-US"/>
              </w:rPr>
              <w:t>电信发展局主任</w:t>
            </w:r>
          </w:p>
        </w:tc>
      </w:tr>
      <w:tr w:rsidR="00AA0B5B" w:rsidRPr="00002716" w14:paraId="29E95131" w14:textId="77777777" w:rsidTr="00262766">
        <w:trPr>
          <w:cantSplit/>
          <w:trHeight w:val="407"/>
        </w:trPr>
        <w:tc>
          <w:tcPr>
            <w:tcW w:w="1276" w:type="dxa"/>
            <w:tcBorders>
              <w:bottom w:val="single" w:sz="4" w:space="0" w:color="00B0F0"/>
            </w:tcBorders>
          </w:tcPr>
          <w:p w14:paraId="0B4CC4A0" w14:textId="6FC56169" w:rsidR="00AA0B5B" w:rsidRPr="000F2E62" w:rsidRDefault="00C53C52" w:rsidP="00194F24">
            <w:pPr>
              <w:spacing w:before="80" w:after="80"/>
              <w:jc w:val="both"/>
              <w:rPr>
                <w:rFonts w:eastAsiaTheme="majorEastAsia"/>
                <w:b/>
                <w:bCs/>
                <w:lang w:val="en-US"/>
              </w:rPr>
            </w:pPr>
            <w:r w:rsidRPr="000F2E62">
              <w:rPr>
                <w:rFonts w:eastAsiaTheme="majorEastAsia" w:cs="Microsoft JhengHei"/>
                <w:b/>
                <w:bCs/>
                <w:szCs w:val="24"/>
                <w:lang w:val="en-US"/>
              </w:rPr>
              <w:t>标题：</w:t>
            </w:r>
          </w:p>
        </w:tc>
        <w:tc>
          <w:tcPr>
            <w:tcW w:w="8612" w:type="dxa"/>
            <w:gridSpan w:val="2"/>
            <w:tcBorders>
              <w:bottom w:val="single" w:sz="4" w:space="0" w:color="00B0F0"/>
            </w:tcBorders>
          </w:tcPr>
          <w:p w14:paraId="5DF56324" w14:textId="7EA43FF6" w:rsidR="00AA0B5B" w:rsidRPr="000F2E62" w:rsidRDefault="00F0214D" w:rsidP="00194F24">
            <w:pPr>
              <w:spacing w:before="80" w:after="80"/>
              <w:jc w:val="both"/>
              <w:rPr>
                <w:rFonts w:eastAsiaTheme="majorEastAsia"/>
                <w:bCs/>
                <w:lang w:val="en-US" w:eastAsia="zh-CN"/>
              </w:rPr>
            </w:pPr>
            <w:r>
              <w:rPr>
                <w:rFonts w:eastAsiaTheme="majorEastAsia" w:cs="Microsoft JhengHei" w:hint="eastAsia"/>
                <w:bCs/>
                <w:lang w:val="en-US" w:eastAsia="zh-CN"/>
              </w:rPr>
              <w:t>电信发展顾问组（</w:t>
            </w:r>
            <w:r w:rsidR="004146B4" w:rsidRPr="004146B4">
              <w:rPr>
                <w:rFonts w:eastAsiaTheme="majorEastAsia" w:cs="Microsoft JhengHei" w:hint="eastAsia"/>
                <w:bCs/>
                <w:lang w:val="en-US" w:eastAsia="zh-CN"/>
              </w:rPr>
              <w:t>TDAG</w:t>
            </w:r>
            <w:r>
              <w:rPr>
                <w:rFonts w:eastAsiaTheme="majorEastAsia" w:cs="Microsoft JhengHei" w:hint="eastAsia"/>
                <w:bCs/>
                <w:lang w:val="en-US" w:eastAsia="zh-CN"/>
              </w:rPr>
              <w:t>）世界电信发展大会（</w:t>
            </w:r>
            <w:r w:rsidR="004146B4" w:rsidRPr="004146B4">
              <w:rPr>
                <w:rFonts w:eastAsiaTheme="majorEastAsia" w:cs="Microsoft JhengHei" w:hint="eastAsia"/>
                <w:bCs/>
                <w:lang w:val="en-US" w:eastAsia="zh-CN"/>
              </w:rPr>
              <w:t>WTDC</w:t>
            </w:r>
            <w:r>
              <w:rPr>
                <w:rFonts w:eastAsiaTheme="majorEastAsia" w:cs="Microsoft JhengHei" w:hint="eastAsia"/>
                <w:bCs/>
                <w:lang w:val="en-US" w:eastAsia="zh-CN"/>
              </w:rPr>
              <w:t>）</w:t>
            </w:r>
            <w:r w:rsidR="004146B4" w:rsidRPr="004146B4">
              <w:rPr>
                <w:rFonts w:eastAsiaTheme="majorEastAsia" w:cs="Microsoft JhengHei" w:hint="eastAsia"/>
                <w:bCs/>
                <w:lang w:val="en-US" w:eastAsia="zh-CN"/>
              </w:rPr>
              <w:t>筹备工作组报告</w:t>
            </w:r>
          </w:p>
        </w:tc>
      </w:tr>
    </w:tbl>
    <w:p w14:paraId="4BDF0418" w14:textId="7B40FEFB" w:rsidR="002B163F" w:rsidRPr="00B10114" w:rsidRDefault="00681FE0" w:rsidP="00B10114">
      <w:pPr>
        <w:pStyle w:val="Headingb"/>
        <w:rPr>
          <w:rFonts w:ascii="Calibri" w:hAnsi="Calibri"/>
          <w:lang w:val="fr-FR"/>
        </w:rPr>
      </w:pPr>
      <w:r w:rsidRPr="00B10114">
        <w:rPr>
          <w:rFonts w:ascii="Calibri" w:hAnsi="Calibri" w:cs="Microsoft YaHei" w:hint="eastAsia"/>
          <w:lang w:val="fr-FR"/>
        </w:rPr>
        <w:t>摘要</w:t>
      </w:r>
    </w:p>
    <w:p w14:paraId="28AD6C24" w14:textId="5DC9DB21" w:rsidR="00681FE0" w:rsidRDefault="00681FE0" w:rsidP="005612E9">
      <w:pPr>
        <w:ind w:firstLineChars="200" w:firstLine="480"/>
        <w:rPr>
          <w:rFonts w:cstheme="minorHAnsi"/>
          <w:szCs w:val="24"/>
          <w:lang w:eastAsia="zh-CN"/>
        </w:rPr>
      </w:pPr>
      <w:r w:rsidRPr="00681FE0">
        <w:rPr>
          <w:rFonts w:cstheme="minorHAnsi" w:hint="eastAsia"/>
          <w:szCs w:val="24"/>
          <w:lang w:eastAsia="zh-CN"/>
        </w:rPr>
        <w:t>由</w:t>
      </w:r>
      <w:r w:rsidRPr="00681FE0">
        <w:rPr>
          <w:rFonts w:cstheme="minorHAnsi" w:hint="eastAsia"/>
          <w:szCs w:val="24"/>
          <w:lang w:eastAsia="zh-CN"/>
        </w:rPr>
        <w:t>Santiago Reyes-Borda</w:t>
      </w:r>
      <w:r w:rsidRPr="00681FE0">
        <w:rPr>
          <w:rFonts w:cstheme="minorHAnsi" w:hint="eastAsia"/>
          <w:szCs w:val="24"/>
          <w:lang w:eastAsia="zh-CN"/>
        </w:rPr>
        <w:t>先生（加拿大）担任主席的</w:t>
      </w:r>
      <w:r>
        <w:rPr>
          <w:rFonts w:eastAsiaTheme="majorEastAsia" w:cs="Microsoft JhengHei" w:hint="eastAsia"/>
          <w:bCs/>
          <w:lang w:val="en-US" w:eastAsia="zh-CN"/>
        </w:rPr>
        <w:t>电信发展顾问</w:t>
      </w:r>
      <w:bookmarkStart w:id="1" w:name="_GoBack"/>
      <w:bookmarkEnd w:id="1"/>
      <w:r>
        <w:rPr>
          <w:rFonts w:eastAsiaTheme="majorEastAsia" w:cs="Microsoft JhengHei" w:hint="eastAsia"/>
          <w:bCs/>
          <w:lang w:val="en-US" w:eastAsia="zh-CN"/>
        </w:rPr>
        <w:t>组世界电信发展大会</w:t>
      </w:r>
      <w:r w:rsidRPr="004146B4">
        <w:rPr>
          <w:rFonts w:eastAsiaTheme="majorEastAsia" w:cs="Microsoft JhengHei" w:hint="eastAsia"/>
          <w:bCs/>
          <w:lang w:val="en-US" w:eastAsia="zh-CN"/>
        </w:rPr>
        <w:t>筹备工作组</w:t>
      </w:r>
      <w:r w:rsidRPr="00681FE0">
        <w:rPr>
          <w:rFonts w:cstheme="minorHAnsi" w:hint="eastAsia"/>
          <w:szCs w:val="24"/>
          <w:lang w:eastAsia="zh-CN"/>
        </w:rPr>
        <w:t>（</w:t>
      </w:r>
      <w:r w:rsidRPr="00681FE0">
        <w:rPr>
          <w:rFonts w:cstheme="minorHAnsi" w:hint="eastAsia"/>
          <w:szCs w:val="24"/>
          <w:lang w:eastAsia="zh-CN"/>
        </w:rPr>
        <w:t>TDAG-WG-Prep</w:t>
      </w:r>
      <w:r w:rsidRPr="00681FE0">
        <w:rPr>
          <w:rFonts w:cstheme="minorHAnsi" w:hint="eastAsia"/>
          <w:szCs w:val="24"/>
          <w:lang w:eastAsia="zh-CN"/>
        </w:rPr>
        <w:t>）于</w:t>
      </w:r>
      <w:r w:rsidRPr="00681FE0">
        <w:rPr>
          <w:rFonts w:cstheme="minorHAnsi" w:hint="eastAsia"/>
          <w:szCs w:val="24"/>
          <w:lang w:eastAsia="zh-CN"/>
        </w:rPr>
        <w:t>2020</w:t>
      </w:r>
      <w:r w:rsidRPr="00681FE0">
        <w:rPr>
          <w:rFonts w:cstheme="minorHAnsi" w:hint="eastAsia"/>
          <w:szCs w:val="24"/>
          <w:lang w:eastAsia="zh-CN"/>
        </w:rPr>
        <w:t>年</w:t>
      </w:r>
      <w:r w:rsidRPr="00681FE0">
        <w:rPr>
          <w:rFonts w:cstheme="minorHAnsi" w:hint="eastAsia"/>
          <w:szCs w:val="24"/>
          <w:lang w:eastAsia="zh-CN"/>
        </w:rPr>
        <w:t>9</w:t>
      </w:r>
      <w:r w:rsidRPr="00681FE0">
        <w:rPr>
          <w:rFonts w:cstheme="minorHAnsi" w:hint="eastAsia"/>
          <w:szCs w:val="24"/>
          <w:lang w:eastAsia="zh-CN"/>
        </w:rPr>
        <w:t>月</w:t>
      </w:r>
      <w:r w:rsidRPr="00681FE0">
        <w:rPr>
          <w:rFonts w:cstheme="minorHAnsi" w:hint="eastAsia"/>
          <w:szCs w:val="24"/>
          <w:lang w:eastAsia="zh-CN"/>
        </w:rPr>
        <w:t>7</w:t>
      </w:r>
      <w:r w:rsidRPr="00681FE0">
        <w:rPr>
          <w:rFonts w:cstheme="minorHAnsi" w:hint="eastAsia"/>
          <w:szCs w:val="24"/>
          <w:lang w:eastAsia="zh-CN"/>
        </w:rPr>
        <w:t>日举行了第二次会议，</w:t>
      </w:r>
      <w:r>
        <w:rPr>
          <w:rFonts w:cstheme="minorHAnsi" w:hint="eastAsia"/>
          <w:szCs w:val="24"/>
          <w:lang w:eastAsia="zh-CN"/>
        </w:rPr>
        <w:t>有</w:t>
      </w:r>
      <w:r w:rsidRPr="00681FE0">
        <w:rPr>
          <w:rFonts w:cstheme="minorHAnsi" w:hint="eastAsia"/>
          <w:szCs w:val="24"/>
          <w:lang w:eastAsia="zh-CN"/>
        </w:rPr>
        <w:t>100</w:t>
      </w:r>
      <w:r w:rsidRPr="00681FE0">
        <w:rPr>
          <w:rFonts w:cstheme="minorHAnsi" w:hint="eastAsia"/>
          <w:szCs w:val="24"/>
          <w:lang w:eastAsia="zh-CN"/>
        </w:rPr>
        <w:t>多名与会者</w:t>
      </w:r>
      <w:r w:rsidR="005612E9">
        <w:rPr>
          <w:rFonts w:cstheme="minorHAnsi" w:hint="eastAsia"/>
          <w:szCs w:val="24"/>
          <w:lang w:eastAsia="zh-CN"/>
        </w:rPr>
        <w:t>参加</w:t>
      </w:r>
      <w:r w:rsidRPr="00681FE0">
        <w:rPr>
          <w:rFonts w:cstheme="minorHAnsi" w:hint="eastAsia"/>
          <w:szCs w:val="24"/>
          <w:lang w:eastAsia="zh-CN"/>
        </w:rPr>
        <w:t>。俄罗斯联邦</w:t>
      </w:r>
      <w:r>
        <w:rPr>
          <w:rFonts w:cstheme="minorHAnsi" w:hint="eastAsia"/>
          <w:szCs w:val="24"/>
          <w:lang w:eastAsia="zh-CN"/>
        </w:rPr>
        <w:t>、</w:t>
      </w:r>
      <w:r w:rsidRPr="00681FE0">
        <w:rPr>
          <w:rFonts w:cstheme="minorHAnsi" w:hint="eastAsia"/>
          <w:szCs w:val="24"/>
          <w:lang w:eastAsia="zh-CN"/>
        </w:rPr>
        <w:t>立陶宛</w:t>
      </w:r>
      <w:r>
        <w:rPr>
          <w:rFonts w:cstheme="minorHAnsi" w:hint="eastAsia"/>
          <w:szCs w:val="24"/>
          <w:lang w:eastAsia="zh-CN"/>
        </w:rPr>
        <w:t>、</w:t>
      </w:r>
      <w:r w:rsidRPr="00681FE0">
        <w:rPr>
          <w:rFonts w:cstheme="minorHAnsi"/>
          <w:szCs w:val="24"/>
          <w:lang w:eastAsia="zh-CN"/>
        </w:rPr>
        <w:t>EMEA</w:t>
      </w:r>
      <w:r w:rsidRPr="00681FE0">
        <w:rPr>
          <w:rFonts w:cstheme="minorHAnsi"/>
          <w:szCs w:val="24"/>
          <w:lang w:eastAsia="zh-CN"/>
        </w:rPr>
        <w:t>卫星运营商协会（</w:t>
      </w:r>
      <w:r w:rsidRPr="00681FE0">
        <w:rPr>
          <w:rFonts w:cstheme="minorHAnsi"/>
          <w:szCs w:val="24"/>
          <w:lang w:eastAsia="zh-CN"/>
        </w:rPr>
        <w:t>ESOA</w:t>
      </w:r>
      <w:r w:rsidRPr="00681FE0">
        <w:rPr>
          <w:rFonts w:cstheme="minorHAnsi"/>
          <w:szCs w:val="24"/>
          <w:lang w:eastAsia="zh-CN"/>
        </w:rPr>
        <w:t>）</w:t>
      </w:r>
      <w:r w:rsidRPr="00681FE0">
        <w:rPr>
          <w:rFonts w:cstheme="minorHAnsi" w:hint="eastAsia"/>
          <w:szCs w:val="24"/>
          <w:lang w:eastAsia="zh-CN"/>
        </w:rPr>
        <w:t>和津巴布韦的代表分别向会议介绍了</w:t>
      </w:r>
      <w:r w:rsidR="005612E9">
        <w:rPr>
          <w:rFonts w:cstheme="minorHAnsi" w:hint="eastAsia"/>
          <w:szCs w:val="24"/>
          <w:lang w:eastAsia="zh-CN"/>
        </w:rPr>
        <w:t>他们</w:t>
      </w:r>
      <w:r>
        <w:rPr>
          <w:rFonts w:cstheme="minorHAnsi" w:hint="eastAsia"/>
          <w:szCs w:val="24"/>
          <w:lang w:eastAsia="zh-CN"/>
        </w:rPr>
        <w:t>提交的文稿</w:t>
      </w:r>
      <w:r w:rsidRPr="00681FE0">
        <w:rPr>
          <w:rFonts w:cstheme="minorHAnsi" w:hint="eastAsia"/>
          <w:szCs w:val="24"/>
          <w:lang w:eastAsia="zh-CN"/>
        </w:rPr>
        <w:t>。会议还审议了印度尼西亚提交的</w:t>
      </w:r>
      <w:r>
        <w:rPr>
          <w:rFonts w:cstheme="minorHAnsi" w:hint="eastAsia"/>
          <w:szCs w:val="24"/>
          <w:lang w:eastAsia="zh-CN"/>
        </w:rPr>
        <w:t>文稿</w:t>
      </w:r>
      <w:r w:rsidRPr="00681FE0">
        <w:rPr>
          <w:rFonts w:cstheme="minorHAnsi" w:hint="eastAsia"/>
          <w:szCs w:val="24"/>
          <w:lang w:eastAsia="zh-CN"/>
        </w:rPr>
        <w:t>，但由于连接方面的挑战，未能</w:t>
      </w:r>
      <w:r>
        <w:rPr>
          <w:rFonts w:cstheme="minorHAnsi" w:hint="eastAsia"/>
          <w:szCs w:val="24"/>
          <w:lang w:eastAsia="zh-CN"/>
        </w:rPr>
        <w:t>进行</w:t>
      </w:r>
      <w:r w:rsidRPr="00681FE0">
        <w:rPr>
          <w:rFonts w:cstheme="minorHAnsi" w:hint="eastAsia"/>
          <w:szCs w:val="24"/>
          <w:lang w:eastAsia="zh-CN"/>
        </w:rPr>
        <w:t>口头介绍。</w:t>
      </w:r>
    </w:p>
    <w:p w14:paraId="48E4D780" w14:textId="1E92112B" w:rsidR="00681FE0" w:rsidRDefault="002466BB" w:rsidP="00E54D70">
      <w:pPr>
        <w:ind w:firstLineChars="200" w:firstLine="480"/>
        <w:rPr>
          <w:rFonts w:cstheme="minorHAnsi"/>
          <w:szCs w:val="24"/>
          <w:lang w:eastAsia="zh-CN"/>
        </w:rPr>
      </w:pPr>
      <w:r w:rsidRPr="00681FE0">
        <w:rPr>
          <w:rFonts w:cstheme="minorHAnsi" w:hint="eastAsia"/>
          <w:szCs w:val="24"/>
          <w:lang w:eastAsia="zh-CN"/>
        </w:rPr>
        <w:t>这些文稿中提出的</w:t>
      </w:r>
      <w:r w:rsidR="0096365D">
        <w:rPr>
          <w:rFonts w:cstheme="minorHAnsi" w:hint="eastAsia"/>
          <w:szCs w:val="24"/>
          <w:lang w:eastAsia="zh-CN"/>
        </w:rPr>
        <w:t>建议</w:t>
      </w:r>
      <w:r w:rsidR="00681FE0" w:rsidRPr="00681FE0">
        <w:rPr>
          <w:rFonts w:cstheme="minorHAnsi" w:hint="eastAsia"/>
          <w:szCs w:val="24"/>
          <w:lang w:eastAsia="zh-CN"/>
        </w:rPr>
        <w:t>与</w:t>
      </w:r>
      <w:hyperlink r:id="rId9" w:history="1">
        <w:r w:rsidRPr="002E5C44">
          <w:rPr>
            <w:rStyle w:val="Hyperlink"/>
            <w:rFonts w:cstheme="minorHAnsi"/>
            <w:szCs w:val="24"/>
            <w:lang w:eastAsia="zh-CN"/>
          </w:rPr>
          <w:t>BDT/DDR/TDAG/052</w:t>
        </w:r>
        <w:r w:rsidRPr="002E5C44">
          <w:rPr>
            <w:rStyle w:val="Hyperlink"/>
            <w:rFonts w:cstheme="minorHAnsi" w:hint="eastAsia"/>
            <w:szCs w:val="24"/>
            <w:lang w:eastAsia="zh-CN"/>
          </w:rPr>
          <w:t>号通函</w:t>
        </w:r>
      </w:hyperlink>
      <w:r w:rsidR="00681FE0" w:rsidRPr="00681FE0">
        <w:rPr>
          <w:rFonts w:cstheme="minorHAnsi" w:hint="eastAsia"/>
          <w:szCs w:val="24"/>
          <w:lang w:eastAsia="zh-CN"/>
        </w:rPr>
        <w:t>附件</w:t>
      </w:r>
      <w:r w:rsidR="00681FE0" w:rsidRPr="00681FE0">
        <w:rPr>
          <w:rFonts w:cstheme="minorHAnsi" w:hint="eastAsia"/>
          <w:szCs w:val="24"/>
          <w:lang w:eastAsia="zh-CN"/>
        </w:rPr>
        <w:t>4</w:t>
      </w:r>
      <w:r w:rsidR="00681FE0" w:rsidRPr="00681FE0">
        <w:rPr>
          <w:rFonts w:cstheme="minorHAnsi" w:hint="eastAsia"/>
          <w:szCs w:val="24"/>
          <w:lang w:eastAsia="zh-CN"/>
        </w:rPr>
        <w:t>中提出的问题</w:t>
      </w:r>
      <w:r w:rsidR="00E54D70">
        <w:rPr>
          <w:rFonts w:cstheme="minorHAnsi" w:hint="eastAsia"/>
          <w:szCs w:val="24"/>
          <w:lang w:eastAsia="zh-CN"/>
        </w:rPr>
        <w:t>大体</w:t>
      </w:r>
      <w:r w:rsidR="00681FE0" w:rsidRPr="00681FE0">
        <w:rPr>
          <w:rFonts w:cstheme="minorHAnsi" w:hint="eastAsia"/>
          <w:szCs w:val="24"/>
          <w:lang w:eastAsia="zh-CN"/>
        </w:rPr>
        <w:t>一致：</w:t>
      </w:r>
      <w:r>
        <w:rPr>
          <w:rFonts w:cstheme="minorHAnsi" w:hint="eastAsia"/>
          <w:szCs w:val="24"/>
          <w:lang w:eastAsia="zh-CN"/>
        </w:rPr>
        <w:t>“</w:t>
      </w:r>
      <w:r w:rsidR="00681FE0" w:rsidRPr="00681FE0">
        <w:rPr>
          <w:rFonts w:cstheme="minorHAnsi" w:hint="eastAsia"/>
          <w:szCs w:val="24"/>
          <w:lang w:eastAsia="zh-CN"/>
        </w:rPr>
        <w:t>在成员向</w:t>
      </w:r>
      <w:r w:rsidR="00E54D70">
        <w:rPr>
          <w:rFonts w:eastAsiaTheme="majorEastAsia" w:cs="Microsoft JhengHei" w:hint="eastAsia"/>
          <w:bCs/>
          <w:lang w:val="en-US" w:eastAsia="zh-CN"/>
        </w:rPr>
        <w:t>电信发展顾问组世界电信发展大会</w:t>
      </w:r>
      <w:r w:rsidR="00E54D70" w:rsidRPr="004146B4">
        <w:rPr>
          <w:rFonts w:eastAsiaTheme="majorEastAsia" w:cs="Microsoft JhengHei" w:hint="eastAsia"/>
          <w:bCs/>
          <w:lang w:val="en-US" w:eastAsia="zh-CN"/>
        </w:rPr>
        <w:t>筹备工作组</w:t>
      </w:r>
      <w:r w:rsidR="00E54D70" w:rsidRPr="00681FE0">
        <w:rPr>
          <w:rFonts w:cstheme="minorHAnsi" w:hint="eastAsia"/>
          <w:szCs w:val="24"/>
          <w:lang w:eastAsia="zh-CN"/>
        </w:rPr>
        <w:t>（</w:t>
      </w:r>
      <w:r w:rsidR="00E54D70" w:rsidRPr="00681FE0">
        <w:rPr>
          <w:rFonts w:cstheme="minorHAnsi" w:hint="eastAsia"/>
          <w:szCs w:val="24"/>
          <w:lang w:eastAsia="zh-CN"/>
        </w:rPr>
        <w:t>TDAG-WG-Prep</w:t>
      </w:r>
      <w:r w:rsidR="00E54D70" w:rsidRPr="00681FE0">
        <w:rPr>
          <w:rFonts w:cstheme="minorHAnsi" w:hint="eastAsia"/>
          <w:szCs w:val="24"/>
          <w:lang w:eastAsia="zh-CN"/>
        </w:rPr>
        <w:t>）</w:t>
      </w:r>
      <w:r w:rsidR="00681FE0" w:rsidRPr="00681FE0">
        <w:rPr>
          <w:rFonts w:cstheme="minorHAnsi" w:hint="eastAsia"/>
          <w:szCs w:val="24"/>
          <w:lang w:eastAsia="zh-CN"/>
        </w:rPr>
        <w:t>提交文稿时需考虑的指导性问题</w:t>
      </w:r>
      <w:r>
        <w:rPr>
          <w:rFonts w:cstheme="minorHAnsi" w:hint="eastAsia"/>
          <w:szCs w:val="24"/>
          <w:lang w:eastAsia="zh-CN"/>
        </w:rPr>
        <w:t>”</w:t>
      </w:r>
      <w:r w:rsidR="00681FE0" w:rsidRPr="00681FE0">
        <w:rPr>
          <w:rFonts w:cstheme="minorHAnsi" w:hint="eastAsia"/>
          <w:szCs w:val="24"/>
          <w:lang w:eastAsia="zh-CN"/>
        </w:rPr>
        <w:t>。这些建议的综合摘要载于本报告附件</w:t>
      </w:r>
      <w:r w:rsidR="00681FE0" w:rsidRPr="00681FE0">
        <w:rPr>
          <w:rFonts w:cstheme="minorHAnsi" w:hint="eastAsia"/>
          <w:szCs w:val="24"/>
          <w:lang w:eastAsia="zh-CN"/>
        </w:rPr>
        <w:t>1</w:t>
      </w:r>
      <w:r w:rsidR="00681FE0" w:rsidRPr="00681FE0">
        <w:rPr>
          <w:rFonts w:cstheme="minorHAnsi" w:hint="eastAsia"/>
          <w:szCs w:val="24"/>
          <w:lang w:eastAsia="zh-CN"/>
        </w:rPr>
        <w:t>。</w:t>
      </w:r>
    </w:p>
    <w:p w14:paraId="5228D30A" w14:textId="77777777" w:rsidR="0096365D" w:rsidRPr="00681FE0" w:rsidRDefault="0096365D" w:rsidP="00E54D70">
      <w:pPr>
        <w:ind w:firstLineChars="200" w:firstLine="480"/>
        <w:rPr>
          <w:rFonts w:cstheme="minorHAnsi"/>
          <w:szCs w:val="24"/>
          <w:lang w:eastAsia="zh-CN"/>
        </w:rPr>
      </w:pPr>
      <w:r w:rsidRPr="00681FE0">
        <w:rPr>
          <w:rFonts w:cstheme="minorHAnsi" w:hint="eastAsia"/>
          <w:szCs w:val="24"/>
          <w:lang w:eastAsia="zh-CN"/>
        </w:rPr>
        <w:t>本报告简要概述了会议期间对这些文稿的看法和评论。</w:t>
      </w:r>
    </w:p>
    <w:p w14:paraId="145CDBA4" w14:textId="39BB0992" w:rsidR="0096365D" w:rsidRPr="0096365D" w:rsidRDefault="0096365D" w:rsidP="009A4BA1">
      <w:pPr>
        <w:ind w:firstLineChars="200" w:firstLine="482"/>
        <w:rPr>
          <w:rFonts w:cstheme="minorHAnsi"/>
          <w:szCs w:val="24"/>
          <w:lang w:eastAsia="zh-CN"/>
        </w:rPr>
      </w:pPr>
      <w:r w:rsidRPr="0096365D">
        <w:rPr>
          <w:rFonts w:cstheme="minorHAnsi" w:hint="eastAsia"/>
          <w:b/>
          <w:bCs/>
          <w:szCs w:val="24"/>
          <w:lang w:eastAsia="zh-CN"/>
        </w:rPr>
        <w:t>与会者强调，需要分配更多的时间来讨论研究组的课题和决议。</w:t>
      </w:r>
      <w:r w:rsidRPr="00681FE0">
        <w:rPr>
          <w:rFonts w:cstheme="minorHAnsi" w:hint="eastAsia"/>
          <w:szCs w:val="24"/>
          <w:lang w:eastAsia="zh-CN"/>
        </w:rPr>
        <w:t>与会者指出，从</w:t>
      </w:r>
      <w:r w:rsidR="00EF420C">
        <w:rPr>
          <w:rFonts w:cstheme="minorHAnsi" w:hint="eastAsia"/>
          <w:szCs w:val="24"/>
          <w:lang w:eastAsia="zh-CN"/>
        </w:rPr>
        <w:t>往届</w:t>
      </w:r>
      <w:r w:rsidR="00EF420C" w:rsidRPr="00681FE0">
        <w:rPr>
          <w:rFonts w:cstheme="minorHAnsi" w:hint="eastAsia"/>
          <w:szCs w:val="24"/>
          <w:lang w:eastAsia="zh-CN"/>
        </w:rPr>
        <w:t>世界电信发展大会</w:t>
      </w:r>
      <w:r w:rsidRPr="00681FE0">
        <w:rPr>
          <w:rFonts w:cstheme="minorHAnsi" w:hint="eastAsia"/>
          <w:szCs w:val="24"/>
          <w:lang w:eastAsia="zh-CN"/>
        </w:rPr>
        <w:t>吸取的教训表明，需要减少</w:t>
      </w:r>
      <w:r w:rsidR="00EF420C" w:rsidRPr="00681FE0">
        <w:rPr>
          <w:rFonts w:cstheme="minorHAnsi" w:hint="eastAsia"/>
          <w:szCs w:val="24"/>
          <w:lang w:eastAsia="zh-CN"/>
        </w:rPr>
        <w:t>“</w:t>
      </w:r>
      <w:r w:rsidR="00EF420C">
        <w:rPr>
          <w:rFonts w:cstheme="minorHAnsi" w:hint="eastAsia"/>
          <w:szCs w:val="24"/>
          <w:lang w:eastAsia="zh-CN"/>
        </w:rPr>
        <w:t>会外活动</w:t>
      </w:r>
      <w:r w:rsidR="00EF420C" w:rsidRPr="00681FE0">
        <w:rPr>
          <w:rFonts w:cstheme="minorHAnsi" w:hint="eastAsia"/>
          <w:szCs w:val="24"/>
          <w:lang w:eastAsia="zh-CN"/>
        </w:rPr>
        <w:t>”</w:t>
      </w:r>
      <w:r w:rsidRPr="00681FE0">
        <w:rPr>
          <w:rFonts w:cstheme="minorHAnsi" w:hint="eastAsia"/>
          <w:szCs w:val="24"/>
          <w:lang w:eastAsia="zh-CN"/>
        </w:rPr>
        <w:t>，以便更好地进行这些讨论。</w:t>
      </w:r>
    </w:p>
    <w:p w14:paraId="7ABB846B" w14:textId="4C65D4C4" w:rsidR="009F4F8B" w:rsidRPr="009F4F8B" w:rsidRDefault="009F4F8B" w:rsidP="000C6AF0">
      <w:pPr>
        <w:ind w:firstLineChars="200" w:firstLine="482"/>
        <w:rPr>
          <w:rFonts w:cstheme="minorHAnsi"/>
          <w:szCs w:val="24"/>
          <w:lang w:eastAsia="zh-CN"/>
        </w:rPr>
      </w:pPr>
      <w:r w:rsidRPr="00FB5F30">
        <w:rPr>
          <w:rFonts w:cstheme="minorHAnsi" w:hint="eastAsia"/>
          <w:b/>
          <w:bCs/>
          <w:szCs w:val="24"/>
          <w:lang w:eastAsia="zh-CN"/>
        </w:rPr>
        <w:t>与会者对为高级别政策声明制定新计划的想法表示欢迎</w:t>
      </w:r>
      <w:r w:rsidR="002E5C44" w:rsidRPr="002E5C44">
        <w:rPr>
          <w:rFonts w:cstheme="minorHAnsi" w:hint="eastAsia"/>
          <w:bCs/>
          <w:szCs w:val="24"/>
          <w:lang w:eastAsia="zh-CN"/>
        </w:rPr>
        <w:t xml:space="preserve"> </w:t>
      </w:r>
      <w:r w:rsidR="002E5C44" w:rsidRPr="002E5C44">
        <w:rPr>
          <w:rFonts w:cstheme="minorHAnsi"/>
          <w:szCs w:val="24"/>
          <w:lang w:eastAsia="zh-CN"/>
        </w:rPr>
        <w:t>–</w:t>
      </w:r>
      <w:r w:rsidR="002E5C44">
        <w:rPr>
          <w:rFonts w:cstheme="minorHAnsi" w:hint="eastAsia"/>
          <w:szCs w:val="24"/>
          <w:lang w:eastAsia="zh-CN"/>
        </w:rPr>
        <w:t xml:space="preserve"> </w:t>
      </w:r>
      <w:r w:rsidRPr="00681FE0">
        <w:rPr>
          <w:rFonts w:cstheme="minorHAnsi" w:hint="eastAsia"/>
          <w:szCs w:val="24"/>
          <w:lang w:eastAsia="zh-CN"/>
        </w:rPr>
        <w:t>如津巴布韦的建议所述，该计划也</w:t>
      </w:r>
      <w:r>
        <w:rPr>
          <w:rFonts w:cstheme="minorHAnsi" w:hint="eastAsia"/>
          <w:szCs w:val="24"/>
          <w:lang w:eastAsia="zh-CN"/>
        </w:rPr>
        <w:t>应有助于</w:t>
      </w:r>
      <w:r w:rsidR="00515838">
        <w:rPr>
          <w:rFonts w:cstheme="minorHAnsi" w:hint="eastAsia"/>
          <w:szCs w:val="24"/>
          <w:lang w:eastAsia="zh-CN"/>
        </w:rPr>
        <w:t>世界电信发展大会</w:t>
      </w:r>
      <w:r>
        <w:rPr>
          <w:rFonts w:cstheme="minorHAnsi" w:hint="eastAsia"/>
          <w:szCs w:val="24"/>
          <w:lang w:eastAsia="zh-CN"/>
        </w:rPr>
        <w:t>取得</w:t>
      </w:r>
      <w:r w:rsidRPr="00681FE0">
        <w:rPr>
          <w:rFonts w:cstheme="minorHAnsi" w:hint="eastAsia"/>
          <w:szCs w:val="24"/>
          <w:lang w:eastAsia="zh-CN"/>
        </w:rPr>
        <w:t>成果。尽管高级别政策声明很重要，但国际电联成员多年来目睹了这些声明趋于单调乏味，占用了</w:t>
      </w:r>
      <w:r w:rsidR="000C6AF0">
        <w:rPr>
          <w:rFonts w:cstheme="minorHAnsi" w:hint="eastAsia"/>
          <w:szCs w:val="24"/>
          <w:lang w:eastAsia="zh-CN"/>
        </w:rPr>
        <w:t>大会</w:t>
      </w:r>
      <w:r w:rsidRPr="00681FE0">
        <w:rPr>
          <w:rFonts w:cstheme="minorHAnsi" w:hint="eastAsia"/>
          <w:szCs w:val="24"/>
          <w:lang w:eastAsia="zh-CN"/>
        </w:rPr>
        <w:t>重要工作的时间。</w:t>
      </w:r>
    </w:p>
    <w:p w14:paraId="24CED3A4" w14:textId="3339D2BC" w:rsidR="00EF420C" w:rsidRPr="00EF420C" w:rsidRDefault="00EF420C" w:rsidP="00774E4A">
      <w:pPr>
        <w:ind w:firstLineChars="200" w:firstLine="482"/>
        <w:rPr>
          <w:rFonts w:cstheme="minorHAnsi"/>
          <w:szCs w:val="24"/>
          <w:lang w:eastAsia="zh-CN"/>
        </w:rPr>
      </w:pPr>
      <w:r w:rsidRPr="009F4F8B">
        <w:rPr>
          <w:rFonts w:cstheme="minorHAnsi" w:hint="eastAsia"/>
          <w:b/>
          <w:bCs/>
          <w:szCs w:val="24"/>
          <w:lang w:eastAsia="zh-CN"/>
        </w:rPr>
        <w:t>需要</w:t>
      </w:r>
      <w:r w:rsidR="00774E4A">
        <w:rPr>
          <w:rFonts w:cstheme="minorHAnsi" w:hint="eastAsia"/>
          <w:b/>
          <w:bCs/>
          <w:szCs w:val="24"/>
          <w:lang w:eastAsia="zh-CN"/>
        </w:rPr>
        <w:t>制定</w:t>
      </w:r>
      <w:r w:rsidRPr="009F4F8B">
        <w:rPr>
          <w:rFonts w:cstheme="minorHAnsi" w:hint="eastAsia"/>
          <w:b/>
          <w:bCs/>
          <w:szCs w:val="24"/>
          <w:lang w:eastAsia="zh-CN"/>
        </w:rPr>
        <w:t>一个概念框架</w:t>
      </w:r>
      <w:r w:rsidRPr="005D3763">
        <w:rPr>
          <w:rFonts w:cstheme="minorHAnsi" w:hint="eastAsia"/>
          <w:bCs/>
          <w:szCs w:val="24"/>
          <w:lang w:eastAsia="zh-CN"/>
        </w:rPr>
        <w:t>，</w:t>
      </w:r>
      <w:r w:rsidRPr="00681FE0">
        <w:rPr>
          <w:rFonts w:cstheme="minorHAnsi" w:hint="eastAsia"/>
          <w:szCs w:val="24"/>
          <w:lang w:eastAsia="zh-CN"/>
        </w:rPr>
        <w:t>确定所有利益攸关方及其参与</w:t>
      </w:r>
      <w:r w:rsidR="00774E4A">
        <w:rPr>
          <w:rFonts w:cstheme="minorHAnsi" w:hint="eastAsia"/>
          <w:szCs w:val="24"/>
          <w:lang w:eastAsia="zh-CN"/>
        </w:rPr>
        <w:t>大会</w:t>
      </w:r>
      <w:r w:rsidRPr="00681FE0">
        <w:rPr>
          <w:rFonts w:cstheme="minorHAnsi" w:hint="eastAsia"/>
          <w:szCs w:val="24"/>
          <w:lang w:eastAsia="zh-CN"/>
        </w:rPr>
        <w:t>的机制。这种参与是否只限于会外活动？</w:t>
      </w:r>
      <w:r w:rsidR="009F4F8B" w:rsidRPr="00681FE0">
        <w:rPr>
          <w:rFonts w:cstheme="minorHAnsi" w:hint="eastAsia"/>
          <w:szCs w:val="24"/>
          <w:lang w:eastAsia="zh-CN"/>
        </w:rPr>
        <w:t>会外活动是否与决议或研究组课题或</w:t>
      </w:r>
      <w:r w:rsidR="009F4F8B">
        <w:rPr>
          <w:rFonts w:cstheme="minorHAnsi" w:hint="eastAsia"/>
          <w:szCs w:val="24"/>
          <w:lang w:eastAsia="zh-CN"/>
        </w:rPr>
        <w:t>大会</w:t>
      </w:r>
      <w:r w:rsidR="009F4F8B" w:rsidRPr="00681FE0">
        <w:rPr>
          <w:rFonts w:cstheme="minorHAnsi" w:hint="eastAsia"/>
          <w:szCs w:val="24"/>
          <w:lang w:eastAsia="zh-CN"/>
        </w:rPr>
        <w:t>其他</w:t>
      </w:r>
      <w:r w:rsidR="009F4F8B">
        <w:rPr>
          <w:rFonts w:cstheme="minorHAnsi" w:hint="eastAsia"/>
          <w:szCs w:val="24"/>
          <w:lang w:eastAsia="zh-CN"/>
        </w:rPr>
        <w:t>根本性问题</w:t>
      </w:r>
      <w:r w:rsidR="009F4F8B" w:rsidRPr="00681FE0">
        <w:rPr>
          <w:rFonts w:cstheme="minorHAnsi" w:hint="eastAsia"/>
          <w:szCs w:val="24"/>
          <w:lang w:eastAsia="zh-CN"/>
        </w:rPr>
        <w:t>的讨论同时举行？</w:t>
      </w:r>
    </w:p>
    <w:p w14:paraId="509C51CB" w14:textId="292341D9" w:rsidR="009F4F8B" w:rsidRPr="009F4F8B" w:rsidRDefault="009F4F8B" w:rsidP="007D5CB5">
      <w:pPr>
        <w:ind w:firstLineChars="200" w:firstLine="482"/>
        <w:rPr>
          <w:rFonts w:cstheme="minorHAnsi"/>
          <w:szCs w:val="24"/>
          <w:lang w:eastAsia="zh-CN"/>
        </w:rPr>
      </w:pPr>
      <w:r w:rsidRPr="00515838">
        <w:rPr>
          <w:rFonts w:cstheme="minorHAnsi" w:hint="eastAsia"/>
          <w:b/>
          <w:bCs/>
          <w:szCs w:val="24"/>
          <w:lang w:eastAsia="zh-CN"/>
        </w:rPr>
        <w:t>在确定利益</w:t>
      </w:r>
      <w:r w:rsidR="00515838" w:rsidRPr="00515838">
        <w:rPr>
          <w:rFonts w:cstheme="minorHAnsi" w:hint="eastAsia"/>
          <w:b/>
          <w:bCs/>
          <w:szCs w:val="24"/>
          <w:lang w:eastAsia="zh-CN"/>
        </w:rPr>
        <w:t>攸关方</w:t>
      </w:r>
      <w:r w:rsidR="007D5CB5">
        <w:rPr>
          <w:rFonts w:cstheme="minorHAnsi" w:hint="eastAsia"/>
          <w:b/>
          <w:bCs/>
          <w:szCs w:val="24"/>
          <w:lang w:eastAsia="zh-CN"/>
        </w:rPr>
        <w:t>团体</w:t>
      </w:r>
      <w:r w:rsidRPr="00515838">
        <w:rPr>
          <w:rFonts w:cstheme="minorHAnsi" w:hint="eastAsia"/>
          <w:b/>
          <w:bCs/>
          <w:szCs w:val="24"/>
          <w:lang w:eastAsia="zh-CN"/>
        </w:rPr>
        <w:t>时，</w:t>
      </w:r>
      <w:r w:rsidR="00515838" w:rsidRPr="00515838">
        <w:rPr>
          <w:rFonts w:cstheme="minorHAnsi" w:hint="eastAsia"/>
          <w:b/>
          <w:bCs/>
          <w:szCs w:val="24"/>
          <w:lang w:eastAsia="zh-CN"/>
        </w:rPr>
        <w:t>与会者</w:t>
      </w:r>
      <w:r w:rsidRPr="00515838">
        <w:rPr>
          <w:rFonts w:cstheme="minorHAnsi" w:hint="eastAsia"/>
          <w:b/>
          <w:bCs/>
          <w:szCs w:val="24"/>
          <w:lang w:eastAsia="zh-CN"/>
        </w:rPr>
        <w:t>指出，应</w:t>
      </w:r>
      <w:r w:rsidR="007D5CB5">
        <w:rPr>
          <w:rFonts w:cstheme="minorHAnsi" w:hint="eastAsia"/>
          <w:b/>
          <w:bCs/>
          <w:szCs w:val="24"/>
          <w:lang w:eastAsia="zh-CN"/>
        </w:rPr>
        <w:t>包括</w:t>
      </w:r>
      <w:r w:rsidR="00515838" w:rsidRPr="00515838">
        <w:rPr>
          <w:rFonts w:cstheme="minorHAnsi" w:hint="eastAsia"/>
          <w:b/>
          <w:bCs/>
          <w:szCs w:val="24"/>
          <w:lang w:eastAsia="zh-CN"/>
        </w:rPr>
        <w:t>捐赠方，</w:t>
      </w:r>
      <w:r w:rsidRPr="00515838">
        <w:rPr>
          <w:rFonts w:cstheme="minorHAnsi" w:hint="eastAsia"/>
          <w:b/>
          <w:bCs/>
          <w:szCs w:val="24"/>
          <w:lang w:eastAsia="zh-CN"/>
        </w:rPr>
        <w:t>应鼓励</w:t>
      </w:r>
      <w:r w:rsidR="00515838" w:rsidRPr="00515838">
        <w:rPr>
          <w:rFonts w:cstheme="minorHAnsi" w:hint="eastAsia"/>
          <w:b/>
          <w:bCs/>
          <w:szCs w:val="24"/>
          <w:lang w:eastAsia="zh-CN"/>
        </w:rPr>
        <w:t>他们</w:t>
      </w:r>
      <w:r w:rsidRPr="00515838">
        <w:rPr>
          <w:rFonts w:cstheme="minorHAnsi" w:hint="eastAsia"/>
          <w:b/>
          <w:bCs/>
          <w:szCs w:val="24"/>
          <w:lang w:eastAsia="zh-CN"/>
        </w:rPr>
        <w:t>参加</w:t>
      </w:r>
      <w:r w:rsidR="00515838" w:rsidRPr="00515838">
        <w:rPr>
          <w:rFonts w:cstheme="minorHAnsi" w:hint="eastAsia"/>
          <w:b/>
          <w:bCs/>
          <w:szCs w:val="24"/>
          <w:lang w:eastAsia="zh-CN"/>
        </w:rPr>
        <w:t>WTDC</w:t>
      </w:r>
      <w:r w:rsidR="00515838" w:rsidRPr="005D3763">
        <w:rPr>
          <w:rFonts w:cstheme="minorHAnsi" w:hint="eastAsia"/>
          <w:bCs/>
          <w:szCs w:val="24"/>
          <w:lang w:eastAsia="zh-CN"/>
        </w:rPr>
        <w:t>，</w:t>
      </w:r>
      <w:r w:rsidRPr="00681FE0">
        <w:rPr>
          <w:rFonts w:cstheme="minorHAnsi" w:hint="eastAsia"/>
          <w:szCs w:val="24"/>
          <w:lang w:eastAsia="zh-CN"/>
        </w:rPr>
        <w:t>因为他们可以为</w:t>
      </w:r>
      <w:r w:rsidR="007D5CB5">
        <w:rPr>
          <w:rFonts w:cstheme="minorHAnsi" w:hint="eastAsia"/>
          <w:szCs w:val="24"/>
          <w:lang w:eastAsia="zh-CN"/>
        </w:rPr>
        <w:t>国际电联电信发展部门</w:t>
      </w:r>
      <w:r w:rsidRPr="00681FE0">
        <w:rPr>
          <w:rFonts w:cstheme="minorHAnsi" w:hint="eastAsia"/>
          <w:szCs w:val="24"/>
          <w:lang w:eastAsia="zh-CN"/>
        </w:rPr>
        <w:t>的发展项目提供资金。</w:t>
      </w:r>
      <w:r w:rsidR="00515838">
        <w:rPr>
          <w:rFonts w:cstheme="minorHAnsi" w:hint="eastAsia"/>
          <w:szCs w:val="24"/>
          <w:lang w:eastAsia="zh-CN"/>
        </w:rPr>
        <w:t>有与会者</w:t>
      </w:r>
      <w:r w:rsidR="00515838" w:rsidRPr="00515838">
        <w:rPr>
          <w:rFonts w:cstheme="minorHAnsi" w:hint="eastAsia"/>
          <w:szCs w:val="24"/>
          <w:lang w:eastAsia="zh-CN"/>
        </w:rPr>
        <w:t>呼吁开始</w:t>
      </w:r>
      <w:r w:rsidR="00BE2DD0">
        <w:rPr>
          <w:rFonts w:cstheme="minorHAnsi" w:hint="eastAsia"/>
          <w:szCs w:val="24"/>
          <w:lang w:eastAsia="zh-CN"/>
        </w:rPr>
        <w:t>与</w:t>
      </w:r>
      <w:r w:rsidR="00515838" w:rsidRPr="00515838">
        <w:rPr>
          <w:rFonts w:cstheme="minorHAnsi" w:hint="eastAsia"/>
          <w:szCs w:val="24"/>
          <w:lang w:eastAsia="zh-CN"/>
        </w:rPr>
        <w:t>参与资助各种活动的利益攸关方</w:t>
      </w:r>
      <w:r w:rsidR="00A15FB5">
        <w:rPr>
          <w:rFonts w:cstheme="minorHAnsi" w:hint="eastAsia"/>
          <w:szCs w:val="24"/>
          <w:lang w:eastAsia="zh-CN"/>
        </w:rPr>
        <w:t xml:space="preserve"> </w:t>
      </w:r>
      <w:r w:rsidR="00A15FB5" w:rsidRPr="00A15FB5">
        <w:rPr>
          <w:rFonts w:cstheme="minorHAnsi"/>
          <w:szCs w:val="24"/>
          <w:lang w:eastAsia="zh-CN"/>
        </w:rPr>
        <w:t>–</w:t>
      </w:r>
      <w:r w:rsidR="00A15FB5">
        <w:rPr>
          <w:rFonts w:cstheme="minorHAnsi" w:hint="eastAsia"/>
          <w:szCs w:val="24"/>
          <w:lang w:eastAsia="zh-CN"/>
        </w:rPr>
        <w:t xml:space="preserve"> </w:t>
      </w:r>
      <w:r w:rsidR="00515838" w:rsidRPr="00515838">
        <w:rPr>
          <w:rFonts w:cstheme="minorHAnsi" w:hint="eastAsia"/>
          <w:szCs w:val="24"/>
          <w:lang w:eastAsia="zh-CN"/>
        </w:rPr>
        <w:t>贷款机构、私营部门、利益攸关</w:t>
      </w:r>
      <w:r w:rsidR="007D5CB5" w:rsidRPr="00515838">
        <w:rPr>
          <w:rFonts w:cstheme="minorHAnsi" w:hint="eastAsia"/>
          <w:szCs w:val="24"/>
          <w:lang w:eastAsia="zh-CN"/>
        </w:rPr>
        <w:t>多方</w:t>
      </w:r>
      <w:r w:rsidR="00BE2DD0">
        <w:rPr>
          <w:rFonts w:cstheme="minorHAnsi" w:hint="eastAsia"/>
          <w:szCs w:val="24"/>
          <w:lang w:eastAsia="zh-CN"/>
        </w:rPr>
        <w:t>团体进行接触</w:t>
      </w:r>
      <w:r w:rsidR="00515838" w:rsidRPr="00515838">
        <w:rPr>
          <w:rFonts w:cstheme="minorHAnsi" w:hint="eastAsia"/>
          <w:szCs w:val="24"/>
          <w:lang w:eastAsia="zh-CN"/>
        </w:rPr>
        <w:t>。</w:t>
      </w:r>
      <w:r w:rsidRPr="00681FE0">
        <w:rPr>
          <w:rFonts w:cstheme="minorHAnsi" w:hint="eastAsia"/>
          <w:szCs w:val="24"/>
          <w:lang w:eastAsia="zh-CN"/>
        </w:rPr>
        <w:t>这些不同的利益攸关方在执行项目方面发挥着特殊作用。在这方面，将从</w:t>
      </w:r>
      <w:r w:rsidR="00BE2DD0">
        <w:rPr>
          <w:rFonts w:cstheme="minorHAnsi" w:hint="eastAsia"/>
          <w:szCs w:val="24"/>
          <w:lang w:eastAsia="zh-CN"/>
        </w:rPr>
        <w:t>在</w:t>
      </w:r>
      <w:r w:rsidRPr="00681FE0">
        <w:rPr>
          <w:rFonts w:cstheme="minorHAnsi" w:hint="eastAsia"/>
          <w:szCs w:val="24"/>
          <w:lang w:eastAsia="zh-CN"/>
        </w:rPr>
        <w:t>区域和国际</w:t>
      </w:r>
      <w:r w:rsidR="00BE2DD0">
        <w:rPr>
          <w:rFonts w:cstheme="minorHAnsi" w:hint="eastAsia"/>
          <w:szCs w:val="24"/>
          <w:lang w:eastAsia="zh-CN"/>
        </w:rPr>
        <w:t>两个层面与</w:t>
      </w:r>
      <w:r w:rsidRPr="00681FE0">
        <w:rPr>
          <w:rFonts w:cstheme="minorHAnsi" w:hint="eastAsia"/>
          <w:szCs w:val="24"/>
          <w:lang w:eastAsia="zh-CN"/>
        </w:rPr>
        <w:t>有关专家组织</w:t>
      </w:r>
      <w:r w:rsidR="00BE2DD0">
        <w:rPr>
          <w:rFonts w:cstheme="minorHAnsi" w:hint="eastAsia"/>
          <w:szCs w:val="24"/>
          <w:lang w:eastAsia="zh-CN"/>
        </w:rPr>
        <w:t>开展协作</w:t>
      </w:r>
      <w:r w:rsidRPr="00681FE0">
        <w:rPr>
          <w:rFonts w:cstheme="minorHAnsi" w:hint="eastAsia"/>
          <w:szCs w:val="24"/>
          <w:lang w:eastAsia="zh-CN"/>
        </w:rPr>
        <w:t>和建立伙伴关系的角度，更</w:t>
      </w:r>
      <w:r w:rsidR="007D5CB5">
        <w:rPr>
          <w:rFonts w:cstheme="minorHAnsi" w:hint="eastAsia"/>
          <w:szCs w:val="24"/>
          <w:lang w:eastAsia="zh-CN"/>
        </w:rPr>
        <w:t>仔细</w:t>
      </w:r>
      <w:r w:rsidRPr="00681FE0">
        <w:rPr>
          <w:rFonts w:cstheme="minorHAnsi" w:hint="eastAsia"/>
          <w:szCs w:val="24"/>
          <w:lang w:eastAsia="zh-CN"/>
        </w:rPr>
        <w:t>地审查国际电联的项目执行职能。</w:t>
      </w:r>
    </w:p>
    <w:p w14:paraId="425E1194" w14:textId="57BDB5CF" w:rsidR="00681FE0" w:rsidRDefault="00BE2DD0" w:rsidP="00C226A4">
      <w:pPr>
        <w:ind w:firstLineChars="200" w:firstLine="482"/>
        <w:rPr>
          <w:rFonts w:cstheme="minorHAnsi"/>
          <w:szCs w:val="24"/>
          <w:lang w:eastAsia="zh-CN"/>
        </w:rPr>
      </w:pPr>
      <w:r w:rsidRPr="00BE2DD0">
        <w:rPr>
          <w:rFonts w:cstheme="minorHAnsi" w:hint="eastAsia"/>
          <w:b/>
          <w:bCs/>
          <w:szCs w:val="24"/>
          <w:lang w:eastAsia="zh-CN"/>
        </w:rPr>
        <w:t>TDAG</w:t>
      </w:r>
      <w:r w:rsidR="00681FE0" w:rsidRPr="00BE2DD0">
        <w:rPr>
          <w:rFonts w:cstheme="minorHAnsi" w:hint="eastAsia"/>
          <w:b/>
          <w:bCs/>
          <w:szCs w:val="24"/>
          <w:lang w:eastAsia="zh-CN"/>
        </w:rPr>
        <w:t>主席指出，国际电联应重新审视</w:t>
      </w:r>
      <w:r w:rsidRPr="00BE2DD0">
        <w:rPr>
          <w:rFonts w:cstheme="minorHAnsi" w:hint="eastAsia"/>
          <w:b/>
          <w:bCs/>
          <w:szCs w:val="24"/>
          <w:lang w:eastAsia="zh-CN"/>
        </w:rPr>
        <w:t>“单独轨道”</w:t>
      </w:r>
      <w:r w:rsidR="00C226A4">
        <w:rPr>
          <w:rFonts w:cstheme="minorHAnsi" w:hint="eastAsia"/>
          <w:b/>
          <w:bCs/>
          <w:szCs w:val="24"/>
          <w:lang w:eastAsia="zh-CN"/>
        </w:rPr>
        <w:t>措辞</w:t>
      </w:r>
      <w:r w:rsidR="00681FE0" w:rsidRPr="00986FB6">
        <w:rPr>
          <w:rFonts w:cstheme="minorHAnsi" w:hint="eastAsia"/>
          <w:bCs/>
          <w:szCs w:val="24"/>
          <w:lang w:eastAsia="zh-CN"/>
        </w:rPr>
        <w:t>，</w:t>
      </w:r>
      <w:r w:rsidR="00681FE0" w:rsidRPr="00681FE0">
        <w:rPr>
          <w:rFonts w:cstheme="minorHAnsi" w:hint="eastAsia"/>
          <w:szCs w:val="24"/>
          <w:lang w:eastAsia="zh-CN"/>
        </w:rPr>
        <w:t>以避免目前的解释，即单独轨道的做法可能会损害国际电联</w:t>
      </w:r>
      <w:r w:rsidR="00C226A4" w:rsidRPr="00681FE0">
        <w:rPr>
          <w:rFonts w:cstheme="minorHAnsi" w:hint="eastAsia"/>
          <w:szCs w:val="24"/>
          <w:lang w:eastAsia="zh-CN"/>
        </w:rPr>
        <w:t>代表团规模较小</w:t>
      </w:r>
      <w:r w:rsidR="00C226A4">
        <w:rPr>
          <w:rFonts w:cstheme="minorHAnsi" w:hint="eastAsia"/>
          <w:szCs w:val="24"/>
          <w:lang w:eastAsia="zh-CN"/>
        </w:rPr>
        <w:t>的小</w:t>
      </w:r>
      <w:r w:rsidR="00681FE0" w:rsidRPr="00681FE0">
        <w:rPr>
          <w:rFonts w:cstheme="minorHAnsi" w:hint="eastAsia"/>
          <w:szCs w:val="24"/>
          <w:lang w:eastAsia="zh-CN"/>
        </w:rPr>
        <w:t>成员国和部门成员的参与。同时，应当理解的是，将</w:t>
      </w:r>
      <w:r w:rsidR="00C226A4">
        <w:rPr>
          <w:rFonts w:cstheme="minorHAnsi" w:hint="eastAsia"/>
          <w:szCs w:val="24"/>
          <w:lang w:eastAsia="zh-CN"/>
        </w:rPr>
        <w:t>存在</w:t>
      </w:r>
      <w:r w:rsidR="00681FE0" w:rsidRPr="00681FE0">
        <w:rPr>
          <w:rFonts w:cstheme="minorHAnsi" w:hint="eastAsia"/>
          <w:szCs w:val="24"/>
          <w:lang w:eastAsia="zh-CN"/>
        </w:rPr>
        <w:t>两个轨道：一个轨道是</w:t>
      </w:r>
      <w:r>
        <w:rPr>
          <w:rFonts w:cstheme="minorHAnsi" w:hint="eastAsia"/>
          <w:szCs w:val="24"/>
          <w:lang w:eastAsia="zh-CN"/>
        </w:rPr>
        <w:t>大会</w:t>
      </w:r>
      <w:r w:rsidR="00681FE0" w:rsidRPr="00681FE0">
        <w:rPr>
          <w:rFonts w:cstheme="minorHAnsi" w:hint="eastAsia"/>
          <w:szCs w:val="24"/>
          <w:lang w:eastAsia="zh-CN"/>
        </w:rPr>
        <w:t>必须完成的传统行政职能，另一个轨道将侧重于面向发展的活动。</w:t>
      </w:r>
    </w:p>
    <w:p w14:paraId="79CE43EC" w14:textId="136B1D9B" w:rsidR="00664067" w:rsidRPr="00664067" w:rsidRDefault="00664067" w:rsidP="002D0092">
      <w:pPr>
        <w:ind w:firstLineChars="200" w:firstLine="480"/>
        <w:rPr>
          <w:szCs w:val="24"/>
          <w:lang w:eastAsia="zh-CN"/>
        </w:rPr>
      </w:pPr>
      <w:r w:rsidRPr="00BE2DD0">
        <w:rPr>
          <w:rFonts w:hint="eastAsia"/>
          <w:szCs w:val="24"/>
          <w:lang w:eastAsia="zh-CN"/>
        </w:rPr>
        <w:lastRenderedPageBreak/>
        <w:t>巴西代表评论说，</w:t>
      </w:r>
      <w:r w:rsidRPr="00664067">
        <w:rPr>
          <w:rFonts w:hint="eastAsia"/>
          <w:b/>
          <w:bCs/>
          <w:szCs w:val="24"/>
          <w:lang w:eastAsia="zh-CN"/>
        </w:rPr>
        <w:t>许多区域电信组织正在</w:t>
      </w:r>
      <w:r>
        <w:rPr>
          <w:rFonts w:hint="eastAsia"/>
          <w:b/>
          <w:bCs/>
          <w:szCs w:val="24"/>
          <w:lang w:eastAsia="zh-CN"/>
        </w:rPr>
        <w:t>积极开展</w:t>
      </w:r>
      <w:r w:rsidRPr="00664067">
        <w:rPr>
          <w:rFonts w:hint="eastAsia"/>
          <w:b/>
          <w:bCs/>
          <w:szCs w:val="24"/>
          <w:lang w:eastAsia="zh-CN"/>
        </w:rPr>
        <w:t>WTDC-21</w:t>
      </w:r>
      <w:r w:rsidRPr="00664067">
        <w:rPr>
          <w:rFonts w:hint="eastAsia"/>
          <w:b/>
          <w:bCs/>
          <w:szCs w:val="24"/>
          <w:lang w:eastAsia="zh-CN"/>
        </w:rPr>
        <w:t>的筹备工作。</w:t>
      </w:r>
      <w:r w:rsidRPr="00BE2DD0">
        <w:rPr>
          <w:rFonts w:hint="eastAsia"/>
          <w:szCs w:val="24"/>
          <w:lang w:eastAsia="zh-CN"/>
        </w:rPr>
        <w:t>美洲</w:t>
      </w:r>
      <w:r w:rsidR="00F34165">
        <w:rPr>
          <w:rFonts w:hint="eastAsia"/>
          <w:szCs w:val="24"/>
          <w:lang w:eastAsia="zh-CN"/>
        </w:rPr>
        <w:t>国家</w:t>
      </w:r>
      <w:r w:rsidRPr="00BE2DD0">
        <w:rPr>
          <w:rFonts w:hint="eastAsia"/>
          <w:szCs w:val="24"/>
          <w:lang w:eastAsia="zh-CN"/>
        </w:rPr>
        <w:t>电信委员会（</w:t>
      </w:r>
      <w:r w:rsidRPr="00BE2DD0">
        <w:rPr>
          <w:rFonts w:hint="eastAsia"/>
          <w:szCs w:val="24"/>
          <w:lang w:eastAsia="zh-CN"/>
        </w:rPr>
        <w:t>CITEL</w:t>
      </w:r>
      <w:r w:rsidRPr="00BE2DD0">
        <w:rPr>
          <w:rFonts w:hint="eastAsia"/>
          <w:szCs w:val="24"/>
          <w:lang w:eastAsia="zh-CN"/>
        </w:rPr>
        <w:t>）已经为三个</w:t>
      </w:r>
      <w:r w:rsidRPr="00BE2DD0">
        <w:rPr>
          <w:rFonts w:hint="eastAsia"/>
          <w:szCs w:val="24"/>
          <w:lang w:eastAsia="zh-CN"/>
        </w:rPr>
        <w:t>TDAG</w:t>
      </w:r>
      <w:r w:rsidRPr="00BE2DD0">
        <w:rPr>
          <w:rFonts w:hint="eastAsia"/>
          <w:szCs w:val="24"/>
          <w:lang w:eastAsia="zh-CN"/>
        </w:rPr>
        <w:t>工作组指定了三对</w:t>
      </w:r>
      <w:r>
        <w:rPr>
          <w:rFonts w:hint="eastAsia"/>
          <w:szCs w:val="24"/>
          <w:lang w:eastAsia="zh-CN"/>
        </w:rPr>
        <w:t>联系人</w:t>
      </w:r>
      <w:r w:rsidR="00F34165">
        <w:rPr>
          <w:rFonts w:hint="eastAsia"/>
          <w:szCs w:val="24"/>
          <w:lang w:eastAsia="zh-CN"/>
        </w:rPr>
        <w:t>：</w:t>
      </w:r>
      <w:r w:rsidR="002D0092">
        <w:rPr>
          <w:rFonts w:hint="eastAsia"/>
          <w:szCs w:val="24"/>
          <w:lang w:eastAsia="zh-CN"/>
        </w:rPr>
        <w:t>即</w:t>
      </w:r>
      <w:r w:rsidR="00F34165" w:rsidRPr="004146B4">
        <w:rPr>
          <w:rFonts w:eastAsiaTheme="majorEastAsia" w:cs="Microsoft JhengHei" w:hint="eastAsia"/>
          <w:bCs/>
          <w:lang w:val="en-US" w:eastAsia="zh-CN"/>
        </w:rPr>
        <w:t>TDAG</w:t>
      </w:r>
      <w:r w:rsidR="00F34165">
        <w:rPr>
          <w:rFonts w:eastAsiaTheme="majorEastAsia" w:cs="Microsoft JhengHei" w:hint="eastAsia"/>
          <w:bCs/>
          <w:lang w:val="en-US" w:eastAsia="zh-CN"/>
        </w:rPr>
        <w:t>世界电信发展大会</w:t>
      </w:r>
      <w:r w:rsidR="00F34165" w:rsidRPr="004146B4">
        <w:rPr>
          <w:rFonts w:eastAsiaTheme="majorEastAsia" w:cs="Microsoft JhengHei" w:hint="eastAsia"/>
          <w:bCs/>
          <w:lang w:val="en-US" w:eastAsia="zh-CN"/>
        </w:rPr>
        <w:t>筹备工作组</w:t>
      </w:r>
      <w:r w:rsidR="00F34165" w:rsidRPr="00681FE0">
        <w:rPr>
          <w:rFonts w:cstheme="minorHAnsi" w:hint="eastAsia"/>
          <w:szCs w:val="24"/>
          <w:lang w:eastAsia="zh-CN"/>
        </w:rPr>
        <w:t>（</w:t>
      </w:r>
      <w:r w:rsidR="00F34165" w:rsidRPr="00681FE0">
        <w:rPr>
          <w:rFonts w:cstheme="minorHAnsi" w:hint="eastAsia"/>
          <w:szCs w:val="24"/>
          <w:lang w:eastAsia="zh-CN"/>
        </w:rPr>
        <w:t>TDAG-WG-Prep</w:t>
      </w:r>
      <w:r w:rsidR="00F34165" w:rsidRPr="00681FE0">
        <w:rPr>
          <w:rFonts w:cstheme="minorHAnsi" w:hint="eastAsia"/>
          <w:szCs w:val="24"/>
          <w:lang w:eastAsia="zh-CN"/>
        </w:rPr>
        <w:t>）</w:t>
      </w:r>
      <w:r w:rsidRPr="00BE2DD0">
        <w:rPr>
          <w:rFonts w:hint="eastAsia"/>
          <w:szCs w:val="24"/>
          <w:lang w:eastAsia="zh-CN"/>
        </w:rPr>
        <w:t>；</w:t>
      </w:r>
      <w:r w:rsidRPr="00BE2DD0">
        <w:rPr>
          <w:rFonts w:hint="eastAsia"/>
          <w:szCs w:val="24"/>
          <w:lang w:eastAsia="zh-CN"/>
        </w:rPr>
        <w:t>TDAG WTDC</w:t>
      </w:r>
      <w:r w:rsidRPr="00BE2DD0">
        <w:rPr>
          <w:rFonts w:hint="eastAsia"/>
          <w:szCs w:val="24"/>
          <w:lang w:eastAsia="zh-CN"/>
        </w:rPr>
        <w:t>决议、宣言和专题优先事项工作组（</w:t>
      </w:r>
      <w:r w:rsidRPr="00BE2DD0">
        <w:rPr>
          <w:rFonts w:hint="eastAsia"/>
          <w:szCs w:val="24"/>
          <w:lang w:eastAsia="zh-CN"/>
        </w:rPr>
        <w:t>TDAG-WG-RDTP</w:t>
      </w:r>
      <w:r w:rsidRPr="00BE2DD0">
        <w:rPr>
          <w:rFonts w:hint="eastAsia"/>
          <w:szCs w:val="24"/>
          <w:lang w:eastAsia="zh-CN"/>
        </w:rPr>
        <w:t>）；</w:t>
      </w:r>
      <w:r w:rsidRPr="00BE2DD0">
        <w:rPr>
          <w:rFonts w:hint="eastAsia"/>
          <w:szCs w:val="24"/>
          <w:lang w:eastAsia="zh-CN"/>
        </w:rPr>
        <w:t>TDAG</w:t>
      </w:r>
      <w:r w:rsidRPr="00BE2DD0">
        <w:rPr>
          <w:rFonts w:hint="eastAsia"/>
          <w:szCs w:val="24"/>
          <w:lang w:eastAsia="zh-CN"/>
        </w:rPr>
        <w:t>战略规划与运作规划工作组（</w:t>
      </w:r>
      <w:r w:rsidRPr="00BE2DD0">
        <w:rPr>
          <w:rFonts w:hint="eastAsia"/>
          <w:szCs w:val="24"/>
          <w:lang w:eastAsia="zh-CN"/>
        </w:rPr>
        <w:t>TDAG-WG-SOP</w:t>
      </w:r>
      <w:r w:rsidRPr="00BE2DD0">
        <w:rPr>
          <w:rFonts w:hint="eastAsia"/>
          <w:szCs w:val="24"/>
          <w:lang w:eastAsia="zh-CN"/>
        </w:rPr>
        <w:t>）。</w:t>
      </w:r>
    </w:p>
    <w:p w14:paraId="01D0B605" w14:textId="5B315A60" w:rsidR="00F34165" w:rsidRPr="00F34165" w:rsidRDefault="00F34165" w:rsidP="002D0092">
      <w:pPr>
        <w:ind w:firstLineChars="200" w:firstLine="480"/>
        <w:rPr>
          <w:rFonts w:cstheme="minorHAnsi"/>
          <w:szCs w:val="24"/>
          <w:lang w:eastAsia="zh-CN"/>
        </w:rPr>
      </w:pPr>
      <w:r w:rsidRPr="00BE2DD0">
        <w:rPr>
          <w:rFonts w:hint="eastAsia"/>
          <w:szCs w:val="24"/>
          <w:lang w:eastAsia="zh-CN"/>
        </w:rPr>
        <w:t>鉴于这些</w:t>
      </w:r>
      <w:r>
        <w:rPr>
          <w:rFonts w:hint="eastAsia"/>
          <w:szCs w:val="24"/>
          <w:lang w:eastAsia="zh-CN"/>
        </w:rPr>
        <w:t>工作组讨论</w:t>
      </w:r>
      <w:r w:rsidRPr="00BE2DD0">
        <w:rPr>
          <w:rFonts w:hint="eastAsia"/>
          <w:szCs w:val="24"/>
          <w:lang w:eastAsia="zh-CN"/>
        </w:rPr>
        <w:t>的问题相互关联，</w:t>
      </w:r>
      <w:r w:rsidRPr="00BE2DD0">
        <w:rPr>
          <w:rFonts w:hint="eastAsia"/>
          <w:szCs w:val="24"/>
          <w:lang w:eastAsia="zh-CN"/>
        </w:rPr>
        <w:t>CITEL</w:t>
      </w:r>
      <w:r w:rsidRPr="00BE2DD0">
        <w:rPr>
          <w:rFonts w:hint="eastAsia"/>
          <w:szCs w:val="24"/>
          <w:lang w:eastAsia="zh-CN"/>
        </w:rPr>
        <w:t>的</w:t>
      </w:r>
      <w:r>
        <w:rPr>
          <w:rFonts w:hint="eastAsia"/>
          <w:szCs w:val="24"/>
          <w:lang w:eastAsia="zh-CN"/>
        </w:rPr>
        <w:t>联系人</w:t>
      </w:r>
      <w:r w:rsidR="002D0092">
        <w:rPr>
          <w:rFonts w:hint="eastAsia"/>
          <w:szCs w:val="24"/>
          <w:lang w:eastAsia="zh-CN"/>
        </w:rPr>
        <w:t>正</w:t>
      </w:r>
      <w:r>
        <w:rPr>
          <w:rFonts w:hint="eastAsia"/>
          <w:szCs w:val="24"/>
          <w:lang w:eastAsia="zh-CN"/>
        </w:rPr>
        <w:t>携手努力确保连贯性</w:t>
      </w:r>
      <w:r w:rsidRPr="00BE2DD0">
        <w:rPr>
          <w:rFonts w:hint="eastAsia"/>
          <w:szCs w:val="24"/>
          <w:lang w:eastAsia="zh-CN"/>
        </w:rPr>
        <w:t>和一致性。</w:t>
      </w:r>
      <w:r w:rsidRPr="00BE2DD0">
        <w:rPr>
          <w:rFonts w:hint="eastAsia"/>
          <w:szCs w:val="24"/>
          <w:lang w:eastAsia="zh-CN"/>
        </w:rPr>
        <w:t>CITEL</w:t>
      </w:r>
      <w:r w:rsidRPr="00BE2DD0">
        <w:rPr>
          <w:rFonts w:hint="eastAsia"/>
          <w:szCs w:val="24"/>
          <w:lang w:eastAsia="zh-CN"/>
        </w:rPr>
        <w:t>指定</w:t>
      </w:r>
      <w:r w:rsidRPr="00BE2DD0">
        <w:rPr>
          <w:rFonts w:hint="eastAsia"/>
          <w:szCs w:val="24"/>
          <w:lang w:eastAsia="zh-CN"/>
        </w:rPr>
        <w:t>Andrea Grippa</w:t>
      </w:r>
      <w:r w:rsidRPr="00BE2DD0">
        <w:rPr>
          <w:rFonts w:hint="eastAsia"/>
          <w:szCs w:val="24"/>
          <w:lang w:eastAsia="zh-CN"/>
        </w:rPr>
        <w:t>女士（巴西）为</w:t>
      </w:r>
      <w:r w:rsidRPr="00BE2DD0">
        <w:rPr>
          <w:rFonts w:hint="eastAsia"/>
          <w:szCs w:val="24"/>
          <w:lang w:eastAsia="zh-CN"/>
        </w:rPr>
        <w:t>TDAG WTDC-Prep</w:t>
      </w:r>
      <w:r w:rsidRPr="00BE2DD0">
        <w:rPr>
          <w:rFonts w:hint="eastAsia"/>
          <w:szCs w:val="24"/>
          <w:lang w:eastAsia="zh-CN"/>
        </w:rPr>
        <w:t>的</w:t>
      </w:r>
      <w:r>
        <w:rPr>
          <w:rFonts w:hint="eastAsia"/>
          <w:szCs w:val="24"/>
          <w:lang w:eastAsia="zh-CN"/>
        </w:rPr>
        <w:t>联系人</w:t>
      </w:r>
      <w:r w:rsidRPr="00BE2DD0">
        <w:rPr>
          <w:rFonts w:hint="eastAsia"/>
          <w:szCs w:val="24"/>
          <w:lang w:eastAsia="zh-CN"/>
        </w:rPr>
        <w:t>。</w:t>
      </w:r>
      <w:r w:rsidRPr="00BE2DD0">
        <w:rPr>
          <w:rFonts w:hint="eastAsia"/>
          <w:szCs w:val="24"/>
          <w:lang w:eastAsia="zh-CN"/>
        </w:rPr>
        <w:t>Santiago Reyes-Borda</w:t>
      </w:r>
      <w:r w:rsidRPr="00BE2DD0">
        <w:rPr>
          <w:rFonts w:hint="eastAsia"/>
          <w:szCs w:val="24"/>
          <w:lang w:eastAsia="zh-CN"/>
        </w:rPr>
        <w:t>先生是</w:t>
      </w:r>
      <w:r w:rsidRPr="00BE2DD0">
        <w:rPr>
          <w:rFonts w:hint="eastAsia"/>
          <w:szCs w:val="24"/>
          <w:lang w:eastAsia="zh-CN"/>
        </w:rPr>
        <w:t>CITEL</w:t>
      </w:r>
      <w:r>
        <w:rPr>
          <w:rFonts w:hint="eastAsia"/>
          <w:szCs w:val="24"/>
          <w:lang w:eastAsia="zh-CN"/>
        </w:rPr>
        <w:t>世界电信发展大会</w:t>
      </w:r>
      <w:r w:rsidRPr="00BE2DD0">
        <w:rPr>
          <w:rFonts w:hint="eastAsia"/>
          <w:szCs w:val="24"/>
          <w:lang w:eastAsia="zh-CN"/>
        </w:rPr>
        <w:t>工作组的主席。</w:t>
      </w:r>
    </w:p>
    <w:p w14:paraId="7E5D7698" w14:textId="342C2624" w:rsidR="00F34165" w:rsidRPr="00F34165" w:rsidRDefault="00F34165" w:rsidP="002D0092">
      <w:pPr>
        <w:ind w:firstLineChars="200" w:firstLine="480"/>
        <w:rPr>
          <w:lang w:eastAsia="zh-CN"/>
        </w:rPr>
      </w:pPr>
      <w:r w:rsidRPr="00BE2DD0">
        <w:rPr>
          <w:rFonts w:hint="eastAsia"/>
          <w:szCs w:val="24"/>
          <w:lang w:eastAsia="zh-CN"/>
        </w:rPr>
        <w:t>约旦代表回顾说，阿拉伯国家</w:t>
      </w:r>
      <w:r w:rsidRPr="00BE2DD0">
        <w:rPr>
          <w:rFonts w:hint="eastAsia"/>
          <w:szCs w:val="24"/>
          <w:lang w:eastAsia="zh-CN"/>
        </w:rPr>
        <w:t>WTDC</w:t>
      </w:r>
      <w:r w:rsidRPr="00BE2DD0">
        <w:rPr>
          <w:rFonts w:hint="eastAsia"/>
          <w:szCs w:val="24"/>
          <w:lang w:eastAsia="zh-CN"/>
        </w:rPr>
        <w:t>工作组第一次筹备会议于</w:t>
      </w:r>
      <w:r w:rsidRPr="00BE2DD0">
        <w:rPr>
          <w:rFonts w:hint="eastAsia"/>
          <w:szCs w:val="24"/>
          <w:lang w:eastAsia="zh-CN"/>
        </w:rPr>
        <w:t>2020</w:t>
      </w:r>
      <w:r w:rsidRPr="00BE2DD0">
        <w:rPr>
          <w:rFonts w:hint="eastAsia"/>
          <w:szCs w:val="24"/>
          <w:lang w:eastAsia="zh-CN"/>
        </w:rPr>
        <w:t>年</w:t>
      </w:r>
      <w:r w:rsidRPr="00BE2DD0">
        <w:rPr>
          <w:rFonts w:hint="eastAsia"/>
          <w:szCs w:val="24"/>
          <w:lang w:eastAsia="zh-CN"/>
        </w:rPr>
        <w:t>8</w:t>
      </w:r>
      <w:r w:rsidRPr="00BE2DD0">
        <w:rPr>
          <w:rFonts w:hint="eastAsia"/>
          <w:szCs w:val="24"/>
          <w:lang w:eastAsia="zh-CN"/>
        </w:rPr>
        <w:t>月</w:t>
      </w:r>
      <w:r w:rsidRPr="00BE2DD0">
        <w:rPr>
          <w:rFonts w:hint="eastAsia"/>
          <w:szCs w:val="24"/>
          <w:lang w:eastAsia="zh-CN"/>
        </w:rPr>
        <w:t>25</w:t>
      </w:r>
      <w:r w:rsidRPr="00BE2DD0">
        <w:rPr>
          <w:rFonts w:hint="eastAsia"/>
          <w:szCs w:val="24"/>
          <w:lang w:eastAsia="zh-CN"/>
        </w:rPr>
        <w:t>日至</w:t>
      </w:r>
      <w:r w:rsidRPr="00BE2DD0">
        <w:rPr>
          <w:rFonts w:hint="eastAsia"/>
          <w:szCs w:val="24"/>
          <w:lang w:eastAsia="zh-CN"/>
        </w:rPr>
        <w:t>27</w:t>
      </w:r>
      <w:r w:rsidRPr="00BE2DD0">
        <w:rPr>
          <w:rFonts w:hint="eastAsia"/>
          <w:szCs w:val="24"/>
          <w:lang w:eastAsia="zh-CN"/>
        </w:rPr>
        <w:t>日在网上召开，</w:t>
      </w:r>
      <w:r w:rsidRPr="00BE2DD0">
        <w:rPr>
          <w:rFonts w:hint="eastAsia"/>
          <w:szCs w:val="24"/>
          <w:lang w:eastAsia="zh-CN"/>
        </w:rPr>
        <w:t>TDAG</w:t>
      </w:r>
      <w:r w:rsidRPr="00BE2DD0">
        <w:rPr>
          <w:rFonts w:hint="eastAsia"/>
          <w:szCs w:val="24"/>
          <w:lang w:eastAsia="zh-CN"/>
        </w:rPr>
        <w:t>三个工作组</w:t>
      </w:r>
      <w:r w:rsidR="002D0092">
        <w:rPr>
          <w:rFonts w:hint="eastAsia"/>
          <w:szCs w:val="24"/>
          <w:lang w:eastAsia="zh-CN"/>
        </w:rPr>
        <w:t>被</w:t>
      </w:r>
      <w:r w:rsidRPr="00BE2DD0">
        <w:rPr>
          <w:rFonts w:hint="eastAsia"/>
          <w:szCs w:val="24"/>
          <w:lang w:eastAsia="zh-CN"/>
        </w:rPr>
        <w:t>列入议程</w:t>
      </w:r>
      <w:r w:rsidR="002D0092">
        <w:rPr>
          <w:rFonts w:hint="eastAsia"/>
          <w:szCs w:val="24"/>
          <w:lang w:eastAsia="zh-CN"/>
        </w:rPr>
        <w:t>讨论</w:t>
      </w:r>
      <w:r w:rsidRPr="00BE2DD0">
        <w:rPr>
          <w:rFonts w:hint="eastAsia"/>
          <w:szCs w:val="24"/>
          <w:lang w:eastAsia="zh-CN"/>
        </w:rPr>
        <w:t>，并在会上达成了</w:t>
      </w:r>
      <w:r>
        <w:rPr>
          <w:rFonts w:hint="eastAsia"/>
          <w:szCs w:val="24"/>
          <w:lang w:eastAsia="zh-CN"/>
        </w:rPr>
        <w:t>一致，指定</w:t>
      </w:r>
      <w:r w:rsidRPr="00BE2DD0">
        <w:rPr>
          <w:rFonts w:hint="eastAsia"/>
          <w:szCs w:val="24"/>
          <w:lang w:eastAsia="zh-CN"/>
        </w:rPr>
        <w:t>Al-ansari Almashakbeh</w:t>
      </w:r>
      <w:r w:rsidRPr="00BE2DD0">
        <w:rPr>
          <w:rFonts w:hint="eastAsia"/>
          <w:szCs w:val="24"/>
          <w:lang w:eastAsia="zh-CN"/>
        </w:rPr>
        <w:t>先生（约旦）为</w:t>
      </w:r>
      <w:r w:rsidRPr="004146B4">
        <w:rPr>
          <w:rFonts w:eastAsiaTheme="majorEastAsia" w:cs="Microsoft JhengHei" w:hint="eastAsia"/>
          <w:bCs/>
          <w:lang w:val="en-US" w:eastAsia="zh-CN"/>
        </w:rPr>
        <w:t>TDAG</w:t>
      </w:r>
      <w:r>
        <w:rPr>
          <w:rFonts w:eastAsiaTheme="majorEastAsia" w:cs="Microsoft JhengHei" w:hint="eastAsia"/>
          <w:bCs/>
          <w:lang w:val="en-US" w:eastAsia="zh-CN"/>
        </w:rPr>
        <w:t>世界电信发展大会</w:t>
      </w:r>
      <w:r w:rsidRPr="004146B4">
        <w:rPr>
          <w:rFonts w:eastAsiaTheme="majorEastAsia" w:cs="Microsoft JhengHei" w:hint="eastAsia"/>
          <w:bCs/>
          <w:lang w:val="en-US" w:eastAsia="zh-CN"/>
        </w:rPr>
        <w:t>筹备工作组</w:t>
      </w:r>
      <w:r>
        <w:rPr>
          <w:rFonts w:eastAsiaTheme="majorEastAsia" w:cs="Microsoft JhengHei" w:hint="eastAsia"/>
          <w:bCs/>
          <w:lang w:val="en-US" w:eastAsia="zh-CN"/>
        </w:rPr>
        <w:t>（</w:t>
      </w:r>
      <w:r w:rsidRPr="004465B8">
        <w:rPr>
          <w:rFonts w:cstheme="minorHAnsi"/>
          <w:lang w:eastAsia="zh-CN"/>
        </w:rPr>
        <w:t>TDAG WTDC-Prep</w:t>
      </w:r>
      <w:r>
        <w:rPr>
          <w:rFonts w:eastAsiaTheme="majorEastAsia" w:cs="Microsoft JhengHei" w:hint="eastAsia"/>
          <w:bCs/>
          <w:lang w:val="en-US" w:eastAsia="zh-CN"/>
        </w:rPr>
        <w:t>）</w:t>
      </w:r>
      <w:r w:rsidRPr="00BE2DD0">
        <w:rPr>
          <w:rFonts w:hint="eastAsia"/>
          <w:szCs w:val="24"/>
          <w:lang w:eastAsia="zh-CN"/>
        </w:rPr>
        <w:t>的</w:t>
      </w:r>
      <w:r>
        <w:rPr>
          <w:rFonts w:hint="eastAsia"/>
          <w:szCs w:val="24"/>
          <w:lang w:eastAsia="zh-CN"/>
        </w:rPr>
        <w:t>联系人</w:t>
      </w:r>
      <w:r w:rsidRPr="00BE2DD0">
        <w:rPr>
          <w:rFonts w:hint="eastAsia"/>
          <w:szCs w:val="24"/>
          <w:lang w:eastAsia="zh-CN"/>
        </w:rPr>
        <w:t>。</w:t>
      </w:r>
    </w:p>
    <w:p w14:paraId="34509A6B" w14:textId="37CCE27C" w:rsidR="00F24C3F" w:rsidRDefault="00BE2DD0" w:rsidP="002D0092">
      <w:pPr>
        <w:ind w:firstLineChars="200" w:firstLine="480"/>
        <w:rPr>
          <w:szCs w:val="24"/>
          <w:lang w:eastAsia="zh-CN"/>
        </w:rPr>
      </w:pPr>
      <w:r w:rsidRPr="00BE2DD0">
        <w:rPr>
          <w:rFonts w:hint="eastAsia"/>
          <w:szCs w:val="24"/>
          <w:lang w:eastAsia="zh-CN"/>
        </w:rPr>
        <w:t>伊朗伊斯兰共和国代表向会议通报说，亚太电信组织（</w:t>
      </w:r>
      <w:r w:rsidRPr="00BE2DD0">
        <w:rPr>
          <w:rFonts w:hint="eastAsia"/>
          <w:szCs w:val="24"/>
          <w:lang w:eastAsia="zh-CN"/>
        </w:rPr>
        <w:t>APT</w:t>
      </w:r>
      <w:r w:rsidRPr="00BE2DD0">
        <w:rPr>
          <w:rFonts w:hint="eastAsia"/>
          <w:szCs w:val="24"/>
          <w:lang w:eastAsia="zh-CN"/>
        </w:rPr>
        <w:t>）计划</w:t>
      </w:r>
      <w:r w:rsidR="00F24C3F" w:rsidRPr="00BE2DD0">
        <w:rPr>
          <w:rFonts w:hint="eastAsia"/>
          <w:szCs w:val="24"/>
          <w:lang w:eastAsia="zh-CN"/>
        </w:rPr>
        <w:t>在</w:t>
      </w:r>
      <w:r w:rsidR="00F24C3F" w:rsidRPr="00BE2DD0">
        <w:rPr>
          <w:rFonts w:hint="eastAsia"/>
          <w:szCs w:val="24"/>
          <w:lang w:eastAsia="zh-CN"/>
        </w:rPr>
        <w:t>WTDC-21</w:t>
      </w:r>
      <w:r w:rsidR="00F24C3F" w:rsidRPr="00BE2DD0">
        <w:rPr>
          <w:rFonts w:hint="eastAsia"/>
          <w:szCs w:val="24"/>
          <w:lang w:eastAsia="zh-CN"/>
        </w:rPr>
        <w:t>之前举行三次会议。</w:t>
      </w:r>
      <w:r w:rsidR="00F24C3F" w:rsidRPr="00BE2DD0">
        <w:rPr>
          <w:rFonts w:hint="eastAsia"/>
          <w:szCs w:val="24"/>
          <w:lang w:eastAsia="zh-CN"/>
        </w:rPr>
        <w:t>APT</w:t>
      </w:r>
      <w:r w:rsidR="00F24C3F" w:rsidRPr="00BE2DD0">
        <w:rPr>
          <w:rFonts w:hint="eastAsia"/>
          <w:szCs w:val="24"/>
          <w:lang w:eastAsia="zh-CN"/>
        </w:rPr>
        <w:t>已计划于</w:t>
      </w:r>
      <w:r w:rsidR="00F24C3F" w:rsidRPr="00BE2DD0">
        <w:rPr>
          <w:rFonts w:hint="eastAsia"/>
          <w:szCs w:val="24"/>
          <w:lang w:eastAsia="zh-CN"/>
        </w:rPr>
        <w:t>2020</w:t>
      </w:r>
      <w:r w:rsidR="00F24C3F" w:rsidRPr="00BE2DD0">
        <w:rPr>
          <w:rFonts w:hint="eastAsia"/>
          <w:szCs w:val="24"/>
          <w:lang w:eastAsia="zh-CN"/>
        </w:rPr>
        <w:t>年</w:t>
      </w:r>
      <w:r w:rsidR="00F24C3F" w:rsidRPr="00BE2DD0">
        <w:rPr>
          <w:rFonts w:hint="eastAsia"/>
          <w:szCs w:val="24"/>
          <w:lang w:eastAsia="zh-CN"/>
        </w:rPr>
        <w:t>11</w:t>
      </w:r>
      <w:r w:rsidR="00F24C3F" w:rsidRPr="00BE2DD0">
        <w:rPr>
          <w:rFonts w:hint="eastAsia"/>
          <w:szCs w:val="24"/>
          <w:lang w:eastAsia="zh-CN"/>
        </w:rPr>
        <w:t>月</w:t>
      </w:r>
      <w:r w:rsidR="00F24C3F" w:rsidRPr="00BE2DD0">
        <w:rPr>
          <w:rFonts w:hint="eastAsia"/>
          <w:szCs w:val="24"/>
          <w:lang w:eastAsia="zh-CN"/>
        </w:rPr>
        <w:t>4</w:t>
      </w:r>
      <w:r w:rsidR="00F24C3F" w:rsidRPr="00BE2DD0">
        <w:rPr>
          <w:rFonts w:hint="eastAsia"/>
          <w:szCs w:val="24"/>
          <w:lang w:eastAsia="zh-CN"/>
        </w:rPr>
        <w:t>日为</w:t>
      </w:r>
      <w:r w:rsidR="00F24C3F" w:rsidRPr="00BE2DD0">
        <w:rPr>
          <w:rFonts w:hint="eastAsia"/>
          <w:szCs w:val="24"/>
          <w:lang w:eastAsia="zh-CN"/>
        </w:rPr>
        <w:t>WTDC</w:t>
      </w:r>
      <w:r w:rsidR="00F24C3F" w:rsidRPr="00BE2DD0">
        <w:rPr>
          <w:rFonts w:hint="eastAsia"/>
          <w:szCs w:val="24"/>
          <w:lang w:eastAsia="zh-CN"/>
        </w:rPr>
        <w:t>召开一次特别会议，以协调其成员国主管部门的意见并向</w:t>
      </w:r>
      <w:r w:rsidR="00F24C3F" w:rsidRPr="00BE2DD0">
        <w:rPr>
          <w:rFonts w:hint="eastAsia"/>
          <w:szCs w:val="24"/>
          <w:lang w:eastAsia="zh-CN"/>
        </w:rPr>
        <w:t>2020</w:t>
      </w:r>
      <w:r w:rsidR="00F24C3F" w:rsidRPr="00BE2DD0">
        <w:rPr>
          <w:rFonts w:hint="eastAsia"/>
          <w:szCs w:val="24"/>
          <w:lang w:eastAsia="zh-CN"/>
        </w:rPr>
        <w:t>年</w:t>
      </w:r>
      <w:r w:rsidR="00F24C3F" w:rsidRPr="00BE2DD0">
        <w:rPr>
          <w:rFonts w:hint="eastAsia"/>
          <w:szCs w:val="24"/>
          <w:lang w:eastAsia="zh-CN"/>
        </w:rPr>
        <w:t>11</w:t>
      </w:r>
      <w:r w:rsidR="00F24C3F" w:rsidRPr="00BE2DD0">
        <w:rPr>
          <w:rFonts w:hint="eastAsia"/>
          <w:szCs w:val="24"/>
          <w:lang w:eastAsia="zh-CN"/>
        </w:rPr>
        <w:t>月</w:t>
      </w:r>
      <w:r w:rsidR="00F24C3F" w:rsidRPr="00BE2DD0">
        <w:rPr>
          <w:rFonts w:hint="eastAsia"/>
          <w:szCs w:val="24"/>
          <w:lang w:eastAsia="zh-CN"/>
        </w:rPr>
        <w:t>23</w:t>
      </w:r>
      <w:r w:rsidR="00F24C3F" w:rsidRPr="00BE2DD0">
        <w:rPr>
          <w:rFonts w:hint="eastAsia"/>
          <w:szCs w:val="24"/>
          <w:lang w:eastAsia="zh-CN"/>
        </w:rPr>
        <w:t>日的</w:t>
      </w:r>
      <w:r w:rsidR="00F24C3F" w:rsidRPr="00BE2DD0">
        <w:rPr>
          <w:rFonts w:hint="eastAsia"/>
          <w:szCs w:val="24"/>
          <w:lang w:eastAsia="zh-CN"/>
        </w:rPr>
        <w:t>TDAG</w:t>
      </w:r>
      <w:r w:rsidR="00F24C3F" w:rsidRPr="00BE2DD0">
        <w:rPr>
          <w:rFonts w:hint="eastAsia"/>
          <w:szCs w:val="24"/>
          <w:lang w:eastAsia="zh-CN"/>
        </w:rPr>
        <w:t>会议报告。</w:t>
      </w:r>
      <w:r w:rsidRPr="00BE2DD0">
        <w:rPr>
          <w:rFonts w:hint="eastAsia"/>
          <w:szCs w:val="24"/>
          <w:lang w:eastAsia="zh-CN"/>
        </w:rPr>
        <w:t>TDAG-WG-RDTP</w:t>
      </w:r>
      <w:r w:rsidRPr="00BE2DD0">
        <w:rPr>
          <w:rFonts w:hint="eastAsia"/>
          <w:szCs w:val="24"/>
          <w:lang w:eastAsia="zh-CN"/>
        </w:rPr>
        <w:t>主席</w:t>
      </w:r>
      <w:r w:rsidRPr="00BE2DD0">
        <w:rPr>
          <w:rFonts w:hint="eastAsia"/>
          <w:szCs w:val="24"/>
          <w:lang w:eastAsia="zh-CN"/>
        </w:rPr>
        <w:t>Ahmad Reza Sharafat</w:t>
      </w:r>
      <w:r w:rsidRPr="00BE2DD0">
        <w:rPr>
          <w:rFonts w:hint="eastAsia"/>
          <w:szCs w:val="24"/>
          <w:lang w:eastAsia="zh-CN"/>
        </w:rPr>
        <w:t>博士已被</w:t>
      </w:r>
      <w:r w:rsidR="00F24C3F">
        <w:rPr>
          <w:rFonts w:hint="eastAsia"/>
          <w:szCs w:val="24"/>
          <w:lang w:eastAsia="zh-CN"/>
        </w:rPr>
        <w:t>任命为</w:t>
      </w:r>
      <w:r w:rsidR="00F24C3F" w:rsidRPr="00BE2DD0">
        <w:rPr>
          <w:rFonts w:hint="eastAsia"/>
          <w:szCs w:val="24"/>
          <w:lang w:eastAsia="zh-CN"/>
        </w:rPr>
        <w:t>亚太电信组织</w:t>
      </w:r>
      <w:r w:rsidR="00F24C3F" w:rsidRPr="00BE2DD0">
        <w:rPr>
          <w:rFonts w:hint="eastAsia"/>
          <w:szCs w:val="24"/>
          <w:lang w:eastAsia="zh-CN"/>
        </w:rPr>
        <w:t>WTDC-21</w:t>
      </w:r>
      <w:r w:rsidR="00F24C3F" w:rsidRPr="00BE2DD0">
        <w:rPr>
          <w:rFonts w:hint="eastAsia"/>
          <w:szCs w:val="24"/>
          <w:lang w:eastAsia="zh-CN"/>
        </w:rPr>
        <w:t>筹备组</w:t>
      </w:r>
      <w:r w:rsidR="002D0092">
        <w:rPr>
          <w:rFonts w:hint="eastAsia"/>
          <w:szCs w:val="24"/>
          <w:lang w:eastAsia="zh-CN"/>
        </w:rPr>
        <w:t>的</w:t>
      </w:r>
      <w:r w:rsidR="00F24C3F">
        <w:rPr>
          <w:rFonts w:hint="eastAsia"/>
          <w:szCs w:val="24"/>
          <w:lang w:eastAsia="zh-CN"/>
        </w:rPr>
        <w:t>主席。</w:t>
      </w:r>
    </w:p>
    <w:p w14:paraId="6EC4BB03" w14:textId="4A199014" w:rsidR="002B163F" w:rsidRPr="004465B8" w:rsidRDefault="00F24C3F" w:rsidP="002D0092">
      <w:pPr>
        <w:pStyle w:val="Colloquy1"/>
        <w:tabs>
          <w:tab w:val="clear" w:pos="7200"/>
          <w:tab w:val="clear" w:pos="7920"/>
          <w:tab w:val="clear" w:pos="8640"/>
          <w:tab w:val="left" w:pos="1"/>
          <w:tab w:val="left" w:pos="721"/>
          <w:tab w:val="left" w:pos="1441"/>
        </w:tabs>
        <w:spacing w:before="120"/>
        <w:ind w:firstLineChars="200" w:firstLine="480"/>
        <w:rPr>
          <w:rFonts w:asciiTheme="minorHAnsi" w:hAnsiTheme="minorHAnsi" w:cstheme="minorHAnsi"/>
          <w:lang w:eastAsia="zh-CN"/>
        </w:rPr>
      </w:pPr>
      <w:r w:rsidRPr="00F24C3F">
        <w:rPr>
          <w:rFonts w:cstheme="minorHAnsi" w:hint="eastAsia"/>
          <w:lang w:eastAsia="zh-CN"/>
        </w:rPr>
        <w:t>沙特阿拉伯代表建议，电信发展局</w:t>
      </w:r>
      <w:r w:rsidRPr="00F24C3F">
        <w:rPr>
          <w:rFonts w:asciiTheme="minorHAnsi" w:hAnsiTheme="minorHAnsi" w:cstheme="minorHAnsi" w:hint="eastAsia"/>
          <w:lang w:eastAsia="zh-CN"/>
        </w:rPr>
        <w:t>应为</w:t>
      </w:r>
      <w:r w:rsidRPr="00F24C3F">
        <w:rPr>
          <w:rFonts w:cstheme="minorHAnsi" w:hint="eastAsia"/>
          <w:lang w:eastAsia="zh-CN"/>
        </w:rPr>
        <w:t>下次会议编写一份</w:t>
      </w:r>
      <w:r>
        <w:rPr>
          <w:rFonts w:cstheme="minorHAnsi" w:hint="eastAsia"/>
          <w:lang w:eastAsia="zh-CN"/>
        </w:rPr>
        <w:t>情况通报</w:t>
      </w:r>
      <w:r w:rsidRPr="00F24C3F">
        <w:rPr>
          <w:rFonts w:cstheme="minorHAnsi" w:hint="eastAsia"/>
          <w:lang w:eastAsia="zh-CN"/>
        </w:rPr>
        <w:t>文件，内容包括：</w:t>
      </w:r>
    </w:p>
    <w:p w14:paraId="0C474B84" w14:textId="51B931B8" w:rsidR="002B163F" w:rsidRPr="00A3163C" w:rsidRDefault="00F24C3F" w:rsidP="007C041E">
      <w:pPr>
        <w:pStyle w:val="enumlev1"/>
        <w:numPr>
          <w:ilvl w:val="0"/>
          <w:numId w:val="7"/>
        </w:numPr>
        <w:tabs>
          <w:tab w:val="left" w:pos="2608"/>
          <w:tab w:val="left" w:pos="3345"/>
        </w:tabs>
        <w:ind w:left="794" w:hanging="794"/>
        <w:rPr>
          <w:rFonts w:cstheme="minorHAnsi"/>
          <w:lang w:eastAsia="zh-CN"/>
        </w:rPr>
      </w:pPr>
      <w:r>
        <w:rPr>
          <w:rFonts w:cstheme="minorHAnsi" w:hint="eastAsia"/>
          <w:lang w:eastAsia="zh-CN"/>
        </w:rPr>
        <w:t>大会</w:t>
      </w:r>
      <w:r w:rsidRPr="00F24C3F">
        <w:rPr>
          <w:rFonts w:cstheme="minorHAnsi" w:hint="eastAsia"/>
          <w:lang w:eastAsia="zh-CN"/>
        </w:rPr>
        <w:t>的概念或结构草案</w:t>
      </w:r>
      <w:r>
        <w:rPr>
          <w:rFonts w:cstheme="minorHAnsi" w:hint="eastAsia"/>
          <w:lang w:eastAsia="zh-CN"/>
        </w:rPr>
        <w:t>；</w:t>
      </w:r>
    </w:p>
    <w:p w14:paraId="2628D04F" w14:textId="48B5539C" w:rsidR="002B163F" w:rsidRPr="004465B8" w:rsidRDefault="00F24C3F" w:rsidP="007C041E">
      <w:pPr>
        <w:pStyle w:val="enumlev1"/>
        <w:numPr>
          <w:ilvl w:val="0"/>
          <w:numId w:val="7"/>
        </w:numPr>
        <w:tabs>
          <w:tab w:val="left" w:pos="2608"/>
          <w:tab w:val="left" w:pos="3345"/>
        </w:tabs>
        <w:ind w:left="794" w:hanging="794"/>
        <w:rPr>
          <w:rFonts w:cstheme="minorHAnsi"/>
          <w:lang w:eastAsia="zh-CN"/>
        </w:rPr>
      </w:pPr>
      <w:r>
        <w:rPr>
          <w:rFonts w:cstheme="minorHAnsi" w:hint="eastAsia"/>
          <w:lang w:eastAsia="zh-CN"/>
        </w:rPr>
        <w:t>大会</w:t>
      </w:r>
      <w:r w:rsidRPr="00F24C3F">
        <w:rPr>
          <w:rFonts w:cstheme="minorHAnsi" w:hint="eastAsia"/>
          <w:lang w:eastAsia="zh-CN"/>
        </w:rPr>
        <w:t>的候选主题或可能主题</w:t>
      </w:r>
      <w:r>
        <w:rPr>
          <w:rFonts w:cstheme="minorHAnsi" w:hint="eastAsia"/>
          <w:lang w:eastAsia="zh-CN"/>
        </w:rPr>
        <w:t>；</w:t>
      </w:r>
    </w:p>
    <w:p w14:paraId="06CC39E0" w14:textId="6F55537F" w:rsidR="002B163F" w:rsidRPr="004465B8" w:rsidRDefault="00F24C3F" w:rsidP="007C041E">
      <w:pPr>
        <w:pStyle w:val="enumlev1"/>
        <w:numPr>
          <w:ilvl w:val="0"/>
          <w:numId w:val="7"/>
        </w:numPr>
        <w:tabs>
          <w:tab w:val="left" w:pos="2608"/>
          <w:tab w:val="left" w:pos="3345"/>
        </w:tabs>
        <w:ind w:left="794" w:hanging="794"/>
        <w:rPr>
          <w:rFonts w:cstheme="minorHAnsi"/>
          <w:lang w:eastAsia="zh-CN"/>
        </w:rPr>
      </w:pPr>
      <w:r w:rsidRPr="00F24C3F">
        <w:rPr>
          <w:rFonts w:cstheme="minorHAnsi" w:hint="eastAsia"/>
          <w:lang w:eastAsia="zh-CN"/>
        </w:rPr>
        <w:t>高级别会议将如何进行，不同的轨道如何结合在一起，如何与行政轨道的讨论相结合</w:t>
      </w:r>
      <w:r>
        <w:rPr>
          <w:rFonts w:cstheme="minorHAnsi" w:hint="eastAsia"/>
          <w:lang w:eastAsia="zh-CN"/>
        </w:rPr>
        <w:t>；</w:t>
      </w:r>
    </w:p>
    <w:p w14:paraId="63D4EB50" w14:textId="02C0860E" w:rsidR="002B163F" w:rsidRPr="004465B8" w:rsidRDefault="00F24C3F" w:rsidP="007C041E">
      <w:pPr>
        <w:pStyle w:val="enumlev1"/>
        <w:numPr>
          <w:ilvl w:val="0"/>
          <w:numId w:val="7"/>
        </w:numPr>
        <w:tabs>
          <w:tab w:val="left" w:pos="2608"/>
          <w:tab w:val="left" w:pos="3345"/>
        </w:tabs>
        <w:ind w:left="794" w:hanging="794"/>
        <w:rPr>
          <w:rFonts w:cstheme="minorHAnsi"/>
          <w:lang w:eastAsia="zh-CN"/>
        </w:rPr>
      </w:pPr>
      <w:r w:rsidRPr="00F24C3F">
        <w:rPr>
          <w:rFonts w:cstheme="minorHAnsi" w:hint="eastAsia"/>
          <w:lang w:eastAsia="zh-CN"/>
        </w:rPr>
        <w:t>关于</w:t>
      </w:r>
      <w:r>
        <w:rPr>
          <w:rFonts w:cstheme="minorHAnsi" w:hint="eastAsia"/>
          <w:lang w:eastAsia="zh-CN"/>
        </w:rPr>
        <w:t>邀请与会者</w:t>
      </w:r>
      <w:r w:rsidRPr="00F24C3F">
        <w:rPr>
          <w:rFonts w:cstheme="minorHAnsi" w:hint="eastAsia"/>
          <w:lang w:eastAsia="zh-CN"/>
        </w:rPr>
        <w:t>作为专家或利益攸关方</w:t>
      </w:r>
      <w:r>
        <w:rPr>
          <w:rFonts w:cstheme="minorHAnsi" w:hint="eastAsia"/>
          <w:lang w:eastAsia="zh-CN"/>
        </w:rPr>
        <w:t>参加</w:t>
      </w:r>
      <w:r w:rsidRPr="00F24C3F">
        <w:rPr>
          <w:rFonts w:cstheme="minorHAnsi" w:hint="eastAsia"/>
          <w:lang w:eastAsia="zh-CN"/>
        </w:rPr>
        <w:t>的机制和与会者类型的想法</w:t>
      </w:r>
      <w:r>
        <w:rPr>
          <w:rFonts w:cstheme="minorHAnsi" w:hint="eastAsia"/>
          <w:lang w:eastAsia="zh-CN"/>
        </w:rPr>
        <w:t>。</w:t>
      </w:r>
    </w:p>
    <w:p w14:paraId="6A480756" w14:textId="546CA7C5" w:rsidR="00F24C3F" w:rsidRPr="00F24C3F" w:rsidRDefault="00F24C3F" w:rsidP="002D0092">
      <w:pPr>
        <w:ind w:firstLineChars="200" w:firstLine="480"/>
        <w:rPr>
          <w:rFonts w:cstheme="minorHAnsi"/>
          <w:szCs w:val="24"/>
          <w:lang w:eastAsia="zh-CN"/>
        </w:rPr>
      </w:pPr>
      <w:r w:rsidRPr="00F24C3F">
        <w:rPr>
          <w:rFonts w:cstheme="minorHAnsi" w:hint="eastAsia"/>
          <w:szCs w:val="24"/>
          <w:lang w:eastAsia="zh-CN"/>
        </w:rPr>
        <w:t>所有这些将为成员提供有关如何发展和增强</w:t>
      </w:r>
      <w:r w:rsidR="000324AF">
        <w:rPr>
          <w:rFonts w:cstheme="minorHAnsi" w:hint="eastAsia"/>
          <w:szCs w:val="24"/>
          <w:lang w:eastAsia="zh-CN"/>
        </w:rPr>
        <w:t>大会</w:t>
      </w:r>
      <w:r w:rsidRPr="00F24C3F">
        <w:rPr>
          <w:rFonts w:cstheme="minorHAnsi" w:hint="eastAsia"/>
          <w:szCs w:val="24"/>
          <w:lang w:eastAsia="zh-CN"/>
        </w:rPr>
        <w:t>的</w:t>
      </w:r>
      <w:r w:rsidR="000324AF">
        <w:rPr>
          <w:rFonts w:cstheme="minorHAnsi" w:hint="eastAsia"/>
          <w:szCs w:val="24"/>
          <w:lang w:eastAsia="zh-CN"/>
        </w:rPr>
        <w:t>共同理解</w:t>
      </w:r>
      <w:r w:rsidRPr="00F24C3F">
        <w:rPr>
          <w:rFonts w:cstheme="minorHAnsi" w:hint="eastAsia"/>
          <w:szCs w:val="24"/>
          <w:lang w:eastAsia="zh-CN"/>
        </w:rPr>
        <w:t>。</w:t>
      </w:r>
    </w:p>
    <w:p w14:paraId="0ECC6C41" w14:textId="0B297A41" w:rsidR="002B163F" w:rsidRPr="00B10114" w:rsidRDefault="000324AF" w:rsidP="00B10114">
      <w:pPr>
        <w:pStyle w:val="Headingb"/>
        <w:rPr>
          <w:rFonts w:ascii="Calibri" w:hAnsi="Calibri"/>
          <w:lang w:val="fr-FR" w:eastAsia="zh-CN"/>
        </w:rPr>
      </w:pPr>
      <w:r w:rsidRPr="00B10114">
        <w:rPr>
          <w:rFonts w:ascii="Calibri" w:hAnsi="Calibri" w:cs="Microsoft YaHei" w:hint="eastAsia"/>
          <w:lang w:val="fr-FR" w:eastAsia="zh-CN"/>
        </w:rPr>
        <w:t>结论</w:t>
      </w:r>
    </w:p>
    <w:p w14:paraId="75D7C157" w14:textId="5143C51D" w:rsidR="00F24C3F" w:rsidRDefault="00F24C3F" w:rsidP="002D0092">
      <w:pPr>
        <w:ind w:firstLineChars="200" w:firstLine="480"/>
        <w:rPr>
          <w:rFonts w:cstheme="minorHAnsi"/>
          <w:szCs w:val="24"/>
          <w:lang w:eastAsia="zh-CN"/>
        </w:rPr>
      </w:pPr>
      <w:r w:rsidRPr="00F24C3F">
        <w:rPr>
          <w:rFonts w:cstheme="minorHAnsi" w:hint="eastAsia"/>
          <w:szCs w:val="24"/>
          <w:lang w:eastAsia="zh-CN"/>
        </w:rPr>
        <w:t>提交给</w:t>
      </w:r>
      <w:r w:rsidR="000324AF" w:rsidRPr="00F24C3F">
        <w:rPr>
          <w:rFonts w:cstheme="minorHAnsi" w:hint="eastAsia"/>
          <w:szCs w:val="24"/>
          <w:lang w:eastAsia="zh-CN"/>
        </w:rPr>
        <w:t>TDAG WTDC-Prep</w:t>
      </w:r>
      <w:r w:rsidR="000324AF" w:rsidRPr="00F24C3F">
        <w:rPr>
          <w:rFonts w:cstheme="minorHAnsi" w:hint="eastAsia"/>
          <w:szCs w:val="24"/>
          <w:lang w:eastAsia="zh-CN"/>
        </w:rPr>
        <w:t>第二次会议的文稿为讨论</w:t>
      </w:r>
      <w:r w:rsidRPr="00F24C3F">
        <w:rPr>
          <w:rFonts w:cstheme="minorHAnsi" w:hint="eastAsia"/>
          <w:szCs w:val="24"/>
          <w:lang w:eastAsia="zh-CN"/>
        </w:rPr>
        <w:t>促进了讨论，使</w:t>
      </w:r>
      <w:r w:rsidR="000324AF">
        <w:rPr>
          <w:rFonts w:cstheme="minorHAnsi" w:hint="eastAsia"/>
          <w:szCs w:val="24"/>
          <w:lang w:eastAsia="zh-CN"/>
        </w:rPr>
        <w:t>本</w:t>
      </w:r>
      <w:r w:rsidRPr="00F24C3F">
        <w:rPr>
          <w:rFonts w:cstheme="minorHAnsi" w:hint="eastAsia"/>
          <w:szCs w:val="24"/>
          <w:lang w:eastAsia="zh-CN"/>
        </w:rPr>
        <w:t>小组能够向前推进。根据其</w:t>
      </w:r>
      <w:r w:rsidR="000324AF">
        <w:rPr>
          <w:rFonts w:cstheme="minorHAnsi" w:hint="eastAsia"/>
          <w:szCs w:val="24"/>
          <w:lang w:eastAsia="zh-CN"/>
        </w:rPr>
        <w:t>职责</w:t>
      </w:r>
      <w:r w:rsidRPr="00F24C3F">
        <w:rPr>
          <w:rFonts w:cstheme="minorHAnsi" w:hint="eastAsia"/>
          <w:szCs w:val="24"/>
          <w:lang w:eastAsia="zh-CN"/>
        </w:rPr>
        <w:t>范围，</w:t>
      </w:r>
      <w:r w:rsidR="000324AF">
        <w:rPr>
          <w:rFonts w:cstheme="minorHAnsi" w:hint="eastAsia"/>
          <w:szCs w:val="24"/>
          <w:lang w:eastAsia="zh-CN"/>
        </w:rPr>
        <w:t>本</w:t>
      </w:r>
      <w:r w:rsidRPr="00F24C3F">
        <w:rPr>
          <w:rFonts w:cstheme="minorHAnsi" w:hint="eastAsia"/>
          <w:szCs w:val="24"/>
          <w:lang w:eastAsia="zh-CN"/>
        </w:rPr>
        <w:t>小组将制定提案并提出建议，以加强会议的安排，包括会议内容</w:t>
      </w:r>
      <w:r w:rsidR="000324AF">
        <w:rPr>
          <w:rFonts w:cstheme="minorHAnsi" w:hint="eastAsia"/>
          <w:szCs w:val="24"/>
          <w:lang w:eastAsia="zh-CN"/>
        </w:rPr>
        <w:t>；</w:t>
      </w:r>
      <w:r w:rsidRPr="00F24C3F">
        <w:rPr>
          <w:rFonts w:cstheme="minorHAnsi" w:hint="eastAsia"/>
          <w:szCs w:val="24"/>
          <w:lang w:eastAsia="zh-CN"/>
        </w:rPr>
        <w:t>确定会议主题</w:t>
      </w:r>
      <w:r w:rsidR="000324AF">
        <w:rPr>
          <w:rFonts w:cstheme="minorHAnsi" w:hint="eastAsia"/>
          <w:szCs w:val="24"/>
          <w:lang w:eastAsia="zh-CN"/>
        </w:rPr>
        <w:t>；</w:t>
      </w:r>
      <w:r w:rsidRPr="00F24C3F">
        <w:rPr>
          <w:rFonts w:cstheme="minorHAnsi" w:hint="eastAsia"/>
          <w:szCs w:val="24"/>
          <w:lang w:eastAsia="zh-CN"/>
        </w:rPr>
        <w:t>审议专题轨道</w:t>
      </w:r>
      <w:r w:rsidR="000324AF">
        <w:rPr>
          <w:rFonts w:cstheme="minorHAnsi" w:hint="eastAsia"/>
          <w:szCs w:val="24"/>
          <w:lang w:eastAsia="zh-CN"/>
        </w:rPr>
        <w:t>；并</w:t>
      </w:r>
      <w:r w:rsidRPr="00F24C3F">
        <w:rPr>
          <w:rFonts w:cstheme="minorHAnsi" w:hint="eastAsia"/>
          <w:szCs w:val="24"/>
          <w:lang w:eastAsia="zh-CN"/>
        </w:rPr>
        <w:t>确定关键利益攸关方。正如</w:t>
      </w:r>
      <w:r w:rsidR="000324AF">
        <w:rPr>
          <w:rFonts w:cstheme="minorHAnsi" w:hint="eastAsia"/>
          <w:szCs w:val="24"/>
          <w:lang w:eastAsia="zh-CN"/>
        </w:rPr>
        <w:t>本</w:t>
      </w:r>
      <w:r w:rsidRPr="00F24C3F">
        <w:rPr>
          <w:rFonts w:cstheme="minorHAnsi" w:hint="eastAsia"/>
          <w:szCs w:val="24"/>
          <w:lang w:eastAsia="zh-CN"/>
        </w:rPr>
        <w:t>小组主席</w:t>
      </w:r>
      <w:r w:rsidR="000324AF" w:rsidRPr="00F24C3F">
        <w:rPr>
          <w:rFonts w:cstheme="minorHAnsi" w:hint="eastAsia"/>
          <w:szCs w:val="24"/>
          <w:lang w:eastAsia="zh-CN"/>
        </w:rPr>
        <w:t>所说：“</w:t>
      </w:r>
      <w:r w:rsidRPr="00F24C3F">
        <w:rPr>
          <w:rFonts w:cstheme="minorHAnsi" w:hint="eastAsia"/>
          <w:szCs w:val="24"/>
          <w:lang w:eastAsia="zh-CN"/>
        </w:rPr>
        <w:t>归根结底，我们需要的是</w:t>
      </w:r>
      <w:r w:rsidR="000324AF">
        <w:rPr>
          <w:rFonts w:cstheme="minorHAnsi" w:hint="eastAsia"/>
          <w:szCs w:val="24"/>
          <w:lang w:eastAsia="zh-CN"/>
        </w:rPr>
        <w:t>胜任其职这一</w:t>
      </w:r>
      <w:r w:rsidRPr="00F24C3F">
        <w:rPr>
          <w:rFonts w:cstheme="minorHAnsi" w:hint="eastAsia"/>
          <w:szCs w:val="24"/>
          <w:lang w:eastAsia="zh-CN"/>
        </w:rPr>
        <w:t>整体</w:t>
      </w:r>
      <w:r w:rsidR="000324AF">
        <w:rPr>
          <w:rFonts w:cstheme="minorHAnsi" w:hint="eastAsia"/>
          <w:szCs w:val="24"/>
          <w:lang w:eastAsia="zh-CN"/>
        </w:rPr>
        <w:t>理念</w:t>
      </w:r>
      <w:r w:rsidRPr="00F24C3F">
        <w:rPr>
          <w:rFonts w:cstheme="minorHAnsi" w:hint="eastAsia"/>
          <w:szCs w:val="24"/>
          <w:lang w:eastAsia="zh-CN"/>
        </w:rPr>
        <w:t>，我们的目标是确保实现这一</w:t>
      </w:r>
      <w:r w:rsidR="000324AF">
        <w:rPr>
          <w:rFonts w:cstheme="minorHAnsi" w:hint="eastAsia"/>
          <w:szCs w:val="24"/>
          <w:lang w:eastAsia="zh-CN"/>
        </w:rPr>
        <w:t>理念</w:t>
      </w:r>
      <w:r w:rsidRPr="00F24C3F">
        <w:rPr>
          <w:rFonts w:cstheme="minorHAnsi" w:hint="eastAsia"/>
          <w:szCs w:val="24"/>
          <w:lang w:eastAsia="zh-CN"/>
        </w:rPr>
        <w:t>。</w:t>
      </w:r>
      <w:r w:rsidR="000324AF">
        <w:rPr>
          <w:rFonts w:cstheme="minorHAnsi" w:hint="eastAsia"/>
          <w:szCs w:val="24"/>
          <w:lang w:eastAsia="zh-CN"/>
        </w:rPr>
        <w:t>”</w:t>
      </w:r>
    </w:p>
    <w:p w14:paraId="6DF711DD" w14:textId="101A191C" w:rsidR="002B163F" w:rsidRDefault="002B163F" w:rsidP="002B163F">
      <w:pPr>
        <w:spacing w:after="120"/>
        <w:rPr>
          <w:rFonts w:cstheme="minorHAnsi"/>
          <w:szCs w:val="24"/>
        </w:rPr>
        <w:sectPr w:rsidR="002B163F" w:rsidSect="00395290">
          <w:headerReference w:type="default" r:id="rId10"/>
          <w:footerReference w:type="even" r:id="rId11"/>
          <w:footerReference w:type="default" r:id="rId12"/>
          <w:footerReference w:type="first" r:id="rId13"/>
          <w:pgSz w:w="12240" w:h="15840"/>
          <w:pgMar w:top="1418" w:right="1134" w:bottom="1418" w:left="1134" w:header="720" w:footer="720" w:gutter="0"/>
          <w:cols w:space="720"/>
          <w:noEndnote/>
          <w:titlePg/>
          <w:docGrid w:linePitch="299"/>
        </w:sectPr>
      </w:pPr>
    </w:p>
    <w:p w14:paraId="3A7540C6" w14:textId="68A0D58C" w:rsidR="002B163F" w:rsidRPr="00A3163C" w:rsidRDefault="002B163F" w:rsidP="002B163F">
      <w:pPr>
        <w:jc w:val="center"/>
        <w:rPr>
          <w:rFonts w:ascii="Calibri" w:hAnsi="Calibri" w:cs="Calibri"/>
          <w:b/>
          <w:color w:val="800000"/>
        </w:rPr>
      </w:pPr>
      <w:bookmarkStart w:id="2" w:name="lt_pId075"/>
      <w:r w:rsidRPr="00A3163C">
        <w:lastRenderedPageBreak/>
        <w:t>ANNEX 1</w:t>
      </w:r>
      <w:bookmarkEnd w:id="2"/>
    </w:p>
    <w:p w14:paraId="3F42BE93" w14:textId="77777777" w:rsidR="002B163F" w:rsidRPr="00A3163C" w:rsidRDefault="002B163F" w:rsidP="002B163F">
      <w:pPr>
        <w:keepNext/>
        <w:spacing w:after="120"/>
        <w:jc w:val="center"/>
        <w:rPr>
          <w:b/>
          <w:bCs/>
        </w:rPr>
      </w:pPr>
      <w:bookmarkStart w:id="3" w:name="lt_pId076"/>
      <w:r w:rsidRPr="00A3163C">
        <w:rPr>
          <w:b/>
          <w:bCs/>
        </w:rPr>
        <w:t>Compilation of proposals submitted to the 2</w:t>
      </w:r>
      <w:r w:rsidRPr="00A3163C">
        <w:rPr>
          <w:b/>
          <w:bCs/>
          <w:vertAlign w:val="superscript"/>
        </w:rPr>
        <w:t>nd</w:t>
      </w:r>
      <w:r w:rsidRPr="00A3163C">
        <w:rPr>
          <w:b/>
          <w:bCs/>
        </w:rPr>
        <w:t xml:space="preserve"> meeting of the TDAG-WG-Prep, 7 September 2020</w:t>
      </w:r>
      <w:bookmarkEnd w:id="3"/>
    </w:p>
    <w:tbl>
      <w:tblPr>
        <w:tblStyle w:val="TableGrid1"/>
        <w:tblW w:w="0" w:type="auto"/>
        <w:tblLook w:val="04A0" w:firstRow="1" w:lastRow="0" w:firstColumn="1" w:lastColumn="0" w:noHBand="0" w:noVBand="1"/>
      </w:tblPr>
      <w:tblGrid>
        <w:gridCol w:w="1907"/>
        <w:gridCol w:w="2443"/>
        <w:gridCol w:w="2413"/>
        <w:gridCol w:w="2819"/>
        <w:gridCol w:w="1841"/>
        <w:gridCol w:w="2139"/>
      </w:tblGrid>
      <w:tr w:rsidR="00F528F1" w:rsidRPr="00F528F1" w14:paraId="35B3C2FA" w14:textId="77777777" w:rsidTr="00F528F1">
        <w:trPr>
          <w:tblHeader/>
        </w:trPr>
        <w:tc>
          <w:tcPr>
            <w:tcW w:w="1907" w:type="dxa"/>
            <w:shd w:val="clear" w:color="auto" w:fill="F4B083"/>
            <w:vAlign w:val="center"/>
          </w:tcPr>
          <w:p w14:paraId="7103C7CF" w14:textId="77777777" w:rsidR="00F528F1" w:rsidRPr="00F528F1" w:rsidRDefault="00F528F1" w:rsidP="00F528F1">
            <w:pPr>
              <w:tabs>
                <w:tab w:val="clear" w:pos="794"/>
                <w:tab w:val="clear" w:pos="1191"/>
                <w:tab w:val="clear" w:pos="1588"/>
                <w:tab w:val="clear" w:pos="1985"/>
              </w:tabs>
              <w:overflowPunct/>
              <w:autoSpaceDE/>
              <w:autoSpaceDN/>
              <w:adjustRightInd/>
              <w:spacing w:after="120"/>
              <w:jc w:val="center"/>
              <w:textAlignment w:val="auto"/>
              <w:rPr>
                <w:rFonts w:ascii="Calibri" w:eastAsia="DengXian" w:hAnsi="Calibri"/>
                <w:b/>
                <w:bCs/>
                <w:sz w:val="18"/>
                <w:szCs w:val="18"/>
                <w:lang w:val="en-US"/>
              </w:rPr>
            </w:pPr>
            <w:r w:rsidRPr="00F528F1">
              <w:rPr>
                <w:rFonts w:ascii="Calibri" w:eastAsia="DengXian" w:hAnsi="Calibri"/>
                <w:b/>
                <w:bCs/>
                <w:sz w:val="18"/>
                <w:szCs w:val="18"/>
                <w:lang w:val="en-US"/>
              </w:rPr>
              <w:t>Topic</w:t>
            </w:r>
          </w:p>
        </w:tc>
        <w:tc>
          <w:tcPr>
            <w:tcW w:w="2443" w:type="dxa"/>
            <w:shd w:val="clear" w:color="auto" w:fill="F4B083"/>
            <w:vAlign w:val="center"/>
          </w:tcPr>
          <w:p w14:paraId="391533B4" w14:textId="77777777" w:rsidR="00F528F1" w:rsidRPr="00F528F1" w:rsidRDefault="00F528F1" w:rsidP="00F528F1">
            <w:pPr>
              <w:tabs>
                <w:tab w:val="clear" w:pos="794"/>
                <w:tab w:val="clear" w:pos="1191"/>
                <w:tab w:val="clear" w:pos="1588"/>
                <w:tab w:val="clear" w:pos="1985"/>
              </w:tabs>
              <w:overflowPunct/>
              <w:autoSpaceDE/>
              <w:autoSpaceDN/>
              <w:adjustRightInd/>
              <w:spacing w:after="120"/>
              <w:jc w:val="center"/>
              <w:textAlignment w:val="auto"/>
              <w:rPr>
                <w:rFonts w:ascii="Calibri" w:eastAsia="DengXian" w:hAnsi="Calibri"/>
                <w:b/>
                <w:bCs/>
                <w:sz w:val="18"/>
                <w:szCs w:val="18"/>
                <w:lang w:val="en-US"/>
              </w:rPr>
            </w:pPr>
            <w:r w:rsidRPr="00F528F1">
              <w:rPr>
                <w:rFonts w:ascii="Calibri" w:eastAsia="DengXian" w:hAnsi="Calibri"/>
                <w:b/>
                <w:bCs/>
                <w:sz w:val="18"/>
                <w:szCs w:val="18"/>
                <w:lang w:val="en-US"/>
              </w:rPr>
              <w:t>Russian Federation</w:t>
            </w:r>
            <w:r w:rsidRPr="00F528F1">
              <w:rPr>
                <w:rFonts w:ascii="Calibri" w:eastAsia="DengXian" w:hAnsi="Calibri"/>
                <w:b/>
                <w:bCs/>
                <w:sz w:val="18"/>
                <w:szCs w:val="18"/>
                <w:lang w:val="en-US"/>
              </w:rPr>
              <w:br/>
              <w:t>(</w:t>
            </w:r>
            <w:hyperlink r:id="rId14" w:history="1">
              <w:r w:rsidRPr="00F528F1">
                <w:rPr>
                  <w:rFonts w:ascii="Calibri" w:eastAsia="DengXian" w:hAnsi="Calibri"/>
                  <w:b/>
                  <w:bCs/>
                  <w:color w:val="0000FF"/>
                  <w:sz w:val="18"/>
                  <w:szCs w:val="18"/>
                  <w:u w:val="single"/>
                  <w:lang w:val="en-US"/>
                </w:rPr>
                <w:t>TDAG-WG-Prep/7</w:t>
              </w:r>
            </w:hyperlink>
            <w:r w:rsidRPr="00F528F1">
              <w:rPr>
                <w:rFonts w:ascii="Calibri" w:eastAsia="DengXian" w:hAnsi="Calibri"/>
                <w:b/>
                <w:bCs/>
                <w:sz w:val="18"/>
                <w:szCs w:val="18"/>
                <w:lang w:val="en-US"/>
              </w:rPr>
              <w:t>)</w:t>
            </w:r>
          </w:p>
        </w:tc>
        <w:tc>
          <w:tcPr>
            <w:tcW w:w="2413" w:type="dxa"/>
            <w:shd w:val="clear" w:color="auto" w:fill="F4B083"/>
            <w:vAlign w:val="center"/>
          </w:tcPr>
          <w:p w14:paraId="7D6D629E" w14:textId="77777777" w:rsidR="00F528F1" w:rsidRPr="00F528F1" w:rsidRDefault="00F528F1" w:rsidP="00F528F1">
            <w:pPr>
              <w:tabs>
                <w:tab w:val="clear" w:pos="794"/>
                <w:tab w:val="clear" w:pos="1191"/>
                <w:tab w:val="clear" w:pos="1588"/>
                <w:tab w:val="clear" w:pos="1985"/>
              </w:tabs>
              <w:overflowPunct/>
              <w:autoSpaceDE/>
              <w:autoSpaceDN/>
              <w:adjustRightInd/>
              <w:spacing w:after="120"/>
              <w:jc w:val="center"/>
              <w:textAlignment w:val="auto"/>
              <w:rPr>
                <w:rFonts w:ascii="Calibri" w:eastAsia="DengXian" w:hAnsi="Calibri"/>
                <w:b/>
                <w:bCs/>
                <w:sz w:val="18"/>
                <w:szCs w:val="18"/>
                <w:lang w:val="en-US"/>
              </w:rPr>
            </w:pPr>
            <w:r w:rsidRPr="00F528F1">
              <w:rPr>
                <w:rFonts w:ascii="Calibri" w:eastAsia="DengXian" w:hAnsi="Calibri"/>
                <w:b/>
                <w:bCs/>
                <w:sz w:val="18"/>
                <w:szCs w:val="18"/>
                <w:lang w:val="en-US"/>
              </w:rPr>
              <w:t>Indonesia</w:t>
            </w:r>
            <w:r w:rsidRPr="00F528F1">
              <w:rPr>
                <w:rFonts w:ascii="Calibri" w:eastAsia="DengXian" w:hAnsi="Calibri"/>
                <w:b/>
                <w:bCs/>
                <w:sz w:val="18"/>
                <w:szCs w:val="18"/>
                <w:lang w:val="en-US"/>
              </w:rPr>
              <w:br/>
              <w:t>(</w:t>
            </w:r>
            <w:hyperlink r:id="rId15" w:history="1">
              <w:r w:rsidRPr="00F528F1">
                <w:rPr>
                  <w:rFonts w:ascii="Calibri" w:eastAsia="DengXian" w:hAnsi="Calibri"/>
                  <w:b/>
                  <w:bCs/>
                  <w:color w:val="0000FF"/>
                  <w:sz w:val="18"/>
                  <w:szCs w:val="18"/>
                  <w:u w:val="single"/>
                  <w:lang w:val="en-US"/>
                </w:rPr>
                <w:t>TDAG-WG-Prep/8</w:t>
              </w:r>
            </w:hyperlink>
            <w:r w:rsidRPr="00F528F1">
              <w:rPr>
                <w:rFonts w:ascii="Calibri" w:eastAsia="DengXian" w:hAnsi="Calibri"/>
                <w:b/>
                <w:bCs/>
                <w:sz w:val="18"/>
                <w:szCs w:val="18"/>
                <w:lang w:val="en-US"/>
              </w:rPr>
              <w:t>)</w:t>
            </w:r>
          </w:p>
        </w:tc>
        <w:tc>
          <w:tcPr>
            <w:tcW w:w="2819" w:type="dxa"/>
            <w:shd w:val="clear" w:color="auto" w:fill="F4B083"/>
            <w:vAlign w:val="center"/>
          </w:tcPr>
          <w:p w14:paraId="686D4C9E" w14:textId="77777777" w:rsidR="00F528F1" w:rsidRPr="00F528F1" w:rsidRDefault="00F528F1" w:rsidP="00F528F1">
            <w:pPr>
              <w:tabs>
                <w:tab w:val="clear" w:pos="794"/>
                <w:tab w:val="clear" w:pos="1191"/>
                <w:tab w:val="clear" w:pos="1588"/>
                <w:tab w:val="clear" w:pos="1985"/>
              </w:tabs>
              <w:overflowPunct/>
              <w:autoSpaceDE/>
              <w:autoSpaceDN/>
              <w:adjustRightInd/>
              <w:spacing w:after="120"/>
              <w:jc w:val="center"/>
              <w:textAlignment w:val="auto"/>
              <w:rPr>
                <w:rFonts w:ascii="Calibri" w:eastAsia="DengXian" w:hAnsi="Calibri"/>
                <w:b/>
                <w:bCs/>
                <w:sz w:val="18"/>
                <w:szCs w:val="18"/>
                <w:lang w:val="en-US"/>
              </w:rPr>
            </w:pPr>
            <w:r w:rsidRPr="00F528F1">
              <w:rPr>
                <w:rFonts w:ascii="Calibri" w:eastAsia="DengXian" w:hAnsi="Calibri"/>
                <w:b/>
                <w:bCs/>
                <w:sz w:val="18"/>
                <w:szCs w:val="18"/>
                <w:lang w:val="en-US"/>
              </w:rPr>
              <w:t>ESOA</w:t>
            </w:r>
            <w:r w:rsidRPr="00F528F1">
              <w:rPr>
                <w:rFonts w:ascii="Calibri" w:eastAsia="DengXian" w:hAnsi="Calibri"/>
                <w:b/>
                <w:bCs/>
                <w:sz w:val="18"/>
                <w:szCs w:val="18"/>
                <w:lang w:val="en-US"/>
              </w:rPr>
              <w:br/>
              <w:t>(</w:t>
            </w:r>
            <w:hyperlink r:id="rId16" w:history="1">
              <w:r w:rsidRPr="00F528F1">
                <w:rPr>
                  <w:rFonts w:ascii="Calibri" w:eastAsia="DengXian" w:hAnsi="Calibri"/>
                  <w:b/>
                  <w:bCs/>
                  <w:color w:val="0000FF"/>
                  <w:sz w:val="18"/>
                  <w:szCs w:val="18"/>
                  <w:u w:val="single"/>
                  <w:lang w:val="en-US"/>
                </w:rPr>
                <w:t>TDAG-WG-Prep/9</w:t>
              </w:r>
            </w:hyperlink>
            <w:r w:rsidRPr="00F528F1">
              <w:rPr>
                <w:rFonts w:ascii="Calibri" w:eastAsia="DengXian" w:hAnsi="Calibri"/>
                <w:b/>
                <w:bCs/>
                <w:sz w:val="18"/>
                <w:szCs w:val="18"/>
                <w:lang w:val="en-US"/>
              </w:rPr>
              <w:t>)</w:t>
            </w:r>
          </w:p>
        </w:tc>
        <w:tc>
          <w:tcPr>
            <w:tcW w:w="1841" w:type="dxa"/>
            <w:shd w:val="clear" w:color="auto" w:fill="F4B083"/>
            <w:vAlign w:val="center"/>
          </w:tcPr>
          <w:p w14:paraId="4421481A" w14:textId="77777777" w:rsidR="00F528F1" w:rsidRPr="00F528F1" w:rsidRDefault="00F528F1" w:rsidP="00F528F1">
            <w:pPr>
              <w:tabs>
                <w:tab w:val="clear" w:pos="794"/>
                <w:tab w:val="clear" w:pos="1191"/>
                <w:tab w:val="clear" w:pos="1588"/>
                <w:tab w:val="clear" w:pos="1985"/>
              </w:tabs>
              <w:overflowPunct/>
              <w:autoSpaceDE/>
              <w:autoSpaceDN/>
              <w:adjustRightInd/>
              <w:spacing w:after="120"/>
              <w:jc w:val="center"/>
              <w:textAlignment w:val="auto"/>
              <w:rPr>
                <w:rFonts w:ascii="Calibri" w:eastAsia="DengXian" w:hAnsi="Calibri"/>
                <w:b/>
                <w:bCs/>
                <w:sz w:val="18"/>
                <w:szCs w:val="18"/>
                <w:lang w:val="en-US"/>
              </w:rPr>
            </w:pPr>
            <w:r w:rsidRPr="00F528F1">
              <w:rPr>
                <w:rFonts w:ascii="Calibri" w:eastAsia="DengXian" w:hAnsi="Calibri"/>
                <w:b/>
                <w:bCs/>
                <w:sz w:val="18"/>
                <w:szCs w:val="18"/>
                <w:lang w:val="en-US"/>
              </w:rPr>
              <w:t>Lithuania</w:t>
            </w:r>
            <w:r w:rsidRPr="00F528F1">
              <w:rPr>
                <w:rFonts w:ascii="Calibri" w:eastAsia="DengXian" w:hAnsi="Calibri"/>
                <w:b/>
                <w:bCs/>
                <w:sz w:val="18"/>
                <w:szCs w:val="18"/>
                <w:lang w:val="en-US"/>
              </w:rPr>
              <w:br/>
              <w:t>(</w:t>
            </w:r>
            <w:hyperlink r:id="rId17" w:history="1">
              <w:r w:rsidRPr="00F528F1">
                <w:rPr>
                  <w:rFonts w:ascii="Calibri" w:eastAsia="DengXian" w:hAnsi="Calibri"/>
                  <w:b/>
                  <w:bCs/>
                  <w:color w:val="0000FF"/>
                  <w:sz w:val="18"/>
                  <w:szCs w:val="18"/>
                  <w:u w:val="single"/>
                  <w:lang w:val="en-US"/>
                </w:rPr>
                <w:t>TDAG-WG-Prep/10</w:t>
              </w:r>
            </w:hyperlink>
            <w:r w:rsidRPr="00F528F1">
              <w:rPr>
                <w:rFonts w:ascii="Calibri" w:eastAsia="DengXian" w:hAnsi="Calibri"/>
                <w:b/>
                <w:bCs/>
                <w:sz w:val="18"/>
                <w:szCs w:val="18"/>
                <w:lang w:val="en-US"/>
              </w:rPr>
              <w:t>)</w:t>
            </w:r>
          </w:p>
        </w:tc>
        <w:tc>
          <w:tcPr>
            <w:tcW w:w="2139" w:type="dxa"/>
            <w:shd w:val="clear" w:color="auto" w:fill="F4B083"/>
            <w:vAlign w:val="center"/>
          </w:tcPr>
          <w:p w14:paraId="4BD7ED34" w14:textId="77777777" w:rsidR="00F528F1" w:rsidRPr="00F528F1" w:rsidRDefault="00F528F1" w:rsidP="00F528F1">
            <w:pPr>
              <w:tabs>
                <w:tab w:val="clear" w:pos="794"/>
                <w:tab w:val="clear" w:pos="1191"/>
                <w:tab w:val="clear" w:pos="1588"/>
                <w:tab w:val="clear" w:pos="1985"/>
              </w:tabs>
              <w:overflowPunct/>
              <w:autoSpaceDE/>
              <w:autoSpaceDN/>
              <w:adjustRightInd/>
              <w:spacing w:after="120"/>
              <w:jc w:val="center"/>
              <w:textAlignment w:val="auto"/>
              <w:rPr>
                <w:rFonts w:ascii="Calibri" w:eastAsia="DengXian" w:hAnsi="Calibri"/>
                <w:b/>
                <w:bCs/>
                <w:sz w:val="18"/>
                <w:szCs w:val="18"/>
                <w:lang w:val="en-US"/>
              </w:rPr>
            </w:pPr>
            <w:r w:rsidRPr="00F528F1">
              <w:rPr>
                <w:rFonts w:ascii="Calibri" w:eastAsia="DengXian" w:hAnsi="Calibri"/>
                <w:b/>
                <w:bCs/>
                <w:sz w:val="18"/>
                <w:szCs w:val="18"/>
                <w:lang w:val="en-US"/>
              </w:rPr>
              <w:t>Zimbabwe</w:t>
            </w:r>
            <w:r w:rsidRPr="00F528F1">
              <w:rPr>
                <w:rFonts w:ascii="Calibri" w:eastAsia="DengXian" w:hAnsi="Calibri"/>
                <w:b/>
                <w:bCs/>
                <w:sz w:val="18"/>
                <w:szCs w:val="18"/>
                <w:lang w:val="en-US"/>
              </w:rPr>
              <w:br/>
              <w:t>(</w:t>
            </w:r>
            <w:hyperlink r:id="rId18" w:history="1">
              <w:r w:rsidRPr="00F528F1">
                <w:rPr>
                  <w:rFonts w:ascii="Calibri" w:eastAsia="DengXian" w:hAnsi="Calibri"/>
                  <w:b/>
                  <w:bCs/>
                  <w:color w:val="0000FF"/>
                  <w:sz w:val="18"/>
                  <w:szCs w:val="18"/>
                  <w:u w:val="single"/>
                  <w:lang w:val="en-US"/>
                </w:rPr>
                <w:t>TDAG-WG-Prep/11</w:t>
              </w:r>
            </w:hyperlink>
            <w:r w:rsidRPr="00F528F1">
              <w:rPr>
                <w:rFonts w:ascii="Calibri" w:eastAsia="DengXian" w:hAnsi="Calibri"/>
                <w:b/>
                <w:bCs/>
                <w:sz w:val="18"/>
                <w:szCs w:val="18"/>
                <w:lang w:val="en-US"/>
              </w:rPr>
              <w:t>)</w:t>
            </w:r>
          </w:p>
        </w:tc>
      </w:tr>
      <w:tr w:rsidR="00F528F1" w:rsidRPr="00F528F1" w14:paraId="1004BB5E" w14:textId="77777777" w:rsidTr="00F528F1">
        <w:tc>
          <w:tcPr>
            <w:tcW w:w="1907" w:type="dxa"/>
            <w:shd w:val="clear" w:color="auto" w:fill="FFE599"/>
          </w:tcPr>
          <w:p w14:paraId="4C4BB78D"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b/>
                <w:bCs/>
                <w:sz w:val="18"/>
                <w:szCs w:val="18"/>
                <w:lang w:val="en-US"/>
              </w:rPr>
            </w:pPr>
            <w:r w:rsidRPr="00F528F1">
              <w:rPr>
                <w:rFonts w:ascii="Calibri" w:eastAsia="DengXian" w:hAnsi="Calibri"/>
                <w:b/>
                <w:bCs/>
                <w:sz w:val="18"/>
                <w:szCs w:val="18"/>
                <w:lang w:val="en-US"/>
              </w:rPr>
              <w:t>Before the Conference</w:t>
            </w:r>
          </w:p>
        </w:tc>
        <w:tc>
          <w:tcPr>
            <w:tcW w:w="2443" w:type="dxa"/>
            <w:shd w:val="clear" w:color="auto" w:fill="FFE599"/>
          </w:tcPr>
          <w:p w14:paraId="0FCD880C"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c>
          <w:tcPr>
            <w:tcW w:w="2413" w:type="dxa"/>
            <w:shd w:val="clear" w:color="auto" w:fill="FFE599"/>
          </w:tcPr>
          <w:p w14:paraId="5AE8F672"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c>
          <w:tcPr>
            <w:tcW w:w="2819" w:type="dxa"/>
            <w:shd w:val="clear" w:color="auto" w:fill="FFE599"/>
          </w:tcPr>
          <w:p w14:paraId="36435532"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c>
          <w:tcPr>
            <w:tcW w:w="1841" w:type="dxa"/>
            <w:shd w:val="clear" w:color="auto" w:fill="FFE599"/>
          </w:tcPr>
          <w:p w14:paraId="50283A93"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c>
          <w:tcPr>
            <w:tcW w:w="2139" w:type="dxa"/>
            <w:shd w:val="clear" w:color="auto" w:fill="FFE599"/>
          </w:tcPr>
          <w:p w14:paraId="325C0A52"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r>
      <w:tr w:rsidR="00F528F1" w:rsidRPr="00F528F1" w14:paraId="7DFFF4E3" w14:textId="77777777" w:rsidTr="00F528F1">
        <w:tc>
          <w:tcPr>
            <w:tcW w:w="1907" w:type="dxa"/>
            <w:shd w:val="clear" w:color="auto" w:fill="FFF2CC"/>
          </w:tcPr>
          <w:p w14:paraId="2094B4E1"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bCs/>
                <w:sz w:val="18"/>
                <w:szCs w:val="18"/>
                <w:lang w:val="en-US"/>
              </w:rPr>
            </w:pPr>
            <w:r w:rsidRPr="00F528F1">
              <w:rPr>
                <w:rFonts w:ascii="Calibri" w:eastAsia="DengXian" w:hAnsi="Calibri"/>
                <w:bCs/>
                <w:sz w:val="18"/>
                <w:szCs w:val="18"/>
                <w:u w:val="single"/>
                <w:lang w:val="en-US"/>
              </w:rPr>
              <w:t>Inter-Regional Coordination Meetings (IRMs)</w:t>
            </w:r>
          </w:p>
          <w:p w14:paraId="03EBEA44" w14:textId="77777777" w:rsidR="00F528F1" w:rsidRPr="00F528F1" w:rsidRDefault="00F528F1" w:rsidP="00F528F1">
            <w:pPr>
              <w:numPr>
                <w:ilvl w:val="0"/>
                <w:numId w:val="8"/>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How many IRMs should be held and when?</w:t>
            </w:r>
          </w:p>
          <w:p w14:paraId="0C86F3F8" w14:textId="77777777" w:rsidR="00F528F1" w:rsidRPr="00F528F1" w:rsidRDefault="00F528F1" w:rsidP="00F528F1">
            <w:pPr>
              <w:numPr>
                <w:ilvl w:val="0"/>
                <w:numId w:val="8"/>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What should be the format of IRMs?</w:t>
            </w:r>
          </w:p>
          <w:p w14:paraId="304A2C97" w14:textId="77777777" w:rsidR="00F528F1" w:rsidRPr="00F528F1" w:rsidRDefault="00F528F1" w:rsidP="00F528F1">
            <w:pPr>
              <w:numPr>
                <w:ilvl w:val="0"/>
                <w:numId w:val="8"/>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 xml:space="preserve">What should the IRM Agenda include? </w:t>
            </w:r>
          </w:p>
          <w:p w14:paraId="289D58E0" w14:textId="77777777" w:rsidR="00F528F1" w:rsidRPr="00F528F1" w:rsidRDefault="00F528F1" w:rsidP="00F528F1">
            <w:pPr>
              <w:numPr>
                <w:ilvl w:val="0"/>
                <w:numId w:val="8"/>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Should attendance at IRMs be limited, and if so, how many representatives from each region should attend IRMs?</w:t>
            </w:r>
          </w:p>
          <w:p w14:paraId="37674FCF" w14:textId="77777777" w:rsidR="00F528F1" w:rsidRPr="00F528F1" w:rsidRDefault="00F528F1" w:rsidP="00F528F1">
            <w:pPr>
              <w:numPr>
                <w:ilvl w:val="0"/>
                <w:numId w:val="8"/>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How will chairmanship of IRMs be decided?</w:t>
            </w:r>
          </w:p>
          <w:p w14:paraId="116D8827" w14:textId="77777777" w:rsidR="00F528F1" w:rsidRPr="00F528F1" w:rsidRDefault="00F528F1" w:rsidP="00F528F1">
            <w:pPr>
              <w:numPr>
                <w:ilvl w:val="0"/>
                <w:numId w:val="8"/>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US"/>
              </w:rPr>
            </w:pPr>
            <w:r w:rsidRPr="00F528F1">
              <w:rPr>
                <w:rFonts w:ascii="Calibri" w:eastAsia="DengXian" w:hAnsi="Calibri"/>
                <w:bCs/>
                <w:sz w:val="18"/>
                <w:szCs w:val="18"/>
                <w:lang w:val="en-US"/>
              </w:rPr>
              <w:t>What steps should be taken to ensure proper planning and coordination between RPMs, IRMs and RTO preparatory meetings?</w:t>
            </w:r>
          </w:p>
        </w:tc>
        <w:tc>
          <w:tcPr>
            <w:tcW w:w="2443" w:type="dxa"/>
            <w:shd w:val="clear" w:color="auto" w:fill="FFF2CC"/>
          </w:tcPr>
          <w:p w14:paraId="320CEC60"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1.</w:t>
            </w:r>
            <w:r w:rsidRPr="00F528F1">
              <w:rPr>
                <w:rFonts w:ascii="Calibri" w:eastAsia="DengXian" w:hAnsi="Calibri"/>
                <w:sz w:val="18"/>
                <w:szCs w:val="18"/>
                <w:lang w:val="en-US"/>
              </w:rPr>
              <w:t xml:space="preserve"> One two-day meeting not together with TDAG (in replacement of CM-RPM).  Focus on small list of critical issues defined at RPMs, and on organizational and management issues of WTDC.</w:t>
            </w:r>
          </w:p>
          <w:p w14:paraId="34D4FF29"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2.</w:t>
            </w:r>
            <w:r w:rsidRPr="00F528F1">
              <w:rPr>
                <w:rFonts w:ascii="Calibri" w:eastAsia="DengXian" w:hAnsi="Calibri"/>
                <w:sz w:val="18"/>
                <w:szCs w:val="18"/>
                <w:lang w:val="en-US"/>
              </w:rPr>
              <w:t xml:space="preserve"> The IRMs could help reaching a preliminary agreement, but any changes to the preparatory process must keep the sovereign right of any Member State to submit contributions at WTDC by their own.</w:t>
            </w:r>
          </w:p>
          <w:p w14:paraId="6A4D8B07"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b/>
                <w:bCs/>
                <w:sz w:val="18"/>
                <w:szCs w:val="18"/>
                <w:lang w:val="en-US"/>
              </w:rPr>
            </w:pPr>
            <w:r w:rsidRPr="00F528F1">
              <w:rPr>
                <w:rFonts w:ascii="Calibri" w:eastAsia="DengXian" w:hAnsi="Calibri"/>
                <w:b/>
                <w:bCs/>
                <w:sz w:val="18"/>
                <w:szCs w:val="18"/>
                <w:lang w:val="en-US"/>
              </w:rPr>
              <w:t xml:space="preserve">3. </w:t>
            </w:r>
          </w:p>
          <w:p w14:paraId="3BDB8228"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sz w:val="18"/>
                <w:szCs w:val="18"/>
                <w:lang w:val="en-US"/>
              </w:rPr>
              <w:t xml:space="preserve">Discussion towards the list of WTDC </w:t>
            </w:r>
            <w:r w:rsidRPr="00F528F1">
              <w:rPr>
                <w:rFonts w:ascii="Calibri" w:eastAsia="DengXian" w:hAnsi="Calibri"/>
                <w:bCs/>
                <w:sz w:val="18"/>
                <w:szCs w:val="18"/>
                <w:lang w:val="en-US"/>
              </w:rPr>
              <w:t>documents (Resolutions, Declaration, etc.) reflecting the preliminary proposals of RTO;</w:t>
            </w:r>
          </w:p>
          <w:p w14:paraId="6F1D009C"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List of RTO’s coordinators on the each of document discussed above;</w:t>
            </w:r>
          </w:p>
          <w:p w14:paraId="46AD56D5"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US"/>
              </w:rPr>
            </w:pPr>
            <w:r w:rsidRPr="00F528F1">
              <w:rPr>
                <w:rFonts w:ascii="Calibri" w:eastAsia="DengXian" w:hAnsi="Calibri"/>
                <w:bCs/>
                <w:sz w:val="18"/>
                <w:szCs w:val="18"/>
                <w:lang w:val="en-US"/>
              </w:rPr>
              <w:t>Identification of possible problematic documents for WTDC.</w:t>
            </w:r>
          </w:p>
          <w:p w14:paraId="02E91475"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 xml:space="preserve">4. </w:t>
            </w:r>
            <w:r w:rsidRPr="00F528F1">
              <w:rPr>
                <w:rFonts w:ascii="Calibri" w:eastAsia="DengXian" w:hAnsi="Calibri"/>
                <w:sz w:val="18"/>
                <w:szCs w:val="18"/>
                <w:lang w:val="en-US"/>
              </w:rPr>
              <w:t>IRM’s should be limited to the nominated coordinators from RTOs.</w:t>
            </w:r>
          </w:p>
          <w:p w14:paraId="42C26F45"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lastRenderedPageBreak/>
              <w:t xml:space="preserve">5. </w:t>
            </w:r>
            <w:r w:rsidRPr="00F528F1">
              <w:rPr>
                <w:rFonts w:ascii="Calibri" w:eastAsia="DengXian" w:hAnsi="Calibri"/>
                <w:sz w:val="18"/>
                <w:szCs w:val="18"/>
                <w:lang w:val="en-US"/>
              </w:rPr>
              <w:t>Chairman of WTDC-21 should chair the IRMs preferably.</w:t>
            </w:r>
          </w:p>
          <w:p w14:paraId="38338EB3"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 xml:space="preserve">6. </w:t>
            </w:r>
            <w:r w:rsidRPr="00F528F1">
              <w:rPr>
                <w:rFonts w:ascii="Calibri" w:eastAsia="DengXian" w:hAnsi="Calibri"/>
                <w:sz w:val="18"/>
                <w:szCs w:val="18"/>
                <w:lang w:val="en-US"/>
              </w:rPr>
              <w:t>Last</w:t>
            </w:r>
            <w:r w:rsidRPr="00F528F1">
              <w:rPr>
                <w:rFonts w:ascii="Calibri" w:eastAsia="DengXian" w:hAnsi="Calibri"/>
                <w:b/>
                <w:bCs/>
                <w:sz w:val="18"/>
                <w:szCs w:val="18"/>
                <w:lang w:val="en-US"/>
              </w:rPr>
              <w:t xml:space="preserve"> </w:t>
            </w:r>
            <w:r w:rsidRPr="00F528F1">
              <w:rPr>
                <w:rFonts w:ascii="Calibri" w:eastAsia="DengXian" w:hAnsi="Calibri"/>
                <w:sz w:val="18"/>
                <w:szCs w:val="18"/>
                <w:lang w:val="en-US"/>
              </w:rPr>
              <w:t>RTO preparatory meeting should include one/two days of inter-regional coordination, with presence of other RTOs. This participation should be supported by:</w:t>
            </w:r>
          </w:p>
          <w:p w14:paraId="2CF63156"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Translation/interpretation to English.</w:t>
            </w:r>
          </w:p>
          <w:p w14:paraId="7BCF6E94"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Invitations containing means to access online the documents, defined by the RTO for interregional consideration</w:t>
            </w:r>
          </w:p>
          <w:p w14:paraId="5FD228C3"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US"/>
              </w:rPr>
            </w:pPr>
            <w:r w:rsidRPr="00F528F1">
              <w:rPr>
                <w:rFonts w:ascii="Calibri" w:eastAsia="DengXian" w:hAnsi="Calibri"/>
                <w:bCs/>
                <w:sz w:val="18"/>
                <w:szCs w:val="18"/>
                <w:lang w:val="en-US"/>
              </w:rPr>
              <w:t>Agenda containing items related to the input documents of other regional organizations</w:t>
            </w:r>
            <w:r w:rsidRPr="00F528F1">
              <w:rPr>
                <w:rFonts w:ascii="Calibri" w:eastAsia="DengXian" w:hAnsi="Calibri"/>
                <w:sz w:val="18"/>
                <w:szCs w:val="18"/>
                <w:lang w:val="en-US"/>
              </w:rPr>
              <w:t xml:space="preserve"> on their preparatory activity.</w:t>
            </w:r>
          </w:p>
        </w:tc>
        <w:tc>
          <w:tcPr>
            <w:tcW w:w="2413" w:type="dxa"/>
            <w:shd w:val="clear" w:color="auto" w:fill="FFF2CC"/>
          </w:tcPr>
          <w:p w14:paraId="1C72AA91"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lastRenderedPageBreak/>
              <w:t>1.</w:t>
            </w:r>
            <w:r w:rsidRPr="00F528F1">
              <w:rPr>
                <w:rFonts w:ascii="Calibri" w:eastAsia="DengXian" w:hAnsi="Calibri"/>
                <w:sz w:val="18"/>
                <w:szCs w:val="18"/>
                <w:lang w:val="en-US"/>
              </w:rPr>
              <w:t xml:space="preserve"> </w:t>
            </w:r>
          </w:p>
          <w:p w14:paraId="76063B76" w14:textId="77777777" w:rsidR="00F528F1" w:rsidRPr="00F528F1" w:rsidRDefault="00F528F1" w:rsidP="00F528F1">
            <w:pPr>
              <w:numPr>
                <w:ilvl w:val="0"/>
                <w:numId w:val="9"/>
              </w:numPr>
              <w:tabs>
                <w:tab w:val="clear" w:pos="794"/>
                <w:tab w:val="clear" w:pos="1191"/>
                <w:tab w:val="clear" w:pos="1588"/>
                <w:tab w:val="clear" w:pos="1985"/>
              </w:tabs>
              <w:overflowPunct/>
              <w:autoSpaceDE/>
              <w:autoSpaceDN/>
              <w:adjustRightInd/>
              <w:spacing w:before="40" w:after="40"/>
              <w:contextualSpacing/>
              <w:textAlignment w:val="auto"/>
              <w:rPr>
                <w:rFonts w:ascii="Calibri" w:eastAsia="DengXian" w:hAnsi="Calibri"/>
                <w:sz w:val="18"/>
                <w:szCs w:val="18"/>
                <w:lang w:val="id-ID"/>
              </w:rPr>
            </w:pPr>
            <w:r w:rsidRPr="00F528F1">
              <w:rPr>
                <w:rFonts w:ascii="Calibri" w:eastAsia="DengXian" w:hAnsi="Calibri"/>
                <w:sz w:val="18"/>
                <w:szCs w:val="18"/>
              </w:rPr>
              <w:t xml:space="preserve">One fully virtual/hybrid IRM prior to WTDC-21 to allow participation by all countries (including those still affected by COVID-19): aim to </w:t>
            </w:r>
            <w:r w:rsidRPr="00F528F1">
              <w:rPr>
                <w:rFonts w:ascii="Calibri" w:eastAsia="DengXian" w:hAnsi="Calibri"/>
                <w:sz w:val="18"/>
                <w:szCs w:val="18"/>
                <w:lang w:val="en-US"/>
              </w:rPr>
              <w:t>minimize deadlock and potential unresolved contentious issues during WTDC-21, and to leverage IRM as a “mini-WTDC” to fully discuss ideas prior to WTDC.</w:t>
            </w:r>
          </w:p>
          <w:p w14:paraId="6824264F" w14:textId="77777777" w:rsidR="00F528F1" w:rsidRPr="00F528F1" w:rsidRDefault="00F528F1" w:rsidP="00F528F1">
            <w:pPr>
              <w:numPr>
                <w:ilvl w:val="0"/>
                <w:numId w:val="9"/>
              </w:numPr>
              <w:tabs>
                <w:tab w:val="clear" w:pos="794"/>
                <w:tab w:val="clear" w:pos="1191"/>
                <w:tab w:val="clear" w:pos="1588"/>
                <w:tab w:val="clear" w:pos="1985"/>
              </w:tabs>
              <w:overflowPunct/>
              <w:autoSpaceDE/>
              <w:autoSpaceDN/>
              <w:adjustRightInd/>
              <w:spacing w:before="40" w:after="40"/>
              <w:contextualSpacing/>
              <w:textAlignment w:val="auto"/>
              <w:rPr>
                <w:rFonts w:ascii="Calibri" w:eastAsia="DengXian" w:hAnsi="Calibri"/>
                <w:sz w:val="18"/>
                <w:szCs w:val="18"/>
                <w:lang w:val="en-US"/>
              </w:rPr>
            </w:pPr>
            <w:r w:rsidRPr="00F528F1">
              <w:rPr>
                <w:rFonts w:ascii="Calibri" w:eastAsia="DengXian" w:hAnsi="Calibri"/>
                <w:sz w:val="18"/>
                <w:szCs w:val="18"/>
                <w:lang w:val="en-US"/>
              </w:rPr>
              <w:t xml:space="preserve">One </w:t>
            </w:r>
            <w:r w:rsidRPr="00F528F1">
              <w:rPr>
                <w:rFonts w:ascii="Calibri" w:eastAsia="DengXian" w:hAnsi="Calibri"/>
                <w:sz w:val="18"/>
                <w:szCs w:val="18"/>
                <w:lang w:val="id-ID"/>
              </w:rPr>
              <w:t xml:space="preserve">IRM </w:t>
            </w:r>
            <w:r w:rsidRPr="00F528F1">
              <w:rPr>
                <w:rFonts w:ascii="Calibri" w:eastAsia="DengXian" w:hAnsi="Calibri"/>
                <w:sz w:val="18"/>
                <w:szCs w:val="18"/>
                <w:lang w:val="en-US"/>
              </w:rPr>
              <w:t xml:space="preserve">during 3Q </w:t>
            </w:r>
            <w:r w:rsidRPr="00F528F1">
              <w:rPr>
                <w:rFonts w:ascii="Calibri" w:eastAsia="DengXian" w:hAnsi="Calibri"/>
                <w:sz w:val="18"/>
                <w:szCs w:val="18"/>
                <w:lang w:val="id-ID"/>
              </w:rPr>
              <w:t>of 2021</w:t>
            </w:r>
            <w:r w:rsidRPr="00F528F1">
              <w:rPr>
                <w:rFonts w:ascii="Calibri" w:eastAsia="DengXian" w:hAnsi="Calibri"/>
                <w:sz w:val="18"/>
                <w:szCs w:val="18"/>
                <w:lang w:val="en-US"/>
              </w:rPr>
              <w:t xml:space="preserve"> - allowing time for RTOs and MS to formulate (Preliminary) Regional Common Proposals for WTDC-21, and individual country proposals/amendments to existing texts. Also allows delegates of MS to attend WTSA-20 (23 Feb.-5 March 2021) (1Q 2021).</w:t>
            </w:r>
          </w:p>
          <w:p w14:paraId="4DDE9C0F" w14:textId="77777777" w:rsidR="00F528F1" w:rsidRPr="00F528F1" w:rsidRDefault="00F528F1" w:rsidP="00F528F1">
            <w:pPr>
              <w:numPr>
                <w:ilvl w:val="0"/>
                <w:numId w:val="9"/>
              </w:numPr>
              <w:tabs>
                <w:tab w:val="clear" w:pos="794"/>
                <w:tab w:val="clear" w:pos="1191"/>
                <w:tab w:val="clear" w:pos="1588"/>
                <w:tab w:val="clear" w:pos="1985"/>
              </w:tabs>
              <w:overflowPunct/>
              <w:autoSpaceDE/>
              <w:autoSpaceDN/>
              <w:adjustRightInd/>
              <w:spacing w:before="40" w:after="40"/>
              <w:contextualSpacing/>
              <w:textAlignment w:val="auto"/>
              <w:rPr>
                <w:rFonts w:ascii="Calibri" w:eastAsia="DengXian" w:hAnsi="Calibri"/>
                <w:sz w:val="18"/>
                <w:szCs w:val="18"/>
                <w:lang w:val="id-ID"/>
              </w:rPr>
            </w:pPr>
            <w:r w:rsidRPr="00F528F1">
              <w:rPr>
                <w:rFonts w:ascii="Calibri" w:eastAsia="DengXian" w:hAnsi="Calibri"/>
                <w:sz w:val="18"/>
                <w:szCs w:val="18"/>
                <w:lang w:val="en-US"/>
              </w:rPr>
              <w:t xml:space="preserve">IRMs </w:t>
            </w:r>
            <w:r w:rsidRPr="00F528F1">
              <w:rPr>
                <w:rFonts w:ascii="Calibri" w:eastAsia="DengXian" w:hAnsi="Calibri"/>
                <w:sz w:val="18"/>
                <w:szCs w:val="18"/>
                <w:lang w:val="id-ID"/>
              </w:rPr>
              <w:t>should</w:t>
            </w:r>
            <w:r w:rsidRPr="00F528F1">
              <w:rPr>
                <w:rFonts w:ascii="Calibri" w:eastAsia="DengXian" w:hAnsi="Calibri"/>
                <w:sz w:val="18"/>
                <w:szCs w:val="18"/>
                <w:lang w:val="en-US"/>
              </w:rPr>
              <w:t xml:space="preserve"> </w:t>
            </w:r>
            <w:r w:rsidRPr="00F528F1">
              <w:rPr>
                <w:rFonts w:ascii="Calibri" w:eastAsia="DengXian" w:hAnsi="Calibri"/>
                <w:sz w:val="18"/>
                <w:szCs w:val="18"/>
                <w:lang w:val="id-ID"/>
              </w:rPr>
              <w:t>not coincide</w:t>
            </w:r>
            <w:r w:rsidRPr="00F528F1">
              <w:rPr>
                <w:rFonts w:ascii="Calibri" w:eastAsia="DengXian" w:hAnsi="Calibri"/>
                <w:sz w:val="18"/>
                <w:szCs w:val="18"/>
                <w:lang w:val="en-US"/>
              </w:rPr>
              <w:t xml:space="preserve"> </w:t>
            </w:r>
            <w:r w:rsidRPr="00F528F1">
              <w:rPr>
                <w:rFonts w:ascii="Calibri" w:eastAsia="DengXian" w:hAnsi="Calibri"/>
                <w:sz w:val="18"/>
                <w:szCs w:val="18"/>
                <w:lang w:val="id-ID"/>
              </w:rPr>
              <w:t xml:space="preserve">with RPM and RTO </w:t>
            </w:r>
            <w:r w:rsidRPr="00F528F1">
              <w:rPr>
                <w:rFonts w:ascii="Calibri" w:eastAsia="DengXian" w:hAnsi="Calibri"/>
                <w:sz w:val="18"/>
                <w:szCs w:val="18"/>
                <w:lang w:val="en-US"/>
              </w:rPr>
              <w:t xml:space="preserve">Preparatory </w:t>
            </w:r>
            <w:r w:rsidRPr="00F528F1">
              <w:rPr>
                <w:rFonts w:ascii="Calibri" w:eastAsia="DengXian" w:hAnsi="Calibri"/>
                <w:sz w:val="18"/>
                <w:szCs w:val="18"/>
                <w:lang w:val="id-ID"/>
              </w:rPr>
              <w:t>Meeting</w:t>
            </w:r>
            <w:r w:rsidRPr="00F528F1">
              <w:rPr>
                <w:rFonts w:ascii="Calibri" w:eastAsia="DengXian" w:hAnsi="Calibri"/>
                <w:sz w:val="18"/>
                <w:szCs w:val="18"/>
                <w:lang w:val="en-US"/>
              </w:rPr>
              <w:t>s</w:t>
            </w:r>
            <w:r w:rsidRPr="00F528F1">
              <w:rPr>
                <w:rFonts w:ascii="Calibri" w:eastAsia="DengXian" w:hAnsi="Calibri"/>
                <w:sz w:val="18"/>
                <w:szCs w:val="18"/>
                <w:lang w:val="id-ID"/>
              </w:rPr>
              <w:t>.</w:t>
            </w:r>
            <w:r w:rsidRPr="00F528F1">
              <w:rPr>
                <w:rFonts w:ascii="Calibri" w:eastAsia="DengXian" w:hAnsi="Calibri"/>
                <w:sz w:val="18"/>
                <w:szCs w:val="18"/>
                <w:lang w:val="en-US"/>
              </w:rPr>
              <w:t xml:space="preserve"> Consultation BDT-RTOs necessary.</w:t>
            </w:r>
            <w:r w:rsidRPr="00F528F1">
              <w:rPr>
                <w:rFonts w:ascii="Calibri" w:eastAsia="DengXian" w:hAnsi="Calibri"/>
                <w:sz w:val="18"/>
                <w:szCs w:val="18"/>
                <w:lang w:val="id-ID"/>
              </w:rPr>
              <w:t xml:space="preserve"> </w:t>
            </w:r>
            <w:r w:rsidRPr="00F528F1">
              <w:rPr>
                <w:rFonts w:ascii="Calibri" w:eastAsia="DengXian" w:hAnsi="Calibri"/>
                <w:sz w:val="18"/>
                <w:szCs w:val="18"/>
                <w:lang w:val="en-US"/>
              </w:rPr>
              <w:t>Proposed schedule for ASP</w:t>
            </w:r>
            <w:r w:rsidRPr="00F528F1">
              <w:rPr>
                <w:rFonts w:ascii="Calibri" w:eastAsia="DengXian" w:hAnsi="Calibri"/>
                <w:sz w:val="18"/>
                <w:szCs w:val="18"/>
                <w:lang w:val="id-ID"/>
              </w:rPr>
              <w:t xml:space="preserve"> in Annex</w:t>
            </w:r>
            <w:r w:rsidRPr="00F528F1">
              <w:rPr>
                <w:rFonts w:ascii="Calibri" w:eastAsia="DengXian" w:hAnsi="Calibri"/>
                <w:sz w:val="18"/>
                <w:szCs w:val="18"/>
                <w:lang w:val="en-US"/>
              </w:rPr>
              <w:t> </w:t>
            </w:r>
            <w:r w:rsidRPr="00F528F1">
              <w:rPr>
                <w:rFonts w:ascii="Calibri" w:eastAsia="DengXian" w:hAnsi="Calibri"/>
                <w:sz w:val="18"/>
                <w:szCs w:val="18"/>
                <w:lang w:val="id-ID"/>
              </w:rPr>
              <w:t>1.</w:t>
            </w:r>
          </w:p>
          <w:p w14:paraId="7015D2D9"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lastRenderedPageBreak/>
              <w:t>2.</w:t>
            </w:r>
            <w:r w:rsidRPr="00F528F1">
              <w:rPr>
                <w:rFonts w:ascii="Calibri" w:eastAsia="DengXian" w:hAnsi="Calibri"/>
                <w:sz w:val="18"/>
                <w:szCs w:val="18"/>
                <w:lang w:val="en-US"/>
              </w:rPr>
              <w:t xml:space="preserve"> Attendance fully open to MS so IRM become a platform where RTOs and MS can discuss and debate their views regarding proposals for streamlining of WTDC texts, prior to WTDC (refer to </w:t>
            </w:r>
            <w:r w:rsidRPr="00F528F1">
              <w:rPr>
                <w:rFonts w:ascii="Calibri" w:eastAsia="DengXian" w:hAnsi="Calibri"/>
                <w:sz w:val="18"/>
                <w:szCs w:val="18"/>
                <w:lang w:val="id-ID"/>
              </w:rPr>
              <w:t>CPM</w:t>
            </w:r>
            <w:r w:rsidRPr="00F528F1">
              <w:rPr>
                <w:rFonts w:ascii="Calibri" w:eastAsia="DengXian" w:hAnsi="Calibri"/>
                <w:sz w:val="18"/>
                <w:szCs w:val="18"/>
                <w:lang w:val="en-US"/>
              </w:rPr>
              <w:t xml:space="preserve"> for </w:t>
            </w:r>
            <w:r w:rsidRPr="00F528F1">
              <w:rPr>
                <w:rFonts w:ascii="Calibri" w:eastAsia="DengXian" w:hAnsi="Calibri"/>
                <w:sz w:val="18"/>
                <w:szCs w:val="18"/>
                <w:lang w:val="id-ID"/>
              </w:rPr>
              <w:t>WRC-19 and Interregional Meeting for WTSA-20.</w:t>
            </w:r>
          </w:p>
          <w:p w14:paraId="1046C226"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 xml:space="preserve">3. </w:t>
            </w:r>
            <w:r w:rsidRPr="00F528F1">
              <w:rPr>
                <w:rFonts w:ascii="Calibri" w:eastAsia="DengXian" w:hAnsi="Calibri"/>
                <w:sz w:val="18"/>
                <w:szCs w:val="18"/>
                <w:lang w:val="en-US"/>
              </w:rPr>
              <w:t xml:space="preserve">The IRM Agenda should comprise of the following items, but not limited to: </w:t>
            </w:r>
          </w:p>
          <w:p w14:paraId="0592F444"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Suppression, modification, or streamlining of WTDC resolutions</w:t>
            </w:r>
          </w:p>
          <w:p w14:paraId="71B17A9D"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Structure and agenda of WTDC-21 (ideas on how the high-level track and side events would be arranged to maximize their impact for future ITU-D projects)</w:t>
            </w:r>
          </w:p>
          <w:p w14:paraId="40B9D5CB"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
                <w:bCs/>
                <w:sz w:val="18"/>
                <w:szCs w:val="18"/>
                <w:lang w:val="en-US"/>
              </w:rPr>
            </w:pPr>
            <w:r w:rsidRPr="00F528F1">
              <w:rPr>
                <w:rFonts w:ascii="Calibri" w:eastAsia="DengXian" w:hAnsi="Calibri"/>
                <w:bCs/>
                <w:sz w:val="18"/>
                <w:szCs w:val="18"/>
                <w:lang w:val="en-US"/>
              </w:rPr>
              <w:t>Target invitations (ITU-D member countries, sector members, academia, funding</w:t>
            </w:r>
            <w:r w:rsidRPr="00F528F1">
              <w:rPr>
                <w:rFonts w:ascii="Calibri" w:eastAsia="DengXian" w:hAnsi="Calibri"/>
                <w:sz w:val="18"/>
                <w:szCs w:val="18"/>
                <w:lang w:val="en-US"/>
              </w:rPr>
              <w:t xml:space="preserve"> entities, etc.)</w:t>
            </w:r>
          </w:p>
          <w:p w14:paraId="344B90DB"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id-ID"/>
              </w:rPr>
            </w:pPr>
            <w:r w:rsidRPr="00F528F1">
              <w:rPr>
                <w:rFonts w:ascii="Calibri" w:eastAsia="DengXian" w:hAnsi="Calibri"/>
                <w:b/>
                <w:bCs/>
                <w:sz w:val="18"/>
                <w:szCs w:val="18"/>
                <w:lang w:val="en-US"/>
              </w:rPr>
              <w:t xml:space="preserve">4. </w:t>
            </w:r>
            <w:r w:rsidRPr="00F528F1">
              <w:rPr>
                <w:rFonts w:ascii="Calibri" w:eastAsia="DengXian" w:hAnsi="Calibri"/>
                <w:sz w:val="18"/>
                <w:szCs w:val="18"/>
                <w:lang w:val="en-US"/>
              </w:rPr>
              <w:t xml:space="preserve">Attendance fully open to MS so IRM become a platform where RTOs and MS can discuss and debate their views regarding proposals for streamlining of WTDC texts, prior to WTDC (refer to </w:t>
            </w:r>
            <w:r w:rsidRPr="00F528F1">
              <w:rPr>
                <w:rFonts w:ascii="Calibri" w:eastAsia="DengXian" w:hAnsi="Calibri"/>
                <w:sz w:val="18"/>
                <w:szCs w:val="18"/>
                <w:lang w:val="id-ID"/>
              </w:rPr>
              <w:t>CPM</w:t>
            </w:r>
            <w:r w:rsidRPr="00F528F1">
              <w:rPr>
                <w:rFonts w:ascii="Calibri" w:eastAsia="DengXian" w:hAnsi="Calibri"/>
                <w:sz w:val="18"/>
                <w:szCs w:val="18"/>
                <w:lang w:val="en-US"/>
              </w:rPr>
              <w:t xml:space="preserve"> for </w:t>
            </w:r>
            <w:r w:rsidRPr="00F528F1">
              <w:rPr>
                <w:rFonts w:ascii="Calibri" w:eastAsia="DengXian" w:hAnsi="Calibri"/>
                <w:sz w:val="18"/>
                <w:szCs w:val="18"/>
                <w:lang w:val="id-ID"/>
              </w:rPr>
              <w:t>WRC-19 and Interregional Meeting for WTSA-20.</w:t>
            </w:r>
          </w:p>
          <w:p w14:paraId="5200FFAB"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b/>
                <w:bCs/>
                <w:sz w:val="18"/>
                <w:szCs w:val="18"/>
                <w:lang w:val="en-US"/>
              </w:rPr>
            </w:pPr>
            <w:r w:rsidRPr="00F528F1">
              <w:rPr>
                <w:rFonts w:ascii="Calibri" w:eastAsia="DengXian" w:hAnsi="Calibri"/>
                <w:b/>
                <w:bCs/>
                <w:sz w:val="18"/>
                <w:szCs w:val="18"/>
                <w:lang w:val="en-US"/>
              </w:rPr>
              <w:t xml:space="preserve">5. </w:t>
            </w:r>
            <w:r w:rsidRPr="00F528F1">
              <w:rPr>
                <w:rFonts w:ascii="Calibri" w:eastAsia="DengXian" w:hAnsi="Calibri"/>
                <w:sz w:val="18"/>
                <w:szCs w:val="18"/>
                <w:lang w:val="id-ID"/>
              </w:rPr>
              <w:t xml:space="preserve">The chairmanship </w:t>
            </w:r>
            <w:r w:rsidRPr="00F528F1">
              <w:rPr>
                <w:rFonts w:ascii="Calibri" w:eastAsia="DengXian" w:hAnsi="Calibri"/>
                <w:sz w:val="18"/>
                <w:szCs w:val="18"/>
                <w:lang w:val="en-US"/>
              </w:rPr>
              <w:t xml:space="preserve">and office bearers </w:t>
            </w:r>
            <w:r w:rsidRPr="00F528F1">
              <w:rPr>
                <w:rFonts w:ascii="Calibri" w:eastAsia="DengXian" w:hAnsi="Calibri"/>
                <w:sz w:val="18"/>
                <w:szCs w:val="18"/>
                <w:lang w:val="id-ID"/>
              </w:rPr>
              <w:t xml:space="preserve">of </w:t>
            </w:r>
            <w:r w:rsidRPr="00F528F1">
              <w:rPr>
                <w:rFonts w:ascii="Calibri" w:eastAsia="DengXian" w:hAnsi="Calibri"/>
                <w:sz w:val="18"/>
                <w:szCs w:val="18"/>
                <w:lang w:val="en-US"/>
              </w:rPr>
              <w:t xml:space="preserve">the </w:t>
            </w:r>
            <w:r w:rsidRPr="00F528F1">
              <w:rPr>
                <w:rFonts w:ascii="Calibri" w:eastAsia="DengXian" w:hAnsi="Calibri"/>
                <w:sz w:val="18"/>
                <w:szCs w:val="18"/>
                <w:lang w:val="id-ID"/>
              </w:rPr>
              <w:t xml:space="preserve">IRM should be decided </w:t>
            </w:r>
            <w:r w:rsidRPr="00F528F1">
              <w:rPr>
                <w:rFonts w:ascii="Calibri" w:eastAsia="DengXian" w:hAnsi="Calibri"/>
                <w:sz w:val="18"/>
                <w:szCs w:val="18"/>
                <w:lang w:val="en-US"/>
              </w:rPr>
              <w:t xml:space="preserve">during </w:t>
            </w:r>
            <w:r w:rsidRPr="00F528F1">
              <w:rPr>
                <w:rFonts w:ascii="Calibri" w:eastAsia="DengXian" w:hAnsi="Calibri"/>
                <w:sz w:val="18"/>
                <w:szCs w:val="18"/>
                <w:lang w:val="id-ID"/>
              </w:rPr>
              <w:lastRenderedPageBreak/>
              <w:t>TDAG-20</w:t>
            </w:r>
            <w:r w:rsidRPr="00F528F1">
              <w:rPr>
                <w:rFonts w:ascii="Calibri" w:eastAsia="DengXian" w:hAnsi="Calibri"/>
                <w:sz w:val="18"/>
                <w:szCs w:val="18"/>
                <w:lang w:val="en-US"/>
              </w:rPr>
              <w:t>/</w:t>
            </w:r>
            <w:r w:rsidRPr="00F528F1">
              <w:rPr>
                <w:rFonts w:ascii="Calibri" w:eastAsia="DengXian" w:hAnsi="Calibri"/>
                <w:sz w:val="18"/>
                <w:szCs w:val="18"/>
                <w:lang w:val="id-ID"/>
              </w:rPr>
              <w:t>3</w:t>
            </w:r>
            <w:r w:rsidRPr="00F528F1">
              <w:rPr>
                <w:rFonts w:ascii="Calibri" w:eastAsia="DengXian" w:hAnsi="Calibri"/>
                <w:sz w:val="18"/>
                <w:szCs w:val="18"/>
                <w:lang w:val="en-US"/>
              </w:rPr>
              <w:t>, on</w:t>
            </w:r>
            <w:r w:rsidRPr="00F528F1">
              <w:rPr>
                <w:rFonts w:ascii="Calibri" w:eastAsia="DengXian" w:hAnsi="Calibri"/>
                <w:sz w:val="18"/>
                <w:szCs w:val="18"/>
                <w:lang w:val="id-ID"/>
              </w:rPr>
              <w:t xml:space="preserve"> 23 November 2020</w:t>
            </w:r>
            <w:r w:rsidRPr="00F528F1">
              <w:rPr>
                <w:rFonts w:ascii="Calibri" w:eastAsia="DengXian" w:hAnsi="Calibri"/>
                <w:sz w:val="18"/>
                <w:szCs w:val="18"/>
                <w:lang w:val="en-US"/>
              </w:rPr>
              <w:t>.</w:t>
            </w:r>
          </w:p>
        </w:tc>
        <w:tc>
          <w:tcPr>
            <w:tcW w:w="2819" w:type="dxa"/>
            <w:shd w:val="clear" w:color="auto" w:fill="FFF2CC"/>
          </w:tcPr>
          <w:p w14:paraId="0B5D225C"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lastRenderedPageBreak/>
              <w:t>--</w:t>
            </w:r>
          </w:p>
        </w:tc>
        <w:tc>
          <w:tcPr>
            <w:tcW w:w="1841" w:type="dxa"/>
            <w:shd w:val="clear" w:color="auto" w:fill="FFF2CC"/>
          </w:tcPr>
          <w:p w14:paraId="0EFBD1BB"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1.</w:t>
            </w:r>
            <w:r w:rsidRPr="00F528F1">
              <w:rPr>
                <w:rFonts w:ascii="Calibri" w:eastAsia="DengXian" w:hAnsi="Calibri"/>
                <w:sz w:val="18"/>
                <w:szCs w:val="18"/>
                <w:lang w:val="en-US"/>
              </w:rPr>
              <w:t xml:space="preserve"> IRMs to be held after every two RPMs (after 2, 4, 6 RPMs), </w:t>
            </w:r>
            <w:r w:rsidRPr="00F528F1">
              <w:rPr>
                <w:rFonts w:ascii="Calibri" w:eastAsia="DengXian" w:hAnsi="Calibri"/>
                <w:i/>
                <w:iCs/>
                <w:sz w:val="18"/>
                <w:szCs w:val="18"/>
                <w:lang w:val="en-US"/>
              </w:rPr>
              <w:t>i.e.</w:t>
            </w:r>
            <w:r w:rsidRPr="00F528F1">
              <w:rPr>
                <w:rFonts w:ascii="Calibri" w:eastAsia="DengXian" w:hAnsi="Calibri"/>
                <w:sz w:val="18"/>
                <w:szCs w:val="18"/>
                <w:lang w:val="en-US"/>
              </w:rPr>
              <w:t xml:space="preserve"> three in 2021, with possibility to hold additional IRMs if needed. Need reasonable time after RPMs (</w:t>
            </w:r>
            <w:r w:rsidRPr="00F528F1">
              <w:rPr>
                <w:rFonts w:ascii="Calibri" w:eastAsia="DengXian" w:hAnsi="Calibri"/>
                <w:i/>
                <w:iCs/>
                <w:sz w:val="18"/>
                <w:szCs w:val="18"/>
                <w:lang w:val="en-US"/>
              </w:rPr>
              <w:t>e. g.</w:t>
            </w:r>
            <w:r w:rsidRPr="00F528F1">
              <w:rPr>
                <w:rFonts w:ascii="Calibri" w:eastAsia="DengXian" w:hAnsi="Calibri"/>
                <w:sz w:val="18"/>
                <w:szCs w:val="18"/>
                <w:lang w:val="en-US"/>
              </w:rPr>
              <w:t xml:space="preserve"> a week) till successive IRM to share the outcomes of regional meetings with the representatives of other regions and give them sufficient time to prepare for IRM.</w:t>
            </w:r>
          </w:p>
          <w:p w14:paraId="6DA9B026"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2.</w:t>
            </w:r>
            <w:r w:rsidRPr="00F528F1">
              <w:rPr>
                <w:rFonts w:ascii="Calibri" w:eastAsia="DengXian" w:hAnsi="Calibri"/>
                <w:sz w:val="18"/>
                <w:szCs w:val="18"/>
                <w:lang w:val="en-US"/>
              </w:rPr>
              <w:t xml:space="preserve"> Agenda for IRMs may be organized mainly basing on the proposals from BDT, RPMs and RTOs and cover the topics that need coordination between different regions. IRMs shall also be used for sharing the relevant information (presenting the reports from regional activities).</w:t>
            </w:r>
          </w:p>
          <w:p w14:paraId="21D78B02"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lastRenderedPageBreak/>
              <w:t>3.</w:t>
            </w:r>
            <w:r w:rsidRPr="00F528F1">
              <w:rPr>
                <w:rFonts w:ascii="Calibri" w:eastAsia="DengXian" w:hAnsi="Calibri"/>
                <w:sz w:val="18"/>
                <w:szCs w:val="18"/>
                <w:lang w:val="en-US"/>
              </w:rPr>
              <w:t xml:space="preserve"> RTOs shall decide who will represent a region at IRMs, up to 5 representatives max. per region. Representatives from other stakeholders involved in preparation of WTDC-21 may also attend.</w:t>
            </w:r>
          </w:p>
          <w:p w14:paraId="64FC8019"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4.</w:t>
            </w:r>
            <w:r w:rsidRPr="00F528F1">
              <w:rPr>
                <w:rFonts w:ascii="Calibri" w:eastAsia="DengXian" w:hAnsi="Calibri"/>
                <w:sz w:val="18"/>
                <w:szCs w:val="18"/>
                <w:lang w:val="en-US"/>
              </w:rPr>
              <w:t xml:space="preserve"> The best practice of preparation for other ITU conferences shall be incorporated in planning and work of IRMs.</w:t>
            </w:r>
          </w:p>
        </w:tc>
        <w:tc>
          <w:tcPr>
            <w:tcW w:w="2139" w:type="dxa"/>
            <w:shd w:val="clear" w:color="auto" w:fill="FFF2CC"/>
          </w:tcPr>
          <w:p w14:paraId="45CB3E03"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ZW"/>
              </w:rPr>
            </w:pPr>
            <w:r w:rsidRPr="00F528F1">
              <w:rPr>
                <w:rFonts w:ascii="Calibri" w:eastAsia="DengXian" w:hAnsi="Calibri"/>
                <w:b/>
                <w:bCs/>
                <w:sz w:val="18"/>
                <w:szCs w:val="18"/>
                <w:lang w:val="en-US"/>
              </w:rPr>
              <w:lastRenderedPageBreak/>
              <w:t>1-2-3.</w:t>
            </w:r>
            <w:r w:rsidRPr="00F528F1">
              <w:rPr>
                <w:rFonts w:ascii="Calibri" w:eastAsia="DengXian" w:hAnsi="Calibri"/>
                <w:sz w:val="18"/>
                <w:szCs w:val="18"/>
                <w:lang w:val="en-US"/>
              </w:rPr>
              <w:t xml:space="preserve"> </w:t>
            </w:r>
            <w:r w:rsidRPr="00F528F1">
              <w:rPr>
                <w:rFonts w:ascii="Calibri" w:eastAsia="DengXian" w:hAnsi="Calibri"/>
                <w:sz w:val="18"/>
                <w:szCs w:val="18"/>
                <w:lang w:val="en-ZW"/>
              </w:rPr>
              <w:t>The ideal: one after every RPM. Practically and due to cost issues, it is proposed to hold four IRMs as follows:</w:t>
            </w:r>
          </w:p>
          <w:p w14:paraId="2116C764"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US"/>
              </w:rPr>
            </w:pPr>
            <w:r w:rsidRPr="00F528F1">
              <w:rPr>
                <w:rFonts w:ascii="Calibri" w:eastAsia="DengXian" w:hAnsi="Calibri"/>
                <w:sz w:val="18"/>
                <w:szCs w:val="18"/>
                <w:lang w:val="en-US"/>
              </w:rPr>
              <w:t xml:space="preserve">IRM after every two RPMs.  For example, after the AFR and ARB Regions RPMs that adopt the proposals for each region, an IRM attended by representatives from all regions, is held. This would apply to rest of six regions. At the end of all RPMs, three IRMs, would have been held. </w:t>
            </w:r>
          </w:p>
          <w:p w14:paraId="01EC1A0E"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US"/>
              </w:rPr>
            </w:pPr>
            <w:r w:rsidRPr="00F528F1">
              <w:rPr>
                <w:rFonts w:ascii="Calibri" w:eastAsia="DengXian" w:hAnsi="Calibri"/>
                <w:sz w:val="18"/>
                <w:szCs w:val="18"/>
                <w:lang w:val="en-US"/>
              </w:rPr>
              <w:t>Agendas of IRMs would be to discuss any issues of common interest arising from the relevant two RPMs, issues which the regions whose meetings preceded the IRM require support, as well as issues relating formulation of SG questions, streamlining of resolutions and regional priorities.</w:t>
            </w:r>
          </w:p>
          <w:p w14:paraId="59B02C94"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US"/>
              </w:rPr>
            </w:pPr>
            <w:r w:rsidRPr="00F528F1">
              <w:rPr>
                <w:rFonts w:ascii="Calibri" w:eastAsia="DengXian" w:hAnsi="Calibri"/>
                <w:sz w:val="18"/>
                <w:szCs w:val="18"/>
                <w:lang w:val="en-US"/>
              </w:rPr>
              <w:lastRenderedPageBreak/>
              <w:t>Final IRM at least two months before WTDC to review consolidated outcomes of the three IRMs and work at reaching consensus on Regional priorities/initiatives, new and or revised resolu</w:t>
            </w:r>
            <w:r w:rsidRPr="00F528F1">
              <w:rPr>
                <w:rFonts w:ascii="Calibri" w:eastAsia="DengXian" w:hAnsi="Calibri"/>
                <w:sz w:val="18"/>
                <w:szCs w:val="18"/>
                <w:lang w:val="en-ZW"/>
              </w:rPr>
              <w:t>tions, strategic plan and budget, draft SG questions, Declaration and discuss strategic partnerships.</w:t>
            </w:r>
          </w:p>
          <w:p w14:paraId="56AB0B06"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ZW"/>
              </w:rPr>
            </w:pPr>
            <w:r w:rsidRPr="00F528F1">
              <w:rPr>
                <w:rFonts w:ascii="Calibri" w:eastAsia="DengXian" w:hAnsi="Calibri"/>
                <w:b/>
                <w:bCs/>
                <w:sz w:val="18"/>
                <w:szCs w:val="18"/>
                <w:lang w:val="en-US"/>
              </w:rPr>
              <w:t>4-5.</w:t>
            </w:r>
            <w:r w:rsidRPr="00F528F1">
              <w:rPr>
                <w:rFonts w:ascii="Calibri" w:eastAsia="DengXian" w:hAnsi="Calibri"/>
                <w:sz w:val="18"/>
                <w:szCs w:val="18"/>
                <w:lang w:val="en-US"/>
              </w:rPr>
              <w:t xml:space="preserve"> </w:t>
            </w:r>
            <w:r w:rsidRPr="00F528F1">
              <w:rPr>
                <w:rFonts w:ascii="Calibri" w:eastAsia="DengXian" w:hAnsi="Calibri"/>
                <w:sz w:val="18"/>
                <w:szCs w:val="18"/>
                <w:lang w:val="en-ZW"/>
              </w:rPr>
              <w:t xml:space="preserve">Participation limited to a maximum of ten representatives per region (cut costs and keep meetings manageable). </w:t>
            </w:r>
          </w:p>
          <w:p w14:paraId="7AD2CD2D"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ZW"/>
              </w:rPr>
            </w:pPr>
            <w:r w:rsidRPr="00F528F1">
              <w:rPr>
                <w:rFonts w:ascii="Calibri" w:eastAsia="DengXian" w:hAnsi="Calibri"/>
                <w:sz w:val="18"/>
                <w:szCs w:val="18"/>
                <w:lang w:val="en-ZW"/>
              </w:rPr>
              <w:t>Regions to use sub regions or geographical representation as a determining factor and have representatives that speak to underserved communities, when appointing representatives. For example for Africa: North Africa, Southern Africa, East Africa West Africa and central Africa. Other representatives could cover, investors including financial institutions, operators, the youth and donor organisations.</w:t>
            </w:r>
          </w:p>
          <w:p w14:paraId="04163C0D"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ZW"/>
              </w:rPr>
            </w:pPr>
            <w:r w:rsidRPr="00F528F1">
              <w:rPr>
                <w:rFonts w:ascii="Calibri" w:eastAsia="DengXian" w:hAnsi="Calibri"/>
                <w:sz w:val="18"/>
                <w:szCs w:val="18"/>
                <w:lang w:val="en-ZW"/>
              </w:rPr>
              <w:lastRenderedPageBreak/>
              <w:t>Given the link between the first three IRMs with specific regions, concerned regions to appoint the Chair of the IRM related to their regions, with vice chairs coming from all regions.</w:t>
            </w:r>
          </w:p>
          <w:p w14:paraId="640A6635"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ZW"/>
              </w:rPr>
              <w:t>6.</w:t>
            </w:r>
            <w:r w:rsidRPr="00F528F1">
              <w:rPr>
                <w:rFonts w:ascii="Calibri" w:eastAsia="DengXian" w:hAnsi="Calibri"/>
                <w:sz w:val="18"/>
                <w:szCs w:val="18"/>
                <w:lang w:val="en-ZW"/>
              </w:rPr>
              <w:t xml:space="preserve"> With regard to coordinators between RPMs and IRMs and RTOs: each region to appoint coordinators for the region, while the secretariat of the RTOs are allowed to play an overall coordinating role.</w:t>
            </w:r>
          </w:p>
        </w:tc>
      </w:tr>
      <w:tr w:rsidR="00F528F1" w:rsidRPr="00F528F1" w14:paraId="1CC7EB3F" w14:textId="77777777" w:rsidTr="00F528F1">
        <w:tc>
          <w:tcPr>
            <w:tcW w:w="1907" w:type="dxa"/>
            <w:shd w:val="clear" w:color="auto" w:fill="FBE4D5"/>
          </w:tcPr>
          <w:p w14:paraId="5F62AF69"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bCs/>
                <w:sz w:val="18"/>
                <w:szCs w:val="18"/>
                <w:u w:val="single"/>
                <w:lang w:val="en-US"/>
              </w:rPr>
            </w:pPr>
            <w:r w:rsidRPr="00F528F1">
              <w:rPr>
                <w:rFonts w:ascii="Calibri" w:eastAsia="DengXian" w:hAnsi="Calibri"/>
                <w:bCs/>
                <w:sz w:val="18"/>
                <w:szCs w:val="18"/>
                <w:u w:val="single"/>
                <w:lang w:val="en-US"/>
              </w:rPr>
              <w:lastRenderedPageBreak/>
              <w:t>Promoting Wider Participation in WTDC</w:t>
            </w:r>
          </w:p>
          <w:p w14:paraId="67F02E3A" w14:textId="77777777" w:rsidR="00F528F1" w:rsidRPr="00F528F1" w:rsidRDefault="00F528F1" w:rsidP="00F528F1">
            <w:pPr>
              <w:numPr>
                <w:ilvl w:val="0"/>
                <w:numId w:val="6"/>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What constituent groups should be targeted for WTDC-21?</w:t>
            </w:r>
          </w:p>
          <w:p w14:paraId="042A542B" w14:textId="77777777" w:rsidR="00F528F1" w:rsidRPr="00F528F1" w:rsidRDefault="00F528F1" w:rsidP="00F528F1">
            <w:pPr>
              <w:numPr>
                <w:ilvl w:val="0"/>
                <w:numId w:val="6"/>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bCs/>
                <w:sz w:val="18"/>
                <w:szCs w:val="18"/>
                <w:lang w:val="en-US"/>
              </w:rPr>
            </w:pPr>
            <w:r w:rsidRPr="00F528F1">
              <w:rPr>
                <w:rFonts w:ascii="Calibri" w:eastAsia="DengXian" w:hAnsi="Calibri"/>
                <w:bCs/>
                <w:sz w:val="18"/>
                <w:szCs w:val="18"/>
                <w:lang w:val="en-US"/>
              </w:rPr>
              <w:t>How should WTDC-21 be promoted?</w:t>
            </w:r>
          </w:p>
          <w:p w14:paraId="66EBBB14" w14:textId="77777777" w:rsidR="00F528F1" w:rsidRPr="00F528F1" w:rsidRDefault="00F528F1" w:rsidP="00F528F1">
            <w:pPr>
              <w:numPr>
                <w:ilvl w:val="0"/>
                <w:numId w:val="6"/>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US"/>
              </w:rPr>
            </w:pPr>
            <w:r w:rsidRPr="00F528F1">
              <w:rPr>
                <w:rFonts w:ascii="Calibri" w:eastAsia="DengXian" w:hAnsi="Calibri"/>
                <w:bCs/>
                <w:sz w:val="18"/>
                <w:szCs w:val="18"/>
                <w:lang w:val="en-US"/>
              </w:rPr>
              <w:t>Which other high-profile forums can be used to raise awareness and interest on WTDC, and how should ITU go about doing this?</w:t>
            </w:r>
          </w:p>
        </w:tc>
        <w:tc>
          <w:tcPr>
            <w:tcW w:w="2443" w:type="dxa"/>
            <w:shd w:val="clear" w:color="auto" w:fill="FBE4D5"/>
          </w:tcPr>
          <w:p w14:paraId="7C74D6B6"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 xml:space="preserve">1. </w:t>
            </w:r>
            <w:r w:rsidRPr="00F528F1">
              <w:rPr>
                <w:rFonts w:ascii="Calibri" w:eastAsia="DengXian" w:hAnsi="Calibri"/>
                <w:sz w:val="18"/>
                <w:szCs w:val="18"/>
                <w:lang w:val="en-US"/>
              </w:rPr>
              <w:t>Strengthen the participation of international finance institutions (World Bank, regional development banks, including recent newcomers) and OECD Development assistance committee, especially on relevant discussions of financing ICT development, statistics and ITU outreach. In this regard, participation of UNCTAD, and the contributors to 2018 Survey on Donor Support to the Digital Economy in Developing Countries might also be desirable.</w:t>
            </w:r>
          </w:p>
          <w:p w14:paraId="295E0C43"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 xml:space="preserve">2. </w:t>
            </w:r>
            <w:r w:rsidRPr="00F528F1">
              <w:rPr>
                <w:rFonts w:ascii="Calibri" w:eastAsia="DengXian" w:hAnsi="Calibri"/>
                <w:sz w:val="18"/>
                <w:szCs w:val="18"/>
                <w:lang w:val="en-US"/>
              </w:rPr>
              <w:t xml:space="preserve">Attractiveness of WTDC depends on importance, relevance and timeliness of the issues addressed. The </w:t>
            </w:r>
            <w:r w:rsidRPr="00F528F1">
              <w:rPr>
                <w:rFonts w:ascii="Calibri" w:eastAsia="DengXian" w:hAnsi="Calibri"/>
                <w:sz w:val="18"/>
                <w:szCs w:val="18"/>
                <w:lang w:val="en-US"/>
              </w:rPr>
              <w:lastRenderedPageBreak/>
              <w:t xml:space="preserve">high-level decision makers and global leaders could be interested if ITU proposes programs, initiatives and actions that answer the current situation challenges at the global level in conjunction with UNGA decisions, for example, on the 2030 Agenda, health, food, climate, cyber security etc. </w:t>
            </w:r>
          </w:p>
          <w:p w14:paraId="180941D4"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It has been noted that important development challenges are not sufficiently addressed at WTDC and that the conference agenda could be made more attractive to high-level decision makers and global leaders.</w:t>
            </w:r>
          </w:p>
          <w:p w14:paraId="362F338A"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 xml:space="preserve">3. </w:t>
            </w:r>
            <w:r w:rsidRPr="00F528F1">
              <w:rPr>
                <w:rFonts w:ascii="Calibri" w:eastAsia="DengXian" w:hAnsi="Calibri"/>
                <w:sz w:val="18"/>
                <w:szCs w:val="18"/>
                <w:lang w:val="en-US"/>
              </w:rPr>
              <w:t>Regional forums like Asian-Pacific economic cooperation – APEC (particularly WG on Telecommunications and Information, Steering Committee on Economic and Technical Cooperation) can be utilized to raise awareness about WTDC and the relevant work done on the actual lines of work, e.g. reports on Study questions.</w:t>
            </w:r>
          </w:p>
        </w:tc>
        <w:tc>
          <w:tcPr>
            <w:tcW w:w="2413" w:type="dxa"/>
            <w:shd w:val="clear" w:color="auto" w:fill="FBE4D5"/>
          </w:tcPr>
          <w:p w14:paraId="4BD90096"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lastRenderedPageBreak/>
              <w:t xml:space="preserve">2. </w:t>
            </w:r>
            <w:r w:rsidRPr="00F528F1">
              <w:rPr>
                <w:rFonts w:ascii="Calibri" w:eastAsia="DengXian" w:hAnsi="Calibri"/>
                <w:sz w:val="18"/>
                <w:szCs w:val="18"/>
                <w:lang w:val="en-US"/>
              </w:rPr>
              <w:t>ITU-D</w:t>
            </w:r>
            <w:r w:rsidRPr="00F528F1">
              <w:rPr>
                <w:rFonts w:ascii="Calibri" w:eastAsia="DengXian" w:hAnsi="Calibri"/>
                <w:sz w:val="18"/>
                <w:szCs w:val="18"/>
                <w:lang w:val="id-ID"/>
              </w:rPr>
              <w:t xml:space="preserve"> should promote WTDC-21 </w:t>
            </w:r>
            <w:r w:rsidRPr="00F528F1">
              <w:rPr>
                <w:rFonts w:ascii="Calibri" w:eastAsia="DengXian" w:hAnsi="Calibri"/>
                <w:sz w:val="18"/>
                <w:szCs w:val="18"/>
                <w:lang w:val="en-US"/>
              </w:rPr>
              <w:t xml:space="preserve">during </w:t>
            </w:r>
            <w:r w:rsidRPr="00F528F1">
              <w:rPr>
                <w:rFonts w:ascii="Calibri" w:eastAsia="DengXian" w:hAnsi="Calibri"/>
                <w:sz w:val="18"/>
                <w:szCs w:val="18"/>
                <w:lang w:val="id-ID"/>
              </w:rPr>
              <w:t>high-profile forum</w:t>
            </w:r>
            <w:r w:rsidRPr="00F528F1">
              <w:rPr>
                <w:rFonts w:ascii="Calibri" w:eastAsia="DengXian" w:hAnsi="Calibri"/>
                <w:sz w:val="18"/>
                <w:szCs w:val="18"/>
                <w:lang w:val="en-US"/>
              </w:rPr>
              <w:t xml:space="preserve">s held prior to </w:t>
            </w:r>
            <w:r w:rsidRPr="00F528F1">
              <w:rPr>
                <w:rFonts w:ascii="Calibri" w:eastAsia="DengXian" w:hAnsi="Calibri"/>
                <w:sz w:val="18"/>
                <w:szCs w:val="18"/>
                <w:lang w:val="id-ID"/>
              </w:rPr>
              <w:t>WTDC-21</w:t>
            </w:r>
            <w:r w:rsidRPr="00F528F1">
              <w:rPr>
                <w:rFonts w:ascii="Calibri" w:eastAsia="DengXian" w:hAnsi="Calibri"/>
                <w:sz w:val="18"/>
                <w:szCs w:val="18"/>
                <w:lang w:val="en-US"/>
              </w:rPr>
              <w:t xml:space="preserve">, such as </w:t>
            </w:r>
            <w:r w:rsidRPr="00F528F1">
              <w:rPr>
                <w:rFonts w:ascii="Calibri" w:eastAsia="DengXian" w:hAnsi="Calibri"/>
                <w:sz w:val="18"/>
                <w:szCs w:val="18"/>
                <w:lang w:val="id-ID"/>
              </w:rPr>
              <w:t>World Economic Forum 2021, Mobile World Congress 2021, and other Ministerial Level/Senior Official Level meetings.</w:t>
            </w:r>
          </w:p>
        </w:tc>
        <w:tc>
          <w:tcPr>
            <w:tcW w:w="2819" w:type="dxa"/>
            <w:shd w:val="clear" w:color="auto" w:fill="FBE4D5"/>
          </w:tcPr>
          <w:p w14:paraId="5EF850F5"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1.</w:t>
            </w:r>
            <w:r w:rsidRPr="00F528F1">
              <w:rPr>
                <w:rFonts w:ascii="Calibri" w:eastAsia="DengXian" w:hAnsi="Calibri"/>
                <w:sz w:val="18"/>
                <w:szCs w:val="18"/>
                <w:lang w:val="en-US"/>
              </w:rPr>
              <w:t xml:space="preserve"> ITU to be mindful to ensure that engagement with private sector stakeholders is balanced across major relevant industry sectors and not perceived as an endorsement of any one industry sector/D-member: any session or activity organised during a private sector event should be considered as a platform for the ICT sector as a whole in line with the overarching objective of promoting connectivity for all - ITU ensure multi-sector representation and involvement in any sessions/activities/communications arising from the initiative.</w:t>
            </w:r>
          </w:p>
          <w:p w14:paraId="7746B85E"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3.</w:t>
            </w:r>
            <w:r w:rsidRPr="00F528F1">
              <w:rPr>
                <w:rFonts w:ascii="Calibri" w:eastAsia="DengXian" w:hAnsi="Calibri"/>
                <w:sz w:val="18"/>
                <w:szCs w:val="18"/>
                <w:lang w:val="en-US"/>
              </w:rPr>
              <w:t xml:space="preserve"> Promote WTDC at events organised by other institutions such as: OCHA, UNICEF, WEF, FAO, the Broadband Commission, European Commission, etc.</w:t>
            </w:r>
          </w:p>
          <w:p w14:paraId="6F1BE788"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lastRenderedPageBreak/>
              <w:t xml:space="preserve">2-3. </w:t>
            </w:r>
            <w:r w:rsidRPr="00F528F1">
              <w:rPr>
                <w:rFonts w:ascii="Calibri" w:eastAsia="DengXian" w:hAnsi="Calibri"/>
                <w:sz w:val="18"/>
                <w:szCs w:val="18"/>
                <w:lang w:val="en-US"/>
              </w:rPr>
              <w:t>Consider this text instead: “The ITU should make best efforts to bring all relevant stakeholders together e.g. with a session dedicated to WTDC, at events organised by the most relevant private sector stakeholders (mobile, satellite, OTTs, etc.) to profile the event in front of high-level industry executives, call for greater cross-sector collaboration and drive greater engagement in WTDC.”</w:t>
            </w:r>
          </w:p>
          <w:p w14:paraId="1C8E3023"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Encourage a multi-technology approach to achieve its objectives: BDT as the unique umbrella body actively fostering an inclusive approach amongst technologies and helping to break down silos between sectors in order to connect everyone and deliver on the SDGs.</w:t>
            </w:r>
          </w:p>
        </w:tc>
        <w:tc>
          <w:tcPr>
            <w:tcW w:w="1841" w:type="dxa"/>
            <w:shd w:val="clear" w:color="auto" w:fill="FBE4D5"/>
          </w:tcPr>
          <w:p w14:paraId="15D97F91"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lastRenderedPageBreak/>
              <w:t>1.</w:t>
            </w:r>
            <w:r w:rsidRPr="00F528F1">
              <w:rPr>
                <w:rFonts w:ascii="Calibri" w:eastAsia="DengXian" w:hAnsi="Calibri"/>
                <w:sz w:val="18"/>
                <w:szCs w:val="18"/>
                <w:lang w:val="en-US"/>
              </w:rPr>
              <w:t xml:space="preserve"> Visibility and awareness promotion strategy shall be elaborated by ITU with proposals and implementation support from the membership.</w:t>
            </w:r>
          </w:p>
          <w:p w14:paraId="53FF90C7"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2.</w:t>
            </w:r>
            <w:r w:rsidRPr="00F528F1">
              <w:rPr>
                <w:rFonts w:ascii="Calibri" w:eastAsia="DengXian" w:hAnsi="Calibri"/>
                <w:sz w:val="18"/>
                <w:szCs w:val="18"/>
                <w:lang w:val="en-US"/>
              </w:rPr>
              <w:t xml:space="preserve"> The main objectives of WTDC-21, the value of participation in the conference and possible ways of contributing shall be clearly and loudly communicated to the public. </w:t>
            </w:r>
          </w:p>
          <w:p w14:paraId="0E61F77D"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 xml:space="preserve">Specific measures shall be developed for promotion of WTDC-21 in every region to </w:t>
            </w:r>
            <w:r w:rsidRPr="00F528F1">
              <w:rPr>
                <w:rFonts w:ascii="Calibri" w:eastAsia="DengXian" w:hAnsi="Calibri"/>
                <w:sz w:val="18"/>
                <w:szCs w:val="18"/>
                <w:lang w:val="en-US"/>
              </w:rPr>
              <w:lastRenderedPageBreak/>
              <w:t>attract the best regional representation at this conference.</w:t>
            </w:r>
          </w:p>
          <w:p w14:paraId="5F603E0A"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t>3.</w:t>
            </w:r>
            <w:r w:rsidRPr="00F528F1">
              <w:rPr>
                <w:rFonts w:ascii="Calibri" w:eastAsia="DengXian" w:hAnsi="Calibri"/>
                <w:sz w:val="18"/>
                <w:szCs w:val="18"/>
                <w:lang w:val="en-US"/>
              </w:rPr>
              <w:t xml:space="preserve"> MS invited to put efforts in promoting the WTDC-21 on national level, especially addressing groups that may benefit the most from outcomes of WTDC-21 (</w:t>
            </w:r>
            <w:r w:rsidRPr="00F528F1">
              <w:rPr>
                <w:rFonts w:ascii="Calibri" w:eastAsia="DengXian" w:hAnsi="Calibri"/>
                <w:i/>
                <w:iCs/>
                <w:sz w:val="18"/>
                <w:szCs w:val="18"/>
                <w:lang w:val="en-US"/>
              </w:rPr>
              <w:t>e. g.</w:t>
            </w:r>
            <w:r w:rsidRPr="00F528F1">
              <w:rPr>
                <w:rFonts w:ascii="Calibri" w:eastAsia="DengXian" w:hAnsi="Calibri"/>
                <w:sz w:val="18"/>
                <w:szCs w:val="18"/>
                <w:lang w:val="en-US"/>
              </w:rPr>
              <w:t xml:space="preserve"> the youth organizations, girls and women, organizations of people with disabilities, etc.) inviting them to contribute.</w:t>
            </w:r>
          </w:p>
        </w:tc>
        <w:tc>
          <w:tcPr>
            <w:tcW w:w="2139" w:type="dxa"/>
            <w:shd w:val="clear" w:color="auto" w:fill="FBE4D5"/>
          </w:tcPr>
          <w:p w14:paraId="0A38F85A"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ZW"/>
              </w:rPr>
            </w:pPr>
            <w:r w:rsidRPr="00F528F1">
              <w:rPr>
                <w:rFonts w:ascii="Calibri" w:eastAsia="DengXian" w:hAnsi="Calibri"/>
                <w:b/>
                <w:bCs/>
                <w:sz w:val="18"/>
                <w:szCs w:val="18"/>
                <w:lang w:val="en-US"/>
              </w:rPr>
              <w:lastRenderedPageBreak/>
              <w:t>1.</w:t>
            </w:r>
            <w:r w:rsidRPr="00F528F1">
              <w:rPr>
                <w:rFonts w:ascii="Calibri" w:eastAsia="DengXian" w:hAnsi="Calibri"/>
                <w:sz w:val="18"/>
                <w:szCs w:val="18"/>
                <w:lang w:val="en-US"/>
              </w:rPr>
              <w:t xml:space="preserve"> </w:t>
            </w:r>
            <w:r w:rsidRPr="00F528F1">
              <w:rPr>
                <w:rFonts w:ascii="Calibri" w:eastAsia="DengXian" w:hAnsi="Calibri"/>
                <w:sz w:val="18"/>
                <w:szCs w:val="18"/>
                <w:lang w:val="en-ZW"/>
              </w:rPr>
              <w:t>Groups to be targeted for participation in WTDC, in addition to Policy makers and Regulatory Authorities:</w:t>
            </w:r>
          </w:p>
          <w:p w14:paraId="469C4BB1"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ZW"/>
              </w:rPr>
            </w:pPr>
            <w:r w:rsidRPr="00F528F1">
              <w:rPr>
                <w:rFonts w:ascii="Calibri" w:eastAsia="DengXian" w:hAnsi="Calibri"/>
                <w:sz w:val="18"/>
                <w:szCs w:val="18"/>
                <w:lang w:val="en-ZW"/>
              </w:rPr>
              <w:t>Financial institutions (they play a big role in funding projects and implementation of financial inclusion. Care should be taken however to ensure that they do dominate and dictate what should be done. In this regard, they should be part of the delegation of the Member State from which they come from).</w:t>
            </w:r>
          </w:p>
          <w:p w14:paraId="7510AB93"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ZW"/>
              </w:rPr>
            </w:pPr>
            <w:r w:rsidRPr="00F528F1">
              <w:rPr>
                <w:rFonts w:ascii="Calibri" w:eastAsia="DengXian" w:hAnsi="Calibri"/>
                <w:sz w:val="18"/>
                <w:szCs w:val="18"/>
                <w:lang w:val="en-ZW"/>
              </w:rPr>
              <w:t xml:space="preserve">Development and Donor organisations </w:t>
            </w:r>
            <w:r w:rsidRPr="00F528F1">
              <w:rPr>
                <w:rFonts w:ascii="Calibri" w:eastAsia="DengXian" w:hAnsi="Calibri"/>
                <w:sz w:val="18"/>
                <w:szCs w:val="18"/>
                <w:lang w:val="en-ZW"/>
              </w:rPr>
              <w:lastRenderedPageBreak/>
              <w:t xml:space="preserve">(will assist with assessing the areas that require </w:t>
            </w:r>
            <w:r w:rsidRPr="00F528F1">
              <w:rPr>
                <w:rFonts w:ascii="Calibri" w:eastAsia="DengXian" w:hAnsi="Calibri"/>
                <w:bCs/>
                <w:sz w:val="18"/>
                <w:szCs w:val="18"/>
                <w:lang w:val="en-US"/>
              </w:rPr>
              <w:t>intervention</w:t>
            </w:r>
            <w:r w:rsidRPr="00F528F1">
              <w:rPr>
                <w:rFonts w:ascii="Calibri" w:eastAsia="DengXian" w:hAnsi="Calibri"/>
                <w:sz w:val="18"/>
                <w:szCs w:val="18"/>
                <w:lang w:val="en-ZW"/>
              </w:rPr>
              <w:t xml:space="preserve"> with regard to connectivity and development issues)</w:t>
            </w:r>
          </w:p>
          <w:p w14:paraId="1B932449"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ZW"/>
              </w:rPr>
            </w:pPr>
            <w:r w:rsidRPr="00F528F1">
              <w:rPr>
                <w:rFonts w:ascii="Calibri" w:eastAsia="DengXian" w:hAnsi="Calibri"/>
                <w:sz w:val="18"/>
                <w:szCs w:val="18"/>
                <w:lang w:val="en-ZW"/>
              </w:rPr>
              <w:t xml:space="preserve">Gender groups and youth (can </w:t>
            </w:r>
            <w:r w:rsidRPr="00F528F1">
              <w:rPr>
                <w:rFonts w:ascii="Calibri" w:eastAsia="DengXian" w:hAnsi="Calibri"/>
                <w:bCs/>
                <w:sz w:val="18"/>
                <w:szCs w:val="18"/>
                <w:lang w:val="en-US"/>
              </w:rPr>
              <w:t>highlight</w:t>
            </w:r>
            <w:r w:rsidRPr="00F528F1">
              <w:rPr>
                <w:rFonts w:ascii="Calibri" w:eastAsia="DengXian" w:hAnsi="Calibri"/>
                <w:sz w:val="18"/>
                <w:szCs w:val="18"/>
                <w:lang w:val="en-ZW"/>
              </w:rPr>
              <w:t xml:space="preserve"> the challenges faced by their constituencies and propose innovations that can provide solutions for the development of ICTs).</w:t>
            </w:r>
          </w:p>
          <w:p w14:paraId="76E3BDFD"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ZW"/>
              </w:rPr>
            </w:pPr>
            <w:r w:rsidRPr="00F528F1">
              <w:rPr>
                <w:rFonts w:ascii="Calibri" w:eastAsia="DengXian" w:hAnsi="Calibri"/>
                <w:sz w:val="18"/>
                <w:szCs w:val="18"/>
                <w:lang w:val="en-ZW"/>
              </w:rPr>
              <w:t>Manufacturers of ICT equipment and gadgets (so they have a clear understanding of what products they need to produce to support ICT development. Need to ensure that creation of business for these entities does not hijack the development programme for WTDC: these entities to participate under the banner of their MS).</w:t>
            </w:r>
          </w:p>
          <w:p w14:paraId="19FC78F7"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ZW"/>
              </w:rPr>
            </w:pPr>
            <w:r w:rsidRPr="00F528F1">
              <w:rPr>
                <w:rFonts w:ascii="Calibri" w:eastAsia="DengXian" w:hAnsi="Calibri"/>
                <w:sz w:val="18"/>
                <w:szCs w:val="18"/>
                <w:lang w:val="en-ZW"/>
              </w:rPr>
              <w:t>Academia (ICT skills education requirements are also catered for).</w:t>
            </w:r>
          </w:p>
          <w:p w14:paraId="05B95E7F"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ZW"/>
              </w:rPr>
            </w:pPr>
            <w:r w:rsidRPr="00F528F1">
              <w:rPr>
                <w:rFonts w:ascii="Calibri" w:eastAsia="DengXian" w:hAnsi="Calibri"/>
                <w:b/>
                <w:bCs/>
                <w:sz w:val="18"/>
                <w:szCs w:val="18"/>
                <w:lang w:val="en-ZW"/>
              </w:rPr>
              <w:t>2 &amp; 3.</w:t>
            </w:r>
            <w:r w:rsidRPr="00F528F1">
              <w:rPr>
                <w:rFonts w:ascii="Calibri" w:eastAsia="DengXian" w:hAnsi="Calibri"/>
                <w:sz w:val="18"/>
                <w:szCs w:val="18"/>
                <w:lang w:val="en-ZW"/>
              </w:rPr>
              <w:t xml:space="preserve"> Promotion of WTDC to stakeholder groups:</w:t>
            </w:r>
          </w:p>
          <w:p w14:paraId="336ADB8B"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ZW"/>
              </w:rPr>
            </w:pPr>
            <w:r w:rsidRPr="00F528F1">
              <w:rPr>
                <w:rFonts w:ascii="Calibri" w:eastAsia="DengXian" w:hAnsi="Calibri"/>
                <w:sz w:val="18"/>
                <w:szCs w:val="18"/>
                <w:lang w:val="en-ZW"/>
              </w:rPr>
              <w:lastRenderedPageBreak/>
              <w:t>Nationally, regulators could dedicate of any speeches delivered during key ICT events to the role of WTDC and encouraging industry, academia and various stake holders to participate in the preparations and take up the responsibility to take awareness to their constituencies</w:t>
            </w:r>
          </w:p>
          <w:p w14:paraId="2575402F"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ZW"/>
              </w:rPr>
            </w:pPr>
            <w:r w:rsidRPr="00F528F1">
              <w:rPr>
                <w:rFonts w:ascii="Calibri" w:eastAsia="DengXian" w:hAnsi="Calibri"/>
                <w:sz w:val="18"/>
                <w:szCs w:val="18"/>
                <w:lang w:val="en-ZW"/>
              </w:rPr>
              <w:t>Regionally, all regional meetings and conferences to incorporate a segment with discussion on the importance of participating in WTDC and its role in development.</w:t>
            </w:r>
          </w:p>
          <w:p w14:paraId="1E2C1901" w14:textId="77777777" w:rsidR="00F528F1" w:rsidRPr="00F528F1" w:rsidRDefault="00F528F1" w:rsidP="00F528F1">
            <w:pPr>
              <w:numPr>
                <w:ilvl w:val="0"/>
                <w:numId w:val="3"/>
              </w:numPr>
              <w:tabs>
                <w:tab w:val="clear" w:pos="794"/>
                <w:tab w:val="clear" w:pos="1191"/>
                <w:tab w:val="clear" w:pos="1588"/>
                <w:tab w:val="clear" w:pos="1985"/>
              </w:tabs>
              <w:overflowPunct/>
              <w:autoSpaceDE/>
              <w:autoSpaceDN/>
              <w:adjustRightInd/>
              <w:spacing w:before="40" w:after="40"/>
              <w:ind w:left="227" w:hanging="227"/>
              <w:textAlignment w:val="auto"/>
              <w:rPr>
                <w:rFonts w:ascii="Calibri" w:eastAsia="DengXian" w:hAnsi="Calibri"/>
                <w:sz w:val="18"/>
                <w:szCs w:val="18"/>
                <w:lang w:val="en-ZW"/>
              </w:rPr>
            </w:pPr>
            <w:r w:rsidRPr="00F528F1">
              <w:rPr>
                <w:rFonts w:ascii="Calibri" w:eastAsia="DengXian" w:hAnsi="Calibri"/>
                <w:sz w:val="18"/>
                <w:szCs w:val="18"/>
                <w:lang w:val="en-ZW"/>
              </w:rPr>
              <w:t xml:space="preserve">Internationally, major UN relating conferences to promote WTDC: Global sustainable transport Summits, The Conference on Sustainable Development and Summits, The International Conference on financing for development, the world education forum and world Summits on </w:t>
            </w:r>
            <w:r w:rsidRPr="00F528F1">
              <w:rPr>
                <w:rFonts w:ascii="Calibri" w:eastAsia="DengXian" w:hAnsi="Calibri"/>
                <w:sz w:val="18"/>
                <w:szCs w:val="18"/>
                <w:lang w:val="en-ZW"/>
              </w:rPr>
              <w:lastRenderedPageBreak/>
              <w:t xml:space="preserve">social Development, etc. </w:t>
            </w:r>
          </w:p>
        </w:tc>
      </w:tr>
      <w:tr w:rsidR="00F528F1" w:rsidRPr="00F528F1" w14:paraId="309AB1BC" w14:textId="77777777" w:rsidTr="00F528F1">
        <w:tc>
          <w:tcPr>
            <w:tcW w:w="1907" w:type="dxa"/>
            <w:shd w:val="clear" w:color="auto" w:fill="A8D08D"/>
          </w:tcPr>
          <w:p w14:paraId="3C9885FC"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
                <w:bCs/>
                <w:sz w:val="18"/>
                <w:szCs w:val="18"/>
                <w:lang w:val="en-US"/>
              </w:rPr>
              <w:lastRenderedPageBreak/>
              <w:t>During the conference</w:t>
            </w:r>
          </w:p>
        </w:tc>
        <w:tc>
          <w:tcPr>
            <w:tcW w:w="2443" w:type="dxa"/>
            <w:shd w:val="clear" w:color="auto" w:fill="A8D08D"/>
          </w:tcPr>
          <w:p w14:paraId="4258F3EE"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c>
          <w:tcPr>
            <w:tcW w:w="2413" w:type="dxa"/>
            <w:shd w:val="clear" w:color="auto" w:fill="A8D08D"/>
          </w:tcPr>
          <w:p w14:paraId="6992D410"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c>
          <w:tcPr>
            <w:tcW w:w="2819" w:type="dxa"/>
            <w:shd w:val="clear" w:color="auto" w:fill="A8D08D"/>
          </w:tcPr>
          <w:p w14:paraId="40DE6B83"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c>
          <w:tcPr>
            <w:tcW w:w="1841" w:type="dxa"/>
            <w:shd w:val="clear" w:color="auto" w:fill="A8D08D"/>
          </w:tcPr>
          <w:p w14:paraId="2FCF6A8A"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c>
          <w:tcPr>
            <w:tcW w:w="2139" w:type="dxa"/>
            <w:shd w:val="clear" w:color="auto" w:fill="A8D08D"/>
          </w:tcPr>
          <w:p w14:paraId="433703D4" w14:textId="77777777" w:rsidR="00F528F1" w:rsidRPr="00F528F1" w:rsidRDefault="00F528F1" w:rsidP="00F528F1">
            <w:pPr>
              <w:keepNext/>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p>
        </w:tc>
      </w:tr>
      <w:tr w:rsidR="00F528F1" w:rsidRPr="00F528F1" w14:paraId="51797D71" w14:textId="77777777" w:rsidTr="00401655">
        <w:tc>
          <w:tcPr>
            <w:tcW w:w="1907" w:type="dxa"/>
          </w:tcPr>
          <w:p w14:paraId="39A14B58"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Cs/>
                <w:sz w:val="18"/>
                <w:szCs w:val="18"/>
                <w:lang w:val="en-US"/>
              </w:rPr>
              <w:t>Should the High-Level Segment be changed, and if so, what form should it take?</w:t>
            </w:r>
          </w:p>
        </w:tc>
        <w:tc>
          <w:tcPr>
            <w:tcW w:w="2443" w:type="dxa"/>
          </w:tcPr>
          <w:p w14:paraId="7BD444D5"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Any High-Level Segments should not take time from the work of WTDC Plenary and Committees and their related groups.</w:t>
            </w:r>
          </w:p>
        </w:tc>
        <w:tc>
          <w:tcPr>
            <w:tcW w:w="2413" w:type="dxa"/>
          </w:tcPr>
          <w:p w14:paraId="1961A5BA"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id-ID"/>
              </w:rPr>
              <w:t>Minimize side events</w:t>
            </w:r>
            <w:r w:rsidRPr="00F528F1">
              <w:rPr>
                <w:rFonts w:ascii="Calibri" w:eastAsia="DengXian" w:hAnsi="Calibri"/>
                <w:sz w:val="18"/>
                <w:szCs w:val="18"/>
                <w:lang w:val="en-US"/>
              </w:rPr>
              <w:t xml:space="preserve"> or </w:t>
            </w:r>
            <w:r w:rsidRPr="00F528F1">
              <w:rPr>
                <w:rFonts w:ascii="Calibri" w:eastAsia="DengXian" w:hAnsi="Calibri"/>
                <w:sz w:val="18"/>
                <w:szCs w:val="18"/>
                <w:lang w:val="id-ID"/>
              </w:rPr>
              <w:t xml:space="preserve">merge High-Level segment </w:t>
            </w:r>
            <w:r w:rsidRPr="00F528F1">
              <w:rPr>
                <w:rFonts w:ascii="Calibri" w:eastAsia="DengXian" w:hAnsi="Calibri"/>
                <w:sz w:val="18"/>
                <w:szCs w:val="18"/>
                <w:lang w:val="en-US"/>
              </w:rPr>
              <w:t xml:space="preserve">with </w:t>
            </w:r>
            <w:r w:rsidRPr="00F528F1">
              <w:rPr>
                <w:rFonts w:ascii="Calibri" w:eastAsia="DengXian" w:hAnsi="Calibri"/>
                <w:sz w:val="18"/>
                <w:szCs w:val="18"/>
                <w:lang w:val="id-ID"/>
              </w:rPr>
              <w:t>side events</w:t>
            </w:r>
            <w:r w:rsidRPr="00F528F1">
              <w:rPr>
                <w:rFonts w:ascii="Calibri" w:eastAsia="DengXian" w:hAnsi="Calibri"/>
                <w:sz w:val="18"/>
                <w:szCs w:val="18"/>
                <w:lang w:val="en-US"/>
              </w:rPr>
              <w:t>,</w:t>
            </w:r>
            <w:r w:rsidRPr="00F528F1">
              <w:rPr>
                <w:rFonts w:ascii="Calibri" w:eastAsia="DengXian" w:hAnsi="Calibri"/>
                <w:sz w:val="18"/>
                <w:szCs w:val="18"/>
                <w:lang w:val="id-ID"/>
              </w:rPr>
              <w:t xml:space="preserve"> in order to make WTDC-21 more efficient, effective, and focus</w:t>
            </w:r>
            <w:r w:rsidRPr="00F528F1">
              <w:rPr>
                <w:rFonts w:ascii="Calibri" w:eastAsia="DengXian" w:hAnsi="Calibri"/>
                <w:sz w:val="18"/>
                <w:szCs w:val="18"/>
                <w:lang w:val="en-US"/>
              </w:rPr>
              <w:t>ed</w:t>
            </w:r>
            <w:r w:rsidRPr="00F528F1">
              <w:rPr>
                <w:rFonts w:ascii="Calibri" w:eastAsia="DengXian" w:hAnsi="Calibri"/>
                <w:sz w:val="18"/>
                <w:szCs w:val="18"/>
                <w:lang w:val="id-ID"/>
              </w:rPr>
              <w:t xml:space="preserve"> on development </w:t>
            </w:r>
            <w:r w:rsidRPr="00F528F1">
              <w:rPr>
                <w:rFonts w:ascii="Calibri" w:eastAsia="DengXian" w:hAnsi="Calibri"/>
                <w:sz w:val="18"/>
                <w:szCs w:val="18"/>
                <w:lang w:val="en-US"/>
              </w:rPr>
              <w:t xml:space="preserve">issues </w:t>
            </w:r>
            <w:r w:rsidRPr="00F528F1">
              <w:rPr>
                <w:rFonts w:ascii="Calibri" w:eastAsia="DengXian" w:hAnsi="Calibri"/>
                <w:sz w:val="18"/>
                <w:szCs w:val="18"/>
                <w:lang w:val="id-ID"/>
              </w:rPr>
              <w:t>of telecommunications/ICTs.</w:t>
            </w:r>
          </w:p>
        </w:tc>
        <w:tc>
          <w:tcPr>
            <w:tcW w:w="2819" w:type="dxa"/>
          </w:tcPr>
          <w:p w14:paraId="521F9E45"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c>
          <w:tcPr>
            <w:tcW w:w="1841" w:type="dxa"/>
          </w:tcPr>
          <w:p w14:paraId="2207A4C5"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c>
          <w:tcPr>
            <w:tcW w:w="2139" w:type="dxa"/>
          </w:tcPr>
          <w:p w14:paraId="1A48DC08"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ZW"/>
              </w:rPr>
            </w:pPr>
            <w:r w:rsidRPr="00F528F1">
              <w:rPr>
                <w:rFonts w:ascii="Calibri" w:eastAsia="DengXian" w:hAnsi="Calibri"/>
                <w:sz w:val="18"/>
                <w:szCs w:val="18"/>
                <w:lang w:val="en-ZW"/>
              </w:rPr>
              <w:t xml:space="preserve">During the TDAG web dialogues held earlier during the year, there were proposals to merge the high-level segment and the side events. A challenge was also posed on whether the format of policy statements should be changed.  </w:t>
            </w:r>
          </w:p>
          <w:p w14:paraId="782DD6CD"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ZW"/>
              </w:rPr>
            </w:pPr>
            <w:r w:rsidRPr="00F528F1">
              <w:rPr>
                <w:rFonts w:ascii="Calibri" w:eastAsia="DengXian" w:hAnsi="Calibri"/>
                <w:sz w:val="18"/>
                <w:szCs w:val="18"/>
                <w:lang w:val="en-ZW"/>
              </w:rPr>
              <w:t>In current WTDC set up, side events held during the tea breaks, lunch breaks and after conference hours, are not well attended (participants attending various ad-hoc and drafting groups). Time allocated may not be sufficient for speakers to articulate issues and take questions from the floor. For high-level invited participants there may appear to be no value to them in these ill-attended side events and are discouraged from participating in WTDC.</w:t>
            </w:r>
          </w:p>
          <w:p w14:paraId="119663A5"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ZW"/>
              </w:rPr>
              <w:t xml:space="preserve">BDT and MS to come up with a list of critical topics that can have an impact on development, for which panel discussions can be held during normal </w:t>
            </w:r>
            <w:r w:rsidRPr="00F528F1">
              <w:rPr>
                <w:rFonts w:ascii="Calibri" w:eastAsia="DengXian" w:hAnsi="Calibri"/>
                <w:sz w:val="18"/>
                <w:szCs w:val="18"/>
                <w:lang w:val="en-ZW"/>
              </w:rPr>
              <w:lastRenderedPageBreak/>
              <w:t>conference times. Speakers to include industry experts, consumers, different community representatives, as well policy makers. Participation of policy makers will obviate the need for a monotonous delivery of policy Statements. MS and SM can still submit written policy statements, which are then posted on dedicated page on the WTDC website.</w:t>
            </w:r>
          </w:p>
        </w:tc>
      </w:tr>
      <w:tr w:rsidR="00F528F1" w:rsidRPr="00F528F1" w14:paraId="4FAD2FC8" w14:textId="77777777" w:rsidTr="00F528F1">
        <w:tc>
          <w:tcPr>
            <w:tcW w:w="1907" w:type="dxa"/>
            <w:shd w:val="clear" w:color="auto" w:fill="E2EFD9"/>
          </w:tcPr>
          <w:p w14:paraId="3CCE4359"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Cs/>
                <w:sz w:val="18"/>
                <w:szCs w:val="18"/>
                <w:lang w:val="en-US"/>
              </w:rPr>
              <w:lastRenderedPageBreak/>
              <w:t>What theme or themes (connected to development challenges and membership priorities) should be established for WTDC-21, and how should the theme(s) be connected to the content and structure of the conference?</w:t>
            </w:r>
          </w:p>
        </w:tc>
        <w:tc>
          <w:tcPr>
            <w:tcW w:w="2443" w:type="dxa"/>
            <w:shd w:val="clear" w:color="auto" w:fill="E2EFD9"/>
          </w:tcPr>
          <w:p w14:paraId="4FFA8B5E"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Minimize side-events and move those discussions to sessions discussing related Resolutions to save time.</w:t>
            </w:r>
          </w:p>
          <w:p w14:paraId="59C16D6A"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Agenda of side events should have strong connection with the Study Group Questions, ITU index and BDT activities. Explain clearly how every event contributes to the Study Group Questions, ITU index and/or BDT activities, preferably with outputs which can be transposed to the concrete benefit or inputs to the WTDC Resolutions and mandates of Study Group Questions.</w:t>
            </w:r>
          </w:p>
          <w:p w14:paraId="6C8F544C"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 xml:space="preserve">Additional side-event held with the aim to strengthen the capacity of ITU members to express their opinions and </w:t>
            </w:r>
            <w:r w:rsidRPr="00F528F1">
              <w:rPr>
                <w:rFonts w:ascii="Calibri" w:eastAsia="DengXian" w:hAnsi="Calibri"/>
                <w:sz w:val="18"/>
                <w:szCs w:val="18"/>
                <w:lang w:val="en-US"/>
              </w:rPr>
              <w:lastRenderedPageBreak/>
              <w:t>transform them into contributions to the next ITU-D Study period.</w:t>
            </w:r>
          </w:p>
        </w:tc>
        <w:tc>
          <w:tcPr>
            <w:tcW w:w="2413" w:type="dxa"/>
            <w:shd w:val="clear" w:color="auto" w:fill="E2EFD9"/>
          </w:tcPr>
          <w:p w14:paraId="51A1CAD0"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id-ID"/>
              </w:rPr>
            </w:pPr>
            <w:r w:rsidRPr="00F528F1">
              <w:rPr>
                <w:rFonts w:ascii="Calibri" w:eastAsia="DengXian" w:hAnsi="Calibri"/>
                <w:sz w:val="18"/>
                <w:szCs w:val="18"/>
                <w:lang w:val="id-ID"/>
              </w:rPr>
              <w:lastRenderedPageBreak/>
              <w:t xml:space="preserve">The themes for WTDC-21 should </w:t>
            </w:r>
            <w:r w:rsidRPr="00F528F1">
              <w:rPr>
                <w:rFonts w:ascii="Calibri" w:eastAsia="DengXian" w:hAnsi="Calibri"/>
                <w:sz w:val="18"/>
                <w:szCs w:val="18"/>
                <w:lang w:val="en-US"/>
              </w:rPr>
              <w:t xml:space="preserve">be holistic enough to encompass the </w:t>
            </w:r>
            <w:r w:rsidRPr="00F528F1">
              <w:rPr>
                <w:rFonts w:ascii="Calibri" w:eastAsia="DengXian" w:hAnsi="Calibri"/>
                <w:sz w:val="18"/>
                <w:szCs w:val="18"/>
                <w:lang w:val="id-ID"/>
              </w:rPr>
              <w:t xml:space="preserve">focus </w:t>
            </w:r>
            <w:r w:rsidRPr="00F528F1">
              <w:rPr>
                <w:rFonts w:ascii="Calibri" w:eastAsia="DengXian" w:hAnsi="Calibri"/>
                <w:sz w:val="18"/>
                <w:szCs w:val="18"/>
                <w:lang w:val="en-US"/>
              </w:rPr>
              <w:t xml:space="preserve">of telecommunication development issues arising from all </w:t>
            </w:r>
            <w:r w:rsidRPr="00F528F1">
              <w:rPr>
                <w:rFonts w:ascii="Calibri" w:eastAsia="DengXian" w:hAnsi="Calibri"/>
                <w:sz w:val="18"/>
                <w:szCs w:val="18"/>
                <w:lang w:val="id-ID"/>
              </w:rPr>
              <w:t>regional level</w:t>
            </w:r>
            <w:r w:rsidRPr="00F528F1">
              <w:rPr>
                <w:rFonts w:ascii="Calibri" w:eastAsia="DengXian" w:hAnsi="Calibri"/>
                <w:sz w:val="18"/>
                <w:szCs w:val="18"/>
                <w:lang w:val="en-US"/>
              </w:rPr>
              <w:t>s</w:t>
            </w:r>
            <w:r w:rsidRPr="00F528F1">
              <w:rPr>
                <w:rFonts w:ascii="Calibri" w:eastAsia="DengXian" w:hAnsi="Calibri"/>
                <w:sz w:val="18"/>
                <w:szCs w:val="18"/>
                <w:lang w:val="id-ID"/>
              </w:rPr>
              <w:t>.</w:t>
            </w:r>
            <w:r w:rsidRPr="00F528F1">
              <w:rPr>
                <w:rFonts w:ascii="Calibri" w:eastAsia="DengXian" w:hAnsi="Calibri"/>
                <w:sz w:val="18"/>
                <w:szCs w:val="18"/>
                <w:lang w:val="en-US"/>
              </w:rPr>
              <w:t xml:space="preserve"> Further, bearing in mind the current global health crisis, we propose the following themes for WTDC-21:</w:t>
            </w:r>
          </w:p>
          <w:p w14:paraId="46EE7A49"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id-ID"/>
              </w:rPr>
            </w:pPr>
            <w:r w:rsidRPr="00F528F1">
              <w:rPr>
                <w:rFonts w:ascii="Calibri" w:eastAsia="DengXian" w:hAnsi="Calibri"/>
                <w:sz w:val="18"/>
                <w:szCs w:val="18"/>
                <w:u w:val="single"/>
                <w:lang w:val="id-ID"/>
              </w:rPr>
              <w:t>Alternative 1:</w:t>
            </w:r>
            <w:r w:rsidRPr="00F528F1">
              <w:rPr>
                <w:rFonts w:ascii="Calibri" w:eastAsia="DengXian" w:hAnsi="Calibri"/>
                <w:sz w:val="18"/>
                <w:szCs w:val="18"/>
                <w:lang w:val="id-ID"/>
              </w:rPr>
              <w:t xml:space="preserve"> </w:t>
            </w:r>
            <w:r w:rsidRPr="00F528F1">
              <w:rPr>
                <w:rFonts w:ascii="Calibri" w:eastAsia="DengXian" w:hAnsi="Calibri"/>
                <w:sz w:val="18"/>
                <w:szCs w:val="18"/>
                <w:lang w:val="en-US"/>
              </w:rPr>
              <w:t>Creating a resilient global digital economy to withstand global pandemics/crises/disasters.</w:t>
            </w:r>
          </w:p>
          <w:p w14:paraId="45D60B80"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u w:val="single"/>
                <w:lang w:val="id-ID"/>
              </w:rPr>
              <w:t>Alternative 2:</w:t>
            </w:r>
            <w:r w:rsidRPr="00F528F1">
              <w:rPr>
                <w:rFonts w:ascii="Calibri" w:eastAsia="DengXian" w:hAnsi="Calibri"/>
                <w:sz w:val="18"/>
                <w:szCs w:val="18"/>
                <w:lang w:val="id-ID"/>
              </w:rPr>
              <w:t xml:space="preserve"> Recovery of Global Digital Economy and Connectivity to Build Back Better.</w:t>
            </w:r>
          </w:p>
        </w:tc>
        <w:tc>
          <w:tcPr>
            <w:tcW w:w="2819" w:type="dxa"/>
            <w:shd w:val="clear" w:color="auto" w:fill="E2EFD9"/>
          </w:tcPr>
          <w:p w14:paraId="3F840431"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c>
          <w:tcPr>
            <w:tcW w:w="1841" w:type="dxa"/>
            <w:shd w:val="clear" w:color="auto" w:fill="E2EFD9"/>
          </w:tcPr>
          <w:p w14:paraId="46A1ABB5"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c>
          <w:tcPr>
            <w:tcW w:w="2139" w:type="dxa"/>
            <w:shd w:val="clear" w:color="auto" w:fill="E2EFD9"/>
          </w:tcPr>
          <w:p w14:paraId="43452BC6"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ZW"/>
              </w:rPr>
              <w:t xml:space="preserve">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 </w:t>
            </w:r>
          </w:p>
        </w:tc>
      </w:tr>
      <w:tr w:rsidR="00F528F1" w:rsidRPr="00F528F1" w14:paraId="5AFD4843" w14:textId="77777777" w:rsidTr="00401655">
        <w:tc>
          <w:tcPr>
            <w:tcW w:w="1907" w:type="dxa"/>
          </w:tcPr>
          <w:p w14:paraId="420EF83A"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Cs/>
                <w:sz w:val="18"/>
                <w:szCs w:val="18"/>
                <w:lang w:val="en-US"/>
              </w:rPr>
              <w:t>What high-level participants should be invited to chair and/or deliver keynote speeches on the theme(s) selected?</w:t>
            </w:r>
          </w:p>
        </w:tc>
        <w:tc>
          <w:tcPr>
            <w:tcW w:w="2443" w:type="dxa"/>
          </w:tcPr>
          <w:p w14:paraId="5355AA7A"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c>
          <w:tcPr>
            <w:tcW w:w="2413" w:type="dxa"/>
          </w:tcPr>
          <w:p w14:paraId="1879E942"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id-ID"/>
              </w:rPr>
              <w:t xml:space="preserve">High-level participants </w:t>
            </w:r>
            <w:r w:rsidRPr="00F528F1">
              <w:rPr>
                <w:rFonts w:ascii="Calibri" w:eastAsia="DengXian" w:hAnsi="Calibri"/>
                <w:sz w:val="18"/>
                <w:szCs w:val="18"/>
                <w:lang w:val="en-US"/>
              </w:rPr>
              <w:t>to WTDC-21 are by invitation only, arising from MS</w:t>
            </w:r>
            <w:r w:rsidRPr="00F528F1">
              <w:rPr>
                <w:rFonts w:ascii="Calibri" w:eastAsia="DengXian" w:hAnsi="Calibri"/>
                <w:sz w:val="18"/>
                <w:szCs w:val="18"/>
                <w:lang w:val="id-ID"/>
              </w:rPr>
              <w:t xml:space="preserve">, </w:t>
            </w:r>
            <w:r w:rsidRPr="00F528F1">
              <w:rPr>
                <w:rFonts w:ascii="Calibri" w:eastAsia="DengXian" w:hAnsi="Calibri"/>
                <w:sz w:val="18"/>
                <w:szCs w:val="18"/>
                <w:lang w:val="en-US"/>
              </w:rPr>
              <w:t>SM</w:t>
            </w:r>
            <w:r w:rsidRPr="00F528F1">
              <w:rPr>
                <w:rFonts w:ascii="Calibri" w:eastAsia="DengXian" w:hAnsi="Calibri"/>
                <w:sz w:val="18"/>
                <w:szCs w:val="18"/>
                <w:lang w:val="id-ID"/>
              </w:rPr>
              <w:t>, academia</w:t>
            </w:r>
            <w:r w:rsidRPr="00F528F1">
              <w:rPr>
                <w:rFonts w:ascii="Calibri" w:eastAsia="DengXian" w:hAnsi="Calibri"/>
                <w:sz w:val="18"/>
                <w:szCs w:val="18"/>
                <w:lang w:val="en-US"/>
              </w:rPr>
              <w:t>, and international/regional financial/funding organizations.</w:t>
            </w:r>
          </w:p>
        </w:tc>
        <w:tc>
          <w:tcPr>
            <w:tcW w:w="2819" w:type="dxa"/>
          </w:tcPr>
          <w:p w14:paraId="17F641C6"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c>
          <w:tcPr>
            <w:tcW w:w="1841" w:type="dxa"/>
          </w:tcPr>
          <w:p w14:paraId="5D4616A1"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c>
          <w:tcPr>
            <w:tcW w:w="2139" w:type="dxa"/>
          </w:tcPr>
          <w:p w14:paraId="64DF0630"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r>
      <w:tr w:rsidR="00F528F1" w:rsidRPr="00F528F1" w14:paraId="1C27A198" w14:textId="77777777" w:rsidTr="00F528F1">
        <w:tc>
          <w:tcPr>
            <w:tcW w:w="1907" w:type="dxa"/>
            <w:shd w:val="clear" w:color="auto" w:fill="E2EFD9"/>
          </w:tcPr>
          <w:p w14:paraId="41CA109A"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bCs/>
                <w:sz w:val="18"/>
                <w:szCs w:val="18"/>
                <w:lang w:val="en-US"/>
              </w:rPr>
              <w:t>Submit proposals for thematic tracks that can be incorporated into the conference.”</w:t>
            </w:r>
          </w:p>
        </w:tc>
        <w:tc>
          <w:tcPr>
            <w:tcW w:w="2443" w:type="dxa"/>
            <w:shd w:val="clear" w:color="auto" w:fill="E2EFD9"/>
          </w:tcPr>
          <w:p w14:paraId="7FEBAAC0"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Explanation on the linkages between thematic priorities, ITU-D Action plan, WTDC Resolutions, BDT programs and ITU-D study Questions.</w:t>
            </w:r>
          </w:p>
        </w:tc>
        <w:tc>
          <w:tcPr>
            <w:tcW w:w="2413" w:type="dxa"/>
            <w:shd w:val="clear" w:color="auto" w:fill="E2EFD9"/>
          </w:tcPr>
          <w:p w14:paraId="0F027A8B"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c>
          <w:tcPr>
            <w:tcW w:w="2819" w:type="dxa"/>
            <w:shd w:val="clear" w:color="auto" w:fill="E2EFD9"/>
          </w:tcPr>
          <w:p w14:paraId="6D23E476"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Avoid having separate parallel tracks as this could discriminate against smaller ITU Member States and Sector Members with small delegations.  This recommendation is also in line with previous TDAG discussions around the desire to simplify engagement with the ITU and in its meetings and events.</w:t>
            </w:r>
          </w:p>
        </w:tc>
        <w:tc>
          <w:tcPr>
            <w:tcW w:w="1841" w:type="dxa"/>
            <w:shd w:val="clear" w:color="auto" w:fill="E2EFD9"/>
          </w:tcPr>
          <w:p w14:paraId="15006507"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US"/>
              </w:rPr>
              <w:t>--</w:t>
            </w:r>
          </w:p>
        </w:tc>
        <w:tc>
          <w:tcPr>
            <w:tcW w:w="2139" w:type="dxa"/>
            <w:shd w:val="clear" w:color="auto" w:fill="E2EFD9"/>
          </w:tcPr>
          <w:p w14:paraId="4B306F38" w14:textId="77777777" w:rsidR="00F528F1" w:rsidRPr="00F528F1" w:rsidRDefault="00F528F1" w:rsidP="00F528F1">
            <w:pPr>
              <w:tabs>
                <w:tab w:val="clear" w:pos="794"/>
                <w:tab w:val="clear" w:pos="1191"/>
                <w:tab w:val="clear" w:pos="1588"/>
                <w:tab w:val="clear" w:pos="1985"/>
              </w:tabs>
              <w:overflowPunct/>
              <w:autoSpaceDE/>
              <w:autoSpaceDN/>
              <w:adjustRightInd/>
              <w:spacing w:before="40" w:after="40"/>
              <w:textAlignment w:val="auto"/>
              <w:rPr>
                <w:rFonts w:ascii="Calibri" w:eastAsia="DengXian" w:hAnsi="Calibri"/>
                <w:sz w:val="18"/>
                <w:szCs w:val="18"/>
                <w:lang w:val="en-US"/>
              </w:rPr>
            </w:pPr>
            <w:r w:rsidRPr="00F528F1">
              <w:rPr>
                <w:rFonts w:ascii="Calibri" w:eastAsia="DengXian" w:hAnsi="Calibri"/>
                <w:sz w:val="18"/>
                <w:szCs w:val="18"/>
                <w:lang w:val="en-ZW"/>
              </w:rPr>
              <w:t xml:space="preserve">Proposed themes for WTDC, which can be utilised for thematic tracks, include innovation that assist in achieving the Sustainable Development Goals, demand stimulation initiatives, ICT capacity building for disadvantaged communities, Implementation of ICT technical skill resource training and investment in ICT infrastructure. </w:t>
            </w:r>
          </w:p>
        </w:tc>
      </w:tr>
    </w:tbl>
    <w:p w14:paraId="376F0D6D" w14:textId="77777777" w:rsidR="00F528F1" w:rsidRPr="00F528F1" w:rsidRDefault="00F528F1" w:rsidP="00F528F1">
      <w:pPr>
        <w:tabs>
          <w:tab w:val="clear" w:pos="794"/>
          <w:tab w:val="clear" w:pos="1191"/>
          <w:tab w:val="clear" w:pos="1588"/>
          <w:tab w:val="clear" w:pos="1985"/>
        </w:tabs>
        <w:overflowPunct/>
        <w:autoSpaceDE/>
        <w:autoSpaceDN/>
        <w:adjustRightInd/>
        <w:spacing w:after="120"/>
        <w:textAlignment w:val="auto"/>
        <w:rPr>
          <w:rFonts w:ascii="Calibri" w:eastAsia="DengXian" w:hAnsi="Calibri" w:cs="Calibri"/>
          <w:szCs w:val="24"/>
          <w:lang w:val="en-US"/>
        </w:rPr>
      </w:pPr>
    </w:p>
    <w:p w14:paraId="1594D247" w14:textId="77777777" w:rsidR="002B163F" w:rsidRDefault="002B163F" w:rsidP="002B163F">
      <w:pPr>
        <w:jc w:val="center"/>
      </w:pPr>
      <w:r>
        <w:t>________________</w:t>
      </w:r>
    </w:p>
    <w:sectPr w:rsidR="002B163F" w:rsidSect="00017FAF">
      <w:headerReference w:type="default" r:id="rId19"/>
      <w:footerReference w:type="default" r:id="rId20"/>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B9E3E" w14:textId="77777777" w:rsidR="00C65416" w:rsidRDefault="00C65416">
      <w:r>
        <w:separator/>
      </w:r>
    </w:p>
  </w:endnote>
  <w:endnote w:type="continuationSeparator" w:id="0">
    <w:p w14:paraId="0C9BF50C" w14:textId="77777777" w:rsidR="00C65416" w:rsidRDefault="00C6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9E1F" w14:textId="77777777" w:rsidR="002A7C90" w:rsidRDefault="002A7C90">
    <w:pPr>
      <w:pStyle w:val="Footer"/>
      <w:framePr w:w="576" w:wrap="around" w:vAnchor="page" w:hAnchor="page" w:x="10945" w:y="14760"/>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6493D404" w14:textId="77777777" w:rsidR="002A7C90" w:rsidRDefault="002A7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B94C" w14:textId="5E2BE986" w:rsidR="00DD16E4" w:rsidRPr="00086D89" w:rsidRDefault="00086D89" w:rsidP="00DD16E4">
    <w:pPr>
      <w:pStyle w:val="Footer"/>
      <w:rPr>
        <w:lang w:val="en-GB"/>
      </w:rPr>
    </w:pPr>
    <w:r>
      <w:fldChar w:fldCharType="begin"/>
    </w:r>
    <w:r w:rsidRPr="00086D89">
      <w:rPr>
        <w:lang w:val="en-GB"/>
      </w:rPr>
      <w:instrText xml:space="preserve"> FILENAME \p  \* MERGEFORMAT </w:instrText>
    </w:r>
    <w:r>
      <w:fldChar w:fldCharType="separate"/>
    </w:r>
    <w:r w:rsidR="002E5C44">
      <w:rPr>
        <w:lang w:val="en-GB"/>
      </w:rPr>
      <w:t>P:\CHI\ITU-D\CONF-D\TDAG20\TDAG-WG\PREP\000\012C.docx</w:t>
    </w:r>
    <w:r>
      <w:fldChar w:fldCharType="end"/>
    </w:r>
    <w:r w:rsidR="00DD16E4" w:rsidRPr="00086D89">
      <w:rPr>
        <w:lang w:val="en-GB"/>
      </w:rPr>
      <w:t xml:space="preserve"> (476624)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418"/>
      <w:gridCol w:w="2410"/>
      <w:gridCol w:w="6027"/>
    </w:tblGrid>
    <w:tr w:rsidR="002A7C90" w:rsidRPr="00E60A94" w14:paraId="562D1BB3" w14:textId="77777777" w:rsidTr="002A7C90">
      <w:tc>
        <w:tcPr>
          <w:tcW w:w="1418" w:type="dxa"/>
          <w:tcBorders>
            <w:top w:val="single" w:sz="4" w:space="0" w:color="000000" w:themeColor="text1"/>
          </w:tcBorders>
        </w:tcPr>
        <w:p w14:paraId="3423C55C" w14:textId="77777777" w:rsidR="002A7C90" w:rsidRPr="00BA0009" w:rsidRDefault="002A7C90" w:rsidP="004150FE">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hemeColor="text1"/>
          </w:tcBorders>
        </w:tcPr>
        <w:p w14:paraId="5B571803" w14:textId="77777777" w:rsidR="002A7C90" w:rsidRPr="00CB110F" w:rsidRDefault="002A7C90" w:rsidP="004150FE">
          <w:pPr>
            <w:pStyle w:val="FirstFooter"/>
            <w:ind w:left="1451" w:hanging="1451"/>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6027" w:type="dxa"/>
          <w:tcBorders>
            <w:top w:val="single" w:sz="4" w:space="0" w:color="000000" w:themeColor="text1"/>
          </w:tcBorders>
        </w:tcPr>
        <w:p w14:paraId="374110C5" w14:textId="77777777" w:rsidR="002A7C90" w:rsidRPr="00E160E4" w:rsidRDefault="002A7C90" w:rsidP="004150FE">
          <w:pPr>
            <w:pStyle w:val="FirstFooter"/>
            <w:rPr>
              <w:rFonts w:asciiTheme="minorEastAsia" w:hAnsiTheme="minorEastAsia"/>
              <w:sz w:val="18"/>
              <w:szCs w:val="18"/>
              <w:lang w:val="en-US" w:eastAsia="zh-CN"/>
            </w:rPr>
          </w:pPr>
          <w:r>
            <w:rPr>
              <w:rFonts w:hint="eastAsia"/>
              <w:sz w:val="18"/>
              <w:szCs w:val="18"/>
              <w:lang w:val="en-US" w:eastAsia="zh-CN"/>
            </w:rPr>
            <w:t>电信发展局副主任</w:t>
          </w:r>
          <w:r w:rsidRPr="00AB238C">
            <w:rPr>
              <w:sz w:val="18"/>
              <w:szCs w:val="18"/>
              <w:lang w:val="en-US"/>
            </w:rPr>
            <w:t>Stephen Bereaux</w:t>
          </w:r>
          <w:r>
            <w:rPr>
              <w:rFonts w:hint="eastAsia"/>
              <w:sz w:val="18"/>
              <w:szCs w:val="18"/>
              <w:lang w:val="en-US" w:eastAsia="zh-CN"/>
            </w:rPr>
            <w:t>先生</w:t>
          </w:r>
        </w:p>
      </w:tc>
    </w:tr>
    <w:tr w:rsidR="002A7C90" w:rsidRPr="00CB110F" w14:paraId="3B0D98A2" w14:textId="77777777" w:rsidTr="002A7C90">
      <w:tc>
        <w:tcPr>
          <w:tcW w:w="1418" w:type="dxa"/>
        </w:tcPr>
        <w:p w14:paraId="1B8C7C78" w14:textId="77777777" w:rsidR="002A7C90" w:rsidRPr="00CB110F" w:rsidRDefault="002A7C90" w:rsidP="004150FE">
          <w:pPr>
            <w:pStyle w:val="FirstFooter"/>
            <w:tabs>
              <w:tab w:val="left" w:pos="1559"/>
              <w:tab w:val="left" w:pos="3828"/>
            </w:tabs>
            <w:rPr>
              <w:sz w:val="20"/>
              <w:lang w:val="en-US" w:eastAsia="zh-CN"/>
            </w:rPr>
          </w:pPr>
        </w:p>
      </w:tc>
      <w:tc>
        <w:tcPr>
          <w:tcW w:w="2410" w:type="dxa"/>
        </w:tcPr>
        <w:p w14:paraId="778FC448" w14:textId="77777777" w:rsidR="002A7C90" w:rsidRPr="00CB110F" w:rsidRDefault="002A7C90" w:rsidP="004150FE">
          <w:pPr>
            <w:pStyle w:val="FirstFooter"/>
            <w:ind w:left="1451" w:hanging="1451"/>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6027" w:type="dxa"/>
        </w:tcPr>
        <w:p w14:paraId="616A034D" w14:textId="77777777" w:rsidR="002A7C90" w:rsidRPr="00E160E4" w:rsidRDefault="002A7C90" w:rsidP="004150FE">
          <w:pPr>
            <w:pStyle w:val="FirstFooter"/>
            <w:tabs>
              <w:tab w:val="left" w:pos="2302"/>
            </w:tabs>
            <w:rPr>
              <w:sz w:val="18"/>
              <w:szCs w:val="18"/>
              <w:lang w:val="en-US"/>
            </w:rPr>
          </w:pPr>
          <w:r w:rsidRPr="00AB238C">
            <w:rPr>
              <w:sz w:val="18"/>
              <w:szCs w:val="18"/>
              <w:lang w:val="en-US"/>
            </w:rPr>
            <w:t>+41 22 730 5131</w:t>
          </w:r>
        </w:p>
      </w:tc>
    </w:tr>
    <w:tr w:rsidR="002A7C90" w:rsidRPr="00CB110F" w14:paraId="52CE175F" w14:textId="77777777" w:rsidTr="002A7C90">
      <w:tc>
        <w:tcPr>
          <w:tcW w:w="1418" w:type="dxa"/>
        </w:tcPr>
        <w:p w14:paraId="13A55BC4" w14:textId="77777777" w:rsidR="002A7C90" w:rsidRPr="00CB110F" w:rsidRDefault="002A7C90" w:rsidP="004150FE">
          <w:pPr>
            <w:pStyle w:val="FirstFooter"/>
            <w:tabs>
              <w:tab w:val="left" w:pos="1559"/>
              <w:tab w:val="left" w:pos="3828"/>
            </w:tabs>
            <w:rPr>
              <w:sz w:val="20"/>
              <w:lang w:val="en-US"/>
            </w:rPr>
          </w:pPr>
        </w:p>
      </w:tc>
      <w:tc>
        <w:tcPr>
          <w:tcW w:w="2410" w:type="dxa"/>
        </w:tcPr>
        <w:p w14:paraId="49BE2AAC" w14:textId="77777777" w:rsidR="002A7C90" w:rsidRPr="00CB110F" w:rsidRDefault="002A7C90" w:rsidP="004150FE">
          <w:pPr>
            <w:pStyle w:val="FirstFooter"/>
            <w:ind w:left="1451" w:hanging="1451"/>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6027" w:type="dxa"/>
        </w:tcPr>
        <w:p w14:paraId="1F77D25E" w14:textId="48058E3C" w:rsidR="002A7C90" w:rsidRDefault="00A93909" w:rsidP="004150FE">
          <w:pPr>
            <w:pStyle w:val="FirstFooter"/>
            <w:tabs>
              <w:tab w:val="left" w:pos="2302"/>
            </w:tabs>
          </w:pPr>
          <w:hyperlink r:id="rId1" w:history="1">
            <w:r w:rsidR="002A7C90" w:rsidRPr="00AB238C">
              <w:rPr>
                <w:rStyle w:val="Hyperlink"/>
                <w:sz w:val="18"/>
                <w:szCs w:val="22"/>
              </w:rPr>
              <w:t>stephen.bereaux@itu.int</w:t>
            </w:r>
          </w:hyperlink>
        </w:p>
      </w:tc>
    </w:tr>
  </w:tbl>
  <w:p w14:paraId="7CDA3E44" w14:textId="63B9C31D" w:rsidR="002A7C90" w:rsidRPr="00BB574D" w:rsidRDefault="00A93909" w:rsidP="004150FE">
    <w:pPr>
      <w:tabs>
        <w:tab w:val="center" w:pos="4678"/>
        <w:tab w:val="right" w:pos="9639"/>
      </w:tabs>
      <w:jc w:val="center"/>
      <w:rPr>
        <w:rFonts w:ascii="Calibri" w:hAnsi="Calibri" w:cs="Calibri"/>
        <w:b/>
        <w:color w:val="800000"/>
      </w:rPr>
    </w:pPr>
    <w:hyperlink r:id="rId2" w:history="1">
      <w:r w:rsidR="002A7C90" w:rsidRPr="004150FE">
        <w:rPr>
          <w:rStyle w:val="Hyperlink"/>
          <w:sz w:val="18"/>
          <w:szCs w:val="18"/>
        </w:rPr>
        <w:t>TDAG-WG-Prep</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CD62" w14:textId="3EBA8E31" w:rsidR="002A7C90" w:rsidRPr="002D740E" w:rsidRDefault="002A7C90" w:rsidP="002D740E">
    <w:pPr>
      <w:pStyle w:val="Footer"/>
      <w:rPr>
        <w:lang w:val="en-US"/>
      </w:rPr>
    </w:pPr>
    <w:r>
      <w:fldChar w:fldCharType="begin"/>
    </w:r>
    <w:r w:rsidRPr="002D740E">
      <w:rPr>
        <w:lang w:val="en-US"/>
      </w:rPr>
      <w:instrText xml:space="preserve"> FILENAME \p  \* MERGEFORMAT </w:instrText>
    </w:r>
    <w:r>
      <w:fldChar w:fldCharType="separate"/>
    </w:r>
    <w:r w:rsidR="002E5C44">
      <w:rPr>
        <w:lang w:val="en-US"/>
      </w:rPr>
      <w:t>P:\CHI\ITU-D\CONF-D\TDAG20\TDAG-WG\PREP\000\012C.docx</w:t>
    </w:r>
    <w:r>
      <w:fldChar w:fldCharType="end"/>
    </w:r>
    <w:r>
      <w:rPr>
        <w:lang w:val="en-US"/>
      </w:rPr>
      <w:t xml:space="preserve"> (476624</w:t>
    </w:r>
    <w:r w:rsidRPr="002D740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8438" w14:textId="77777777" w:rsidR="00C65416" w:rsidRDefault="00C65416">
      <w:r>
        <w:t>____________________</w:t>
      </w:r>
    </w:p>
  </w:footnote>
  <w:footnote w:type="continuationSeparator" w:id="0">
    <w:p w14:paraId="3275CFBE" w14:textId="77777777" w:rsidR="00C65416" w:rsidRDefault="00C6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DDE7" w14:textId="59284F89" w:rsidR="00B10114" w:rsidRDefault="00B10114" w:rsidP="00B10114">
    <w:pPr>
      <w:pStyle w:val="Header"/>
      <w:rPr>
        <w:rStyle w:val="PageNumber"/>
        <w:lang w:val="en-US"/>
      </w:rPr>
    </w:pPr>
    <w:r>
      <w:rPr>
        <w:rStyle w:val="PageNumber"/>
        <w:lang w:val="en-US"/>
      </w:rP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sidR="00A93909">
      <w:rPr>
        <w:rStyle w:val="PageNumber"/>
        <w:noProof/>
        <w:lang w:val="en-US"/>
      </w:rPr>
      <w:t>2</w:t>
    </w:r>
    <w:r w:rsidRPr="00643042">
      <w:rPr>
        <w:rStyle w:val="PageNumber"/>
        <w:noProof/>
        <w:lang w:val="en-US"/>
      </w:rPr>
      <w:fldChar w:fldCharType="end"/>
    </w:r>
    <w:r>
      <w:rPr>
        <w:rStyle w:val="PageNumber"/>
        <w:lang w:val="en-US"/>
      </w:rPr>
      <w:t>-</w:t>
    </w:r>
  </w:p>
  <w:p w14:paraId="4F4DE40F" w14:textId="56A20A0F" w:rsidR="002A7C90" w:rsidRPr="00B10114" w:rsidRDefault="00B10114" w:rsidP="00B10114">
    <w:pPr>
      <w:pStyle w:val="Header"/>
      <w:rPr>
        <w:lang w:val="en-US"/>
      </w:rPr>
    </w:pPr>
    <w:r>
      <w:rPr>
        <w:rStyle w:val="PageNumber"/>
        <w:lang w:val="en-US"/>
      </w:rPr>
      <w:t>TDAG-WG-Prep/12-C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5192" w14:textId="36F3B8DA" w:rsidR="006E6BDF" w:rsidRDefault="006E6BDF" w:rsidP="006E6BDF">
    <w:pPr>
      <w:pStyle w:val="Header"/>
      <w:rPr>
        <w:rStyle w:val="PageNumber"/>
        <w:lang w:val="en-US"/>
      </w:rPr>
    </w:pPr>
    <w:r>
      <w:rPr>
        <w:rStyle w:val="PageNumber"/>
        <w:lang w:val="en-US"/>
      </w:rP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sidR="00A93909">
      <w:rPr>
        <w:rStyle w:val="PageNumber"/>
        <w:noProof/>
        <w:lang w:val="en-US"/>
      </w:rPr>
      <w:t>10</w:t>
    </w:r>
    <w:r w:rsidRPr="00643042">
      <w:rPr>
        <w:rStyle w:val="PageNumber"/>
        <w:noProof/>
        <w:lang w:val="en-US"/>
      </w:rPr>
      <w:fldChar w:fldCharType="end"/>
    </w:r>
    <w:r>
      <w:rPr>
        <w:rStyle w:val="PageNumber"/>
        <w:lang w:val="en-US"/>
      </w:rPr>
      <w:t>-</w:t>
    </w:r>
  </w:p>
  <w:p w14:paraId="40143469" w14:textId="78631289" w:rsidR="002A7C90" w:rsidRPr="006E6BDF" w:rsidRDefault="006E6BDF" w:rsidP="006E6BDF">
    <w:pPr>
      <w:pStyle w:val="Header"/>
      <w:rPr>
        <w:rStyle w:val="PageNumber"/>
        <w:lang w:val="en-US"/>
      </w:rPr>
    </w:pPr>
    <w:r>
      <w:rPr>
        <w:rStyle w:val="PageNumber"/>
        <w:lang w:val="en-US"/>
      </w:rPr>
      <w:t>TDAG-WG-Prep/12-C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1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051FE0"/>
    <w:multiLevelType w:val="hybridMultilevel"/>
    <w:tmpl w:val="36EEAA72"/>
    <w:lvl w:ilvl="0" w:tplc="A70E6D20">
      <w:start w:val="1"/>
      <w:numFmt w:val="decimal"/>
      <w:lvlText w:val="%1."/>
      <w:lvlJc w:val="left"/>
      <w:pPr>
        <w:ind w:left="720" w:hanging="360"/>
      </w:pPr>
    </w:lvl>
    <w:lvl w:ilvl="1" w:tplc="FF8E93E0" w:tentative="1">
      <w:start w:val="1"/>
      <w:numFmt w:val="lowerLetter"/>
      <w:lvlText w:val="%2."/>
      <w:lvlJc w:val="left"/>
      <w:pPr>
        <w:ind w:left="1440" w:hanging="360"/>
      </w:pPr>
    </w:lvl>
    <w:lvl w:ilvl="2" w:tplc="77706B6A" w:tentative="1">
      <w:start w:val="1"/>
      <w:numFmt w:val="lowerRoman"/>
      <w:lvlText w:val="%3."/>
      <w:lvlJc w:val="right"/>
      <w:pPr>
        <w:ind w:left="2160" w:hanging="180"/>
      </w:pPr>
    </w:lvl>
    <w:lvl w:ilvl="3" w:tplc="2B7CA768" w:tentative="1">
      <w:start w:val="1"/>
      <w:numFmt w:val="decimal"/>
      <w:lvlText w:val="%4."/>
      <w:lvlJc w:val="left"/>
      <w:pPr>
        <w:ind w:left="2880" w:hanging="360"/>
      </w:pPr>
    </w:lvl>
    <w:lvl w:ilvl="4" w:tplc="F39A2308" w:tentative="1">
      <w:start w:val="1"/>
      <w:numFmt w:val="lowerLetter"/>
      <w:lvlText w:val="%5."/>
      <w:lvlJc w:val="left"/>
      <w:pPr>
        <w:ind w:left="3600" w:hanging="360"/>
      </w:pPr>
    </w:lvl>
    <w:lvl w:ilvl="5" w:tplc="363AAE8E" w:tentative="1">
      <w:start w:val="1"/>
      <w:numFmt w:val="lowerRoman"/>
      <w:lvlText w:val="%6."/>
      <w:lvlJc w:val="right"/>
      <w:pPr>
        <w:ind w:left="4320" w:hanging="180"/>
      </w:pPr>
    </w:lvl>
    <w:lvl w:ilvl="6" w:tplc="2304B75C" w:tentative="1">
      <w:start w:val="1"/>
      <w:numFmt w:val="decimal"/>
      <w:lvlText w:val="%7."/>
      <w:lvlJc w:val="left"/>
      <w:pPr>
        <w:ind w:left="5040" w:hanging="360"/>
      </w:pPr>
    </w:lvl>
    <w:lvl w:ilvl="7" w:tplc="E0AEEE20" w:tentative="1">
      <w:start w:val="1"/>
      <w:numFmt w:val="lowerLetter"/>
      <w:lvlText w:val="%8."/>
      <w:lvlJc w:val="left"/>
      <w:pPr>
        <w:ind w:left="5760" w:hanging="360"/>
      </w:pPr>
    </w:lvl>
    <w:lvl w:ilvl="8" w:tplc="C09CA5F2" w:tentative="1">
      <w:start w:val="1"/>
      <w:numFmt w:val="lowerRoman"/>
      <w:lvlText w:val="%9."/>
      <w:lvlJc w:val="right"/>
      <w:pPr>
        <w:ind w:left="6480" w:hanging="180"/>
      </w:pPr>
    </w:lvl>
  </w:abstractNum>
  <w:abstractNum w:abstractNumId="2" w15:restartNumberingAfterBreak="0">
    <w:nsid w:val="2DAF3DA0"/>
    <w:multiLevelType w:val="hybridMultilevel"/>
    <w:tmpl w:val="B3043CB0"/>
    <w:lvl w:ilvl="0" w:tplc="83E8BC7A">
      <w:start w:val="1"/>
      <w:numFmt w:val="decimal"/>
      <w:lvlText w:val="%1."/>
      <w:lvlJc w:val="left"/>
      <w:pPr>
        <w:ind w:left="360" w:hanging="360"/>
      </w:pPr>
      <w:rPr>
        <w:rFonts w:hint="default"/>
      </w:rPr>
    </w:lvl>
    <w:lvl w:ilvl="1" w:tplc="2D96631C" w:tentative="1">
      <w:start w:val="1"/>
      <w:numFmt w:val="bullet"/>
      <w:lvlText w:val="o"/>
      <w:lvlJc w:val="left"/>
      <w:pPr>
        <w:ind w:left="1080" w:hanging="360"/>
      </w:pPr>
      <w:rPr>
        <w:rFonts w:ascii="Courier New" w:hAnsi="Courier New" w:cs="Courier New" w:hint="default"/>
      </w:rPr>
    </w:lvl>
    <w:lvl w:ilvl="2" w:tplc="AF18D3F4" w:tentative="1">
      <w:start w:val="1"/>
      <w:numFmt w:val="bullet"/>
      <w:lvlText w:val=""/>
      <w:lvlJc w:val="left"/>
      <w:pPr>
        <w:ind w:left="1800" w:hanging="360"/>
      </w:pPr>
      <w:rPr>
        <w:rFonts w:ascii="Wingdings" w:hAnsi="Wingdings" w:hint="default"/>
      </w:rPr>
    </w:lvl>
    <w:lvl w:ilvl="3" w:tplc="F7EA66E8" w:tentative="1">
      <w:start w:val="1"/>
      <w:numFmt w:val="bullet"/>
      <w:lvlText w:val=""/>
      <w:lvlJc w:val="left"/>
      <w:pPr>
        <w:ind w:left="2520" w:hanging="360"/>
      </w:pPr>
      <w:rPr>
        <w:rFonts w:ascii="Symbol" w:hAnsi="Symbol" w:hint="default"/>
      </w:rPr>
    </w:lvl>
    <w:lvl w:ilvl="4" w:tplc="732E31EE" w:tentative="1">
      <w:start w:val="1"/>
      <w:numFmt w:val="bullet"/>
      <w:lvlText w:val="o"/>
      <w:lvlJc w:val="left"/>
      <w:pPr>
        <w:ind w:left="3240" w:hanging="360"/>
      </w:pPr>
      <w:rPr>
        <w:rFonts w:ascii="Courier New" w:hAnsi="Courier New" w:cs="Courier New" w:hint="default"/>
      </w:rPr>
    </w:lvl>
    <w:lvl w:ilvl="5" w:tplc="F6CA26DC" w:tentative="1">
      <w:start w:val="1"/>
      <w:numFmt w:val="bullet"/>
      <w:lvlText w:val=""/>
      <w:lvlJc w:val="left"/>
      <w:pPr>
        <w:ind w:left="3960" w:hanging="360"/>
      </w:pPr>
      <w:rPr>
        <w:rFonts w:ascii="Wingdings" w:hAnsi="Wingdings" w:hint="default"/>
      </w:rPr>
    </w:lvl>
    <w:lvl w:ilvl="6" w:tplc="18444C70" w:tentative="1">
      <w:start w:val="1"/>
      <w:numFmt w:val="bullet"/>
      <w:lvlText w:val=""/>
      <w:lvlJc w:val="left"/>
      <w:pPr>
        <w:ind w:left="4680" w:hanging="360"/>
      </w:pPr>
      <w:rPr>
        <w:rFonts w:ascii="Symbol" w:hAnsi="Symbol" w:hint="default"/>
      </w:rPr>
    </w:lvl>
    <w:lvl w:ilvl="7" w:tplc="F02ED33A" w:tentative="1">
      <w:start w:val="1"/>
      <w:numFmt w:val="bullet"/>
      <w:lvlText w:val="o"/>
      <w:lvlJc w:val="left"/>
      <w:pPr>
        <w:ind w:left="5400" w:hanging="360"/>
      </w:pPr>
      <w:rPr>
        <w:rFonts w:ascii="Courier New" w:hAnsi="Courier New" w:cs="Courier New" w:hint="default"/>
      </w:rPr>
    </w:lvl>
    <w:lvl w:ilvl="8" w:tplc="E7901EB8" w:tentative="1">
      <w:start w:val="1"/>
      <w:numFmt w:val="bullet"/>
      <w:lvlText w:val=""/>
      <w:lvlJc w:val="left"/>
      <w:pPr>
        <w:ind w:left="6120" w:hanging="360"/>
      </w:pPr>
      <w:rPr>
        <w:rFonts w:ascii="Wingdings" w:hAnsi="Wingdings" w:hint="default"/>
      </w:rPr>
    </w:lvl>
  </w:abstractNum>
  <w:abstractNum w:abstractNumId="3" w15:restartNumberingAfterBreak="0">
    <w:nsid w:val="30F20155"/>
    <w:multiLevelType w:val="hybridMultilevel"/>
    <w:tmpl w:val="951AA980"/>
    <w:lvl w:ilvl="0" w:tplc="710C5C24">
      <w:start w:val="1"/>
      <w:numFmt w:val="bullet"/>
      <w:lvlText w:val=""/>
      <w:lvlJc w:val="left"/>
      <w:pPr>
        <w:ind w:left="360" w:hanging="360"/>
      </w:pPr>
      <w:rPr>
        <w:rFonts w:ascii="Symbol" w:hAnsi="Symbol" w:hint="default"/>
      </w:rPr>
    </w:lvl>
    <w:lvl w:ilvl="1" w:tplc="3160AA9A">
      <w:start w:val="1"/>
      <w:numFmt w:val="bullet"/>
      <w:lvlText w:val="o"/>
      <w:lvlJc w:val="left"/>
      <w:pPr>
        <w:ind w:left="1440" w:hanging="360"/>
      </w:pPr>
      <w:rPr>
        <w:rFonts w:ascii="Courier New" w:hAnsi="Courier New" w:cs="Courier New" w:hint="default"/>
      </w:rPr>
    </w:lvl>
    <w:lvl w:ilvl="2" w:tplc="565677DA" w:tentative="1">
      <w:start w:val="1"/>
      <w:numFmt w:val="bullet"/>
      <w:lvlText w:val=""/>
      <w:lvlJc w:val="left"/>
      <w:pPr>
        <w:ind w:left="2160" w:hanging="360"/>
      </w:pPr>
      <w:rPr>
        <w:rFonts w:ascii="Wingdings" w:hAnsi="Wingdings" w:hint="default"/>
      </w:rPr>
    </w:lvl>
    <w:lvl w:ilvl="3" w:tplc="73E819A4" w:tentative="1">
      <w:start w:val="1"/>
      <w:numFmt w:val="bullet"/>
      <w:lvlText w:val=""/>
      <w:lvlJc w:val="left"/>
      <w:pPr>
        <w:ind w:left="2880" w:hanging="360"/>
      </w:pPr>
      <w:rPr>
        <w:rFonts w:ascii="Symbol" w:hAnsi="Symbol" w:hint="default"/>
      </w:rPr>
    </w:lvl>
    <w:lvl w:ilvl="4" w:tplc="1D4676E2" w:tentative="1">
      <w:start w:val="1"/>
      <w:numFmt w:val="bullet"/>
      <w:lvlText w:val="o"/>
      <w:lvlJc w:val="left"/>
      <w:pPr>
        <w:ind w:left="3600" w:hanging="360"/>
      </w:pPr>
      <w:rPr>
        <w:rFonts w:ascii="Courier New" w:hAnsi="Courier New" w:cs="Courier New" w:hint="default"/>
      </w:rPr>
    </w:lvl>
    <w:lvl w:ilvl="5" w:tplc="35624E68" w:tentative="1">
      <w:start w:val="1"/>
      <w:numFmt w:val="bullet"/>
      <w:lvlText w:val=""/>
      <w:lvlJc w:val="left"/>
      <w:pPr>
        <w:ind w:left="4320" w:hanging="360"/>
      </w:pPr>
      <w:rPr>
        <w:rFonts w:ascii="Wingdings" w:hAnsi="Wingdings" w:hint="default"/>
      </w:rPr>
    </w:lvl>
    <w:lvl w:ilvl="6" w:tplc="65D8A1B0" w:tentative="1">
      <w:start w:val="1"/>
      <w:numFmt w:val="bullet"/>
      <w:lvlText w:val=""/>
      <w:lvlJc w:val="left"/>
      <w:pPr>
        <w:ind w:left="5040" w:hanging="360"/>
      </w:pPr>
      <w:rPr>
        <w:rFonts w:ascii="Symbol" w:hAnsi="Symbol" w:hint="default"/>
      </w:rPr>
    </w:lvl>
    <w:lvl w:ilvl="7" w:tplc="54CEFC7A" w:tentative="1">
      <w:start w:val="1"/>
      <w:numFmt w:val="bullet"/>
      <w:lvlText w:val="o"/>
      <w:lvlJc w:val="left"/>
      <w:pPr>
        <w:ind w:left="5760" w:hanging="360"/>
      </w:pPr>
      <w:rPr>
        <w:rFonts w:ascii="Courier New" w:hAnsi="Courier New" w:cs="Courier New" w:hint="default"/>
      </w:rPr>
    </w:lvl>
    <w:lvl w:ilvl="8" w:tplc="79460F2A" w:tentative="1">
      <w:start w:val="1"/>
      <w:numFmt w:val="bullet"/>
      <w:lvlText w:val=""/>
      <w:lvlJc w:val="left"/>
      <w:pPr>
        <w:ind w:left="6480" w:hanging="360"/>
      </w:pPr>
      <w:rPr>
        <w:rFonts w:ascii="Wingdings" w:hAnsi="Wingdings" w:hint="default"/>
      </w:rPr>
    </w:lvl>
  </w:abstractNum>
  <w:abstractNum w:abstractNumId="4" w15:restartNumberingAfterBreak="0">
    <w:nsid w:val="34141947"/>
    <w:multiLevelType w:val="hybridMultilevel"/>
    <w:tmpl w:val="D298AD30"/>
    <w:lvl w:ilvl="0" w:tplc="E340AE9E">
      <w:start w:val="1"/>
      <w:numFmt w:val="bullet"/>
      <w:lvlText w:val=""/>
      <w:lvlJc w:val="left"/>
      <w:pPr>
        <w:ind w:left="361" w:hanging="360"/>
      </w:pPr>
      <w:rPr>
        <w:rFonts w:ascii="Symbol" w:hAnsi="Symbol" w:hint="default"/>
      </w:rPr>
    </w:lvl>
    <w:lvl w:ilvl="1" w:tplc="5FD8678A" w:tentative="1">
      <w:start w:val="1"/>
      <w:numFmt w:val="bullet"/>
      <w:lvlText w:val="o"/>
      <w:lvlJc w:val="left"/>
      <w:pPr>
        <w:ind w:left="1081" w:hanging="360"/>
      </w:pPr>
      <w:rPr>
        <w:rFonts w:ascii="Courier New" w:hAnsi="Courier New" w:hint="default"/>
      </w:rPr>
    </w:lvl>
    <w:lvl w:ilvl="2" w:tplc="71EA877A" w:tentative="1">
      <w:start w:val="1"/>
      <w:numFmt w:val="bullet"/>
      <w:lvlText w:val=""/>
      <w:lvlJc w:val="left"/>
      <w:pPr>
        <w:ind w:left="1801" w:hanging="360"/>
      </w:pPr>
      <w:rPr>
        <w:rFonts w:ascii="Wingdings" w:hAnsi="Wingdings" w:hint="default"/>
      </w:rPr>
    </w:lvl>
    <w:lvl w:ilvl="3" w:tplc="D736CDE0" w:tentative="1">
      <w:start w:val="1"/>
      <w:numFmt w:val="bullet"/>
      <w:lvlText w:val=""/>
      <w:lvlJc w:val="left"/>
      <w:pPr>
        <w:ind w:left="2521" w:hanging="360"/>
      </w:pPr>
      <w:rPr>
        <w:rFonts w:ascii="Symbol" w:hAnsi="Symbol" w:hint="default"/>
      </w:rPr>
    </w:lvl>
    <w:lvl w:ilvl="4" w:tplc="BB5C513C" w:tentative="1">
      <w:start w:val="1"/>
      <w:numFmt w:val="bullet"/>
      <w:lvlText w:val="o"/>
      <w:lvlJc w:val="left"/>
      <w:pPr>
        <w:ind w:left="3241" w:hanging="360"/>
      </w:pPr>
      <w:rPr>
        <w:rFonts w:ascii="Courier New" w:hAnsi="Courier New" w:hint="default"/>
      </w:rPr>
    </w:lvl>
    <w:lvl w:ilvl="5" w:tplc="D78243E4" w:tentative="1">
      <w:start w:val="1"/>
      <w:numFmt w:val="bullet"/>
      <w:lvlText w:val=""/>
      <w:lvlJc w:val="left"/>
      <w:pPr>
        <w:ind w:left="3961" w:hanging="360"/>
      </w:pPr>
      <w:rPr>
        <w:rFonts w:ascii="Wingdings" w:hAnsi="Wingdings" w:hint="default"/>
      </w:rPr>
    </w:lvl>
    <w:lvl w:ilvl="6" w:tplc="DBACDC3E" w:tentative="1">
      <w:start w:val="1"/>
      <w:numFmt w:val="bullet"/>
      <w:lvlText w:val=""/>
      <w:lvlJc w:val="left"/>
      <w:pPr>
        <w:ind w:left="4681" w:hanging="360"/>
      </w:pPr>
      <w:rPr>
        <w:rFonts w:ascii="Symbol" w:hAnsi="Symbol" w:hint="default"/>
      </w:rPr>
    </w:lvl>
    <w:lvl w:ilvl="7" w:tplc="D5B412D4" w:tentative="1">
      <w:start w:val="1"/>
      <w:numFmt w:val="bullet"/>
      <w:lvlText w:val="o"/>
      <w:lvlJc w:val="left"/>
      <w:pPr>
        <w:ind w:left="5401" w:hanging="360"/>
      </w:pPr>
      <w:rPr>
        <w:rFonts w:ascii="Courier New" w:hAnsi="Courier New" w:hint="default"/>
      </w:rPr>
    </w:lvl>
    <w:lvl w:ilvl="8" w:tplc="AEDCA89E" w:tentative="1">
      <w:start w:val="1"/>
      <w:numFmt w:val="bullet"/>
      <w:lvlText w:val=""/>
      <w:lvlJc w:val="left"/>
      <w:pPr>
        <w:ind w:left="6121" w:hanging="360"/>
      </w:pPr>
      <w:rPr>
        <w:rFonts w:ascii="Wingdings" w:hAnsi="Wingdings" w:hint="default"/>
      </w:rPr>
    </w:lvl>
  </w:abstractNum>
  <w:abstractNum w:abstractNumId="5" w15:restartNumberingAfterBreak="0">
    <w:nsid w:val="55BA1306"/>
    <w:multiLevelType w:val="hybridMultilevel"/>
    <w:tmpl w:val="25220538"/>
    <w:lvl w:ilvl="0" w:tplc="0BE24A0E">
      <w:start w:val="1"/>
      <w:numFmt w:val="bullet"/>
      <w:lvlText w:val=""/>
      <w:lvlJc w:val="left"/>
      <w:pPr>
        <w:ind w:left="360" w:hanging="360"/>
      </w:pPr>
      <w:rPr>
        <w:rFonts w:ascii="Symbol" w:hAnsi="Symbol" w:hint="default"/>
      </w:rPr>
    </w:lvl>
    <w:lvl w:ilvl="1" w:tplc="7D8CEB0A" w:tentative="1">
      <w:start w:val="1"/>
      <w:numFmt w:val="bullet"/>
      <w:lvlText w:val="o"/>
      <w:lvlJc w:val="left"/>
      <w:pPr>
        <w:ind w:left="1080" w:hanging="360"/>
      </w:pPr>
      <w:rPr>
        <w:rFonts w:ascii="Courier New" w:hAnsi="Courier New" w:cs="Courier New" w:hint="default"/>
      </w:rPr>
    </w:lvl>
    <w:lvl w:ilvl="2" w:tplc="80F48DA0" w:tentative="1">
      <w:start w:val="1"/>
      <w:numFmt w:val="bullet"/>
      <w:lvlText w:val=""/>
      <w:lvlJc w:val="left"/>
      <w:pPr>
        <w:ind w:left="1800" w:hanging="360"/>
      </w:pPr>
      <w:rPr>
        <w:rFonts w:ascii="Wingdings" w:hAnsi="Wingdings" w:hint="default"/>
      </w:rPr>
    </w:lvl>
    <w:lvl w:ilvl="3" w:tplc="A52C1050" w:tentative="1">
      <w:start w:val="1"/>
      <w:numFmt w:val="bullet"/>
      <w:lvlText w:val=""/>
      <w:lvlJc w:val="left"/>
      <w:pPr>
        <w:ind w:left="2520" w:hanging="360"/>
      </w:pPr>
      <w:rPr>
        <w:rFonts w:ascii="Symbol" w:hAnsi="Symbol" w:hint="default"/>
      </w:rPr>
    </w:lvl>
    <w:lvl w:ilvl="4" w:tplc="311447EC" w:tentative="1">
      <w:start w:val="1"/>
      <w:numFmt w:val="bullet"/>
      <w:lvlText w:val="o"/>
      <w:lvlJc w:val="left"/>
      <w:pPr>
        <w:ind w:left="3240" w:hanging="360"/>
      </w:pPr>
      <w:rPr>
        <w:rFonts w:ascii="Courier New" w:hAnsi="Courier New" w:cs="Courier New" w:hint="default"/>
      </w:rPr>
    </w:lvl>
    <w:lvl w:ilvl="5" w:tplc="85164390" w:tentative="1">
      <w:start w:val="1"/>
      <w:numFmt w:val="bullet"/>
      <w:lvlText w:val=""/>
      <w:lvlJc w:val="left"/>
      <w:pPr>
        <w:ind w:left="3960" w:hanging="360"/>
      </w:pPr>
      <w:rPr>
        <w:rFonts w:ascii="Wingdings" w:hAnsi="Wingdings" w:hint="default"/>
      </w:rPr>
    </w:lvl>
    <w:lvl w:ilvl="6" w:tplc="469AD2B8" w:tentative="1">
      <w:start w:val="1"/>
      <w:numFmt w:val="bullet"/>
      <w:lvlText w:val=""/>
      <w:lvlJc w:val="left"/>
      <w:pPr>
        <w:ind w:left="4680" w:hanging="360"/>
      </w:pPr>
      <w:rPr>
        <w:rFonts w:ascii="Symbol" w:hAnsi="Symbol" w:hint="default"/>
      </w:rPr>
    </w:lvl>
    <w:lvl w:ilvl="7" w:tplc="57FE4228" w:tentative="1">
      <w:start w:val="1"/>
      <w:numFmt w:val="bullet"/>
      <w:lvlText w:val="o"/>
      <w:lvlJc w:val="left"/>
      <w:pPr>
        <w:ind w:left="5400" w:hanging="360"/>
      </w:pPr>
      <w:rPr>
        <w:rFonts w:ascii="Courier New" w:hAnsi="Courier New" w:cs="Courier New" w:hint="default"/>
      </w:rPr>
    </w:lvl>
    <w:lvl w:ilvl="8" w:tplc="523C3238" w:tentative="1">
      <w:start w:val="1"/>
      <w:numFmt w:val="bullet"/>
      <w:lvlText w:val=""/>
      <w:lvlJc w:val="left"/>
      <w:pPr>
        <w:ind w:left="612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75839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C9C4834"/>
    <w:multiLevelType w:val="hybridMultilevel"/>
    <w:tmpl w:val="BB36B3CA"/>
    <w:lvl w:ilvl="0" w:tplc="B06C8ED6">
      <w:start w:val="1"/>
      <w:numFmt w:val="bullet"/>
      <w:lvlText w:val=""/>
      <w:lvlJc w:val="left"/>
      <w:pPr>
        <w:ind w:left="360" w:hanging="360"/>
      </w:pPr>
      <w:rPr>
        <w:rFonts w:ascii="Symbol" w:hAnsi="Symbol" w:hint="default"/>
      </w:rPr>
    </w:lvl>
    <w:lvl w:ilvl="1" w:tplc="46CEB6CE" w:tentative="1">
      <w:start w:val="1"/>
      <w:numFmt w:val="bullet"/>
      <w:lvlText w:val="o"/>
      <w:lvlJc w:val="left"/>
      <w:pPr>
        <w:ind w:left="1080" w:hanging="360"/>
      </w:pPr>
      <w:rPr>
        <w:rFonts w:ascii="Courier New" w:hAnsi="Courier New" w:cs="Courier New" w:hint="default"/>
      </w:rPr>
    </w:lvl>
    <w:lvl w:ilvl="2" w:tplc="85523A80" w:tentative="1">
      <w:start w:val="1"/>
      <w:numFmt w:val="bullet"/>
      <w:lvlText w:val=""/>
      <w:lvlJc w:val="left"/>
      <w:pPr>
        <w:ind w:left="1800" w:hanging="360"/>
      </w:pPr>
      <w:rPr>
        <w:rFonts w:ascii="Wingdings" w:hAnsi="Wingdings" w:hint="default"/>
      </w:rPr>
    </w:lvl>
    <w:lvl w:ilvl="3" w:tplc="AF7A8A86" w:tentative="1">
      <w:start w:val="1"/>
      <w:numFmt w:val="bullet"/>
      <w:lvlText w:val=""/>
      <w:lvlJc w:val="left"/>
      <w:pPr>
        <w:ind w:left="2520" w:hanging="360"/>
      </w:pPr>
      <w:rPr>
        <w:rFonts w:ascii="Symbol" w:hAnsi="Symbol" w:hint="default"/>
      </w:rPr>
    </w:lvl>
    <w:lvl w:ilvl="4" w:tplc="E13424D2" w:tentative="1">
      <w:start w:val="1"/>
      <w:numFmt w:val="bullet"/>
      <w:lvlText w:val="o"/>
      <w:lvlJc w:val="left"/>
      <w:pPr>
        <w:ind w:left="3240" w:hanging="360"/>
      </w:pPr>
      <w:rPr>
        <w:rFonts w:ascii="Courier New" w:hAnsi="Courier New" w:cs="Courier New" w:hint="default"/>
      </w:rPr>
    </w:lvl>
    <w:lvl w:ilvl="5" w:tplc="1A081B8C" w:tentative="1">
      <w:start w:val="1"/>
      <w:numFmt w:val="bullet"/>
      <w:lvlText w:val=""/>
      <w:lvlJc w:val="left"/>
      <w:pPr>
        <w:ind w:left="3960" w:hanging="360"/>
      </w:pPr>
      <w:rPr>
        <w:rFonts w:ascii="Wingdings" w:hAnsi="Wingdings" w:hint="default"/>
      </w:rPr>
    </w:lvl>
    <w:lvl w:ilvl="6" w:tplc="0EF65F68" w:tentative="1">
      <w:start w:val="1"/>
      <w:numFmt w:val="bullet"/>
      <w:lvlText w:val=""/>
      <w:lvlJc w:val="left"/>
      <w:pPr>
        <w:ind w:left="4680" w:hanging="360"/>
      </w:pPr>
      <w:rPr>
        <w:rFonts w:ascii="Symbol" w:hAnsi="Symbol" w:hint="default"/>
      </w:rPr>
    </w:lvl>
    <w:lvl w:ilvl="7" w:tplc="745A2CF8" w:tentative="1">
      <w:start w:val="1"/>
      <w:numFmt w:val="bullet"/>
      <w:lvlText w:val="o"/>
      <w:lvlJc w:val="left"/>
      <w:pPr>
        <w:ind w:left="5400" w:hanging="360"/>
      </w:pPr>
      <w:rPr>
        <w:rFonts w:ascii="Courier New" w:hAnsi="Courier New" w:cs="Courier New" w:hint="default"/>
      </w:rPr>
    </w:lvl>
    <w:lvl w:ilvl="8" w:tplc="86725DF0"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0"/>
  </w:num>
  <w:num w:numId="6">
    <w:abstractNumId w:val="7"/>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CE"/>
    <w:rsid w:val="00002716"/>
    <w:rsid w:val="00002A7E"/>
    <w:rsid w:val="00005791"/>
    <w:rsid w:val="00010827"/>
    <w:rsid w:val="00015089"/>
    <w:rsid w:val="00017FAF"/>
    <w:rsid w:val="0002520B"/>
    <w:rsid w:val="000324AF"/>
    <w:rsid w:val="00034811"/>
    <w:rsid w:val="00037A9E"/>
    <w:rsid w:val="00037F91"/>
    <w:rsid w:val="000539F1"/>
    <w:rsid w:val="00054747"/>
    <w:rsid w:val="00055A2A"/>
    <w:rsid w:val="000615C1"/>
    <w:rsid w:val="00061675"/>
    <w:rsid w:val="000743AA"/>
    <w:rsid w:val="00074683"/>
    <w:rsid w:val="00086D89"/>
    <w:rsid w:val="0009225C"/>
    <w:rsid w:val="000A17C4"/>
    <w:rsid w:val="000A1B0E"/>
    <w:rsid w:val="000A36A4"/>
    <w:rsid w:val="000A3A00"/>
    <w:rsid w:val="000B2352"/>
    <w:rsid w:val="000C6AF0"/>
    <w:rsid w:val="000C7B84"/>
    <w:rsid w:val="000D261B"/>
    <w:rsid w:val="000D58A3"/>
    <w:rsid w:val="000E0704"/>
    <w:rsid w:val="000E3ED4"/>
    <w:rsid w:val="000E3F9C"/>
    <w:rsid w:val="000F1550"/>
    <w:rsid w:val="000F251B"/>
    <w:rsid w:val="000F2E62"/>
    <w:rsid w:val="000F5FE8"/>
    <w:rsid w:val="000F6644"/>
    <w:rsid w:val="00100833"/>
    <w:rsid w:val="00102F72"/>
    <w:rsid w:val="00107E85"/>
    <w:rsid w:val="001102F2"/>
    <w:rsid w:val="0011248F"/>
    <w:rsid w:val="00113CE7"/>
    <w:rsid w:val="00113EE8"/>
    <w:rsid w:val="0011455A"/>
    <w:rsid w:val="00114A65"/>
    <w:rsid w:val="00114E09"/>
    <w:rsid w:val="00133061"/>
    <w:rsid w:val="00141699"/>
    <w:rsid w:val="00147000"/>
    <w:rsid w:val="0015558A"/>
    <w:rsid w:val="00163091"/>
    <w:rsid w:val="001645CB"/>
    <w:rsid w:val="00166305"/>
    <w:rsid w:val="00167545"/>
    <w:rsid w:val="001703C6"/>
    <w:rsid w:val="00171B1B"/>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1BC2"/>
    <w:rsid w:val="001B357F"/>
    <w:rsid w:val="001C2D5B"/>
    <w:rsid w:val="001C3444"/>
    <w:rsid w:val="001C3702"/>
    <w:rsid w:val="001C4656"/>
    <w:rsid w:val="001C46BC"/>
    <w:rsid w:val="001E6965"/>
    <w:rsid w:val="001F23E6"/>
    <w:rsid w:val="001F4238"/>
    <w:rsid w:val="00200A38"/>
    <w:rsid w:val="00200A46"/>
    <w:rsid w:val="00211B6F"/>
    <w:rsid w:val="00217CC3"/>
    <w:rsid w:val="00220AB6"/>
    <w:rsid w:val="0022120F"/>
    <w:rsid w:val="0022754A"/>
    <w:rsid w:val="00236560"/>
    <w:rsid w:val="0023662E"/>
    <w:rsid w:val="00245D0F"/>
    <w:rsid w:val="002466BB"/>
    <w:rsid w:val="002548C3"/>
    <w:rsid w:val="00257ACD"/>
    <w:rsid w:val="00262766"/>
    <w:rsid w:val="00262908"/>
    <w:rsid w:val="002650F4"/>
    <w:rsid w:val="002715FD"/>
    <w:rsid w:val="002770B1"/>
    <w:rsid w:val="0028435E"/>
    <w:rsid w:val="00285B33"/>
    <w:rsid w:val="00287A3C"/>
    <w:rsid w:val="00292511"/>
    <w:rsid w:val="002A2FC6"/>
    <w:rsid w:val="002A7C90"/>
    <w:rsid w:val="002B0DE4"/>
    <w:rsid w:val="002B163F"/>
    <w:rsid w:val="002C1EC7"/>
    <w:rsid w:val="002C3015"/>
    <w:rsid w:val="002C4342"/>
    <w:rsid w:val="002C7EA3"/>
    <w:rsid w:val="002D0092"/>
    <w:rsid w:val="002D20AE"/>
    <w:rsid w:val="002D6C61"/>
    <w:rsid w:val="002D740E"/>
    <w:rsid w:val="002E2104"/>
    <w:rsid w:val="002E2DAC"/>
    <w:rsid w:val="002E5C44"/>
    <w:rsid w:val="002E6963"/>
    <w:rsid w:val="002E6F8F"/>
    <w:rsid w:val="002F05D8"/>
    <w:rsid w:val="002F2DE0"/>
    <w:rsid w:val="002F5E25"/>
    <w:rsid w:val="0030353C"/>
    <w:rsid w:val="00304553"/>
    <w:rsid w:val="003047DE"/>
    <w:rsid w:val="003125C3"/>
    <w:rsid w:val="00312AE6"/>
    <w:rsid w:val="00312AEE"/>
    <w:rsid w:val="00314EDA"/>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0BA2"/>
    <w:rsid w:val="003940CB"/>
    <w:rsid w:val="00395290"/>
    <w:rsid w:val="0039648E"/>
    <w:rsid w:val="0039667C"/>
    <w:rsid w:val="003A5AFE"/>
    <w:rsid w:val="003A5D5F"/>
    <w:rsid w:val="003A746B"/>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B4"/>
    <w:rsid w:val="004150FE"/>
    <w:rsid w:val="00416DDE"/>
    <w:rsid w:val="0044411E"/>
    <w:rsid w:val="004500D3"/>
    <w:rsid w:val="00453435"/>
    <w:rsid w:val="00460089"/>
    <w:rsid w:val="00466398"/>
    <w:rsid w:val="0047306D"/>
    <w:rsid w:val="00473791"/>
    <w:rsid w:val="00476E48"/>
    <w:rsid w:val="00481DE9"/>
    <w:rsid w:val="00491224"/>
    <w:rsid w:val="0049128B"/>
    <w:rsid w:val="00493B49"/>
    <w:rsid w:val="00495501"/>
    <w:rsid w:val="004A070A"/>
    <w:rsid w:val="004A320E"/>
    <w:rsid w:val="004A4BBB"/>
    <w:rsid w:val="004A4E9C"/>
    <w:rsid w:val="004B1A3C"/>
    <w:rsid w:val="004B1CF6"/>
    <w:rsid w:val="004D2CC3"/>
    <w:rsid w:val="004D35CB"/>
    <w:rsid w:val="004D7DAB"/>
    <w:rsid w:val="004E20E5"/>
    <w:rsid w:val="004E64EA"/>
    <w:rsid w:val="004E7828"/>
    <w:rsid w:val="004F382B"/>
    <w:rsid w:val="004F3C4E"/>
    <w:rsid w:val="004F46AA"/>
    <w:rsid w:val="004F6A70"/>
    <w:rsid w:val="00500AD7"/>
    <w:rsid w:val="00502ABF"/>
    <w:rsid w:val="00504DB0"/>
    <w:rsid w:val="00507C35"/>
    <w:rsid w:val="00510735"/>
    <w:rsid w:val="00514D2F"/>
    <w:rsid w:val="00515838"/>
    <w:rsid w:val="00537126"/>
    <w:rsid w:val="00541204"/>
    <w:rsid w:val="00541A90"/>
    <w:rsid w:val="0054420E"/>
    <w:rsid w:val="00544D1B"/>
    <w:rsid w:val="00545DC0"/>
    <w:rsid w:val="00545F6C"/>
    <w:rsid w:val="005477D9"/>
    <w:rsid w:val="0055720C"/>
    <w:rsid w:val="005612E9"/>
    <w:rsid w:val="00561796"/>
    <w:rsid w:val="005632DD"/>
    <w:rsid w:val="0056423B"/>
    <w:rsid w:val="00573424"/>
    <w:rsid w:val="0057402F"/>
    <w:rsid w:val="0058093E"/>
    <w:rsid w:val="00581653"/>
    <w:rsid w:val="005849D6"/>
    <w:rsid w:val="00585367"/>
    <w:rsid w:val="005871A1"/>
    <w:rsid w:val="0058737E"/>
    <w:rsid w:val="00592518"/>
    <w:rsid w:val="00592E87"/>
    <w:rsid w:val="0059420B"/>
    <w:rsid w:val="00594C4D"/>
    <w:rsid w:val="005A33B0"/>
    <w:rsid w:val="005A39BC"/>
    <w:rsid w:val="005C2DC2"/>
    <w:rsid w:val="005C304A"/>
    <w:rsid w:val="005C3D69"/>
    <w:rsid w:val="005C7C98"/>
    <w:rsid w:val="005D2C3A"/>
    <w:rsid w:val="005D3763"/>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3908"/>
    <w:rsid w:val="00606B89"/>
    <w:rsid w:val="00611EAF"/>
    <w:rsid w:val="00623F30"/>
    <w:rsid w:val="00625FB8"/>
    <w:rsid w:val="006261BD"/>
    <w:rsid w:val="00635EDB"/>
    <w:rsid w:val="00643042"/>
    <w:rsid w:val="0064734E"/>
    <w:rsid w:val="006476CD"/>
    <w:rsid w:val="00650137"/>
    <w:rsid w:val="006509D7"/>
    <w:rsid w:val="00651CE8"/>
    <w:rsid w:val="00654965"/>
    <w:rsid w:val="0065521B"/>
    <w:rsid w:val="00664067"/>
    <w:rsid w:val="00671EF6"/>
    <w:rsid w:val="0067205B"/>
    <w:rsid w:val="006748F8"/>
    <w:rsid w:val="00680489"/>
    <w:rsid w:val="00681FE0"/>
    <w:rsid w:val="00683C32"/>
    <w:rsid w:val="00690BB2"/>
    <w:rsid w:val="00693D09"/>
    <w:rsid w:val="006A6549"/>
    <w:rsid w:val="006A7710"/>
    <w:rsid w:val="006A7A61"/>
    <w:rsid w:val="006B1E59"/>
    <w:rsid w:val="006B2FFB"/>
    <w:rsid w:val="006B3F56"/>
    <w:rsid w:val="006C0CB7"/>
    <w:rsid w:val="006C10A2"/>
    <w:rsid w:val="006C1F18"/>
    <w:rsid w:val="006D0FFA"/>
    <w:rsid w:val="006D40D5"/>
    <w:rsid w:val="006E20DA"/>
    <w:rsid w:val="006E6BDF"/>
    <w:rsid w:val="006F009A"/>
    <w:rsid w:val="006F3D93"/>
    <w:rsid w:val="007019B1"/>
    <w:rsid w:val="00721657"/>
    <w:rsid w:val="0072392F"/>
    <w:rsid w:val="007279A8"/>
    <w:rsid w:val="00727B1A"/>
    <w:rsid w:val="00741337"/>
    <w:rsid w:val="00752258"/>
    <w:rsid w:val="007529E1"/>
    <w:rsid w:val="007564C4"/>
    <w:rsid w:val="00762880"/>
    <w:rsid w:val="00762AD6"/>
    <w:rsid w:val="00762E02"/>
    <w:rsid w:val="00772290"/>
    <w:rsid w:val="00774E4A"/>
    <w:rsid w:val="00775BA0"/>
    <w:rsid w:val="00777265"/>
    <w:rsid w:val="007805E7"/>
    <w:rsid w:val="0078222A"/>
    <w:rsid w:val="00787D48"/>
    <w:rsid w:val="00793CF5"/>
    <w:rsid w:val="00795294"/>
    <w:rsid w:val="007A4E50"/>
    <w:rsid w:val="007B18A7"/>
    <w:rsid w:val="007B250E"/>
    <w:rsid w:val="007C041E"/>
    <w:rsid w:val="007C27FC"/>
    <w:rsid w:val="007C51FF"/>
    <w:rsid w:val="007C7CE6"/>
    <w:rsid w:val="007D50E4"/>
    <w:rsid w:val="007D5CB5"/>
    <w:rsid w:val="007E2DC5"/>
    <w:rsid w:val="007F1CC7"/>
    <w:rsid w:val="007F66AD"/>
    <w:rsid w:val="008027AC"/>
    <w:rsid w:val="008028CE"/>
    <w:rsid w:val="0080332E"/>
    <w:rsid w:val="008141E0"/>
    <w:rsid w:val="00816EE1"/>
    <w:rsid w:val="00816F88"/>
    <w:rsid w:val="00821996"/>
    <w:rsid w:val="00822323"/>
    <w:rsid w:val="00827BC6"/>
    <w:rsid w:val="008300AD"/>
    <w:rsid w:val="00833024"/>
    <w:rsid w:val="008419B1"/>
    <w:rsid w:val="00844A56"/>
    <w:rsid w:val="00844CEE"/>
    <w:rsid w:val="00845B11"/>
    <w:rsid w:val="00852081"/>
    <w:rsid w:val="0085753F"/>
    <w:rsid w:val="00872B6E"/>
    <w:rsid w:val="00874DFD"/>
    <w:rsid w:val="008802F9"/>
    <w:rsid w:val="0088105D"/>
    <w:rsid w:val="00883086"/>
    <w:rsid w:val="008879FD"/>
    <w:rsid w:val="00890409"/>
    <w:rsid w:val="008905BB"/>
    <w:rsid w:val="00894C37"/>
    <w:rsid w:val="008A00EA"/>
    <w:rsid w:val="008A3F93"/>
    <w:rsid w:val="008A6236"/>
    <w:rsid w:val="008A6E1C"/>
    <w:rsid w:val="008A72FD"/>
    <w:rsid w:val="008B2EDF"/>
    <w:rsid w:val="008B41C0"/>
    <w:rsid w:val="008B47C7"/>
    <w:rsid w:val="008B54CB"/>
    <w:rsid w:val="008B54CD"/>
    <w:rsid w:val="008B5A3D"/>
    <w:rsid w:val="008C4010"/>
    <w:rsid w:val="008C46C6"/>
    <w:rsid w:val="008C4FDF"/>
    <w:rsid w:val="008C6B1F"/>
    <w:rsid w:val="008C7834"/>
    <w:rsid w:val="008D0661"/>
    <w:rsid w:val="008D52C4"/>
    <w:rsid w:val="008D5E4F"/>
    <w:rsid w:val="008F14F5"/>
    <w:rsid w:val="008F71C1"/>
    <w:rsid w:val="00902D41"/>
    <w:rsid w:val="00902F49"/>
    <w:rsid w:val="00904230"/>
    <w:rsid w:val="00911BFF"/>
    <w:rsid w:val="00914004"/>
    <w:rsid w:val="00922EC1"/>
    <w:rsid w:val="00923CF1"/>
    <w:rsid w:val="009301F1"/>
    <w:rsid w:val="009307DF"/>
    <w:rsid w:val="009359B8"/>
    <w:rsid w:val="00935FF0"/>
    <w:rsid w:val="009431F8"/>
    <w:rsid w:val="00947A35"/>
    <w:rsid w:val="0096201B"/>
    <w:rsid w:val="00962081"/>
    <w:rsid w:val="0096365D"/>
    <w:rsid w:val="00966CB5"/>
    <w:rsid w:val="00975786"/>
    <w:rsid w:val="00981CB7"/>
    <w:rsid w:val="00983E1F"/>
    <w:rsid w:val="00986FB6"/>
    <w:rsid w:val="00993F46"/>
    <w:rsid w:val="00997358"/>
    <w:rsid w:val="009A452B"/>
    <w:rsid w:val="009A4BA1"/>
    <w:rsid w:val="009B050C"/>
    <w:rsid w:val="009B087F"/>
    <w:rsid w:val="009B2AF4"/>
    <w:rsid w:val="009C110B"/>
    <w:rsid w:val="009C5441"/>
    <w:rsid w:val="009C7DCE"/>
    <w:rsid w:val="009D119F"/>
    <w:rsid w:val="009D2A88"/>
    <w:rsid w:val="009D49A2"/>
    <w:rsid w:val="009E26D1"/>
    <w:rsid w:val="009F3940"/>
    <w:rsid w:val="009F3EB2"/>
    <w:rsid w:val="009F4F8B"/>
    <w:rsid w:val="009F6EB1"/>
    <w:rsid w:val="00A11D05"/>
    <w:rsid w:val="00A13162"/>
    <w:rsid w:val="00A15FB5"/>
    <w:rsid w:val="00A20267"/>
    <w:rsid w:val="00A3158C"/>
    <w:rsid w:val="00A32DF3"/>
    <w:rsid w:val="00A33E32"/>
    <w:rsid w:val="00A35E20"/>
    <w:rsid w:val="00A36F6D"/>
    <w:rsid w:val="00A50CA0"/>
    <w:rsid w:val="00A525CC"/>
    <w:rsid w:val="00A53E7C"/>
    <w:rsid w:val="00A60087"/>
    <w:rsid w:val="00A604D7"/>
    <w:rsid w:val="00A705E8"/>
    <w:rsid w:val="00A721F4"/>
    <w:rsid w:val="00A93909"/>
    <w:rsid w:val="00A9392C"/>
    <w:rsid w:val="00A9462B"/>
    <w:rsid w:val="00A97D59"/>
    <w:rsid w:val="00AA0B5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05570"/>
    <w:rsid w:val="00B10114"/>
    <w:rsid w:val="00B25C54"/>
    <w:rsid w:val="00B310F9"/>
    <w:rsid w:val="00B37866"/>
    <w:rsid w:val="00B412FB"/>
    <w:rsid w:val="00B4576B"/>
    <w:rsid w:val="00B46350"/>
    <w:rsid w:val="00B46DF3"/>
    <w:rsid w:val="00B648C7"/>
    <w:rsid w:val="00B66E8F"/>
    <w:rsid w:val="00B80157"/>
    <w:rsid w:val="00B83D5E"/>
    <w:rsid w:val="00B8460A"/>
    <w:rsid w:val="00B84D11"/>
    <w:rsid w:val="00B8650D"/>
    <w:rsid w:val="00B87325"/>
    <w:rsid w:val="00B879B4"/>
    <w:rsid w:val="00B90F07"/>
    <w:rsid w:val="00B97BB9"/>
    <w:rsid w:val="00BA0009"/>
    <w:rsid w:val="00BA418C"/>
    <w:rsid w:val="00BB1863"/>
    <w:rsid w:val="00BB25EE"/>
    <w:rsid w:val="00BB270E"/>
    <w:rsid w:val="00BB363A"/>
    <w:rsid w:val="00BC10A0"/>
    <w:rsid w:val="00BC6EA5"/>
    <w:rsid w:val="00BC7BA2"/>
    <w:rsid w:val="00BD426B"/>
    <w:rsid w:val="00BD5256"/>
    <w:rsid w:val="00BD79F0"/>
    <w:rsid w:val="00BE2B4D"/>
    <w:rsid w:val="00BE2DD0"/>
    <w:rsid w:val="00BE53BF"/>
    <w:rsid w:val="00C015F8"/>
    <w:rsid w:val="00C07E26"/>
    <w:rsid w:val="00C1011C"/>
    <w:rsid w:val="00C12F94"/>
    <w:rsid w:val="00C177C5"/>
    <w:rsid w:val="00C226A4"/>
    <w:rsid w:val="00C34EC3"/>
    <w:rsid w:val="00C4038C"/>
    <w:rsid w:val="00C42BA2"/>
    <w:rsid w:val="00C44066"/>
    <w:rsid w:val="00C44E13"/>
    <w:rsid w:val="00C53C52"/>
    <w:rsid w:val="00C60A41"/>
    <w:rsid w:val="00C62DE8"/>
    <w:rsid w:val="00C62DFB"/>
    <w:rsid w:val="00C630E6"/>
    <w:rsid w:val="00C63812"/>
    <w:rsid w:val="00C64AF3"/>
    <w:rsid w:val="00C65416"/>
    <w:rsid w:val="00C66F4D"/>
    <w:rsid w:val="00C6727B"/>
    <w:rsid w:val="00C67BB5"/>
    <w:rsid w:val="00C72713"/>
    <w:rsid w:val="00C8091B"/>
    <w:rsid w:val="00C848EF"/>
    <w:rsid w:val="00C8543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2A24"/>
    <w:rsid w:val="00CF72E5"/>
    <w:rsid w:val="00D013EE"/>
    <w:rsid w:val="00D01F54"/>
    <w:rsid w:val="00D040F7"/>
    <w:rsid w:val="00D04A76"/>
    <w:rsid w:val="00D10FC7"/>
    <w:rsid w:val="00D1519F"/>
    <w:rsid w:val="00D20E99"/>
    <w:rsid w:val="00D21C83"/>
    <w:rsid w:val="00D35BDD"/>
    <w:rsid w:val="00D45AED"/>
    <w:rsid w:val="00D55319"/>
    <w:rsid w:val="00D63006"/>
    <w:rsid w:val="00D72301"/>
    <w:rsid w:val="00D911DE"/>
    <w:rsid w:val="00D91B97"/>
    <w:rsid w:val="00D93ACC"/>
    <w:rsid w:val="00D93C08"/>
    <w:rsid w:val="00D95DAC"/>
    <w:rsid w:val="00DA0B53"/>
    <w:rsid w:val="00DA3E8C"/>
    <w:rsid w:val="00DA5D26"/>
    <w:rsid w:val="00DB1171"/>
    <w:rsid w:val="00DB1519"/>
    <w:rsid w:val="00DB2840"/>
    <w:rsid w:val="00DC0D2E"/>
    <w:rsid w:val="00DC1BD3"/>
    <w:rsid w:val="00DC2C1A"/>
    <w:rsid w:val="00DD16E4"/>
    <w:rsid w:val="00DD66B4"/>
    <w:rsid w:val="00DE1972"/>
    <w:rsid w:val="00DE27AB"/>
    <w:rsid w:val="00DF2AB3"/>
    <w:rsid w:val="00DF7250"/>
    <w:rsid w:val="00E00CAA"/>
    <w:rsid w:val="00E03EBF"/>
    <w:rsid w:val="00E05209"/>
    <w:rsid w:val="00E11BCF"/>
    <w:rsid w:val="00E176D6"/>
    <w:rsid w:val="00E2258E"/>
    <w:rsid w:val="00E260C2"/>
    <w:rsid w:val="00E32596"/>
    <w:rsid w:val="00E368F7"/>
    <w:rsid w:val="00E36EB8"/>
    <w:rsid w:val="00E37FB8"/>
    <w:rsid w:val="00E40B07"/>
    <w:rsid w:val="00E42326"/>
    <w:rsid w:val="00E42B7B"/>
    <w:rsid w:val="00E43544"/>
    <w:rsid w:val="00E44D89"/>
    <w:rsid w:val="00E477EA"/>
    <w:rsid w:val="00E54D70"/>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EF420C"/>
    <w:rsid w:val="00EF5000"/>
    <w:rsid w:val="00F0214D"/>
    <w:rsid w:val="00F03590"/>
    <w:rsid w:val="00F03622"/>
    <w:rsid w:val="00F077FD"/>
    <w:rsid w:val="00F204F3"/>
    <w:rsid w:val="00F218AB"/>
    <w:rsid w:val="00F238B3"/>
    <w:rsid w:val="00F24C3F"/>
    <w:rsid w:val="00F24FED"/>
    <w:rsid w:val="00F25586"/>
    <w:rsid w:val="00F2651D"/>
    <w:rsid w:val="00F27362"/>
    <w:rsid w:val="00F31498"/>
    <w:rsid w:val="00F32FEF"/>
    <w:rsid w:val="00F34165"/>
    <w:rsid w:val="00F348D0"/>
    <w:rsid w:val="00F35673"/>
    <w:rsid w:val="00F41B1C"/>
    <w:rsid w:val="00F42E13"/>
    <w:rsid w:val="00F42F1C"/>
    <w:rsid w:val="00F43B44"/>
    <w:rsid w:val="00F440E5"/>
    <w:rsid w:val="00F448F6"/>
    <w:rsid w:val="00F45B51"/>
    <w:rsid w:val="00F52741"/>
    <w:rsid w:val="00F528F1"/>
    <w:rsid w:val="00F53D8A"/>
    <w:rsid w:val="00F626F7"/>
    <w:rsid w:val="00F736F9"/>
    <w:rsid w:val="00F73833"/>
    <w:rsid w:val="00F9211C"/>
    <w:rsid w:val="00FA095D"/>
    <w:rsid w:val="00FA4AFB"/>
    <w:rsid w:val="00FA6C8B"/>
    <w:rsid w:val="00FA6CDA"/>
    <w:rsid w:val="00FA7C89"/>
    <w:rsid w:val="00FB4139"/>
    <w:rsid w:val="00FB476E"/>
    <w:rsid w:val="00FB5F30"/>
    <w:rsid w:val="00FB7E24"/>
    <w:rsid w:val="00FC0D90"/>
    <w:rsid w:val="00FC7D8C"/>
    <w:rsid w:val="00FD3980"/>
    <w:rsid w:val="00FD431E"/>
    <w:rsid w:val="00FD5A2C"/>
    <w:rsid w:val="00FE0D47"/>
    <w:rsid w:val="00FE1D5C"/>
    <w:rsid w:val="00FE2F8B"/>
    <w:rsid w:val="00FE3669"/>
    <w:rsid w:val="00FE5204"/>
    <w:rsid w:val="00FE5E33"/>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6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styleId="FollowedHyperlink">
    <w:name w:val="FollowedHyperlink"/>
    <w:basedOn w:val="DefaultParagraphFont"/>
    <w:semiHidden/>
    <w:unhideWhenUsed/>
    <w:rsid w:val="00C53C52"/>
    <w:rPr>
      <w:color w:val="800080" w:themeColor="followedHyperlink"/>
      <w:u w:val="single"/>
    </w:rPr>
  </w:style>
  <w:style w:type="character" w:customStyle="1" w:styleId="ListParagraphChar">
    <w:name w:val="List Paragraph Char"/>
    <w:link w:val="ListParagraph"/>
    <w:uiPriority w:val="34"/>
    <w:locked/>
    <w:rsid w:val="00171B1B"/>
    <w:rPr>
      <w:rFonts w:asciiTheme="minorHAnsi" w:hAnsiTheme="minorHAnsi"/>
      <w:sz w:val="24"/>
      <w:lang w:val="en-GB" w:eastAsia="en-US"/>
    </w:rPr>
  </w:style>
  <w:style w:type="paragraph" w:styleId="CommentText">
    <w:name w:val="annotation text"/>
    <w:basedOn w:val="Normal"/>
    <w:link w:val="CommentTextChar"/>
    <w:unhideWhenUsed/>
    <w:rsid w:val="002D740E"/>
    <w:rPr>
      <w:rFonts w:eastAsia="Times New Roman"/>
      <w:sz w:val="20"/>
    </w:rPr>
  </w:style>
  <w:style w:type="character" w:customStyle="1" w:styleId="CommentTextChar">
    <w:name w:val="Comment Text Char"/>
    <w:basedOn w:val="DefaultParagraphFont"/>
    <w:link w:val="CommentText"/>
    <w:rsid w:val="002D740E"/>
    <w:rPr>
      <w:rFonts w:asciiTheme="minorHAnsi" w:eastAsia="Times New Roman" w:hAnsiTheme="minorHAnsi"/>
      <w:lang w:val="en-GB" w:eastAsia="en-US"/>
    </w:rPr>
  </w:style>
  <w:style w:type="paragraph" w:customStyle="1" w:styleId="Fixed">
    <w:name w:val="Fixed"/>
    <w:rsid w:val="008B54CD"/>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styleId="NoSpacing">
    <w:name w:val="No Spacing"/>
    <w:uiPriority w:val="1"/>
    <w:qFormat/>
    <w:rsid w:val="002D740E"/>
    <w:pPr>
      <w:widowControl w:val="0"/>
      <w:autoSpaceDE w:val="0"/>
      <w:autoSpaceDN w:val="0"/>
      <w:adjustRightInd w:val="0"/>
      <w:ind w:right="1396" w:firstLine="720"/>
    </w:pPr>
    <w:rPr>
      <w:rFonts w:ascii="Courier New" w:eastAsia="Times New Roman" w:hAnsi="Courier New" w:cs="Courier New"/>
      <w:sz w:val="24"/>
      <w:szCs w:val="24"/>
      <w:lang w:eastAsia="en-US"/>
    </w:rPr>
  </w:style>
  <w:style w:type="paragraph" w:customStyle="1" w:styleId="ContinCol">
    <w:name w:val="Contin Col"/>
    <w:basedOn w:val="Fixed"/>
    <w:next w:val="Fixed"/>
    <w:uiPriority w:val="99"/>
    <w:rsid w:val="002D740E"/>
    <w:pPr>
      <w:spacing w:line="528" w:lineRule="atLeast"/>
      <w:ind w:left="144" w:right="0" w:firstLine="576"/>
    </w:pPr>
    <w:rPr>
      <w:rFonts w:ascii="Arial" w:eastAsiaTheme="minorEastAsia" w:hAnsi="Arial" w:cs="Arial"/>
    </w:rPr>
  </w:style>
  <w:style w:type="character" w:customStyle="1" w:styleId="FootnoteTextChar">
    <w:name w:val="Footnote Text Char"/>
    <w:basedOn w:val="DefaultParagraphFont"/>
    <w:link w:val="FootnoteText"/>
    <w:rsid w:val="002D740E"/>
    <w:rPr>
      <w:rFonts w:asciiTheme="minorHAnsi" w:hAnsiTheme="minorHAnsi"/>
      <w:sz w:val="24"/>
      <w:lang w:val="en-GB" w:eastAsia="en-US"/>
    </w:rPr>
  </w:style>
  <w:style w:type="character" w:styleId="Strong">
    <w:name w:val="Strong"/>
    <w:basedOn w:val="DefaultParagraphFont"/>
    <w:uiPriority w:val="22"/>
    <w:qFormat/>
    <w:rsid w:val="002D740E"/>
    <w:rPr>
      <w:b/>
      <w:bCs/>
    </w:rPr>
  </w:style>
  <w:style w:type="paragraph" w:customStyle="1" w:styleId="Colloquy1">
    <w:name w:val="Colloquy 1"/>
    <w:basedOn w:val="Normal"/>
    <w:next w:val="Normal"/>
    <w:uiPriority w:val="99"/>
    <w:rsid w:val="002B163F"/>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firstLine="1440"/>
      <w:textAlignment w:val="auto"/>
    </w:pPr>
    <w:rPr>
      <w:rFonts w:ascii="Courier New" w:eastAsiaTheme="minorEastAsia" w:hAnsi="Courier New" w:cs="Courier New"/>
      <w:szCs w:val="24"/>
      <w:lang w:val="en-US"/>
    </w:rPr>
  </w:style>
  <w:style w:type="table" w:customStyle="1" w:styleId="TableGrid1">
    <w:name w:val="Table Grid1"/>
    <w:basedOn w:val="TableNormal"/>
    <w:next w:val="TableGrid"/>
    <w:uiPriority w:val="39"/>
    <w:rsid w:val="00F528F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7C041E"/>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itu.int/md/D18-TDAG27.WP-C-00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D18-TDAG27.WP-C-0010/" TargetMode="External"/><Relationship Id="rId2" Type="http://schemas.openxmlformats.org/officeDocument/2006/relationships/numbering" Target="numbering.xml"/><Relationship Id="rId16" Type="http://schemas.openxmlformats.org/officeDocument/2006/relationships/hyperlink" Target="https://www.itu.int/md/D18-TDAG27.WP-C-000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TDAG27.WP-C-0008/"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D18-BDT-CIR-0052/en" TargetMode="External"/><Relationship Id="rId14" Type="http://schemas.openxmlformats.org/officeDocument/2006/relationships/hyperlink" Target="https://www.itu.int/md/D18-TDAG27.WP-C-0007/"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8A48-BDEE-40C5-9093-B71B7947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4145</Words>
  <Characters>14724</Characters>
  <Application>Microsoft Office Word</Application>
  <DocSecurity>0</DocSecurity>
  <Lines>122</Lines>
  <Paragraphs>37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LI, Ziqian</cp:lastModifiedBy>
  <cp:revision>19</cp:revision>
  <cp:lastPrinted>2014-11-04T09:22:00Z</cp:lastPrinted>
  <dcterms:created xsi:type="dcterms:W3CDTF">2020-10-07T07:06:00Z</dcterms:created>
  <dcterms:modified xsi:type="dcterms:W3CDTF">2020-10-09T10:01:00Z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