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742CF" w14:textId="3F63E196" w:rsidR="00194F24" w:rsidRPr="00D90A0F" w:rsidRDefault="00194F24" w:rsidP="00AB112F">
      <w:pPr>
        <w:rPr>
          <w:szCs w:val="24"/>
        </w:rPr>
      </w:pPr>
    </w:p>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103"/>
        <w:gridCol w:w="3509"/>
        <w:gridCol w:w="35"/>
      </w:tblGrid>
      <w:tr w:rsidR="00194F24" w:rsidRPr="00D90A0F" w14:paraId="5E10E816" w14:textId="77777777" w:rsidTr="00AB112F">
        <w:trPr>
          <w:gridAfter w:val="1"/>
          <w:wAfter w:w="35" w:type="dxa"/>
          <w:cantSplit/>
          <w:trHeight w:val="1134"/>
        </w:trPr>
        <w:tc>
          <w:tcPr>
            <w:tcW w:w="9888" w:type="dxa"/>
            <w:gridSpan w:val="3"/>
            <w:tcBorders>
              <w:bottom w:val="single" w:sz="2" w:space="0" w:color="00B0F0"/>
            </w:tcBorders>
          </w:tcPr>
          <w:p w14:paraId="62FAC2DC" w14:textId="22EA4A51" w:rsidR="00194F24" w:rsidRPr="00AB112F" w:rsidRDefault="00194F24" w:rsidP="00AB112F">
            <w:pPr>
              <w:tabs>
                <w:tab w:val="clear" w:pos="1191"/>
                <w:tab w:val="clear" w:pos="1588"/>
                <w:tab w:val="clear" w:pos="1985"/>
              </w:tabs>
              <w:ind w:left="34"/>
              <w:rPr>
                <w:b/>
                <w:bCs/>
                <w:sz w:val="32"/>
                <w:szCs w:val="32"/>
              </w:rPr>
            </w:pPr>
            <w:r w:rsidRPr="00AB112F">
              <w:rPr>
                <w:noProof/>
                <w:color w:val="3399FF"/>
                <w:sz w:val="32"/>
                <w:szCs w:val="32"/>
                <w:lang w:eastAsia="en-GB"/>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AB112F">
              <w:rPr>
                <w:b/>
                <w:bCs/>
                <w:sz w:val="32"/>
                <w:szCs w:val="32"/>
              </w:rPr>
              <w:t xml:space="preserve">TDAG </w:t>
            </w:r>
            <w:r w:rsidR="0085753F" w:rsidRPr="00AB112F">
              <w:rPr>
                <w:b/>
                <w:bCs/>
                <w:sz w:val="32"/>
                <w:szCs w:val="32"/>
              </w:rPr>
              <w:t>Working Group on WTDC Preparations</w:t>
            </w:r>
          </w:p>
          <w:p w14:paraId="49124C96" w14:textId="646AD3F9" w:rsidR="00194F24" w:rsidRPr="00AB112F" w:rsidRDefault="003D5825" w:rsidP="00AB112F">
            <w:pPr>
              <w:ind w:right="142"/>
              <w:rPr>
                <w:sz w:val="26"/>
                <w:szCs w:val="26"/>
              </w:rPr>
            </w:pPr>
            <w:r w:rsidRPr="00AB112F">
              <w:rPr>
                <w:b/>
                <w:bCs/>
                <w:sz w:val="26"/>
                <w:szCs w:val="26"/>
              </w:rPr>
              <w:t>7</w:t>
            </w:r>
            <w:r w:rsidR="0085753F" w:rsidRPr="00AB112F">
              <w:rPr>
                <w:b/>
                <w:bCs/>
                <w:sz w:val="26"/>
                <w:szCs w:val="26"/>
              </w:rPr>
              <w:t xml:space="preserve"> </w:t>
            </w:r>
            <w:r w:rsidRPr="00AB112F">
              <w:rPr>
                <w:b/>
                <w:bCs/>
                <w:sz w:val="26"/>
                <w:szCs w:val="26"/>
              </w:rPr>
              <w:t>September</w:t>
            </w:r>
            <w:r w:rsidR="0085753F" w:rsidRPr="00AB112F">
              <w:rPr>
                <w:b/>
                <w:bCs/>
                <w:sz w:val="26"/>
                <w:szCs w:val="26"/>
              </w:rPr>
              <w:t xml:space="preserve"> 2020</w:t>
            </w:r>
            <w:r w:rsidR="00194F24" w:rsidRPr="00AB112F">
              <w:rPr>
                <w:b/>
                <w:bCs/>
                <w:sz w:val="26"/>
                <w:szCs w:val="26"/>
              </w:rPr>
              <w:t xml:space="preserve">, </w:t>
            </w:r>
            <w:r w:rsidR="0085753F" w:rsidRPr="00AB112F">
              <w:rPr>
                <w:b/>
                <w:bCs/>
                <w:sz w:val="26"/>
                <w:szCs w:val="26"/>
              </w:rPr>
              <w:t>Virtual</w:t>
            </w:r>
          </w:p>
        </w:tc>
      </w:tr>
      <w:tr w:rsidR="006D0FFA" w:rsidRPr="00D90A0F" w14:paraId="48B980A4" w14:textId="77777777" w:rsidTr="00AB112F">
        <w:trPr>
          <w:cantSplit/>
        </w:trPr>
        <w:tc>
          <w:tcPr>
            <w:tcW w:w="6379" w:type="dxa"/>
            <w:gridSpan w:val="2"/>
            <w:tcBorders>
              <w:top w:val="single" w:sz="2" w:space="0" w:color="00B0F0"/>
            </w:tcBorders>
          </w:tcPr>
          <w:p w14:paraId="418C6355" w14:textId="77777777" w:rsidR="006D0FFA" w:rsidRPr="00AB112F" w:rsidRDefault="006D0FFA" w:rsidP="00AB112F">
            <w:pPr>
              <w:spacing w:before="0"/>
              <w:rPr>
                <w:b/>
                <w:bCs/>
                <w:sz w:val="20"/>
              </w:rPr>
            </w:pPr>
          </w:p>
        </w:tc>
        <w:tc>
          <w:tcPr>
            <w:tcW w:w="3544" w:type="dxa"/>
            <w:gridSpan w:val="2"/>
            <w:tcBorders>
              <w:top w:val="single" w:sz="2" w:space="0" w:color="00B0F0"/>
            </w:tcBorders>
          </w:tcPr>
          <w:p w14:paraId="49A48CC7" w14:textId="7ADB0AB8" w:rsidR="006D0FFA" w:rsidRPr="00AB112F" w:rsidRDefault="00F35673" w:rsidP="00AB112F">
            <w:pPr>
              <w:spacing w:before="0"/>
              <w:rPr>
                <w:b/>
                <w:bCs/>
                <w:szCs w:val="24"/>
              </w:rPr>
            </w:pPr>
            <w:r w:rsidRPr="00AB112F">
              <w:rPr>
                <w:b/>
                <w:bCs/>
                <w:szCs w:val="24"/>
              </w:rPr>
              <w:t>Doc</w:t>
            </w:r>
            <w:r w:rsidR="00262766" w:rsidRPr="00AB112F">
              <w:rPr>
                <w:b/>
                <w:bCs/>
                <w:szCs w:val="24"/>
              </w:rPr>
              <w:t>ument</w:t>
            </w:r>
            <w:r w:rsidRPr="00AB112F">
              <w:rPr>
                <w:b/>
                <w:bCs/>
                <w:szCs w:val="24"/>
              </w:rPr>
              <w:t xml:space="preserve"> </w:t>
            </w:r>
            <w:r w:rsidR="00AA0B5B" w:rsidRPr="00AB112F">
              <w:rPr>
                <w:b/>
                <w:bCs/>
                <w:szCs w:val="24"/>
              </w:rPr>
              <w:t>TDAG-WG-Prep/</w:t>
            </w:r>
            <w:r w:rsidR="00D90A0F" w:rsidRPr="00AB112F">
              <w:rPr>
                <w:b/>
                <w:bCs/>
                <w:szCs w:val="24"/>
              </w:rPr>
              <w:t>9</w:t>
            </w:r>
          </w:p>
        </w:tc>
      </w:tr>
      <w:tr w:rsidR="006D0FFA" w:rsidRPr="00D90A0F" w14:paraId="7302F6BC" w14:textId="77777777" w:rsidTr="00AB112F">
        <w:trPr>
          <w:cantSplit/>
        </w:trPr>
        <w:tc>
          <w:tcPr>
            <w:tcW w:w="6379" w:type="dxa"/>
            <w:gridSpan w:val="2"/>
          </w:tcPr>
          <w:p w14:paraId="1F9741FC" w14:textId="77777777" w:rsidR="006D0FFA" w:rsidRPr="00AB112F" w:rsidRDefault="006D0FFA" w:rsidP="00AB112F">
            <w:pPr>
              <w:spacing w:before="0"/>
              <w:rPr>
                <w:b/>
                <w:bCs/>
                <w:sz w:val="20"/>
              </w:rPr>
            </w:pPr>
          </w:p>
        </w:tc>
        <w:tc>
          <w:tcPr>
            <w:tcW w:w="3544" w:type="dxa"/>
            <w:gridSpan w:val="2"/>
          </w:tcPr>
          <w:p w14:paraId="65511797" w14:textId="038380A1" w:rsidR="006D0FFA" w:rsidRPr="00AB112F" w:rsidRDefault="00D90A0F" w:rsidP="00AB112F">
            <w:pPr>
              <w:spacing w:before="0"/>
              <w:rPr>
                <w:b/>
                <w:bCs/>
                <w:szCs w:val="24"/>
              </w:rPr>
            </w:pPr>
            <w:r w:rsidRPr="00AB112F">
              <w:rPr>
                <w:b/>
                <w:bCs/>
                <w:szCs w:val="24"/>
              </w:rPr>
              <w:t>25 August 2020</w:t>
            </w:r>
          </w:p>
        </w:tc>
      </w:tr>
      <w:tr w:rsidR="00F35673" w:rsidRPr="00D90A0F" w14:paraId="769980A4" w14:textId="77777777" w:rsidTr="00AB112F">
        <w:trPr>
          <w:cantSplit/>
        </w:trPr>
        <w:tc>
          <w:tcPr>
            <w:tcW w:w="6379" w:type="dxa"/>
            <w:gridSpan w:val="2"/>
          </w:tcPr>
          <w:p w14:paraId="4DFD97DF" w14:textId="77777777" w:rsidR="00F35673" w:rsidRPr="00AB112F" w:rsidRDefault="00F35673" w:rsidP="00AB112F">
            <w:pPr>
              <w:spacing w:before="0"/>
              <w:rPr>
                <w:b/>
                <w:bCs/>
                <w:sz w:val="20"/>
              </w:rPr>
            </w:pPr>
          </w:p>
        </w:tc>
        <w:tc>
          <w:tcPr>
            <w:tcW w:w="3544" w:type="dxa"/>
            <w:gridSpan w:val="2"/>
          </w:tcPr>
          <w:p w14:paraId="14B81F67" w14:textId="4ADF7AF4" w:rsidR="00F35673" w:rsidRPr="00AB112F" w:rsidRDefault="0055456F" w:rsidP="00AB112F">
            <w:pPr>
              <w:spacing w:before="0"/>
              <w:rPr>
                <w:b/>
                <w:bCs/>
                <w:szCs w:val="24"/>
              </w:rPr>
            </w:pPr>
            <w:r w:rsidRPr="00AB112F">
              <w:rPr>
                <w:b/>
                <w:bCs/>
                <w:szCs w:val="24"/>
              </w:rPr>
              <w:t>English only</w:t>
            </w:r>
          </w:p>
        </w:tc>
      </w:tr>
      <w:tr w:rsidR="00AA0B5B" w:rsidRPr="00D90A0F" w14:paraId="10DE2C82" w14:textId="77777777" w:rsidTr="00AB112F">
        <w:trPr>
          <w:gridAfter w:val="1"/>
          <w:wAfter w:w="35" w:type="dxa"/>
          <w:cantSplit/>
          <w:trHeight w:val="408"/>
        </w:trPr>
        <w:tc>
          <w:tcPr>
            <w:tcW w:w="1276" w:type="dxa"/>
          </w:tcPr>
          <w:p w14:paraId="46B4A90F" w14:textId="77777777" w:rsidR="00AA0B5B" w:rsidRPr="00D90A0F" w:rsidRDefault="00AA0B5B" w:rsidP="00AB112F">
            <w:pPr>
              <w:rPr>
                <w:b/>
                <w:szCs w:val="24"/>
                <w:lang w:val="en-US"/>
              </w:rPr>
            </w:pPr>
            <w:r w:rsidRPr="00D90A0F">
              <w:rPr>
                <w:b/>
                <w:bCs/>
                <w:szCs w:val="24"/>
                <w:lang w:val="en-US"/>
              </w:rPr>
              <w:t>Source:</w:t>
            </w:r>
          </w:p>
        </w:tc>
        <w:tc>
          <w:tcPr>
            <w:tcW w:w="8612" w:type="dxa"/>
            <w:gridSpan w:val="2"/>
          </w:tcPr>
          <w:p w14:paraId="0F88DEF6" w14:textId="3AEC023A" w:rsidR="00AA0B5B" w:rsidRPr="00D90A0F" w:rsidRDefault="00D90A0F" w:rsidP="00AB112F">
            <w:pPr>
              <w:rPr>
                <w:bCs/>
                <w:szCs w:val="24"/>
                <w:lang w:val="en-US"/>
              </w:rPr>
            </w:pPr>
            <w:r w:rsidRPr="00D90A0F">
              <w:rPr>
                <w:bCs/>
                <w:szCs w:val="24"/>
                <w:lang w:val="en-US"/>
              </w:rPr>
              <w:t>EMEA Satellite Operators Association (ESOA/GSC)</w:t>
            </w:r>
          </w:p>
        </w:tc>
      </w:tr>
      <w:tr w:rsidR="00AA0B5B" w:rsidRPr="00D90A0F" w14:paraId="29E95131" w14:textId="77777777" w:rsidTr="00AB112F">
        <w:trPr>
          <w:gridAfter w:val="1"/>
          <w:wAfter w:w="35" w:type="dxa"/>
          <w:cantSplit/>
          <w:trHeight w:val="407"/>
        </w:trPr>
        <w:tc>
          <w:tcPr>
            <w:tcW w:w="1276" w:type="dxa"/>
            <w:tcBorders>
              <w:bottom w:val="single" w:sz="4" w:space="0" w:color="00B0F0"/>
            </w:tcBorders>
          </w:tcPr>
          <w:p w14:paraId="0B4CC4A0" w14:textId="65A64A24" w:rsidR="00AA0B5B" w:rsidRPr="00D90A0F" w:rsidRDefault="00AA0B5B" w:rsidP="00AB112F">
            <w:pPr>
              <w:rPr>
                <w:b/>
                <w:bCs/>
                <w:szCs w:val="24"/>
                <w:lang w:val="en-US"/>
              </w:rPr>
            </w:pPr>
            <w:r w:rsidRPr="00D90A0F">
              <w:rPr>
                <w:b/>
                <w:bCs/>
                <w:szCs w:val="24"/>
                <w:lang w:val="en-US"/>
              </w:rPr>
              <w:t>Title:</w:t>
            </w:r>
          </w:p>
        </w:tc>
        <w:tc>
          <w:tcPr>
            <w:tcW w:w="8612" w:type="dxa"/>
            <w:gridSpan w:val="2"/>
            <w:tcBorders>
              <w:bottom w:val="single" w:sz="4" w:space="0" w:color="00B0F0"/>
            </w:tcBorders>
          </w:tcPr>
          <w:p w14:paraId="5DF56324" w14:textId="492F873C" w:rsidR="00AA0B5B" w:rsidRPr="00D90A0F" w:rsidRDefault="00D90A0F" w:rsidP="00AB112F">
            <w:pPr>
              <w:rPr>
                <w:bCs/>
                <w:szCs w:val="24"/>
                <w:lang w:val="en-US"/>
              </w:rPr>
            </w:pPr>
            <w:r w:rsidRPr="00D90A0F">
              <w:rPr>
                <w:bCs/>
                <w:szCs w:val="24"/>
                <w:lang w:val="en-US"/>
              </w:rPr>
              <w:t>Promoting WTDC</w:t>
            </w:r>
          </w:p>
        </w:tc>
      </w:tr>
    </w:tbl>
    <w:p w14:paraId="21395BF2" w14:textId="77777777" w:rsidR="00D90A0F" w:rsidRPr="00D90A0F" w:rsidRDefault="00D90A0F" w:rsidP="00AB112F">
      <w:pPr>
        <w:pStyle w:val="Default"/>
        <w:keepNext/>
        <w:spacing w:before="120"/>
        <w:rPr>
          <w:rFonts w:asciiTheme="minorHAnsi" w:hAnsiTheme="minorHAnsi" w:cstheme="minorHAnsi"/>
          <w:b/>
          <w:bCs/>
        </w:rPr>
      </w:pPr>
      <w:r w:rsidRPr="00D90A0F">
        <w:rPr>
          <w:rFonts w:asciiTheme="minorHAnsi" w:hAnsiTheme="minorHAnsi" w:cstheme="minorHAnsi"/>
          <w:b/>
          <w:bCs/>
        </w:rPr>
        <w:t>Summary</w:t>
      </w:r>
    </w:p>
    <w:p w14:paraId="30891946" w14:textId="77777777" w:rsidR="00D90A0F" w:rsidRPr="00D90A0F" w:rsidRDefault="00D90A0F" w:rsidP="00AB112F">
      <w:pPr>
        <w:pStyle w:val="Default"/>
        <w:spacing w:before="120"/>
        <w:rPr>
          <w:rFonts w:asciiTheme="minorHAnsi" w:hAnsiTheme="minorHAnsi" w:cstheme="minorHAnsi"/>
        </w:rPr>
      </w:pPr>
      <w:r w:rsidRPr="00D90A0F">
        <w:rPr>
          <w:rFonts w:asciiTheme="minorHAnsi" w:hAnsiTheme="minorHAnsi" w:cstheme="minorHAnsi"/>
        </w:rPr>
        <w:t xml:space="preserve">ESOA proposes various options that can be considered </w:t>
      </w:r>
      <w:proofErr w:type="gramStart"/>
      <w:r w:rsidRPr="00D90A0F">
        <w:rPr>
          <w:rFonts w:asciiTheme="minorHAnsi" w:hAnsiTheme="minorHAnsi" w:cstheme="minorHAnsi"/>
        </w:rPr>
        <w:t>in order to</w:t>
      </w:r>
      <w:proofErr w:type="gramEnd"/>
      <w:r w:rsidRPr="00D90A0F">
        <w:rPr>
          <w:rFonts w:asciiTheme="minorHAnsi" w:hAnsiTheme="minorHAnsi" w:cstheme="minorHAnsi"/>
        </w:rPr>
        <w:t xml:space="preserve"> establish the World Telecommunication Development Conference (WTDC) as a point of reference globally for development policy and ensure maximum participation.</w:t>
      </w:r>
    </w:p>
    <w:p w14:paraId="13C09BA6" w14:textId="5EE882D9" w:rsidR="00D90A0F" w:rsidRPr="00D90A0F" w:rsidRDefault="00D90A0F" w:rsidP="00AB112F">
      <w:pPr>
        <w:pStyle w:val="Default"/>
        <w:spacing w:before="120"/>
        <w:rPr>
          <w:rFonts w:asciiTheme="minorHAnsi" w:hAnsiTheme="minorHAnsi" w:cstheme="minorHAnsi"/>
        </w:rPr>
      </w:pPr>
      <w:r w:rsidRPr="00D90A0F">
        <w:rPr>
          <w:rFonts w:asciiTheme="minorHAnsi" w:hAnsiTheme="minorHAnsi" w:cstheme="minorHAnsi"/>
          <w:b/>
          <w:bCs/>
        </w:rPr>
        <w:t>Action required:</w:t>
      </w:r>
      <w:r w:rsidRPr="00D90A0F">
        <w:rPr>
          <w:rFonts w:asciiTheme="minorHAnsi" w:hAnsiTheme="minorHAnsi" w:cstheme="minorHAnsi"/>
        </w:rPr>
        <w:t xml:space="preserve"> Participants are invited to consider this contribution in view of effectively promoting WTDC</w:t>
      </w:r>
    </w:p>
    <w:p w14:paraId="2466DFA6" w14:textId="77777777" w:rsidR="00D90A0F" w:rsidRPr="00D90A0F" w:rsidRDefault="00D90A0F" w:rsidP="00AB112F">
      <w:pPr>
        <w:pStyle w:val="Default"/>
        <w:keepNext/>
        <w:spacing w:before="360"/>
        <w:rPr>
          <w:rFonts w:asciiTheme="minorHAnsi" w:hAnsiTheme="minorHAnsi" w:cstheme="minorHAnsi"/>
          <w:b/>
          <w:bCs/>
        </w:rPr>
      </w:pPr>
      <w:r w:rsidRPr="00D90A0F">
        <w:rPr>
          <w:rFonts w:asciiTheme="minorHAnsi" w:hAnsiTheme="minorHAnsi" w:cstheme="minorHAnsi"/>
          <w:b/>
          <w:bCs/>
        </w:rPr>
        <w:t>Promoting Wider Participation in WTDC</w:t>
      </w:r>
    </w:p>
    <w:p w14:paraId="75A375F6" w14:textId="77777777" w:rsidR="00D90A0F" w:rsidRPr="00D90A0F" w:rsidRDefault="00D90A0F" w:rsidP="00AB112F">
      <w:pPr>
        <w:rPr>
          <w:rFonts w:cstheme="minorHAnsi"/>
          <w:color w:val="222222"/>
          <w:szCs w:val="24"/>
          <w:lang w:eastAsia="en-GB"/>
        </w:rPr>
      </w:pPr>
      <w:r w:rsidRPr="00D90A0F">
        <w:rPr>
          <w:rFonts w:cstheme="minorHAnsi"/>
          <w:color w:val="222222"/>
          <w:szCs w:val="24"/>
          <w:lang w:eastAsia="en-GB"/>
        </w:rPr>
        <w:t xml:space="preserve">The WTDC represents values and principles of collaboration, inclusivity, </w:t>
      </w:r>
      <w:proofErr w:type="gramStart"/>
      <w:r w:rsidRPr="00D90A0F">
        <w:rPr>
          <w:rFonts w:cstheme="minorHAnsi"/>
          <w:color w:val="222222"/>
          <w:szCs w:val="24"/>
          <w:lang w:eastAsia="en-GB"/>
        </w:rPr>
        <w:t>equality</w:t>
      </w:r>
      <w:proofErr w:type="gramEnd"/>
      <w:r w:rsidRPr="00D90A0F">
        <w:rPr>
          <w:rFonts w:cstheme="minorHAnsi"/>
          <w:color w:val="222222"/>
          <w:szCs w:val="24"/>
          <w:lang w:eastAsia="en-GB"/>
        </w:rPr>
        <w:t xml:space="preserve"> and above-all: leave no one behind. With this in mind, and </w:t>
      </w:r>
      <w:proofErr w:type="gramStart"/>
      <w:r w:rsidRPr="00D90A0F">
        <w:rPr>
          <w:rFonts w:cstheme="minorHAnsi"/>
          <w:color w:val="222222"/>
          <w:szCs w:val="24"/>
          <w:lang w:eastAsia="en-GB"/>
        </w:rPr>
        <w:t>in order to</w:t>
      </w:r>
      <w:proofErr w:type="gramEnd"/>
      <w:r w:rsidRPr="00D90A0F">
        <w:rPr>
          <w:rFonts w:cstheme="minorHAnsi"/>
          <w:color w:val="222222"/>
          <w:szCs w:val="24"/>
          <w:lang w:eastAsia="en-GB"/>
        </w:rPr>
        <w:t xml:space="preserve"> make WTDC “THE” reference event and the BDT “THE” reference institution internationally for development, ESOA considers that:</w:t>
      </w:r>
    </w:p>
    <w:p w14:paraId="373EEA60" w14:textId="77777777" w:rsidR="00D90A0F" w:rsidRPr="00D90A0F" w:rsidRDefault="00D90A0F" w:rsidP="00AB112F">
      <w:pPr>
        <w:pStyle w:val="ListParagraph"/>
        <w:numPr>
          <w:ilvl w:val="0"/>
          <w:numId w:val="2"/>
        </w:numPr>
        <w:tabs>
          <w:tab w:val="clear" w:pos="1134"/>
          <w:tab w:val="clear" w:pos="1871"/>
          <w:tab w:val="clear" w:pos="2268"/>
        </w:tabs>
        <w:overflowPunct/>
        <w:autoSpaceDE/>
        <w:autoSpaceDN/>
        <w:adjustRightInd/>
        <w:ind w:left="567" w:hanging="567"/>
        <w:contextualSpacing w:val="0"/>
        <w:textAlignment w:val="auto"/>
        <w:rPr>
          <w:rFonts w:cstheme="minorHAnsi"/>
          <w:color w:val="222222"/>
          <w:szCs w:val="24"/>
          <w:lang w:eastAsia="en-GB"/>
        </w:rPr>
      </w:pPr>
      <w:r w:rsidRPr="00D90A0F">
        <w:rPr>
          <w:rFonts w:cstheme="minorHAnsi"/>
          <w:color w:val="222222"/>
          <w:szCs w:val="24"/>
          <w:lang w:eastAsia="en-GB"/>
        </w:rPr>
        <w:t>The ITU should look for opportunities to promote WTDC at events organised by other institutions such as: OCHA, UNICEF, WEF, FAO, the Broadband Commission, European Commission, etc.</w:t>
      </w:r>
    </w:p>
    <w:p w14:paraId="66D7F2C4" w14:textId="3794C84F" w:rsidR="00D90A0F" w:rsidRPr="00D90A0F" w:rsidRDefault="00D90A0F" w:rsidP="00AB112F">
      <w:pPr>
        <w:pStyle w:val="ListParagraph"/>
        <w:numPr>
          <w:ilvl w:val="0"/>
          <w:numId w:val="2"/>
        </w:numPr>
        <w:tabs>
          <w:tab w:val="clear" w:pos="1134"/>
          <w:tab w:val="clear" w:pos="1871"/>
          <w:tab w:val="clear" w:pos="2268"/>
        </w:tabs>
        <w:overflowPunct/>
        <w:autoSpaceDE/>
        <w:autoSpaceDN/>
        <w:adjustRightInd/>
        <w:ind w:left="567" w:hanging="567"/>
        <w:contextualSpacing w:val="0"/>
        <w:textAlignment w:val="auto"/>
        <w:rPr>
          <w:rFonts w:cstheme="minorHAnsi"/>
          <w:color w:val="222222"/>
          <w:szCs w:val="24"/>
          <w:lang w:eastAsia="en-GB"/>
        </w:rPr>
      </w:pPr>
      <w:r w:rsidRPr="00D90A0F">
        <w:rPr>
          <w:rFonts w:cstheme="minorHAnsi"/>
          <w:color w:val="222222"/>
          <w:szCs w:val="24"/>
          <w:lang w:eastAsia="en-GB"/>
        </w:rPr>
        <w:t xml:space="preserve">Consider this text instead: </w:t>
      </w:r>
      <w:r w:rsidRPr="00D90A0F">
        <w:rPr>
          <w:szCs w:val="24"/>
        </w:rPr>
        <w:t>“</w:t>
      </w:r>
      <w:r w:rsidRPr="00D90A0F">
        <w:rPr>
          <w:rFonts w:cstheme="minorHAnsi"/>
          <w:color w:val="222222"/>
          <w:szCs w:val="24"/>
          <w:lang w:eastAsia="en-GB"/>
        </w:rPr>
        <w:t>The ITU should make best efforts to bring all relevant stakeholders together e.g. with a session dedicated to WTDC, at events organised by the most relevant private sector stakeholders (mobile, satellite, OTTs, etc.) to profile the event in front of high-level industry executives, call for greater cross-sector collaboration and drive greater engagement in WTDC.</w:t>
      </w:r>
      <w:r>
        <w:rPr>
          <w:rFonts w:cstheme="minorHAnsi"/>
          <w:color w:val="222222"/>
          <w:szCs w:val="24"/>
          <w:lang w:eastAsia="en-GB"/>
        </w:rPr>
        <w:t>”</w:t>
      </w:r>
    </w:p>
    <w:p w14:paraId="79CD0642" w14:textId="107A889B" w:rsidR="00D90A0F" w:rsidRPr="00D90A0F" w:rsidRDefault="00D90A0F" w:rsidP="00AB112F">
      <w:pPr>
        <w:pStyle w:val="ListParagraph"/>
        <w:numPr>
          <w:ilvl w:val="0"/>
          <w:numId w:val="2"/>
        </w:numPr>
        <w:tabs>
          <w:tab w:val="clear" w:pos="1134"/>
          <w:tab w:val="clear" w:pos="1871"/>
          <w:tab w:val="clear" w:pos="2268"/>
        </w:tabs>
        <w:overflowPunct/>
        <w:autoSpaceDE/>
        <w:autoSpaceDN/>
        <w:adjustRightInd/>
        <w:ind w:left="567" w:hanging="567"/>
        <w:contextualSpacing w:val="0"/>
        <w:textAlignment w:val="auto"/>
        <w:rPr>
          <w:rFonts w:cstheme="minorHAnsi"/>
          <w:color w:val="222222"/>
          <w:szCs w:val="24"/>
          <w:lang w:eastAsia="en-GB"/>
        </w:rPr>
      </w:pPr>
      <w:r w:rsidRPr="00D90A0F">
        <w:rPr>
          <w:rFonts w:cstheme="minorHAnsi"/>
          <w:color w:val="222222"/>
          <w:szCs w:val="24"/>
          <w:lang w:eastAsia="en-GB"/>
        </w:rPr>
        <w:t xml:space="preserve">The ITU should be mindful to ensure that engagement with private sector stakeholders is balanced across the major relevant industry sectors and not </w:t>
      </w:r>
      <w:r w:rsidRPr="00D90A0F">
        <w:rPr>
          <w:rFonts w:cstheme="minorHAnsi"/>
          <w:color w:val="222222"/>
          <w:szCs w:val="24"/>
          <w:shd w:val="clear" w:color="auto" w:fill="FFFFFF"/>
          <w:lang w:eastAsia="en-GB"/>
        </w:rPr>
        <w:t xml:space="preserve">perceived as an endorsement of any one industry sector/D-member. Therefore, </w:t>
      </w:r>
      <w:r w:rsidRPr="00D90A0F">
        <w:rPr>
          <w:rFonts w:cstheme="minorHAnsi"/>
          <w:color w:val="222222"/>
          <w:szCs w:val="24"/>
          <w:lang w:eastAsia="en-GB"/>
        </w:rPr>
        <w:t xml:space="preserve">any session or activity organised during a private sector event should be considered as a platform for the ICT sector </w:t>
      </w:r>
      <w:proofErr w:type="gramStart"/>
      <w:r w:rsidRPr="00D90A0F">
        <w:rPr>
          <w:rFonts w:cstheme="minorHAnsi"/>
          <w:color w:val="222222"/>
          <w:szCs w:val="24"/>
          <w:lang w:eastAsia="en-GB"/>
        </w:rPr>
        <w:t>as a whole in</w:t>
      </w:r>
      <w:proofErr w:type="gramEnd"/>
      <w:r w:rsidRPr="00D90A0F">
        <w:rPr>
          <w:rFonts w:cstheme="minorHAnsi"/>
          <w:color w:val="222222"/>
          <w:szCs w:val="24"/>
          <w:lang w:eastAsia="en-GB"/>
        </w:rPr>
        <w:t xml:space="preserve"> line with the overarching objective of promoting connectivity for all. </w:t>
      </w:r>
      <w:r w:rsidRPr="00D90A0F">
        <w:rPr>
          <w:rFonts w:cstheme="minorHAnsi"/>
          <w:color w:val="222222"/>
          <w:szCs w:val="24"/>
          <w:shd w:val="clear" w:color="auto" w:fill="FFFFFF"/>
          <w:lang w:eastAsia="en-GB"/>
        </w:rPr>
        <w:t>Accordingly, at any given sector event, we suggest that the ITU ensure multi-sector representation and involvement in any sessions/activities/communications arising from the initiative</w:t>
      </w:r>
      <w:r w:rsidRPr="00D90A0F">
        <w:rPr>
          <w:rFonts w:cstheme="minorHAnsi"/>
          <w:color w:val="222222"/>
          <w:szCs w:val="24"/>
          <w:lang w:eastAsia="en-GB"/>
        </w:rPr>
        <w:t xml:space="preserve">. </w:t>
      </w:r>
    </w:p>
    <w:p w14:paraId="51ACE025" w14:textId="77777777" w:rsidR="00D90A0F" w:rsidRPr="00D90A0F" w:rsidRDefault="00D90A0F" w:rsidP="00AB112F">
      <w:pPr>
        <w:rPr>
          <w:rFonts w:cstheme="minorHAnsi"/>
          <w:color w:val="222222"/>
          <w:szCs w:val="24"/>
          <w:lang w:eastAsia="en-GB"/>
        </w:rPr>
      </w:pPr>
      <w:r w:rsidRPr="00D90A0F">
        <w:rPr>
          <w:rFonts w:cstheme="minorHAnsi"/>
          <w:color w:val="222222"/>
          <w:szCs w:val="24"/>
          <w:shd w:val="clear" w:color="auto" w:fill="FFFFFF"/>
          <w:lang w:eastAsia="en-GB"/>
        </w:rPr>
        <w:t xml:space="preserve">We would highlight the clear need for the ITU to continue to encourage a multi-technology approach to achieve its objectives. </w:t>
      </w:r>
      <w:r w:rsidRPr="00D90A0F">
        <w:rPr>
          <w:rFonts w:cstheme="minorHAnsi"/>
          <w:color w:val="222222"/>
          <w:szCs w:val="24"/>
          <w:lang w:eastAsia="en-GB"/>
        </w:rPr>
        <w:t>We believe this approach will help position the BDT as the unique umbrella body that is actively fostering an inclusive approach amongst technologies and helping to break down silos between sectors in order to connect everyone and deliver on the SDGs.</w:t>
      </w:r>
    </w:p>
    <w:p w14:paraId="0E0B4AE4" w14:textId="77777777" w:rsidR="00D90A0F" w:rsidRPr="00D90A0F" w:rsidRDefault="00D90A0F" w:rsidP="00AB112F">
      <w:pPr>
        <w:pStyle w:val="Default"/>
        <w:keepNext/>
        <w:spacing w:before="120"/>
        <w:rPr>
          <w:rFonts w:asciiTheme="minorHAnsi" w:hAnsiTheme="minorHAnsi" w:cstheme="minorHAnsi"/>
          <w:b/>
          <w:bCs/>
        </w:rPr>
      </w:pPr>
      <w:r w:rsidRPr="00D90A0F">
        <w:rPr>
          <w:rFonts w:asciiTheme="minorHAnsi" w:hAnsiTheme="minorHAnsi" w:cstheme="minorHAnsi"/>
          <w:b/>
          <w:bCs/>
        </w:rPr>
        <w:lastRenderedPageBreak/>
        <w:t xml:space="preserve">During the conference </w:t>
      </w:r>
    </w:p>
    <w:p w14:paraId="04BFE8EC" w14:textId="47D75782" w:rsidR="00D90A0F" w:rsidRDefault="00D90A0F" w:rsidP="00AB112F">
      <w:pPr>
        <w:pStyle w:val="Default"/>
        <w:spacing w:before="120"/>
        <w:rPr>
          <w:rFonts w:asciiTheme="minorHAnsi" w:hAnsiTheme="minorHAnsi" w:cstheme="minorHAnsi"/>
        </w:rPr>
      </w:pPr>
      <w:r w:rsidRPr="00D90A0F">
        <w:rPr>
          <w:rFonts w:asciiTheme="minorHAnsi" w:hAnsiTheme="minorHAnsi" w:cstheme="minorHAnsi"/>
        </w:rPr>
        <w:t>During previous meetings, the possibility of having separate tracks during the conference was discussed. A separate track approach could discriminate against smaller ITU Member States and Sector Members who may not have the resources to engage in parallel tracks and would therefore necessarily be excluded from one or more activities. Such an approach should therefore in our view be avoided. This recommendation is also in line with previous TDAG discussions around the desire to simplify engagement with the ITU and in its meetings and events.</w:t>
      </w:r>
    </w:p>
    <w:p w14:paraId="2B44EEB8" w14:textId="77777777" w:rsidR="00D90A0F" w:rsidRPr="00D90A0F" w:rsidRDefault="00D90A0F" w:rsidP="00AB112F">
      <w:pPr>
        <w:pStyle w:val="Default"/>
        <w:spacing w:before="120"/>
        <w:rPr>
          <w:rFonts w:asciiTheme="minorHAnsi" w:hAnsiTheme="minorHAnsi" w:cstheme="minorHAnsi"/>
        </w:rPr>
      </w:pPr>
    </w:p>
    <w:p w14:paraId="7BAF8EA4" w14:textId="1F61E7B1" w:rsidR="00821996" w:rsidRPr="00D90A0F" w:rsidRDefault="003C58BF" w:rsidP="00D90A0F">
      <w:pPr>
        <w:tabs>
          <w:tab w:val="clear" w:pos="794"/>
          <w:tab w:val="clear" w:pos="1191"/>
          <w:tab w:val="clear" w:pos="1588"/>
          <w:tab w:val="clear" w:pos="1985"/>
        </w:tabs>
        <w:jc w:val="center"/>
        <w:rPr>
          <w:szCs w:val="24"/>
        </w:rPr>
      </w:pPr>
      <w:bookmarkStart w:id="0" w:name="Proposal"/>
      <w:bookmarkEnd w:id="0"/>
      <w:r w:rsidRPr="00D90A0F">
        <w:rPr>
          <w:szCs w:val="24"/>
        </w:rPr>
        <w:t>_____________</w:t>
      </w:r>
      <w:r w:rsidR="004122C5" w:rsidRPr="00D90A0F">
        <w:rPr>
          <w:szCs w:val="24"/>
        </w:rPr>
        <w:t>_</w:t>
      </w:r>
      <w:r w:rsidR="00922EC1" w:rsidRPr="00D90A0F">
        <w:rPr>
          <w:szCs w:val="24"/>
        </w:rPr>
        <w:t>_</w:t>
      </w:r>
    </w:p>
    <w:sectPr w:rsidR="00821996" w:rsidRPr="00D90A0F"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8BF04" w14:textId="77777777" w:rsidR="009C7DCE" w:rsidRDefault="009C7DCE">
      <w:r>
        <w:separator/>
      </w:r>
    </w:p>
  </w:endnote>
  <w:endnote w:type="continuationSeparator" w:id="0">
    <w:p w14:paraId="155594E2" w14:textId="77777777" w:rsidR="009C7DCE" w:rsidRDefault="009C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3047DE" w14:paraId="136E4C84" w14:textId="77777777" w:rsidTr="003047DE">
      <w:tc>
        <w:tcPr>
          <w:tcW w:w="1526" w:type="dxa"/>
          <w:tcBorders>
            <w:top w:val="single" w:sz="4" w:space="0" w:color="000000"/>
            <w:left w:val="nil"/>
            <w:bottom w:val="nil"/>
            <w:right w:val="nil"/>
          </w:tcBorders>
          <w:hideMark/>
        </w:tcPr>
        <w:p w14:paraId="220D5EC2" w14:textId="77777777" w:rsidR="003047DE" w:rsidRDefault="003047DE" w:rsidP="003047DE">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14:paraId="75F8EA90" w14:textId="77777777" w:rsidR="003047DE" w:rsidRDefault="003047DE" w:rsidP="003047DE">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14:paraId="694B93B4" w14:textId="2BD5CA5E" w:rsidR="003047DE" w:rsidRDefault="00D90A0F" w:rsidP="003047DE">
          <w:pPr>
            <w:pStyle w:val="FirstFooter"/>
            <w:tabs>
              <w:tab w:val="left" w:pos="2302"/>
            </w:tabs>
            <w:rPr>
              <w:sz w:val="18"/>
              <w:szCs w:val="18"/>
              <w:lang w:val="en-US"/>
            </w:rPr>
          </w:pPr>
          <w:bookmarkStart w:id="1" w:name="OrgName"/>
          <w:bookmarkEnd w:id="1"/>
          <w:r>
            <w:rPr>
              <w:sz w:val="18"/>
              <w:szCs w:val="18"/>
              <w:lang w:val="en-US"/>
            </w:rPr>
            <w:t xml:space="preserve">Ms Natalia Vicente, </w:t>
          </w:r>
          <w:r w:rsidR="00E36F69">
            <w:rPr>
              <w:sz w:val="18"/>
              <w:szCs w:val="18"/>
              <w:lang w:val="en-US"/>
            </w:rPr>
            <w:t>Head of Public Affairs, EMEA Satellite Operators Association (</w:t>
          </w:r>
          <w:r>
            <w:rPr>
              <w:sz w:val="18"/>
              <w:szCs w:val="18"/>
              <w:lang w:val="en-US"/>
            </w:rPr>
            <w:t>ESOA</w:t>
          </w:r>
          <w:r w:rsidR="00E36F69">
            <w:rPr>
              <w:sz w:val="18"/>
              <w:szCs w:val="18"/>
              <w:lang w:val="en-US"/>
            </w:rPr>
            <w:t>)</w:t>
          </w:r>
        </w:p>
      </w:tc>
    </w:tr>
    <w:tr w:rsidR="003047DE" w14:paraId="14ECDBE7" w14:textId="77777777" w:rsidTr="003047DE">
      <w:tc>
        <w:tcPr>
          <w:tcW w:w="1526" w:type="dxa"/>
        </w:tcPr>
        <w:p w14:paraId="097A1B8E" w14:textId="77777777" w:rsidR="003047DE" w:rsidRDefault="003047DE" w:rsidP="003047DE">
          <w:pPr>
            <w:pStyle w:val="FirstFooter"/>
            <w:tabs>
              <w:tab w:val="left" w:pos="1559"/>
              <w:tab w:val="left" w:pos="3828"/>
            </w:tabs>
            <w:rPr>
              <w:sz w:val="20"/>
              <w:lang w:val="en-US"/>
            </w:rPr>
          </w:pPr>
        </w:p>
      </w:tc>
      <w:tc>
        <w:tcPr>
          <w:tcW w:w="2410" w:type="dxa"/>
          <w:hideMark/>
        </w:tcPr>
        <w:p w14:paraId="2C7FC185" w14:textId="77777777" w:rsidR="003047DE" w:rsidRDefault="003047DE" w:rsidP="003047DE">
          <w:pPr>
            <w:pStyle w:val="FirstFooter"/>
            <w:tabs>
              <w:tab w:val="left" w:pos="2302"/>
            </w:tabs>
            <w:rPr>
              <w:sz w:val="18"/>
              <w:szCs w:val="18"/>
              <w:lang w:val="en-US"/>
            </w:rPr>
          </w:pPr>
          <w:r>
            <w:rPr>
              <w:sz w:val="18"/>
              <w:szCs w:val="18"/>
              <w:lang w:val="en-US"/>
            </w:rPr>
            <w:t>Phone number:</w:t>
          </w:r>
        </w:p>
      </w:tc>
      <w:tc>
        <w:tcPr>
          <w:tcW w:w="5987" w:type="dxa"/>
          <w:hideMark/>
        </w:tcPr>
        <w:p w14:paraId="3C2FE83A" w14:textId="0E3F3115" w:rsidR="003047DE" w:rsidRDefault="00D90A0F" w:rsidP="003047DE">
          <w:pPr>
            <w:pStyle w:val="FirstFooter"/>
            <w:tabs>
              <w:tab w:val="left" w:pos="2302"/>
            </w:tabs>
            <w:rPr>
              <w:sz w:val="18"/>
              <w:szCs w:val="18"/>
              <w:lang w:val="en-US"/>
            </w:rPr>
          </w:pPr>
          <w:bookmarkStart w:id="2" w:name="PhoneNo"/>
          <w:bookmarkEnd w:id="2"/>
          <w:r>
            <w:rPr>
              <w:sz w:val="18"/>
              <w:szCs w:val="18"/>
              <w:lang w:val="en-US"/>
            </w:rPr>
            <w:t>+32 2 669 4274</w:t>
          </w:r>
        </w:p>
      </w:tc>
    </w:tr>
    <w:tr w:rsidR="003047DE" w14:paraId="438D3233" w14:textId="77777777" w:rsidTr="003047DE">
      <w:tc>
        <w:tcPr>
          <w:tcW w:w="1526" w:type="dxa"/>
        </w:tcPr>
        <w:p w14:paraId="5DBCF6CC" w14:textId="77777777" w:rsidR="003047DE" w:rsidRDefault="003047DE" w:rsidP="003047DE">
          <w:pPr>
            <w:pStyle w:val="FirstFooter"/>
            <w:tabs>
              <w:tab w:val="left" w:pos="1559"/>
              <w:tab w:val="left" w:pos="3828"/>
            </w:tabs>
            <w:rPr>
              <w:sz w:val="20"/>
              <w:lang w:val="en-US"/>
            </w:rPr>
          </w:pPr>
        </w:p>
      </w:tc>
      <w:tc>
        <w:tcPr>
          <w:tcW w:w="2410" w:type="dxa"/>
          <w:hideMark/>
        </w:tcPr>
        <w:p w14:paraId="3554CDB2" w14:textId="77777777" w:rsidR="003047DE" w:rsidRDefault="003047DE" w:rsidP="003047DE">
          <w:pPr>
            <w:pStyle w:val="FirstFooter"/>
            <w:tabs>
              <w:tab w:val="left" w:pos="2302"/>
            </w:tabs>
            <w:rPr>
              <w:sz w:val="18"/>
              <w:szCs w:val="18"/>
              <w:lang w:val="en-US"/>
            </w:rPr>
          </w:pPr>
          <w:r>
            <w:rPr>
              <w:sz w:val="18"/>
              <w:szCs w:val="18"/>
              <w:lang w:val="en-US"/>
            </w:rPr>
            <w:t>E-mail:</w:t>
          </w:r>
        </w:p>
      </w:tc>
      <w:bookmarkStart w:id="3" w:name="Email"/>
      <w:bookmarkEnd w:id="3"/>
      <w:tc>
        <w:tcPr>
          <w:tcW w:w="5987" w:type="dxa"/>
          <w:hideMark/>
        </w:tcPr>
        <w:p w14:paraId="1163FA7C" w14:textId="46FF32C2" w:rsidR="003047DE" w:rsidRDefault="00D90A0F" w:rsidP="003047DE">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"mailto:nvicente@esoa.net" </w:instrText>
          </w:r>
          <w:r>
            <w:rPr>
              <w:sz w:val="18"/>
              <w:szCs w:val="18"/>
              <w:lang w:val="en-US"/>
            </w:rPr>
            <w:fldChar w:fldCharType="separate"/>
          </w:r>
          <w:r w:rsidRPr="00B468DE">
            <w:rPr>
              <w:rStyle w:val="Hyperlink"/>
              <w:sz w:val="18"/>
              <w:szCs w:val="18"/>
              <w:lang w:val="en-US"/>
            </w:rPr>
            <w:t>nvicente@esoa.net</w:t>
          </w:r>
          <w:r>
            <w:rPr>
              <w:sz w:val="18"/>
              <w:szCs w:val="18"/>
              <w:lang w:val="en-US"/>
            </w:rPr>
            <w:fldChar w:fldCharType="end"/>
          </w:r>
          <w:r>
            <w:rPr>
              <w:sz w:val="18"/>
              <w:szCs w:val="18"/>
              <w:lang w:val="en-US"/>
            </w:rPr>
            <w:t xml:space="preserve"> </w:t>
          </w:r>
        </w:p>
      </w:tc>
    </w:tr>
  </w:tbl>
  <w:p w14:paraId="03C3F5D9" w14:textId="35814346" w:rsidR="00721657" w:rsidRPr="003047DE" w:rsidRDefault="00194F24"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1" w:history="1">
      <w:r w:rsidR="00BB270E"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931F4" w14:textId="77777777" w:rsidR="009C7DCE" w:rsidRDefault="009C7DCE">
      <w:r>
        <w:t>____________________</w:t>
      </w:r>
    </w:p>
  </w:footnote>
  <w:footnote w:type="continuationSeparator" w:id="0">
    <w:p w14:paraId="7D5FD8F4" w14:textId="77777777" w:rsidR="009C7DCE" w:rsidRDefault="009C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C4AB015" w:rsidR="00721657" w:rsidRPr="00BE53BF" w:rsidRDefault="00BE53BF" w:rsidP="00BE53BF">
    <w:pPr>
      <w:pStyle w:val="Header"/>
      <w:rPr>
        <w:rStyle w:val="PageNumber"/>
        <w:lang w:val="en-US"/>
      </w:rPr>
    </w:pPr>
    <w:r>
      <w:rPr>
        <w:rStyle w:val="PageNumber"/>
        <w:lang w:val="en-US"/>
      </w:rPr>
      <w:t>TDAG-WG-Prep/</w:t>
    </w:r>
    <w:r w:rsidR="00D90A0F">
      <w:rPr>
        <w:rStyle w:val="PageNumber"/>
        <w:lang w:val="en-US"/>
      </w:rPr>
      <w:t>9</w:t>
    </w:r>
    <w:r w:rsidR="00643042">
      <w:rPr>
        <w:rStyle w:val="PageNumber"/>
        <w:lang w:val="en-US"/>
      </w:rPr>
      <w:br/>
      <w:t>-</w:t>
    </w:r>
    <w:r w:rsidR="00643042" w:rsidRPr="00643042">
      <w:rPr>
        <w:rStyle w:val="PageNumber"/>
        <w:lang w:val="en-US"/>
      </w:rPr>
      <w:fldChar w:fldCharType="begin"/>
    </w:r>
    <w:r w:rsidR="00643042" w:rsidRPr="00643042">
      <w:rPr>
        <w:rStyle w:val="PageNumber"/>
        <w:lang w:val="en-US"/>
      </w:rPr>
      <w:instrText xml:space="preserve"> PAGE   \* MERGEFORMAT </w:instrText>
    </w:r>
    <w:r w:rsidR="00643042" w:rsidRPr="00643042">
      <w:rPr>
        <w:rStyle w:val="PageNumber"/>
        <w:lang w:val="en-US"/>
      </w:rPr>
      <w:fldChar w:fldCharType="separate"/>
    </w:r>
    <w:r w:rsidR="00643042" w:rsidRPr="00643042">
      <w:rPr>
        <w:rStyle w:val="PageNumber"/>
        <w:noProof/>
        <w:lang w:val="en-US"/>
      </w:rPr>
      <w:t>1</w:t>
    </w:r>
    <w:r w:rsidR="00643042" w:rsidRPr="00643042">
      <w:rPr>
        <w:rStyle w:val="PageNumber"/>
        <w:noProof/>
        <w:lang w:val="en-US"/>
      </w:rPr>
      <w:fldChar w:fldCharType="end"/>
    </w:r>
    <w:r w:rsidR="00643042">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693151AA"/>
    <w:multiLevelType w:val="hybridMultilevel"/>
    <w:tmpl w:val="A6081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766"/>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D5825"/>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456F"/>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521B"/>
    <w:rsid w:val="00665624"/>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00A3"/>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0B5B"/>
    <w:rsid w:val="00AA3E09"/>
    <w:rsid w:val="00AA4BEF"/>
    <w:rsid w:val="00AB112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0A0F"/>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6F69"/>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UnresolvedMention">
    <w:name w:val="Unresolved Mention"/>
    <w:basedOn w:val="DefaultParagraphFont"/>
    <w:uiPriority w:val="99"/>
    <w:semiHidden/>
    <w:unhideWhenUsed/>
    <w:rsid w:val="00BE53BF"/>
    <w:rPr>
      <w:color w:val="605E5C"/>
      <w:shd w:val="clear" w:color="auto" w:fill="E1DFDD"/>
    </w:rPr>
  </w:style>
  <w:style w:type="character" w:styleId="FollowedHyperlink">
    <w:name w:val="FollowedHyperlink"/>
    <w:basedOn w:val="DefaultParagraphFont"/>
    <w:semiHidden/>
    <w:unhideWhenUsed/>
    <w:rsid w:val="003D5825"/>
    <w:rPr>
      <w:color w:val="800080" w:themeColor="followedHyperlink"/>
      <w:u w:val="single"/>
    </w:rPr>
  </w:style>
  <w:style w:type="paragraph" w:customStyle="1" w:styleId="Default">
    <w:name w:val="Default"/>
    <w:rsid w:val="00D90A0F"/>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_WG_WTDC_Pre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7E09-7D28-4A10-8EB8-CC849E64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447</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6</cp:revision>
  <cp:lastPrinted>2014-11-04T09:22:00Z</cp:lastPrinted>
  <dcterms:created xsi:type="dcterms:W3CDTF">2020-08-26T07:08:00Z</dcterms:created>
  <dcterms:modified xsi:type="dcterms:W3CDTF">2020-08-26T07:40:00Z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