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42CF" w14:textId="42CD7039" w:rsidR="00194F24" w:rsidRDefault="00194F24"/>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93"/>
        <w:gridCol w:w="5244"/>
        <w:gridCol w:w="3651"/>
      </w:tblGrid>
      <w:tr w:rsidR="00194F24" w14:paraId="5E10E816" w14:textId="77777777" w:rsidTr="006D0FFA">
        <w:trPr>
          <w:cantSplit/>
          <w:trHeight w:val="1134"/>
        </w:trPr>
        <w:tc>
          <w:tcPr>
            <w:tcW w:w="9888" w:type="dxa"/>
            <w:gridSpan w:val="3"/>
            <w:tcBorders>
              <w:bottom w:val="single" w:sz="2" w:space="0" w:color="00B0F0"/>
            </w:tcBorders>
          </w:tcPr>
          <w:p w14:paraId="62FAC2DC" w14:textId="6E672E40" w:rsidR="00194F24" w:rsidRPr="0085753F" w:rsidRDefault="00194F24" w:rsidP="00194F24">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 xml:space="preserve">Working Group on </w:t>
            </w:r>
            <w:r w:rsidR="003B28C6">
              <w:rPr>
                <w:b/>
                <w:bCs/>
                <w:sz w:val="32"/>
                <w:szCs w:val="32"/>
              </w:rPr>
              <w:t>Strategic and Operational Plans</w:t>
            </w:r>
          </w:p>
          <w:p w14:paraId="49124C96" w14:textId="215A70B9" w:rsidR="00194F24" w:rsidRPr="00F45B51" w:rsidRDefault="00F37A31" w:rsidP="00784BE5">
            <w:pPr>
              <w:ind w:right="142"/>
              <w:rPr>
                <w:sz w:val="26"/>
                <w:szCs w:val="26"/>
              </w:rPr>
            </w:pPr>
            <w:r>
              <w:rPr>
                <w:b/>
                <w:bCs/>
                <w:sz w:val="26"/>
                <w:szCs w:val="26"/>
              </w:rPr>
              <w:t>1</w:t>
            </w:r>
            <w:bookmarkStart w:id="0" w:name="_GoBack"/>
            <w:bookmarkEnd w:id="0"/>
            <w:r>
              <w:rPr>
                <w:b/>
                <w:bCs/>
                <w:sz w:val="26"/>
                <w:szCs w:val="26"/>
              </w:rPr>
              <w:t xml:space="preserve"> October</w:t>
            </w:r>
            <w:r w:rsidR="0085753F" w:rsidRPr="00F45B51">
              <w:rPr>
                <w:b/>
                <w:bCs/>
                <w:sz w:val="26"/>
                <w:szCs w:val="26"/>
              </w:rPr>
              <w:t xml:space="preserve"> 2020</w:t>
            </w:r>
            <w:r w:rsidR="00194F24" w:rsidRPr="00F45B51">
              <w:rPr>
                <w:b/>
                <w:bCs/>
                <w:sz w:val="26"/>
                <w:szCs w:val="26"/>
              </w:rPr>
              <w:t xml:space="preserve">, </w:t>
            </w:r>
            <w:r w:rsidR="0085753F" w:rsidRPr="00F45B51">
              <w:rPr>
                <w:b/>
                <w:bCs/>
                <w:sz w:val="26"/>
                <w:szCs w:val="26"/>
              </w:rPr>
              <w:t>Virtual</w:t>
            </w:r>
          </w:p>
        </w:tc>
      </w:tr>
      <w:tr w:rsidR="00F37A31" w:rsidRPr="00997358" w14:paraId="48B980A4" w14:textId="77777777" w:rsidTr="00613BDF">
        <w:trPr>
          <w:cantSplit/>
        </w:trPr>
        <w:tc>
          <w:tcPr>
            <w:tcW w:w="6237" w:type="dxa"/>
            <w:gridSpan w:val="2"/>
            <w:tcBorders>
              <w:top w:val="single" w:sz="2" w:space="0" w:color="00B0F0"/>
            </w:tcBorders>
          </w:tcPr>
          <w:p w14:paraId="418C6355" w14:textId="77777777" w:rsidR="00F37A31" w:rsidRPr="00997358" w:rsidRDefault="00F37A31" w:rsidP="00F37A31">
            <w:pPr>
              <w:spacing w:before="0"/>
              <w:rPr>
                <w:b/>
                <w:bCs/>
                <w:sz w:val="20"/>
              </w:rPr>
            </w:pPr>
          </w:p>
        </w:tc>
        <w:tc>
          <w:tcPr>
            <w:tcW w:w="3651" w:type="dxa"/>
            <w:tcBorders>
              <w:top w:val="single" w:sz="2" w:space="0" w:color="00B0F0"/>
            </w:tcBorders>
          </w:tcPr>
          <w:p w14:paraId="49A48CC7" w14:textId="449E592C" w:rsidR="00F37A31" w:rsidRPr="000E0704" w:rsidRDefault="00F37A31" w:rsidP="00971963">
            <w:pPr>
              <w:rPr>
                <w:b/>
                <w:bCs/>
                <w:szCs w:val="24"/>
              </w:rPr>
            </w:pPr>
            <w:r w:rsidRPr="000E0704">
              <w:rPr>
                <w:b/>
                <w:bCs/>
                <w:szCs w:val="24"/>
              </w:rPr>
              <w:t>Doc</w:t>
            </w:r>
            <w:r>
              <w:rPr>
                <w:b/>
                <w:bCs/>
                <w:szCs w:val="24"/>
              </w:rPr>
              <w:t>ument</w:t>
            </w:r>
            <w:r w:rsidRPr="000E0704">
              <w:rPr>
                <w:b/>
                <w:bCs/>
                <w:szCs w:val="24"/>
              </w:rPr>
              <w:t xml:space="preserve"> </w:t>
            </w:r>
            <w:r w:rsidRPr="00AA0B5B">
              <w:rPr>
                <w:b/>
                <w:bCs/>
                <w:szCs w:val="24"/>
              </w:rPr>
              <w:t>TDAG-WG-</w:t>
            </w:r>
            <w:r>
              <w:rPr>
                <w:b/>
                <w:bCs/>
                <w:szCs w:val="24"/>
              </w:rPr>
              <w:t>SOP</w:t>
            </w:r>
            <w:r w:rsidRPr="00AA0B5B">
              <w:rPr>
                <w:b/>
                <w:bCs/>
                <w:szCs w:val="24"/>
              </w:rPr>
              <w:t>/</w:t>
            </w:r>
            <w:r w:rsidR="00971963">
              <w:rPr>
                <w:b/>
                <w:bCs/>
                <w:szCs w:val="24"/>
              </w:rPr>
              <w:t>DT</w:t>
            </w:r>
            <w:r w:rsidR="00613BDF">
              <w:rPr>
                <w:b/>
                <w:bCs/>
                <w:szCs w:val="24"/>
              </w:rPr>
              <w:t>/2</w:t>
            </w:r>
            <w:r>
              <w:rPr>
                <w:b/>
                <w:bCs/>
                <w:szCs w:val="24"/>
              </w:rPr>
              <w:t>-E</w:t>
            </w:r>
          </w:p>
        </w:tc>
      </w:tr>
      <w:tr w:rsidR="00F37A31" w:rsidRPr="00997358" w14:paraId="7302F6BC" w14:textId="77777777" w:rsidTr="00613BDF">
        <w:trPr>
          <w:cantSplit/>
        </w:trPr>
        <w:tc>
          <w:tcPr>
            <w:tcW w:w="6237" w:type="dxa"/>
            <w:gridSpan w:val="2"/>
          </w:tcPr>
          <w:p w14:paraId="1F9741FC" w14:textId="77777777" w:rsidR="00F37A31" w:rsidRPr="00997358" w:rsidRDefault="00F37A31" w:rsidP="00F37A31">
            <w:pPr>
              <w:spacing w:before="0"/>
              <w:rPr>
                <w:b/>
                <w:bCs/>
                <w:sz w:val="20"/>
              </w:rPr>
            </w:pPr>
          </w:p>
        </w:tc>
        <w:tc>
          <w:tcPr>
            <w:tcW w:w="3651" w:type="dxa"/>
          </w:tcPr>
          <w:p w14:paraId="65511797" w14:textId="6AB1FA34" w:rsidR="00F37A31" w:rsidRPr="000E0704" w:rsidRDefault="00F37A31" w:rsidP="00F37A31">
            <w:pPr>
              <w:spacing w:before="0"/>
              <w:rPr>
                <w:b/>
                <w:bCs/>
                <w:szCs w:val="24"/>
              </w:rPr>
            </w:pPr>
            <w:r>
              <w:rPr>
                <w:b/>
                <w:bCs/>
                <w:szCs w:val="24"/>
              </w:rPr>
              <w:t>31 August 2020</w:t>
            </w:r>
          </w:p>
        </w:tc>
      </w:tr>
      <w:tr w:rsidR="00F37A31" w:rsidRPr="00997358" w14:paraId="769980A4" w14:textId="77777777" w:rsidTr="00613BDF">
        <w:trPr>
          <w:cantSplit/>
        </w:trPr>
        <w:tc>
          <w:tcPr>
            <w:tcW w:w="6237" w:type="dxa"/>
            <w:gridSpan w:val="2"/>
          </w:tcPr>
          <w:p w14:paraId="4DFD97DF" w14:textId="77777777" w:rsidR="00F37A31" w:rsidRPr="00997358" w:rsidRDefault="00F37A31" w:rsidP="00F37A31">
            <w:pPr>
              <w:spacing w:before="0"/>
              <w:rPr>
                <w:b/>
                <w:bCs/>
                <w:sz w:val="20"/>
              </w:rPr>
            </w:pPr>
          </w:p>
        </w:tc>
        <w:tc>
          <w:tcPr>
            <w:tcW w:w="3651" w:type="dxa"/>
          </w:tcPr>
          <w:p w14:paraId="14B81F67" w14:textId="7DCCD21E" w:rsidR="00F37A31" w:rsidRPr="000E0704" w:rsidRDefault="00F37A31" w:rsidP="00F37A31">
            <w:pPr>
              <w:spacing w:before="0" w:after="120"/>
              <w:rPr>
                <w:b/>
                <w:bCs/>
                <w:szCs w:val="24"/>
              </w:rPr>
            </w:pPr>
            <w:r w:rsidRPr="007A5D10">
              <w:rPr>
                <w:b/>
                <w:bCs/>
                <w:szCs w:val="24"/>
              </w:rPr>
              <w:t>English</w:t>
            </w:r>
            <w:r>
              <w:rPr>
                <w:b/>
                <w:bCs/>
                <w:szCs w:val="24"/>
              </w:rPr>
              <w:t xml:space="preserve"> only</w:t>
            </w:r>
          </w:p>
        </w:tc>
      </w:tr>
      <w:tr w:rsidR="00AA0B5B" w:rsidRPr="00002716" w14:paraId="10DE2C82" w14:textId="77777777" w:rsidTr="00AA0B5B">
        <w:trPr>
          <w:cantSplit/>
          <w:trHeight w:val="408"/>
        </w:trPr>
        <w:tc>
          <w:tcPr>
            <w:tcW w:w="993" w:type="dxa"/>
          </w:tcPr>
          <w:p w14:paraId="46B4A90F" w14:textId="77777777" w:rsidR="00AA0B5B" w:rsidRPr="00194F24" w:rsidRDefault="00AA0B5B" w:rsidP="00194F24">
            <w:pPr>
              <w:spacing w:before="80" w:after="80"/>
              <w:jc w:val="both"/>
              <w:rPr>
                <w:b/>
                <w:szCs w:val="24"/>
                <w:lang w:val="en-US"/>
              </w:rPr>
            </w:pPr>
            <w:r>
              <w:rPr>
                <w:b/>
                <w:bCs/>
                <w:lang w:val="en-US"/>
              </w:rPr>
              <w:t>Source:</w:t>
            </w:r>
          </w:p>
        </w:tc>
        <w:tc>
          <w:tcPr>
            <w:tcW w:w="8895" w:type="dxa"/>
            <w:gridSpan w:val="2"/>
          </w:tcPr>
          <w:p w14:paraId="0F88DEF6" w14:textId="364C3115" w:rsidR="00AA0B5B" w:rsidRPr="008905BB" w:rsidRDefault="00624945" w:rsidP="00E33024">
            <w:pPr>
              <w:spacing w:before="80" w:after="80"/>
              <w:rPr>
                <w:bCs/>
                <w:szCs w:val="24"/>
                <w:lang w:val="en-US"/>
              </w:rPr>
            </w:pPr>
            <w:r w:rsidRPr="00624945">
              <w:rPr>
                <w:bCs/>
                <w:szCs w:val="24"/>
                <w:lang w:val="en-US"/>
              </w:rPr>
              <w:t>Director, Telecommunication Development Bureau</w:t>
            </w:r>
          </w:p>
        </w:tc>
      </w:tr>
      <w:tr w:rsidR="00AA0B5B" w:rsidRPr="00002716" w14:paraId="29E95131" w14:textId="77777777" w:rsidTr="00AA0B5B">
        <w:trPr>
          <w:cantSplit/>
          <w:trHeight w:val="407"/>
        </w:trPr>
        <w:tc>
          <w:tcPr>
            <w:tcW w:w="993" w:type="dxa"/>
            <w:tcBorders>
              <w:bottom w:val="single" w:sz="4" w:space="0" w:color="00B0F0"/>
            </w:tcBorders>
          </w:tcPr>
          <w:p w14:paraId="0B4CC4A0" w14:textId="65A64A24" w:rsidR="00AA0B5B" w:rsidRDefault="00AA0B5B" w:rsidP="00194F24">
            <w:pPr>
              <w:spacing w:before="80" w:after="80"/>
              <w:jc w:val="both"/>
              <w:rPr>
                <w:b/>
                <w:bCs/>
                <w:lang w:val="en-US"/>
              </w:rPr>
            </w:pPr>
            <w:r>
              <w:rPr>
                <w:b/>
                <w:bCs/>
                <w:szCs w:val="24"/>
                <w:lang w:val="en-US"/>
              </w:rPr>
              <w:t>Title:</w:t>
            </w:r>
          </w:p>
        </w:tc>
        <w:tc>
          <w:tcPr>
            <w:tcW w:w="8895" w:type="dxa"/>
            <w:gridSpan w:val="2"/>
            <w:tcBorders>
              <w:bottom w:val="single" w:sz="4" w:space="0" w:color="00B0F0"/>
            </w:tcBorders>
          </w:tcPr>
          <w:p w14:paraId="5DF56324" w14:textId="310FA37A" w:rsidR="00AA0B5B" w:rsidRPr="008905BB" w:rsidRDefault="00051E94" w:rsidP="00194F24">
            <w:pPr>
              <w:spacing w:before="80" w:after="80"/>
              <w:jc w:val="both"/>
              <w:rPr>
                <w:bCs/>
                <w:lang w:val="en-US"/>
              </w:rPr>
            </w:pPr>
            <w:r>
              <w:rPr>
                <w:bCs/>
                <w:lang w:val="en-US"/>
              </w:rPr>
              <w:t>Framing Questions for TDAG-WG-SOP Contribution</w:t>
            </w:r>
          </w:p>
        </w:tc>
      </w:tr>
    </w:tbl>
    <w:p w14:paraId="4748A056" w14:textId="572E0DD6" w:rsidR="00AB136F" w:rsidRPr="00AB136F" w:rsidRDefault="00AB136F" w:rsidP="00AB136F">
      <w:pPr>
        <w:tabs>
          <w:tab w:val="center" w:pos="7797"/>
        </w:tabs>
        <w:spacing w:after="120"/>
        <w:rPr>
          <w:bCs/>
          <w:szCs w:val="24"/>
        </w:rPr>
      </w:pPr>
      <w:r w:rsidRPr="00AB136F">
        <w:rPr>
          <w:rFonts w:eastAsia="SimHei" w:cs="Simplified Arabic"/>
          <w:b/>
          <w:bCs/>
          <w:szCs w:val="24"/>
        </w:rPr>
        <w:t>List of framing questions to assist membership formulate contributions to TDAG-WG-SOP</w:t>
      </w:r>
    </w:p>
    <w:p w14:paraId="3BA0202C" w14:textId="77777777" w:rsidR="00AB136F" w:rsidRPr="00AB136F" w:rsidRDefault="00AB136F" w:rsidP="00AB136F">
      <w:pPr>
        <w:shd w:val="clear" w:color="auto" w:fill="FFFFFF"/>
        <w:tabs>
          <w:tab w:val="left" w:pos="567"/>
          <w:tab w:val="left" w:pos="1134"/>
          <w:tab w:val="left" w:pos="1701"/>
          <w:tab w:val="left" w:pos="2268"/>
        </w:tabs>
        <w:spacing w:after="120"/>
        <w:rPr>
          <w:b/>
          <w:bCs/>
          <w:szCs w:val="24"/>
        </w:rPr>
      </w:pPr>
      <w:r w:rsidRPr="00AB136F">
        <w:rPr>
          <w:b/>
          <w:bCs/>
          <w:szCs w:val="24"/>
        </w:rPr>
        <w:t>Objectives</w:t>
      </w:r>
    </w:p>
    <w:p w14:paraId="08FF0D42" w14:textId="40D473C2" w:rsidR="00AB136F" w:rsidRPr="00AB136F" w:rsidRDefault="00AB136F" w:rsidP="00AB136F">
      <w:pPr>
        <w:shd w:val="clear" w:color="auto" w:fill="FFFFFF"/>
        <w:tabs>
          <w:tab w:val="left" w:pos="567"/>
          <w:tab w:val="left" w:pos="1134"/>
          <w:tab w:val="left" w:pos="1701"/>
          <w:tab w:val="left" w:pos="2268"/>
        </w:tabs>
        <w:spacing w:after="120"/>
        <w:rPr>
          <w:bCs/>
          <w:szCs w:val="24"/>
        </w:rPr>
      </w:pPr>
      <w:r w:rsidRPr="00AB136F">
        <w:rPr>
          <w:szCs w:val="24"/>
        </w:rPr>
        <w:t>The working group set 18 September 2020 as the deadline for submitting contributions and agreed to hold its second meeting on 1 October 2020 to prepare for the TDAG and Council meetings and to coordinate its work with other groups, in particular the TDAG Working Group on Resolutions, Declaration and Thematic Priorities (TDAG-WG-RDTP) and the TDAG-WG-Prep. Its draft report to the extraordinary meeting of TDAG, tentatively scheduled for 23 November 2020, will be ready by 8 October 2020. Its final report will first go to the 2021 meeting of TDAG, and will include the progress report on the Buenos Aires Action Plan as well as proposals regarding the ITU-D component of the Strategic and Operational Plans. Documents 28 and 35 of the Council will serve as a baseline document for the presentation of reports to TDAG on the strategic and operational plans of the union. TDAG document 2 will be the base for the review of the implementation of the Buenos Aires Action Plan.</w:t>
      </w:r>
    </w:p>
    <w:p w14:paraId="3BAC4537" w14:textId="77777777" w:rsidR="00AB136F" w:rsidRPr="00AB136F" w:rsidRDefault="00AB136F" w:rsidP="00AB136F">
      <w:pPr>
        <w:numPr>
          <w:ilvl w:val="0"/>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rPr>
          <w:bCs/>
          <w:szCs w:val="24"/>
        </w:rPr>
      </w:pPr>
      <w:r w:rsidRPr="00AB136F">
        <w:rPr>
          <w:bCs/>
          <w:szCs w:val="24"/>
          <w:u w:val="single"/>
        </w:rPr>
        <w:t>Review of Strategic Plan, Buenos Aires Action Plan and 4-year rolling plan</w:t>
      </w:r>
    </w:p>
    <w:p w14:paraId="5AE81736"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Where has BDT excelled in building on the "One-ITU" framework, and where is there need for improvement?</w:t>
      </w:r>
    </w:p>
    <w:p w14:paraId="14CF505B"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 xml:space="preserve">How well is BDT on track quantitatively meeting objective targets? </w:t>
      </w:r>
    </w:p>
    <w:p w14:paraId="704A6F73"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 xml:space="preserve">Which adjustments are recommended to better align with the strategy? </w:t>
      </w:r>
    </w:p>
    <w:p w14:paraId="72A2780D"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What are the recommendations to reduce duplication with other Sectors?</w:t>
      </w:r>
    </w:p>
    <w:p w14:paraId="5DE46C81"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bCs/>
          <w:szCs w:val="24"/>
        </w:rPr>
        <w:t>How should we coordinate with TDAG-WG-Prep to align our position on regional initiatives?</w:t>
      </w:r>
    </w:p>
    <w:p w14:paraId="1F236C5A" w14:textId="77777777" w:rsidR="00AB136F" w:rsidRPr="00AB136F" w:rsidRDefault="00AB136F" w:rsidP="00AB136F">
      <w:pPr>
        <w:numPr>
          <w:ilvl w:val="0"/>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rPr>
          <w:bCs/>
          <w:szCs w:val="24"/>
          <w:u w:val="single"/>
        </w:rPr>
      </w:pPr>
      <w:r w:rsidRPr="00AB136F">
        <w:rPr>
          <w:bCs/>
          <w:szCs w:val="24"/>
          <w:u w:val="single"/>
        </w:rPr>
        <w:t>Proposals for ITU-D contribution to ITU strategic plan (2024-27) and draft Operational Plan</w:t>
      </w:r>
    </w:p>
    <w:p w14:paraId="2D008A38"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08C351CD"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How should BDT streamline, consolidate and prioritize its offering to make the best use of available resources?</w:t>
      </w:r>
    </w:p>
    <w:p w14:paraId="4825D594"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bCs/>
          <w:szCs w:val="24"/>
        </w:rPr>
        <w:lastRenderedPageBreak/>
        <w:t xml:space="preserve">What competition is expected and how should BDT adapt strategically for a competitive advantage in this environment? </w:t>
      </w:r>
    </w:p>
    <w:p w14:paraId="6E7F59C4" w14:textId="77777777" w:rsidR="00AB136F" w:rsidRPr="00AB136F" w:rsidRDefault="00AB136F" w:rsidP="00AB136F">
      <w:pPr>
        <w:numPr>
          <w:ilvl w:val="1"/>
          <w:numId w:val="2"/>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1134" w:hanging="567"/>
        <w:rPr>
          <w:bCs/>
          <w:szCs w:val="24"/>
        </w:rPr>
      </w:pPr>
      <w:r w:rsidRPr="00AB136F">
        <w:rPr>
          <w:szCs w:val="24"/>
        </w:rPr>
        <w:t>What specific objectives, outcomes and outputs should be envisioned to pave the way for universal, affordable, accessible and trusted connectivity by 2030?</w:t>
      </w:r>
    </w:p>
    <w:p w14:paraId="26A3AD97" w14:textId="77777777" w:rsidR="00AB136F" w:rsidRPr="00AB136F" w:rsidRDefault="00AB136F" w:rsidP="00AB136F">
      <w:pPr>
        <w:shd w:val="clear" w:color="auto" w:fill="FFFFFF"/>
        <w:tabs>
          <w:tab w:val="left" w:pos="567"/>
          <w:tab w:val="left" w:pos="1134"/>
          <w:tab w:val="left" w:pos="1701"/>
          <w:tab w:val="left" w:pos="2268"/>
        </w:tabs>
        <w:spacing w:after="120"/>
        <w:rPr>
          <w:b/>
          <w:szCs w:val="24"/>
        </w:rPr>
      </w:pPr>
      <w:r w:rsidRPr="00AB136F">
        <w:rPr>
          <w:b/>
          <w:szCs w:val="24"/>
        </w:rPr>
        <w:t>Final findings and recommendations</w:t>
      </w:r>
    </w:p>
    <w:p w14:paraId="70473738" w14:textId="77777777" w:rsidR="00AB136F" w:rsidRPr="00AB136F" w:rsidRDefault="00AB136F" w:rsidP="00AB136F">
      <w:pPr>
        <w:numPr>
          <w:ilvl w:val="0"/>
          <w:numId w:val="3"/>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rPr>
          <w:bCs/>
          <w:szCs w:val="24"/>
        </w:rPr>
      </w:pPr>
      <w:r w:rsidRPr="00AB136F">
        <w:rPr>
          <w:bCs/>
          <w:szCs w:val="24"/>
        </w:rPr>
        <w:t>Performance of BDT towards objectives and recommendations for improvement;</w:t>
      </w:r>
    </w:p>
    <w:p w14:paraId="2CFCF2CA" w14:textId="1902DBDE" w:rsidR="00EC6FED" w:rsidRPr="00AB136F" w:rsidRDefault="00AB136F" w:rsidP="00935FF0">
      <w:pPr>
        <w:numPr>
          <w:ilvl w:val="0"/>
          <w:numId w:val="3"/>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rPr>
          <w:szCs w:val="24"/>
        </w:rPr>
      </w:pPr>
      <w:r w:rsidRPr="00AB136F">
        <w:rPr>
          <w:szCs w:val="24"/>
        </w:rPr>
        <w:t>Recommend adjustments in Thematic Priority design to give ITU-D a more competitive edge for Member consideration in the ITU-D component of the overall ITU strategic plan for 2024-2027.</w:t>
      </w:r>
    </w:p>
    <w:p w14:paraId="7BAF8EA4" w14:textId="1F61E7B1" w:rsidR="00821996" w:rsidRDefault="003C58BF" w:rsidP="00643042">
      <w:pPr>
        <w:tabs>
          <w:tab w:val="clear" w:pos="794"/>
          <w:tab w:val="clear" w:pos="1191"/>
          <w:tab w:val="clear" w:pos="1588"/>
          <w:tab w:val="clear" w:pos="1985"/>
        </w:tabs>
        <w:spacing w:after="120"/>
        <w:jc w:val="center"/>
      </w:pPr>
      <w:bookmarkStart w:id="1" w:name="Proposal"/>
      <w:bookmarkEnd w:id="1"/>
      <w:r>
        <w:t>_____________</w:t>
      </w:r>
      <w:r w:rsidR="004122C5">
        <w:t>_</w:t>
      </w:r>
      <w:r w:rsidR="00922EC1">
        <w:t>_</w:t>
      </w:r>
    </w:p>
    <w:sectPr w:rsidR="00821996"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4F7E" w14:textId="77777777" w:rsidR="00A60B52" w:rsidRDefault="00A60B52">
      <w:r>
        <w:separator/>
      </w:r>
    </w:p>
  </w:endnote>
  <w:endnote w:type="continuationSeparator" w:id="0">
    <w:p w14:paraId="6195241E" w14:textId="77777777" w:rsidR="00A60B52" w:rsidRDefault="00A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C87BA1" w14:paraId="136E4C84" w14:textId="77777777" w:rsidTr="00C87BA1">
      <w:tc>
        <w:tcPr>
          <w:tcW w:w="1527" w:type="dxa"/>
          <w:tcBorders>
            <w:top w:val="single" w:sz="4" w:space="0" w:color="000000"/>
            <w:left w:val="nil"/>
            <w:bottom w:val="nil"/>
            <w:right w:val="nil"/>
          </w:tcBorders>
          <w:hideMark/>
        </w:tcPr>
        <w:p w14:paraId="220D5EC2" w14:textId="77777777" w:rsidR="00C87BA1" w:rsidRDefault="00C87BA1" w:rsidP="00C87BA1">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77777777" w:rsidR="00C87BA1" w:rsidRDefault="00C87BA1" w:rsidP="00C87BA1">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423EE278" w14:textId="529B64A2" w:rsidR="00C87BA1" w:rsidRDefault="00C87BA1" w:rsidP="00C87BA1">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Jeremy Barnes, Senior Evaluation Planning &amp; Reporting Officer, Telecommunication Development Bureau</w:t>
          </w:r>
        </w:p>
      </w:tc>
      <w:bookmarkStart w:id="2" w:name="OrgName"/>
      <w:bookmarkEnd w:id="2"/>
    </w:tr>
    <w:tr w:rsidR="00C87BA1" w14:paraId="14ECDBE7" w14:textId="77777777" w:rsidTr="00C87BA1">
      <w:tc>
        <w:tcPr>
          <w:tcW w:w="1527" w:type="dxa"/>
        </w:tcPr>
        <w:p w14:paraId="097A1B8E" w14:textId="77777777" w:rsidR="00C87BA1" w:rsidRDefault="00C87BA1" w:rsidP="00C87BA1">
          <w:pPr>
            <w:pStyle w:val="FirstFooter"/>
            <w:tabs>
              <w:tab w:val="left" w:pos="1559"/>
              <w:tab w:val="left" w:pos="3828"/>
            </w:tabs>
            <w:rPr>
              <w:sz w:val="20"/>
              <w:lang w:val="en-US"/>
            </w:rPr>
          </w:pPr>
        </w:p>
      </w:tc>
      <w:tc>
        <w:tcPr>
          <w:tcW w:w="2412" w:type="dxa"/>
          <w:hideMark/>
        </w:tcPr>
        <w:p w14:paraId="2C7FC185" w14:textId="77777777" w:rsidR="00C87BA1" w:rsidRDefault="00C87BA1" w:rsidP="00C87BA1">
          <w:pPr>
            <w:pStyle w:val="FirstFooter"/>
            <w:tabs>
              <w:tab w:val="left" w:pos="2302"/>
            </w:tabs>
            <w:rPr>
              <w:sz w:val="18"/>
              <w:szCs w:val="18"/>
              <w:lang w:val="en-US"/>
            </w:rPr>
          </w:pPr>
          <w:r>
            <w:rPr>
              <w:sz w:val="18"/>
              <w:szCs w:val="18"/>
              <w:lang w:val="en-US"/>
            </w:rPr>
            <w:t>Phone number:</w:t>
          </w:r>
        </w:p>
      </w:tc>
      <w:tc>
        <w:tcPr>
          <w:tcW w:w="5991" w:type="dxa"/>
        </w:tcPr>
        <w:p w14:paraId="196A0D01" w14:textId="2E707D75" w:rsidR="00C87BA1" w:rsidRDefault="00C87BA1" w:rsidP="00C87BA1">
          <w:pPr>
            <w:pStyle w:val="FirstFooter"/>
            <w:tabs>
              <w:tab w:val="left" w:pos="2302"/>
            </w:tabs>
            <w:rPr>
              <w:sz w:val="18"/>
              <w:szCs w:val="18"/>
              <w:lang w:val="en-US"/>
            </w:rPr>
          </w:pPr>
          <w:r>
            <w:rPr>
              <w:sz w:val="18"/>
              <w:szCs w:val="18"/>
              <w:lang w:val="en-US"/>
            </w:rPr>
            <w:t>+41 22 730 5489</w:t>
          </w:r>
        </w:p>
      </w:tc>
      <w:bookmarkStart w:id="3" w:name="PhoneNo"/>
      <w:bookmarkEnd w:id="3"/>
    </w:tr>
    <w:tr w:rsidR="00C87BA1" w14:paraId="438D3233" w14:textId="77777777" w:rsidTr="00C87BA1">
      <w:tc>
        <w:tcPr>
          <w:tcW w:w="1527" w:type="dxa"/>
        </w:tcPr>
        <w:p w14:paraId="5DBCF6CC" w14:textId="77777777" w:rsidR="00C87BA1" w:rsidRDefault="00C87BA1" w:rsidP="00C87BA1">
          <w:pPr>
            <w:pStyle w:val="FirstFooter"/>
            <w:tabs>
              <w:tab w:val="left" w:pos="1559"/>
              <w:tab w:val="left" w:pos="3828"/>
            </w:tabs>
            <w:rPr>
              <w:sz w:val="20"/>
              <w:lang w:val="en-US"/>
            </w:rPr>
          </w:pPr>
        </w:p>
      </w:tc>
      <w:tc>
        <w:tcPr>
          <w:tcW w:w="2412" w:type="dxa"/>
          <w:hideMark/>
        </w:tcPr>
        <w:p w14:paraId="3554CDB2" w14:textId="77777777" w:rsidR="00C87BA1" w:rsidRDefault="00C87BA1" w:rsidP="00C87BA1">
          <w:pPr>
            <w:pStyle w:val="FirstFooter"/>
            <w:tabs>
              <w:tab w:val="left" w:pos="2302"/>
            </w:tabs>
            <w:rPr>
              <w:sz w:val="18"/>
              <w:szCs w:val="18"/>
              <w:lang w:val="en-US"/>
            </w:rPr>
          </w:pPr>
          <w:r>
            <w:rPr>
              <w:sz w:val="18"/>
              <w:szCs w:val="18"/>
              <w:lang w:val="en-US"/>
            </w:rPr>
            <w:t>E-mail:</w:t>
          </w:r>
        </w:p>
      </w:tc>
      <w:tc>
        <w:tcPr>
          <w:tcW w:w="5991" w:type="dxa"/>
        </w:tcPr>
        <w:p w14:paraId="4C32A506" w14:textId="2C89CCD8" w:rsidR="00C87BA1" w:rsidRDefault="00784BE5" w:rsidP="00C87BA1">
          <w:pPr>
            <w:pStyle w:val="FirstFooter"/>
            <w:tabs>
              <w:tab w:val="left" w:pos="2302"/>
            </w:tabs>
            <w:rPr>
              <w:sz w:val="18"/>
              <w:szCs w:val="18"/>
              <w:lang w:val="en-US"/>
            </w:rPr>
          </w:pPr>
          <w:hyperlink r:id="rId1" w:history="1">
            <w:r w:rsidR="00C87BA1" w:rsidRPr="003D2588">
              <w:rPr>
                <w:rStyle w:val="Hyperlink"/>
                <w:sz w:val="18"/>
                <w:szCs w:val="18"/>
                <w:lang w:val="en-US"/>
              </w:rPr>
              <w:t>Jeremy.barnes@itu.int</w:t>
            </w:r>
          </w:hyperlink>
        </w:p>
      </w:tc>
      <w:bookmarkStart w:id="4" w:name="Email"/>
      <w:bookmarkEnd w:id="4"/>
    </w:tr>
  </w:tbl>
  <w:p w14:paraId="03C3F5D9" w14:textId="1B3A37E3" w:rsidR="00721657" w:rsidRPr="003047DE" w:rsidRDefault="00194F24"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00BB270E" w:rsidRPr="00BE53BF">
        <w:rPr>
          <w:rStyle w:val="Hyperlink"/>
          <w:sz w:val="18"/>
          <w:szCs w:val="18"/>
        </w:rPr>
        <w:t>TDAG-WG-</w:t>
      </w:r>
      <w:r w:rsidR="00A419AA">
        <w:rPr>
          <w:rStyle w:val="Hyperlink"/>
          <w:sz w:val="18"/>
          <w:szCs w:val="18"/>
        </w:rPr>
        <w:t>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F6C3" w14:textId="77777777" w:rsidR="00A60B52" w:rsidRDefault="00A60B52">
      <w:r>
        <w:t>____________________</w:t>
      </w:r>
    </w:p>
  </w:footnote>
  <w:footnote w:type="continuationSeparator" w:id="0">
    <w:p w14:paraId="0BEA1386" w14:textId="77777777" w:rsidR="00A60B52" w:rsidRDefault="00A6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469" w14:textId="4528E733" w:rsidR="00721657" w:rsidRPr="00BE53BF" w:rsidRDefault="00BE53BF" w:rsidP="00BE53BF">
    <w:pPr>
      <w:pStyle w:val="Header"/>
      <w:rPr>
        <w:rStyle w:val="PageNumber"/>
        <w:lang w:val="en-US"/>
      </w:rPr>
    </w:pPr>
    <w:r>
      <w:rPr>
        <w:rStyle w:val="PageNumber"/>
        <w:lang w:val="en-US"/>
      </w:rPr>
      <w:t>TDAG-WG-</w:t>
    </w:r>
    <w:r w:rsidR="003B28C6">
      <w:rPr>
        <w:rStyle w:val="PageNumber"/>
        <w:lang w:val="en-US"/>
      </w:rPr>
      <w:t>SOP</w:t>
    </w:r>
    <w:r>
      <w:rPr>
        <w:rStyle w:val="PageNumber"/>
        <w:lang w:val="en-US"/>
      </w:rPr>
      <w:t>/</w:t>
    </w:r>
    <w:r w:rsidR="00971963">
      <w:rPr>
        <w:rStyle w:val="PageNumber"/>
        <w:lang w:val="en-US"/>
      </w:rPr>
      <w:t>DT</w:t>
    </w:r>
    <w:r w:rsidR="0037751E">
      <w:rPr>
        <w:rStyle w:val="PageNumber"/>
        <w:lang w:val="en-US"/>
      </w:rPr>
      <w:t>/2</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784BE5">
      <w:rPr>
        <w:rStyle w:val="PageNumber"/>
        <w:noProof/>
        <w:lang w:val="en-US"/>
      </w:rPr>
      <w:t>2</w:t>
    </w:r>
    <w:r w:rsidR="00643042" w:rsidRPr="00643042">
      <w:rPr>
        <w:rStyle w:val="PageNumber"/>
        <w:noProof/>
        <w:lang w:val="en-US"/>
      </w:rPr>
      <w:fldChar w:fldCharType="end"/>
    </w:r>
    <w:r w:rsidR="00643042">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31E1B12"/>
    <w:multiLevelType w:val="hybridMultilevel"/>
    <w:tmpl w:val="6EF63E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27"/>
    <w:rsid w:val="00015089"/>
    <w:rsid w:val="0002520B"/>
    <w:rsid w:val="00037A9E"/>
    <w:rsid w:val="00037F91"/>
    <w:rsid w:val="00051E94"/>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2D4F"/>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EF6"/>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2F5"/>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D66"/>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7751E"/>
    <w:rsid w:val="00380B71"/>
    <w:rsid w:val="0038365A"/>
    <w:rsid w:val="00386A89"/>
    <w:rsid w:val="0039648E"/>
    <w:rsid w:val="003A5AFE"/>
    <w:rsid w:val="003A5D5F"/>
    <w:rsid w:val="003A7FFE"/>
    <w:rsid w:val="003B0A63"/>
    <w:rsid w:val="003B28C6"/>
    <w:rsid w:val="003B50E1"/>
    <w:rsid w:val="003C1746"/>
    <w:rsid w:val="003C2AA9"/>
    <w:rsid w:val="003C58BF"/>
    <w:rsid w:val="003D451D"/>
    <w:rsid w:val="003F14DE"/>
    <w:rsid w:val="003F2DD8"/>
    <w:rsid w:val="003F3F2D"/>
    <w:rsid w:val="003F50B2"/>
    <w:rsid w:val="00400CCF"/>
    <w:rsid w:val="00401BFF"/>
    <w:rsid w:val="00404424"/>
    <w:rsid w:val="00407B0E"/>
    <w:rsid w:val="0041156B"/>
    <w:rsid w:val="004122C5"/>
    <w:rsid w:val="00413B78"/>
    <w:rsid w:val="00416DDE"/>
    <w:rsid w:val="0044411E"/>
    <w:rsid w:val="00453435"/>
    <w:rsid w:val="00460089"/>
    <w:rsid w:val="00466398"/>
    <w:rsid w:val="0047306D"/>
    <w:rsid w:val="00473791"/>
    <w:rsid w:val="00476E48"/>
    <w:rsid w:val="00481DE9"/>
    <w:rsid w:val="0049128B"/>
    <w:rsid w:val="004919F8"/>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BDF"/>
    <w:rsid w:val="00623F30"/>
    <w:rsid w:val="00624945"/>
    <w:rsid w:val="00625FB8"/>
    <w:rsid w:val="006261BD"/>
    <w:rsid w:val="00635EDB"/>
    <w:rsid w:val="00643042"/>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4BE5"/>
    <w:rsid w:val="00787D48"/>
    <w:rsid w:val="00795294"/>
    <w:rsid w:val="007A4E50"/>
    <w:rsid w:val="007B18A7"/>
    <w:rsid w:val="007B250E"/>
    <w:rsid w:val="007C27FC"/>
    <w:rsid w:val="007C51FF"/>
    <w:rsid w:val="007D50E4"/>
    <w:rsid w:val="007E2DC5"/>
    <w:rsid w:val="007E45BE"/>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670"/>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1963"/>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419AA"/>
    <w:rsid w:val="00A50CA0"/>
    <w:rsid w:val="00A525CC"/>
    <w:rsid w:val="00A53E7C"/>
    <w:rsid w:val="00A60087"/>
    <w:rsid w:val="00A60B52"/>
    <w:rsid w:val="00A705E8"/>
    <w:rsid w:val="00A721F4"/>
    <w:rsid w:val="00A736E4"/>
    <w:rsid w:val="00A80E0B"/>
    <w:rsid w:val="00A9392C"/>
    <w:rsid w:val="00A9462B"/>
    <w:rsid w:val="00A97D59"/>
    <w:rsid w:val="00AA0B5B"/>
    <w:rsid w:val="00AA3E09"/>
    <w:rsid w:val="00AA4BEF"/>
    <w:rsid w:val="00AB136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47F9F"/>
    <w:rsid w:val="00B5079B"/>
    <w:rsid w:val="00B648C7"/>
    <w:rsid w:val="00B66E8F"/>
    <w:rsid w:val="00B80157"/>
    <w:rsid w:val="00B83D5E"/>
    <w:rsid w:val="00B8460A"/>
    <w:rsid w:val="00B8650D"/>
    <w:rsid w:val="00B879B4"/>
    <w:rsid w:val="00B90425"/>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4038C"/>
    <w:rsid w:val="00C41882"/>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A1"/>
    <w:rsid w:val="00C87BCA"/>
    <w:rsid w:val="00C87EED"/>
    <w:rsid w:val="00C924FC"/>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F10"/>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37A31"/>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
    <w:name w:val="Unresolved Mention"/>
    <w:basedOn w:val="DefaultParagraphFont"/>
    <w:uiPriority w:val="99"/>
    <w:semiHidden/>
    <w:unhideWhenUsed/>
    <w:rsid w:val="00BE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Jeremy.barn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11" ma:contentTypeDescription="Create a new document." ma:contentTypeScope="" ma:versionID="8a0b7e25b8df3962ac1faba5695e4356">
  <xsd:schema xmlns:xsd="http://www.w3.org/2001/XMLSchema" xmlns:xs="http://www.w3.org/2001/XMLSchema" xmlns:p="http://schemas.microsoft.com/office/2006/metadata/properties" xmlns:ns3="1bba60ce-7ee0-45e0-94b9-a9eb6abae2eb" xmlns:ns4="787e4341-acdb-4c47-8095-7864f82334df" targetNamespace="http://schemas.microsoft.com/office/2006/metadata/properties" ma:root="true" ma:fieldsID="0d3dd693c6514c81dcdc88d1342241c8" ns3:_="" ns4:_="">
    <xsd:import namespace="1bba60ce-7ee0-45e0-94b9-a9eb6abae2eb"/>
    <xsd:import namespace="787e4341-acdb-4c47-8095-7864f82334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60ce-7ee0-45e0-94b9-a9eb6abae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e4341-acdb-4c47-8095-7864f82334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7C97-4E3E-4249-B358-E1558F09E61B}">
  <ds:schemaRefs>
    <ds:schemaRef ds:uri="1bba60ce-7ee0-45e0-94b9-a9eb6abae2eb"/>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787e4341-acdb-4c47-8095-7864f82334df"/>
    <ds:schemaRef ds:uri="http://purl.org/dc/dcmitype/"/>
  </ds:schemaRefs>
</ds:datastoreItem>
</file>

<file path=customXml/itemProps2.xml><?xml version="1.0" encoding="utf-8"?>
<ds:datastoreItem xmlns:ds="http://schemas.openxmlformats.org/officeDocument/2006/customXml" ds:itemID="{5A116EA3-34D5-420A-A719-BA50829D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60ce-7ee0-45e0-94b9-a9eb6abae2eb"/>
    <ds:schemaRef ds:uri="787e4341-acdb-4c47-8095-7864f823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F5669-C42B-406F-AD43-0D9039163E7A}">
  <ds:schemaRefs>
    <ds:schemaRef ds:uri="http://schemas.microsoft.com/sharepoint/v3/contenttype/forms"/>
  </ds:schemaRefs>
</ds:datastoreItem>
</file>

<file path=customXml/itemProps4.xml><?xml version="1.0" encoding="utf-8"?>
<ds:datastoreItem xmlns:ds="http://schemas.openxmlformats.org/officeDocument/2006/customXml" ds:itemID="{124C195B-9D6B-4B48-99A5-14D4297A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4</cp:revision>
  <cp:lastPrinted>2014-11-04T09:22:00Z</cp:lastPrinted>
  <dcterms:created xsi:type="dcterms:W3CDTF">2020-08-31T13:52:00Z</dcterms:created>
  <dcterms:modified xsi:type="dcterms:W3CDTF">2020-08-31T13:55:00Z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0x010100A11B88F8B5ADD64F997622A3285924A1</vt:lpwstr>
  </property>
</Properties>
</file>