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4688" w14:textId="77777777" w:rsidR="00D02F96" w:rsidRDefault="00D02F96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386"/>
        <w:gridCol w:w="3509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6C766517" w:rsidR="00194F24" w:rsidRPr="00F45B51" w:rsidRDefault="00F636AD" w:rsidP="00F636AD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9D55A9">
              <w:rPr>
                <w:b/>
                <w:bCs/>
                <w:sz w:val="26"/>
                <w:szCs w:val="26"/>
              </w:rPr>
              <w:t xml:space="preserve"> October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D02F96" w14:paraId="48B980A4" w14:textId="77777777" w:rsidTr="00D368A6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49A48CC7" w14:textId="3FFF5ACF" w:rsidR="006D0FFA" w:rsidRPr="00D02F96" w:rsidRDefault="00F35673" w:rsidP="00F35673">
            <w:pPr>
              <w:rPr>
                <w:b/>
                <w:bCs/>
                <w:szCs w:val="24"/>
                <w:lang w:val="fr-FR"/>
              </w:rPr>
            </w:pPr>
            <w:r w:rsidRPr="00D02F96">
              <w:rPr>
                <w:b/>
                <w:bCs/>
                <w:szCs w:val="24"/>
                <w:lang w:val="fr-FR"/>
              </w:rPr>
              <w:t>Doc</w:t>
            </w:r>
            <w:r w:rsidR="00D368A6" w:rsidRPr="00D02F96">
              <w:rPr>
                <w:b/>
                <w:bCs/>
                <w:szCs w:val="24"/>
                <w:lang w:val="fr-FR"/>
              </w:rPr>
              <w:t>ument</w:t>
            </w:r>
            <w:r w:rsidRPr="00D02F96">
              <w:rPr>
                <w:b/>
                <w:bCs/>
                <w:szCs w:val="24"/>
                <w:lang w:val="fr-FR"/>
              </w:rPr>
              <w:t xml:space="preserve"> </w:t>
            </w:r>
            <w:r w:rsidR="00AA0B5B" w:rsidRPr="00D02F96">
              <w:rPr>
                <w:b/>
                <w:bCs/>
                <w:szCs w:val="24"/>
                <w:lang w:val="fr-FR"/>
              </w:rPr>
              <w:t>TDAG-WG-</w:t>
            </w:r>
            <w:r w:rsidR="003B28C6" w:rsidRPr="00D02F96">
              <w:rPr>
                <w:b/>
                <w:bCs/>
                <w:szCs w:val="24"/>
                <w:lang w:val="fr-FR"/>
              </w:rPr>
              <w:t>SOP</w:t>
            </w:r>
            <w:r w:rsidR="00AA0B5B" w:rsidRPr="00D02F96">
              <w:rPr>
                <w:b/>
                <w:bCs/>
                <w:szCs w:val="24"/>
                <w:lang w:val="fr-FR"/>
              </w:rPr>
              <w:t>/</w:t>
            </w:r>
            <w:r w:rsidR="00D02F96">
              <w:rPr>
                <w:b/>
                <w:bCs/>
                <w:szCs w:val="24"/>
                <w:lang w:val="fr-FR"/>
              </w:rPr>
              <w:t>1</w:t>
            </w:r>
            <w:r w:rsidR="00D7625E">
              <w:rPr>
                <w:b/>
                <w:bCs/>
                <w:szCs w:val="24"/>
                <w:lang w:val="fr-FR"/>
              </w:rPr>
              <w:t>2</w:t>
            </w:r>
            <w:r w:rsidR="00D02F96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6D0FFA" w:rsidRPr="00997358" w14:paraId="7302F6BC" w14:textId="77777777" w:rsidTr="00D368A6">
        <w:trPr>
          <w:cantSplit/>
        </w:trPr>
        <w:tc>
          <w:tcPr>
            <w:tcW w:w="6379" w:type="dxa"/>
            <w:gridSpan w:val="2"/>
          </w:tcPr>
          <w:p w14:paraId="1F9741FC" w14:textId="77777777" w:rsidR="006D0FFA" w:rsidRPr="00D02F96" w:rsidRDefault="006D0FFA" w:rsidP="00F35673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</w:tcPr>
          <w:p w14:paraId="65511797" w14:textId="5E6EED2C" w:rsidR="006D0FFA" w:rsidRPr="000E0704" w:rsidRDefault="00D7625E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13</w:t>
            </w:r>
            <w:r w:rsidR="00D02F96">
              <w:rPr>
                <w:b/>
                <w:bCs/>
                <w:szCs w:val="24"/>
              </w:rPr>
              <w:t xml:space="preserve"> September 2021</w:t>
            </w:r>
          </w:p>
        </w:tc>
      </w:tr>
      <w:tr w:rsidR="00F35673" w:rsidRPr="00997358" w14:paraId="769980A4" w14:textId="77777777" w:rsidTr="00D368A6">
        <w:trPr>
          <w:cantSplit/>
        </w:trPr>
        <w:tc>
          <w:tcPr>
            <w:tcW w:w="6379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14B81F67" w14:textId="4476A9C7" w:rsidR="00F35673" w:rsidRPr="000E0704" w:rsidRDefault="00D368A6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="000E0704" w:rsidRPr="000E0704">
              <w:rPr>
                <w:b/>
                <w:bCs/>
                <w:szCs w:val="24"/>
              </w:rPr>
              <w:t>:</w:t>
            </w:r>
            <w:r w:rsidR="00AA0B5B">
              <w:rPr>
                <w:b/>
                <w:bCs/>
                <w:szCs w:val="24"/>
              </w:rPr>
              <w:t xml:space="preserve"> </w:t>
            </w:r>
            <w:r w:rsidR="00D02F96">
              <w:rPr>
                <w:b/>
                <w:bCs/>
                <w:szCs w:val="24"/>
              </w:rPr>
              <w:t>English</w:t>
            </w:r>
          </w:p>
        </w:tc>
      </w:tr>
      <w:tr w:rsidR="00D02F96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D02F96" w:rsidRPr="00194F24" w:rsidRDefault="00D02F96" w:rsidP="00D02F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24FBB0D8" w:rsidR="00D02F96" w:rsidRPr="008905BB" w:rsidRDefault="00D02F96" w:rsidP="00D02F96">
            <w:pPr>
              <w:spacing w:before="80" w:after="8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D02F96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D02F96" w:rsidRDefault="00D02F96" w:rsidP="00D02F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628021D3" w:rsidR="00D02F96" w:rsidRPr="008905BB" w:rsidRDefault="0036458D" w:rsidP="00D02F96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TDAG-WG-SOP Reference Document List </w:t>
            </w:r>
            <w:r w:rsidR="009C25F7">
              <w:rPr>
                <w:bCs/>
                <w:lang w:val="en-US"/>
              </w:rPr>
              <w:t>for 4 October 2021</w:t>
            </w:r>
          </w:p>
        </w:tc>
      </w:tr>
    </w:tbl>
    <w:bookmarkStart w:id="0" w:name="Proposal"/>
    <w:bookmarkEnd w:id="0"/>
    <w:p w14:paraId="4FB29585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</w:rPr>
      </w:pPr>
      <w:r w:rsidRPr="00F94281">
        <w:rPr>
          <w:rFonts w:cs="Arial"/>
          <w:szCs w:val="24"/>
        </w:rPr>
        <w:fldChar w:fldCharType="begin"/>
      </w:r>
      <w:r w:rsidRPr="00F94281">
        <w:rPr>
          <w:rFonts w:cs="Arial"/>
          <w:szCs w:val="24"/>
        </w:rPr>
        <w:instrText xml:space="preserve"> HYPERLINK "https://itu.foleon.com/itu/bdt-year-in-review-2020/home/" </w:instrText>
      </w:r>
      <w:r w:rsidRPr="00F94281">
        <w:rPr>
          <w:rFonts w:cs="Arial"/>
          <w:szCs w:val="24"/>
        </w:rPr>
        <w:fldChar w:fldCharType="separate"/>
      </w:r>
      <w:r w:rsidRPr="00F94281">
        <w:rPr>
          <w:rStyle w:val="Hyperlink"/>
          <w:rFonts w:cs="Arial"/>
          <w:szCs w:val="24"/>
        </w:rPr>
        <w:t>BDT Year in Review 2020</w:t>
      </w:r>
    </w:p>
    <w:p w14:paraId="111EF7C5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cs="Arial"/>
          <w:color w:val="000000"/>
          <w:szCs w:val="24"/>
          <w:lang w:eastAsia="en-GB"/>
        </w:rPr>
      </w:pPr>
      <w:r w:rsidRPr="00F94281">
        <w:rPr>
          <w:rFonts w:cs="Arial"/>
          <w:szCs w:val="24"/>
        </w:rPr>
        <w:fldChar w:fldCharType="end"/>
      </w:r>
      <w:hyperlink r:id="rId9" w:history="1">
        <w:r w:rsidRPr="00F94281">
          <w:rPr>
            <w:rStyle w:val="Hyperlink"/>
            <w:rFonts w:cs="Arial"/>
            <w:szCs w:val="24"/>
          </w:rPr>
          <w:t>Connect 2030 Agenda microsite</w:t>
        </w:r>
      </w:hyperlink>
      <w:r w:rsidRPr="00F94281">
        <w:rPr>
          <w:rFonts w:cs="Arial"/>
          <w:color w:val="000000"/>
          <w:szCs w:val="24"/>
        </w:rPr>
        <w:t xml:space="preserve"> </w:t>
      </w:r>
    </w:p>
    <w:p w14:paraId="6C13FBFB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  <w:lang w:eastAsia="en-GB"/>
        </w:rPr>
      </w:pPr>
      <w:r w:rsidRPr="00F94281">
        <w:rPr>
          <w:rFonts w:cs="Arial"/>
          <w:color w:val="000000"/>
          <w:szCs w:val="24"/>
        </w:rPr>
        <w:fldChar w:fldCharType="begin"/>
      </w:r>
      <w:r w:rsidRPr="00F94281">
        <w:rPr>
          <w:rFonts w:cs="Arial"/>
          <w:color w:val="000000"/>
          <w:szCs w:val="24"/>
        </w:rPr>
        <w:instrText xml:space="preserve"> HYPERLINK "https://www.itu.int/md/S21-CWGSFP1-C" </w:instrText>
      </w:r>
      <w:r w:rsidRPr="00F94281">
        <w:rPr>
          <w:rFonts w:cs="Arial"/>
          <w:color w:val="000000"/>
          <w:szCs w:val="24"/>
        </w:rPr>
      </w:r>
      <w:r w:rsidRPr="00F94281">
        <w:rPr>
          <w:rFonts w:cs="Arial"/>
          <w:color w:val="000000"/>
          <w:szCs w:val="24"/>
        </w:rPr>
        <w:fldChar w:fldCharType="separate"/>
      </w:r>
      <w:r w:rsidRPr="00F94281">
        <w:rPr>
          <w:rStyle w:val="Hyperlink"/>
          <w:rFonts w:cs="Arial"/>
          <w:szCs w:val="24"/>
        </w:rPr>
        <w:t xml:space="preserve">CWG-SFP contributions for </w:t>
      </w:r>
      <w:r w:rsidRPr="00F94281">
        <w:rPr>
          <w:rStyle w:val="Hyperlink"/>
          <w:rFonts w:cs="Arial"/>
          <w:szCs w:val="24"/>
        </w:rPr>
        <w:t>m</w:t>
      </w:r>
      <w:r w:rsidRPr="00F94281">
        <w:rPr>
          <w:rStyle w:val="Hyperlink"/>
          <w:rFonts w:cs="Arial"/>
          <w:szCs w:val="24"/>
        </w:rPr>
        <w:t xml:space="preserve">eetings </w:t>
      </w:r>
      <w:r w:rsidRPr="00F94281">
        <w:rPr>
          <w:rStyle w:val="Hyperlink"/>
          <w:rFonts w:cs="Arial"/>
          <w:szCs w:val="24"/>
        </w:rPr>
        <w:t>o</w:t>
      </w:r>
      <w:r w:rsidRPr="00F94281">
        <w:rPr>
          <w:rStyle w:val="Hyperlink"/>
          <w:rFonts w:cs="Arial"/>
          <w:szCs w:val="24"/>
        </w:rPr>
        <w:t>n 29-30 September 2021</w:t>
      </w:r>
    </w:p>
    <w:p w14:paraId="55B6CDF5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</w:rPr>
      </w:pPr>
      <w:r w:rsidRPr="00F94281">
        <w:rPr>
          <w:rFonts w:cs="Arial"/>
          <w:color w:val="000000"/>
          <w:szCs w:val="24"/>
        </w:rPr>
        <w:fldChar w:fldCharType="end"/>
      </w:r>
      <w:r w:rsidRPr="00F94281">
        <w:rPr>
          <w:rFonts w:cs="Arial"/>
          <w:szCs w:val="24"/>
          <w:shd w:val="clear" w:color="auto" w:fill="FFFFFF"/>
        </w:rPr>
        <w:fldChar w:fldCharType="begin"/>
      </w:r>
      <w:r w:rsidRPr="00F94281">
        <w:rPr>
          <w:rFonts w:cs="Arial"/>
          <w:szCs w:val="24"/>
          <w:shd w:val="clear" w:color="auto" w:fill="FFFFFF"/>
        </w:rPr>
        <w:instrText xml:space="preserve"> HYPERLINK "https://www.itu.int/md/S21-CL-C-0028/en" </w:instrText>
      </w:r>
      <w:r w:rsidRPr="00F94281">
        <w:rPr>
          <w:rFonts w:cs="Arial"/>
          <w:szCs w:val="24"/>
          <w:shd w:val="clear" w:color="auto" w:fill="FFFFFF"/>
        </w:rPr>
        <w:fldChar w:fldCharType="separate"/>
      </w:r>
      <w:r w:rsidRPr="00F94281">
        <w:rPr>
          <w:rStyle w:val="Hyperlink"/>
          <w:rFonts w:cs="Arial"/>
          <w:szCs w:val="24"/>
          <w:shd w:val="clear" w:color="auto" w:fill="FFFFFF"/>
        </w:rPr>
        <w:t xml:space="preserve">Four-year rolling Operational plan for the Union for 2021-2024 (C21/28) </w:t>
      </w:r>
      <w:r w:rsidRPr="00F94281">
        <w:rPr>
          <w:rStyle w:val="Hyperlink"/>
          <w:rFonts w:cs="Arial"/>
          <w:szCs w:val="24"/>
        </w:rPr>
        <w:t xml:space="preserve">  </w:t>
      </w:r>
    </w:p>
    <w:p w14:paraId="610820EB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cs="Arial"/>
          <w:color w:val="000000"/>
          <w:szCs w:val="24"/>
        </w:rPr>
      </w:pPr>
      <w:r w:rsidRPr="00F94281">
        <w:rPr>
          <w:rFonts w:cs="Arial"/>
          <w:szCs w:val="24"/>
          <w:shd w:val="clear" w:color="auto" w:fill="FFFFFF"/>
        </w:rPr>
        <w:fldChar w:fldCharType="end"/>
      </w:r>
      <w:hyperlink r:id="rId10" w:history="1">
        <w:r w:rsidRPr="00F94281">
          <w:rPr>
            <w:rStyle w:val="Hyperlink"/>
            <w:rFonts w:cs="Arial"/>
            <w:szCs w:val="24"/>
          </w:rPr>
          <w:t>Global ICT Regulatory Outlook 2020</w:t>
        </w:r>
      </w:hyperlink>
      <w:r w:rsidRPr="00F94281">
        <w:rPr>
          <w:rFonts w:cs="Arial"/>
          <w:color w:val="000000"/>
          <w:szCs w:val="24"/>
        </w:rPr>
        <w:t xml:space="preserve"> </w:t>
      </w:r>
    </w:p>
    <w:p w14:paraId="0FE3CD50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  <w:lang w:eastAsia="en-GB"/>
        </w:rPr>
      </w:pPr>
      <w:r w:rsidRPr="00F94281">
        <w:rPr>
          <w:rFonts w:cs="Arial"/>
          <w:szCs w:val="24"/>
        </w:rPr>
        <w:fldChar w:fldCharType="begin"/>
      </w:r>
      <w:r w:rsidRPr="00F94281">
        <w:rPr>
          <w:rFonts w:cs="Arial"/>
          <w:szCs w:val="24"/>
        </w:rPr>
        <w:instrText xml:space="preserve"> HYPERLINK "https://www.itu.int/en/ITU-D/Statistics/Pages/facts/default.aspx" </w:instrText>
      </w:r>
      <w:r w:rsidRPr="00F94281">
        <w:rPr>
          <w:rFonts w:cs="Arial"/>
          <w:szCs w:val="24"/>
        </w:rPr>
        <w:fldChar w:fldCharType="separate"/>
      </w:r>
      <w:r w:rsidRPr="00F94281">
        <w:rPr>
          <w:rStyle w:val="Hyperlink"/>
          <w:rFonts w:cs="Arial"/>
          <w:szCs w:val="24"/>
        </w:rPr>
        <w:t>Measuring digital development: Facts and Figures 2020</w:t>
      </w:r>
    </w:p>
    <w:p w14:paraId="314825CB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  <w:lang w:eastAsia="en-GB"/>
        </w:rPr>
      </w:pPr>
      <w:r w:rsidRPr="00F94281">
        <w:rPr>
          <w:rFonts w:cs="Arial"/>
          <w:szCs w:val="24"/>
        </w:rPr>
        <w:fldChar w:fldCharType="end"/>
      </w:r>
      <w:r w:rsidRPr="00F94281">
        <w:rPr>
          <w:rFonts w:cs="Arial"/>
          <w:szCs w:val="24"/>
          <w:shd w:val="clear" w:color="auto" w:fill="FFFFFF"/>
        </w:rPr>
        <w:fldChar w:fldCharType="begin"/>
      </w:r>
      <w:r w:rsidRPr="00F94281">
        <w:rPr>
          <w:rFonts w:cs="Arial"/>
          <w:szCs w:val="24"/>
          <w:shd w:val="clear" w:color="auto" w:fill="FFFFFF"/>
        </w:rPr>
        <w:instrText xml:space="preserve"> HYPERLINK "https://www.itu.int/md/S21-CL-C-0035/en" </w:instrText>
      </w:r>
      <w:r w:rsidRPr="00F94281">
        <w:rPr>
          <w:rFonts w:cs="Arial"/>
          <w:szCs w:val="24"/>
          <w:shd w:val="clear" w:color="auto" w:fill="FFFFFF"/>
        </w:rPr>
        <w:fldChar w:fldCharType="separate"/>
      </w:r>
      <w:r w:rsidRPr="00F94281">
        <w:rPr>
          <w:rStyle w:val="Hyperlink"/>
          <w:rFonts w:cs="Arial"/>
          <w:szCs w:val="24"/>
          <w:shd w:val="clear" w:color="auto" w:fill="FFFFFF"/>
        </w:rPr>
        <w:t>Report on the implementation of the strategic plan and the activities of the Union for 2019-2021</w:t>
      </w:r>
      <w:r w:rsidRPr="00F94281">
        <w:rPr>
          <w:rStyle w:val="Hyperlink"/>
          <w:rFonts w:cs="Arial"/>
          <w:szCs w:val="24"/>
        </w:rPr>
        <w:t xml:space="preserve"> (C21/35) </w:t>
      </w:r>
    </w:p>
    <w:p w14:paraId="37DEAB46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  <w:lang w:eastAsia="en-GB"/>
        </w:rPr>
      </w:pPr>
      <w:r w:rsidRPr="00F94281">
        <w:rPr>
          <w:rFonts w:cs="Arial"/>
          <w:szCs w:val="24"/>
          <w:shd w:val="clear" w:color="auto" w:fill="FFFFFF"/>
        </w:rPr>
        <w:fldChar w:fldCharType="end"/>
      </w:r>
      <w:r w:rsidRPr="00F94281">
        <w:rPr>
          <w:rFonts w:cs="Arial"/>
          <w:szCs w:val="24"/>
        </w:rPr>
        <w:fldChar w:fldCharType="begin"/>
      </w:r>
      <w:r w:rsidRPr="00F94281">
        <w:rPr>
          <w:rFonts w:cs="Arial"/>
          <w:szCs w:val="24"/>
        </w:rPr>
        <w:instrText xml:space="preserve"> HYPERLINK "https://www.itu.int/md/D18-TDAG28-C-0022/en" </w:instrText>
      </w:r>
      <w:r w:rsidRPr="00F94281">
        <w:rPr>
          <w:rFonts w:cs="Arial"/>
          <w:szCs w:val="24"/>
        </w:rPr>
        <w:fldChar w:fldCharType="separate"/>
      </w:r>
      <w:r w:rsidRPr="00F94281">
        <w:rPr>
          <w:rStyle w:val="Hyperlink"/>
          <w:rFonts w:cs="Arial"/>
          <w:szCs w:val="24"/>
        </w:rPr>
        <w:t>Report on work of the TDAG Working Group on Strategic and Operational Plans to TDAG (May 2021)</w:t>
      </w:r>
    </w:p>
    <w:p w14:paraId="745D5DB0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Hyperlink"/>
          <w:rFonts w:cs="Arial"/>
          <w:szCs w:val="24"/>
        </w:rPr>
      </w:pPr>
      <w:r w:rsidRPr="00F94281">
        <w:rPr>
          <w:rFonts w:cs="Arial"/>
          <w:szCs w:val="24"/>
        </w:rPr>
        <w:fldChar w:fldCharType="end"/>
      </w:r>
      <w:r w:rsidRPr="00F94281">
        <w:rPr>
          <w:rFonts w:cs="Arial"/>
          <w:szCs w:val="24"/>
        </w:rPr>
        <w:fldChar w:fldCharType="begin"/>
      </w:r>
      <w:r w:rsidRPr="00F94281">
        <w:rPr>
          <w:rFonts w:cs="Arial"/>
          <w:szCs w:val="24"/>
        </w:rPr>
        <w:instrText xml:space="preserve"> HYPERLINK "https://www.itu.int/dms_pub/itu-s/opb/pol/S-POL-BROADBAND.21-2020-PDF-E.pdf" </w:instrText>
      </w:r>
      <w:r w:rsidRPr="00F94281">
        <w:rPr>
          <w:rFonts w:cs="Arial"/>
          <w:szCs w:val="24"/>
        </w:rPr>
        <w:fldChar w:fldCharType="separate"/>
      </w:r>
      <w:r w:rsidRPr="00F94281">
        <w:rPr>
          <w:rStyle w:val="Hyperlink"/>
          <w:rFonts w:cs="Arial"/>
          <w:szCs w:val="24"/>
        </w:rPr>
        <w:t>State of Broadband report (2020)</w:t>
      </w:r>
    </w:p>
    <w:p w14:paraId="3CE03128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apple-converted-space"/>
          <w:rFonts w:cs="Arial"/>
          <w:color w:val="000000"/>
          <w:szCs w:val="24"/>
        </w:rPr>
      </w:pPr>
      <w:r w:rsidRPr="00F94281">
        <w:rPr>
          <w:rFonts w:cs="Arial"/>
          <w:szCs w:val="24"/>
        </w:rPr>
        <w:fldChar w:fldCharType="end"/>
      </w:r>
      <w:hyperlink r:id="rId11" w:history="1">
        <w:r w:rsidRPr="00F94281">
          <w:rPr>
            <w:rStyle w:val="Hyperlink"/>
            <w:rFonts w:cs="Arial"/>
            <w:szCs w:val="24"/>
          </w:rPr>
          <w:t>UN Secretary-General’s High-level Panel on Digital Cooperation</w:t>
        </w:r>
      </w:hyperlink>
    </w:p>
    <w:p w14:paraId="7FCAAE0F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Style w:val="apple-converted-space"/>
          <w:rFonts w:cs="Arial"/>
          <w:color w:val="000000"/>
          <w:szCs w:val="24"/>
        </w:rPr>
      </w:pPr>
      <w:hyperlink r:id="rId12" w:history="1">
        <w:r w:rsidRPr="00F94281">
          <w:rPr>
            <w:rStyle w:val="Hyperlink"/>
            <w:rFonts w:cs="Arial"/>
            <w:szCs w:val="24"/>
          </w:rPr>
          <w:t>UN Secretary-General’s Roadmap for Digital Cooperation</w:t>
        </w:r>
      </w:hyperlink>
    </w:p>
    <w:p w14:paraId="1D84702F" w14:textId="77777777" w:rsidR="00F94281" w:rsidRPr="00F94281" w:rsidRDefault="00F94281" w:rsidP="00F94281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cs="Arial"/>
          <w:color w:val="000000"/>
          <w:szCs w:val="24"/>
        </w:rPr>
      </w:pPr>
      <w:hyperlink r:id="rId13" w:history="1">
        <w:r w:rsidRPr="00F94281">
          <w:rPr>
            <w:rStyle w:val="Hyperlink"/>
            <w:rFonts w:cs="Arial"/>
            <w:szCs w:val="24"/>
          </w:rPr>
          <w:t>UN Sustainable Development Cooperation Framework Guidance</w:t>
        </w:r>
      </w:hyperlink>
    </w:p>
    <w:p w14:paraId="155DEF50" w14:textId="77777777" w:rsidR="00F94281" w:rsidRDefault="00F94281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p w14:paraId="7BAF8EA4" w14:textId="7F73B7C5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537DFF" w14:paraId="136E4C84" w14:textId="77777777" w:rsidTr="00537DFF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537DFF" w:rsidRDefault="00537DFF" w:rsidP="00537D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537DFF" w:rsidRDefault="00537DFF" w:rsidP="00537D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14A8E85" w14:textId="7572CE4B" w:rsidR="00537DFF" w:rsidRDefault="00537DFF" w:rsidP="00537D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Jeremy Barnes, Senior Evaluation Planning &amp; Reporting Officer, Telecommunication Development Bureau</w:t>
          </w:r>
        </w:p>
      </w:tc>
      <w:bookmarkStart w:id="1" w:name="OrgName"/>
      <w:bookmarkEnd w:id="1"/>
    </w:tr>
    <w:tr w:rsidR="00537DFF" w14:paraId="14ECDBE7" w14:textId="77777777" w:rsidTr="00537DFF">
      <w:tc>
        <w:tcPr>
          <w:tcW w:w="1527" w:type="dxa"/>
        </w:tcPr>
        <w:p w14:paraId="097A1B8E" w14:textId="77777777" w:rsidR="00537DFF" w:rsidRDefault="00537DFF" w:rsidP="00537D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537DFF" w:rsidRDefault="00537DFF" w:rsidP="00537D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268ED93C" w14:textId="5060F8B3" w:rsidR="00537DFF" w:rsidRDefault="00537DFF" w:rsidP="00537D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+41 22 730 5489</w:t>
          </w:r>
        </w:p>
      </w:tc>
      <w:bookmarkStart w:id="2" w:name="PhoneNo"/>
      <w:bookmarkEnd w:id="2"/>
    </w:tr>
    <w:tr w:rsidR="00537DFF" w14:paraId="438D3233" w14:textId="77777777" w:rsidTr="00537DFF">
      <w:tc>
        <w:tcPr>
          <w:tcW w:w="1527" w:type="dxa"/>
        </w:tcPr>
        <w:p w14:paraId="5DBCF6CC" w14:textId="77777777" w:rsidR="00537DFF" w:rsidRDefault="00537DFF" w:rsidP="00537D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537DFF" w:rsidRDefault="00537DFF" w:rsidP="00537D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52EE7FCD" w14:textId="3331C2C5" w:rsidR="00537DFF" w:rsidRDefault="009C25F7" w:rsidP="00537D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37DFF" w:rsidRPr="003D2588">
              <w:rPr>
                <w:rStyle w:val="Hyperlink"/>
                <w:sz w:val="18"/>
                <w:szCs w:val="18"/>
                <w:lang w:val="en-US"/>
              </w:rPr>
              <w:t>Jeremy.barnes@itu.int</w:t>
            </w:r>
          </w:hyperlink>
        </w:p>
      </w:tc>
      <w:bookmarkStart w:id="3" w:name="Email"/>
      <w:bookmarkEnd w:id="3"/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469" w14:textId="56FA4FD7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F636AD">
      <w:rPr>
        <w:rStyle w:val="PageNumber"/>
        <w:noProof/>
        <w:lang w:val="en-US"/>
      </w:rPr>
      <w:t>2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3030"/>
    <w:multiLevelType w:val="hybridMultilevel"/>
    <w:tmpl w:val="BDF26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16F60"/>
    <w:multiLevelType w:val="hybridMultilevel"/>
    <w:tmpl w:val="6BC0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B9E7C9E"/>
    <w:multiLevelType w:val="multilevel"/>
    <w:tmpl w:val="071C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E4777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458D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3039F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C7615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7DF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25F7"/>
    <w:rsid w:val="009C5441"/>
    <w:rsid w:val="009C7DCE"/>
    <w:rsid w:val="009D119F"/>
    <w:rsid w:val="009D49A2"/>
    <w:rsid w:val="009D55A9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3D22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2F96"/>
    <w:rsid w:val="00D040F7"/>
    <w:rsid w:val="00D04A76"/>
    <w:rsid w:val="00D10FC7"/>
    <w:rsid w:val="00D1519F"/>
    <w:rsid w:val="00D20E99"/>
    <w:rsid w:val="00D21C83"/>
    <w:rsid w:val="00D35BDD"/>
    <w:rsid w:val="00D368A6"/>
    <w:rsid w:val="00D37DB2"/>
    <w:rsid w:val="00D63006"/>
    <w:rsid w:val="00D72301"/>
    <w:rsid w:val="00D7625E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636AD"/>
    <w:rsid w:val="00F736F9"/>
    <w:rsid w:val="00F73833"/>
    <w:rsid w:val="00F9211C"/>
    <w:rsid w:val="00F94281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sdg.un.org/resources/united-nations-sustainable-development-cooperation-framework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en/content/digital-cooperation-roadma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en/digital-cooperation-pane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foleon.com/itu/global-ict-regulatory-outlook-2020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foleon.com/itu/connect-2030-agenda/hom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Jeremy.barne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445E-DC38-498A-87C8-FA59E134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Barnes, Jeremy</cp:lastModifiedBy>
  <cp:revision>6</cp:revision>
  <cp:lastPrinted>2014-11-04T09:22:00Z</cp:lastPrinted>
  <dcterms:created xsi:type="dcterms:W3CDTF">2021-09-13T11:59:00Z</dcterms:created>
  <dcterms:modified xsi:type="dcterms:W3CDTF">2021-09-13T12:01:00Z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