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993"/>
        <w:gridCol w:w="5386"/>
        <w:gridCol w:w="3509"/>
      </w:tblGrid>
      <w:tr w:rsidR="00096C85" w14:paraId="769F801D" w14:textId="77777777" w:rsidTr="00384C0F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52133714" w14:textId="77777777" w:rsidR="00096C85" w:rsidRPr="0085753F" w:rsidRDefault="00096C85" w:rsidP="00384C0F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bookmarkStart w:id="0" w:name="Proposal"/>
            <w:bookmarkEnd w:id="0"/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EC3C999" wp14:editId="6819D60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3" name="Picture 3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Working Group on </w:t>
            </w:r>
            <w:r>
              <w:rPr>
                <w:b/>
                <w:bCs/>
                <w:sz w:val="32"/>
                <w:szCs w:val="32"/>
              </w:rPr>
              <w:t>Strategic and Operational Plans</w:t>
            </w:r>
          </w:p>
          <w:p w14:paraId="4634E770" w14:textId="77777777" w:rsidR="00096C85" w:rsidRPr="00F45B51" w:rsidRDefault="00096C85" w:rsidP="00384C0F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October</w:t>
            </w:r>
            <w:r w:rsidRPr="00F45B51">
              <w:rPr>
                <w:b/>
                <w:bCs/>
                <w:sz w:val="26"/>
                <w:szCs w:val="26"/>
              </w:rPr>
              <w:t xml:space="preserve"> 2020, Virtual</w:t>
            </w:r>
          </w:p>
        </w:tc>
      </w:tr>
      <w:tr w:rsidR="00096C85" w:rsidRPr="0094047A" w14:paraId="79C842CF" w14:textId="77777777" w:rsidTr="00384C0F">
        <w:trPr>
          <w:cantSplit/>
        </w:trPr>
        <w:tc>
          <w:tcPr>
            <w:tcW w:w="6379" w:type="dxa"/>
            <w:gridSpan w:val="2"/>
            <w:tcBorders>
              <w:top w:val="single" w:sz="2" w:space="0" w:color="00B0F0"/>
            </w:tcBorders>
          </w:tcPr>
          <w:p w14:paraId="6002BCDD" w14:textId="77777777" w:rsidR="00096C85" w:rsidRPr="00997358" w:rsidRDefault="00096C85" w:rsidP="00384C0F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2" w:space="0" w:color="00B0F0"/>
            </w:tcBorders>
          </w:tcPr>
          <w:p w14:paraId="64144C84" w14:textId="7EED6A0A" w:rsidR="00096C85" w:rsidRPr="0094047A" w:rsidRDefault="00096C85" w:rsidP="00384C0F">
            <w:pPr>
              <w:rPr>
                <w:b/>
                <w:bCs/>
                <w:szCs w:val="24"/>
                <w:lang w:val="fr-FR"/>
              </w:rPr>
            </w:pPr>
            <w:r w:rsidRPr="0094047A">
              <w:rPr>
                <w:b/>
                <w:bCs/>
                <w:szCs w:val="24"/>
                <w:lang w:val="fr-FR"/>
              </w:rPr>
              <w:t>Document TDAG-WG-SOP/</w:t>
            </w:r>
            <w:r w:rsidR="00AE1DDF" w:rsidRPr="0094047A">
              <w:rPr>
                <w:b/>
                <w:bCs/>
                <w:szCs w:val="24"/>
                <w:lang w:val="fr-FR"/>
              </w:rPr>
              <w:t>8</w:t>
            </w:r>
            <w:r w:rsidRPr="0094047A">
              <w:rPr>
                <w:b/>
                <w:bCs/>
                <w:szCs w:val="24"/>
                <w:lang w:val="fr-FR"/>
              </w:rPr>
              <w:t>-E</w:t>
            </w:r>
          </w:p>
        </w:tc>
      </w:tr>
      <w:tr w:rsidR="00096C85" w:rsidRPr="00997358" w14:paraId="76A9E605" w14:textId="77777777" w:rsidTr="00384C0F">
        <w:trPr>
          <w:cantSplit/>
        </w:trPr>
        <w:tc>
          <w:tcPr>
            <w:tcW w:w="6379" w:type="dxa"/>
            <w:gridSpan w:val="2"/>
          </w:tcPr>
          <w:p w14:paraId="12B7FDC2" w14:textId="77777777" w:rsidR="00096C85" w:rsidRPr="0094047A" w:rsidRDefault="00096C85" w:rsidP="00384C0F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</w:tcPr>
          <w:p w14:paraId="378EA703" w14:textId="07EABEA3" w:rsidR="00096C85" w:rsidRPr="000E0704" w:rsidRDefault="00096C85" w:rsidP="00384C0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 September 2020</w:t>
            </w:r>
          </w:p>
        </w:tc>
      </w:tr>
      <w:tr w:rsidR="00096C85" w:rsidRPr="00997358" w14:paraId="5E1F02BB" w14:textId="77777777" w:rsidTr="00384C0F">
        <w:trPr>
          <w:cantSplit/>
        </w:trPr>
        <w:tc>
          <w:tcPr>
            <w:tcW w:w="6379" w:type="dxa"/>
            <w:gridSpan w:val="2"/>
          </w:tcPr>
          <w:p w14:paraId="6EEA360A" w14:textId="77777777" w:rsidR="00096C85" w:rsidRPr="00997358" w:rsidRDefault="00096C85" w:rsidP="00384C0F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</w:tcPr>
          <w:p w14:paraId="2A2810F3" w14:textId="77777777" w:rsidR="00096C85" w:rsidRPr="000E0704" w:rsidRDefault="00096C85" w:rsidP="00384C0F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Original: English</w:t>
            </w:r>
          </w:p>
        </w:tc>
      </w:tr>
      <w:tr w:rsidR="00096C85" w:rsidRPr="00002716" w14:paraId="74116124" w14:textId="77777777" w:rsidTr="00384C0F">
        <w:trPr>
          <w:cantSplit/>
          <w:trHeight w:val="408"/>
        </w:trPr>
        <w:tc>
          <w:tcPr>
            <w:tcW w:w="993" w:type="dxa"/>
          </w:tcPr>
          <w:p w14:paraId="66B8B292" w14:textId="77777777" w:rsidR="00096C85" w:rsidRPr="00194F24" w:rsidRDefault="00096C85" w:rsidP="00384C0F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895" w:type="dxa"/>
            <w:gridSpan w:val="2"/>
          </w:tcPr>
          <w:p w14:paraId="56A787CB" w14:textId="48DBBB23" w:rsidR="00096C85" w:rsidRPr="008905BB" w:rsidRDefault="00096C85" w:rsidP="00384C0F">
            <w:pPr>
              <w:spacing w:before="80" w:after="80"/>
              <w:rPr>
                <w:bCs/>
                <w:szCs w:val="24"/>
                <w:lang w:val="en-US"/>
              </w:rPr>
            </w:pPr>
            <w:r w:rsidRPr="00096C85">
              <w:rPr>
                <w:bCs/>
                <w:szCs w:val="24"/>
                <w:lang w:val="en-US"/>
              </w:rPr>
              <w:t>United States of America, Mexico, Canada</w:t>
            </w:r>
          </w:p>
        </w:tc>
      </w:tr>
      <w:tr w:rsidR="00096C85" w:rsidRPr="00002716" w14:paraId="6DFF1B36" w14:textId="77777777" w:rsidTr="00384C0F">
        <w:trPr>
          <w:cantSplit/>
          <w:trHeight w:val="407"/>
        </w:trPr>
        <w:tc>
          <w:tcPr>
            <w:tcW w:w="993" w:type="dxa"/>
            <w:tcBorders>
              <w:bottom w:val="single" w:sz="4" w:space="0" w:color="00B0F0"/>
            </w:tcBorders>
          </w:tcPr>
          <w:p w14:paraId="59C89F95" w14:textId="77777777" w:rsidR="00096C85" w:rsidRDefault="00096C85" w:rsidP="00384C0F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895" w:type="dxa"/>
            <w:gridSpan w:val="2"/>
            <w:tcBorders>
              <w:bottom w:val="single" w:sz="4" w:space="0" w:color="00B0F0"/>
            </w:tcBorders>
          </w:tcPr>
          <w:p w14:paraId="009EFA90" w14:textId="1183CA8D" w:rsidR="00096C85" w:rsidRPr="008905BB" w:rsidRDefault="00096C85" w:rsidP="00384C0F">
            <w:pPr>
              <w:spacing w:before="80" w:after="80"/>
              <w:jc w:val="both"/>
              <w:rPr>
                <w:bCs/>
                <w:lang w:val="en-US"/>
              </w:rPr>
            </w:pPr>
            <w:r w:rsidRPr="00096C85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 xml:space="preserve">roposal on </w:t>
            </w:r>
            <w:r w:rsidRPr="00096C85">
              <w:rPr>
                <w:bCs/>
                <w:lang w:val="en-US"/>
              </w:rPr>
              <w:t>WTDC R</w:t>
            </w:r>
            <w:r>
              <w:rPr>
                <w:bCs/>
                <w:lang w:val="en-US"/>
              </w:rPr>
              <w:t xml:space="preserve">eview of the </w:t>
            </w:r>
            <w:r w:rsidRPr="00096C85">
              <w:rPr>
                <w:bCs/>
                <w:lang w:val="en-US"/>
              </w:rPr>
              <w:t>S</w:t>
            </w:r>
            <w:r>
              <w:rPr>
                <w:bCs/>
                <w:lang w:val="en-US"/>
              </w:rPr>
              <w:t>trategic Plan</w:t>
            </w:r>
          </w:p>
        </w:tc>
      </w:tr>
    </w:tbl>
    <w:p w14:paraId="2C48FDE6" w14:textId="77777777" w:rsidR="0094047A" w:rsidRDefault="00096C85" w:rsidP="00987310">
      <w:pPr>
        <w:spacing w:before="240" w:after="120"/>
        <w:rPr>
          <w:b/>
          <w:bCs/>
          <w:szCs w:val="24"/>
        </w:rPr>
      </w:pPr>
      <w:bookmarkStart w:id="1" w:name="ActionRequired"/>
      <w:bookmarkEnd w:id="1"/>
      <w:r w:rsidRPr="00D9621A">
        <w:rPr>
          <w:b/>
          <w:bCs/>
          <w:szCs w:val="24"/>
        </w:rPr>
        <w:t>Summary:</w:t>
      </w:r>
      <w:r>
        <w:rPr>
          <w:b/>
          <w:bCs/>
          <w:szCs w:val="24"/>
        </w:rPr>
        <w:t xml:space="preserve"> </w:t>
      </w:r>
    </w:p>
    <w:p w14:paraId="3710AD7A" w14:textId="450BB829" w:rsidR="00096C85" w:rsidRPr="009B3B04" w:rsidRDefault="00096C85" w:rsidP="00096C85">
      <w:pPr>
        <w:spacing w:after="120"/>
        <w:rPr>
          <w:bCs/>
          <w:szCs w:val="24"/>
        </w:rPr>
      </w:pPr>
      <w:r>
        <w:rPr>
          <w:bCs/>
          <w:szCs w:val="24"/>
        </w:rPr>
        <w:t xml:space="preserve">Pursuant to the ToR for this Working Group, this contribution includes some initial thoughts on </w:t>
      </w:r>
      <w:r w:rsidR="0094047A">
        <w:rPr>
          <w:bCs/>
          <w:szCs w:val="24"/>
        </w:rPr>
        <w:t>the</w:t>
      </w:r>
      <w:r w:rsidR="00561F4B">
        <w:rPr>
          <w:bCs/>
          <w:szCs w:val="24"/>
        </w:rPr>
        <w:t xml:space="preserve"> </w:t>
      </w:r>
      <w:r>
        <w:rPr>
          <w:bCs/>
          <w:szCs w:val="24"/>
        </w:rPr>
        <w:t xml:space="preserve">Development Sector’s Strategic Plan and its implementation for the next Plenipotentiary. The contribution also includes a nearer term proposal for the Inter-regional Meetings’ (IRMs) consideration. </w:t>
      </w:r>
    </w:p>
    <w:p w14:paraId="6A9E1B0E" w14:textId="77777777" w:rsidR="0094047A" w:rsidRDefault="00096C85" w:rsidP="00096C85">
      <w:pPr>
        <w:spacing w:after="120"/>
        <w:rPr>
          <w:b/>
          <w:bCs/>
        </w:rPr>
      </w:pPr>
      <w:bookmarkStart w:id="2" w:name="Abstract"/>
      <w:bookmarkEnd w:id="2"/>
      <w:r w:rsidRPr="005E090D">
        <w:rPr>
          <w:b/>
          <w:bCs/>
        </w:rPr>
        <w:t>Action required:</w:t>
      </w:r>
      <w:r>
        <w:rPr>
          <w:b/>
          <w:bCs/>
        </w:rPr>
        <w:t xml:space="preserve"> </w:t>
      </w:r>
    </w:p>
    <w:p w14:paraId="4C57D602" w14:textId="07412E69" w:rsidR="008C6D6E" w:rsidRDefault="00096C85" w:rsidP="00096C85">
      <w:pPr>
        <w:spacing w:after="120"/>
      </w:pPr>
      <w:r w:rsidRPr="00327058">
        <w:rPr>
          <w:szCs w:val="24"/>
        </w:rPr>
        <w:t xml:space="preserve">TDAG </w:t>
      </w:r>
      <w:r>
        <w:rPr>
          <w:szCs w:val="24"/>
        </w:rPr>
        <w:t>Working Group on Strategic and Operational Plan is</w:t>
      </w:r>
      <w:r w:rsidRPr="00327058">
        <w:rPr>
          <w:szCs w:val="24"/>
        </w:rPr>
        <w:t xml:space="preserve"> </w:t>
      </w:r>
      <w:r>
        <w:rPr>
          <w:szCs w:val="24"/>
        </w:rPr>
        <w:t>invited</w:t>
      </w:r>
      <w:r w:rsidRPr="00327058">
        <w:rPr>
          <w:szCs w:val="24"/>
        </w:rPr>
        <w:t xml:space="preserve"> to examine this contribution and endorse the pro</w:t>
      </w:r>
      <w:r>
        <w:rPr>
          <w:szCs w:val="24"/>
        </w:rPr>
        <w:t>posal</w:t>
      </w:r>
      <w:bookmarkStart w:id="3" w:name="References"/>
      <w:bookmarkEnd w:id="3"/>
      <w:r>
        <w:rPr>
          <w:szCs w:val="24"/>
        </w:rPr>
        <w:t>s.</w:t>
      </w:r>
    </w:p>
    <w:p w14:paraId="755A1997" w14:textId="1C94BE01" w:rsidR="00096C85" w:rsidRDefault="008C6D6E" w:rsidP="0094047A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ind w:right="-142"/>
        <w:rPr>
          <w:b/>
        </w:rPr>
      </w:pPr>
      <w:r w:rsidRPr="00544BEC">
        <w:rPr>
          <w:b/>
        </w:rPr>
        <w:t>Discussion</w:t>
      </w:r>
    </w:p>
    <w:p w14:paraId="4544C675" w14:textId="042E05C9" w:rsidR="009E5523" w:rsidRPr="00CB4626" w:rsidRDefault="00EB6D48" w:rsidP="00096C85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right="-142"/>
        <w:rPr>
          <w:b/>
        </w:rPr>
      </w:pPr>
      <w:r>
        <w:rPr>
          <w:bCs/>
          <w:szCs w:val="24"/>
        </w:rPr>
        <w:t xml:space="preserve">The </w:t>
      </w:r>
      <w:r w:rsidR="008D2EC5">
        <w:rPr>
          <w:bCs/>
          <w:szCs w:val="24"/>
        </w:rPr>
        <w:t>Union’s Strategic and Operational Plans (SOPs) are essential to achieving</w:t>
      </w:r>
      <w:r>
        <w:rPr>
          <w:bCs/>
          <w:szCs w:val="24"/>
        </w:rPr>
        <w:t xml:space="preserve"> the</w:t>
      </w:r>
      <w:r w:rsidR="008D2EC5">
        <w:rPr>
          <w:bCs/>
          <w:szCs w:val="24"/>
        </w:rPr>
        <w:t xml:space="preserve"> Membership’s priorities and initiatives.</w:t>
      </w:r>
      <w:r w:rsidR="00096C85">
        <w:rPr>
          <w:bCs/>
          <w:szCs w:val="24"/>
        </w:rPr>
        <w:t xml:space="preserve"> </w:t>
      </w:r>
      <w:r w:rsidR="008D2EC5">
        <w:rPr>
          <w:bCs/>
          <w:szCs w:val="24"/>
        </w:rPr>
        <w:t>We welcome the opportunity to contribute to the</w:t>
      </w:r>
      <w:r>
        <w:rPr>
          <w:bCs/>
          <w:szCs w:val="24"/>
        </w:rPr>
        <w:t xml:space="preserve"> ITU</w:t>
      </w:r>
      <w:r w:rsidR="008D2EC5">
        <w:rPr>
          <w:bCs/>
          <w:szCs w:val="24"/>
        </w:rPr>
        <w:t xml:space="preserve"> Strategic and Operational Plans in a </w:t>
      </w:r>
      <w:r w:rsidR="0014425C">
        <w:rPr>
          <w:bCs/>
          <w:szCs w:val="24"/>
        </w:rPr>
        <w:t xml:space="preserve">more systematic way </w:t>
      </w:r>
      <w:r w:rsidR="009E5523">
        <w:rPr>
          <w:bCs/>
          <w:szCs w:val="24"/>
        </w:rPr>
        <w:t>with a longer-term focus</w:t>
      </w:r>
      <w:r w:rsidR="001F7D8E">
        <w:rPr>
          <w:bCs/>
          <w:szCs w:val="24"/>
        </w:rPr>
        <w:t>.</w:t>
      </w:r>
      <w:r w:rsidR="0012118B">
        <w:rPr>
          <w:bCs/>
          <w:szCs w:val="24"/>
        </w:rPr>
        <w:t xml:space="preserve"> </w:t>
      </w:r>
      <w:r w:rsidR="000F30FA">
        <w:rPr>
          <w:bCs/>
          <w:szCs w:val="24"/>
        </w:rPr>
        <w:t xml:space="preserve">We believe that the </w:t>
      </w:r>
      <w:r w:rsidR="0012118B">
        <w:rPr>
          <w:bCs/>
          <w:szCs w:val="24"/>
        </w:rPr>
        <w:t>WTDC</w:t>
      </w:r>
      <w:r w:rsidR="000F30FA">
        <w:rPr>
          <w:bCs/>
          <w:szCs w:val="24"/>
        </w:rPr>
        <w:t xml:space="preserve"> should focus on the Development Sector’s contribution to the SOPs </w:t>
      </w:r>
      <w:r w:rsidR="008B4302">
        <w:rPr>
          <w:bCs/>
          <w:szCs w:val="24"/>
        </w:rPr>
        <w:t>through a</w:t>
      </w:r>
      <w:r w:rsidR="000F30FA">
        <w:rPr>
          <w:bCs/>
          <w:szCs w:val="24"/>
        </w:rPr>
        <w:t xml:space="preserve"> review of the implementation of WTDC programs and projects related to </w:t>
      </w:r>
      <w:r w:rsidR="008B4302">
        <w:rPr>
          <w:bCs/>
          <w:szCs w:val="24"/>
        </w:rPr>
        <w:t xml:space="preserve">Strategic Objectives, </w:t>
      </w:r>
      <w:r w:rsidR="000F30FA">
        <w:rPr>
          <w:bCs/>
          <w:szCs w:val="24"/>
        </w:rPr>
        <w:t>regional initiatives and priorities as well as proposals to identify</w:t>
      </w:r>
      <w:r w:rsidR="008B4302">
        <w:rPr>
          <w:bCs/>
          <w:szCs w:val="24"/>
        </w:rPr>
        <w:t xml:space="preserve"> new</w:t>
      </w:r>
      <w:r w:rsidR="000F30FA">
        <w:rPr>
          <w:bCs/>
          <w:szCs w:val="24"/>
        </w:rPr>
        <w:t xml:space="preserve"> regional priorities and related WTDC programs and projects, implementation, well defined benchmarks, and expected outcomes.</w:t>
      </w:r>
      <w:r w:rsidR="00096C85">
        <w:rPr>
          <w:bCs/>
          <w:szCs w:val="24"/>
        </w:rPr>
        <w:t xml:space="preserve"> </w:t>
      </w:r>
      <w:r w:rsidR="000F30FA">
        <w:rPr>
          <w:bCs/>
          <w:szCs w:val="24"/>
        </w:rPr>
        <w:t xml:space="preserve">This will improve the structure and outcome of the WTDC 21 and help transform the </w:t>
      </w:r>
      <w:r w:rsidR="0012118B">
        <w:rPr>
          <w:bCs/>
          <w:szCs w:val="24"/>
        </w:rPr>
        <w:t xml:space="preserve">Conference </w:t>
      </w:r>
      <w:r w:rsidR="000F30FA">
        <w:rPr>
          <w:bCs/>
          <w:szCs w:val="24"/>
        </w:rPr>
        <w:t>and the Development Sector to a fit for purpose, effective and efficient organization.</w:t>
      </w:r>
    </w:p>
    <w:p w14:paraId="33513BDC" w14:textId="57D27BC2" w:rsidR="000F30FA" w:rsidRPr="009943BA" w:rsidRDefault="00EA481A" w:rsidP="00096C85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right="-142"/>
        <w:rPr>
          <w:bCs/>
          <w:szCs w:val="24"/>
        </w:rPr>
      </w:pPr>
      <w:r>
        <w:rPr>
          <w:bCs/>
          <w:szCs w:val="24"/>
        </w:rPr>
        <w:t>P</w:t>
      </w:r>
      <w:r w:rsidR="008E6F99">
        <w:rPr>
          <w:bCs/>
          <w:szCs w:val="24"/>
        </w:rPr>
        <w:t xml:space="preserve">ursuant to WTDC Resolution 1, </w:t>
      </w:r>
      <w:r w:rsidR="00EB6D48">
        <w:rPr>
          <w:bCs/>
          <w:szCs w:val="24"/>
        </w:rPr>
        <w:t xml:space="preserve">the </w:t>
      </w:r>
      <w:r w:rsidR="00561F4B">
        <w:rPr>
          <w:bCs/>
          <w:szCs w:val="24"/>
        </w:rPr>
        <w:t>ITU-D’</w:t>
      </w:r>
      <w:r w:rsidR="00EB6D48">
        <w:rPr>
          <w:bCs/>
          <w:szCs w:val="24"/>
        </w:rPr>
        <w:t>s</w:t>
      </w:r>
      <w:r w:rsidR="00FA142E">
        <w:rPr>
          <w:bCs/>
          <w:szCs w:val="24"/>
        </w:rPr>
        <w:t xml:space="preserve"> contribution to </w:t>
      </w:r>
      <w:r w:rsidR="00EB6D48">
        <w:rPr>
          <w:bCs/>
          <w:szCs w:val="24"/>
        </w:rPr>
        <w:t xml:space="preserve">the </w:t>
      </w:r>
      <w:r w:rsidR="00FA142E">
        <w:rPr>
          <w:bCs/>
          <w:szCs w:val="24"/>
        </w:rPr>
        <w:t>Strategic Plan is discussed at the Conference</w:t>
      </w:r>
      <w:r>
        <w:rPr>
          <w:bCs/>
          <w:szCs w:val="24"/>
        </w:rPr>
        <w:t>.</w:t>
      </w:r>
      <w:r w:rsidR="00096C85">
        <w:rPr>
          <w:bCs/>
          <w:szCs w:val="24"/>
        </w:rPr>
        <w:t xml:space="preserve"> </w:t>
      </w:r>
      <w:r>
        <w:rPr>
          <w:bCs/>
          <w:szCs w:val="24"/>
        </w:rPr>
        <w:t>Consistent with the views expressed during the web dialogues</w:t>
      </w:r>
      <w:r w:rsidR="00607751">
        <w:rPr>
          <w:bCs/>
          <w:szCs w:val="24"/>
        </w:rPr>
        <w:t xml:space="preserve">, in order </w:t>
      </w:r>
      <w:r w:rsidR="000F30FA">
        <w:rPr>
          <w:bCs/>
          <w:szCs w:val="24"/>
        </w:rPr>
        <w:t>to</w:t>
      </w:r>
      <w:r w:rsidR="001F7D8E">
        <w:rPr>
          <w:bCs/>
          <w:szCs w:val="24"/>
        </w:rPr>
        <w:t xml:space="preserve"> streamline the review of the SOPs</w:t>
      </w:r>
      <w:r w:rsidR="000F30FA">
        <w:rPr>
          <w:bCs/>
          <w:szCs w:val="24"/>
        </w:rPr>
        <w:t xml:space="preserve"> and lessen the administrative tasks during the WTDC</w:t>
      </w:r>
      <w:r w:rsidR="001F7D8E">
        <w:rPr>
          <w:bCs/>
          <w:szCs w:val="24"/>
        </w:rPr>
        <w:t>,</w:t>
      </w:r>
      <w:r w:rsidR="00096C85">
        <w:rPr>
          <w:bCs/>
          <w:szCs w:val="24"/>
        </w:rPr>
        <w:t xml:space="preserve"> </w:t>
      </w:r>
      <w:r>
        <w:rPr>
          <w:bCs/>
          <w:szCs w:val="24"/>
        </w:rPr>
        <w:t xml:space="preserve">we </w:t>
      </w:r>
      <w:r w:rsidR="008B4302">
        <w:rPr>
          <w:bCs/>
          <w:szCs w:val="24"/>
        </w:rPr>
        <w:t>propose</w:t>
      </w:r>
      <w:r w:rsidR="008E6F99">
        <w:rPr>
          <w:bCs/>
          <w:szCs w:val="24"/>
        </w:rPr>
        <w:t xml:space="preserve"> </w:t>
      </w:r>
      <w:r w:rsidR="001F7D8E">
        <w:rPr>
          <w:bCs/>
          <w:szCs w:val="24"/>
        </w:rPr>
        <w:t xml:space="preserve">that </w:t>
      </w:r>
      <w:r w:rsidR="008E6F99">
        <w:rPr>
          <w:bCs/>
          <w:szCs w:val="24"/>
        </w:rPr>
        <w:t>t</w:t>
      </w:r>
      <w:r w:rsidR="008E6F99" w:rsidRPr="008E6F99">
        <w:rPr>
          <w:bCs/>
          <w:szCs w:val="24"/>
        </w:rPr>
        <w:t xml:space="preserve">he task of reviewing the </w:t>
      </w:r>
      <w:r w:rsidR="00561F4B">
        <w:rPr>
          <w:bCs/>
          <w:szCs w:val="24"/>
        </w:rPr>
        <w:t>ITU-D’s</w:t>
      </w:r>
      <w:r w:rsidR="008E6F99" w:rsidRPr="008E6F99">
        <w:rPr>
          <w:bCs/>
          <w:szCs w:val="24"/>
        </w:rPr>
        <w:t xml:space="preserve"> contribution to the ITU Strategic Plan </w:t>
      </w:r>
      <w:r w:rsidR="00120F1C">
        <w:rPr>
          <w:bCs/>
          <w:szCs w:val="24"/>
        </w:rPr>
        <w:t>should</w:t>
      </w:r>
      <w:r w:rsidR="008E6F99" w:rsidRPr="008E6F99">
        <w:rPr>
          <w:bCs/>
          <w:szCs w:val="24"/>
        </w:rPr>
        <w:t xml:space="preserve"> be assigned to TDAG in advance of the upcoming Plenipotentiary </w:t>
      </w:r>
      <w:r w:rsidR="008B4302">
        <w:rPr>
          <w:bCs/>
          <w:szCs w:val="24"/>
        </w:rPr>
        <w:t>C</w:t>
      </w:r>
      <w:r w:rsidR="008E6F99" w:rsidRPr="008E6F99">
        <w:rPr>
          <w:bCs/>
          <w:szCs w:val="24"/>
        </w:rPr>
        <w:t>onference in 2022</w:t>
      </w:r>
      <w:r w:rsidR="00BF3831">
        <w:rPr>
          <w:bCs/>
          <w:szCs w:val="24"/>
        </w:rPr>
        <w:t xml:space="preserve"> </w:t>
      </w:r>
      <w:r>
        <w:rPr>
          <w:bCs/>
          <w:szCs w:val="24"/>
        </w:rPr>
        <w:t>by revising provision 1.8.2 of Resolution 1.</w:t>
      </w:r>
      <w:r w:rsidR="00096C85">
        <w:rPr>
          <w:bCs/>
          <w:szCs w:val="24"/>
        </w:rPr>
        <w:t xml:space="preserve"> </w:t>
      </w:r>
      <w:r w:rsidR="000F30FA">
        <w:rPr>
          <w:bCs/>
          <w:szCs w:val="24"/>
        </w:rPr>
        <w:t xml:space="preserve">However, this will require an agreement </w:t>
      </w:r>
      <w:r w:rsidR="008B4302">
        <w:rPr>
          <w:bCs/>
          <w:szCs w:val="24"/>
        </w:rPr>
        <w:t xml:space="preserve">in principle </w:t>
      </w:r>
      <w:r w:rsidR="000F30FA">
        <w:rPr>
          <w:bCs/>
          <w:szCs w:val="24"/>
        </w:rPr>
        <w:t>among the Membership prior to WTDC</w:t>
      </w:r>
      <w:r w:rsidR="008B4302">
        <w:rPr>
          <w:bCs/>
          <w:szCs w:val="24"/>
        </w:rPr>
        <w:t>-</w:t>
      </w:r>
      <w:r w:rsidR="000F30FA">
        <w:rPr>
          <w:bCs/>
          <w:szCs w:val="24"/>
        </w:rPr>
        <w:t>21 to revise the pertinent provision</w:t>
      </w:r>
      <w:r w:rsidR="008B4302">
        <w:rPr>
          <w:bCs/>
          <w:szCs w:val="24"/>
        </w:rPr>
        <w:t>s</w:t>
      </w:r>
      <w:r w:rsidR="000F30FA">
        <w:rPr>
          <w:bCs/>
          <w:szCs w:val="24"/>
        </w:rPr>
        <w:t xml:space="preserve"> of Resolution 1 and </w:t>
      </w:r>
      <w:r w:rsidR="000F30FA" w:rsidRPr="0012118B">
        <w:rPr>
          <w:bCs/>
          <w:szCs w:val="24"/>
        </w:rPr>
        <w:t>Resolution 24.</w:t>
      </w:r>
      <w:r w:rsidR="00096C85">
        <w:rPr>
          <w:bCs/>
          <w:szCs w:val="24"/>
        </w:rPr>
        <w:t xml:space="preserve"> </w:t>
      </w:r>
    </w:p>
    <w:p w14:paraId="3659518D" w14:textId="77777777" w:rsidR="00096C85" w:rsidRDefault="008C6D6E" w:rsidP="00096C85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right="-142"/>
        <w:rPr>
          <w:b/>
        </w:rPr>
      </w:pPr>
      <w:r w:rsidRPr="00544BEC">
        <w:rPr>
          <w:b/>
        </w:rPr>
        <w:t>Proposal</w:t>
      </w:r>
    </w:p>
    <w:p w14:paraId="3B271728" w14:textId="5B4E528D" w:rsidR="008B4302" w:rsidRPr="00096C85" w:rsidRDefault="008B4302" w:rsidP="00096C85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bCs/>
          <w:szCs w:val="24"/>
        </w:rPr>
      </w:pPr>
      <w:r w:rsidRPr="00096C85">
        <w:rPr>
          <w:bCs/>
          <w:szCs w:val="24"/>
        </w:rPr>
        <w:t xml:space="preserve">If there is consensus around the </w:t>
      </w:r>
      <w:r w:rsidR="00561F4B">
        <w:rPr>
          <w:bCs/>
          <w:szCs w:val="24"/>
        </w:rPr>
        <w:t>ITU-D</w:t>
      </w:r>
      <w:r w:rsidRPr="00096C85">
        <w:rPr>
          <w:bCs/>
          <w:szCs w:val="24"/>
        </w:rPr>
        <w:t xml:space="preserve"> input to the Strategic Plan being elaborated by TDAG in the lead-up to the PP-22 instead of being finalized during the WTDC itself, the TDAG-SOP ad hoc group could examine language based on Member proposals to modify the pertinent provisions in Resolution 1 and Resolution 24 to affect this change and ensure quick adoption at WTDC-21.</w:t>
      </w:r>
      <w:r w:rsidR="00096C85" w:rsidRPr="00096C85">
        <w:rPr>
          <w:bCs/>
          <w:szCs w:val="24"/>
        </w:rPr>
        <w:t xml:space="preserve"> </w:t>
      </w:r>
      <w:r w:rsidRPr="00096C85">
        <w:rPr>
          <w:bCs/>
          <w:szCs w:val="24"/>
        </w:rPr>
        <w:lastRenderedPageBreak/>
        <w:t>Advance agreement in principle is needed to reduce time by spent by the Membership on finalizing the Development Sector’s input to the Strategic Plan in advance of the WTDC-21.</w:t>
      </w:r>
      <w:r w:rsidR="00096C85" w:rsidRPr="00096C85">
        <w:rPr>
          <w:bCs/>
          <w:szCs w:val="24"/>
        </w:rPr>
        <w:t xml:space="preserve"> </w:t>
      </w:r>
      <w:r w:rsidRPr="00096C85">
        <w:rPr>
          <w:bCs/>
          <w:szCs w:val="24"/>
        </w:rPr>
        <w:t>We further propose that the TDAG WG-Prep consider this topic of revision of Resolution 1 and 24 on the agenda for the IRMs to facilitate inter-regional consensus in advance of the WTDC.</w:t>
      </w:r>
      <w:r w:rsidR="00096C85" w:rsidRPr="00096C85">
        <w:rPr>
          <w:bCs/>
          <w:szCs w:val="24"/>
        </w:rPr>
        <w:t xml:space="preserve"> </w:t>
      </w:r>
    </w:p>
    <w:p w14:paraId="4952DF63" w14:textId="505271BB" w:rsidR="00131D0F" w:rsidRPr="00096C85" w:rsidRDefault="008B4302" w:rsidP="00096C85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</w:pPr>
      <w:r w:rsidRPr="00096C85">
        <w:rPr>
          <w:szCs w:val="24"/>
        </w:rPr>
        <w:t>The r</w:t>
      </w:r>
      <w:r w:rsidR="009F7FEA" w:rsidRPr="00096C85">
        <w:rPr>
          <w:szCs w:val="24"/>
        </w:rPr>
        <w:t xml:space="preserve">eview </w:t>
      </w:r>
      <w:r w:rsidRPr="00096C85">
        <w:rPr>
          <w:szCs w:val="24"/>
        </w:rPr>
        <w:t xml:space="preserve">of SOP implementation </w:t>
      </w:r>
      <w:r w:rsidR="009F7FEA" w:rsidRPr="00096C85">
        <w:rPr>
          <w:szCs w:val="24"/>
        </w:rPr>
        <w:t xml:space="preserve">and contribution to the development of future SOPs </w:t>
      </w:r>
      <w:r w:rsidRPr="00096C85">
        <w:rPr>
          <w:szCs w:val="24"/>
        </w:rPr>
        <w:t xml:space="preserve">allows the </w:t>
      </w:r>
      <w:r w:rsidR="009F7FEA" w:rsidRPr="00096C85">
        <w:rPr>
          <w:szCs w:val="24"/>
        </w:rPr>
        <w:t xml:space="preserve">Development Sector to evaluate realization of its current </w:t>
      </w:r>
      <w:r w:rsidR="00E44538" w:rsidRPr="00096C85">
        <w:rPr>
          <w:szCs w:val="24"/>
        </w:rPr>
        <w:t>priorities and identify and provide guidance on implementation of future priories through WTDC programs and projects.</w:t>
      </w:r>
      <w:r w:rsidR="00096C85" w:rsidRPr="00096C85">
        <w:rPr>
          <w:szCs w:val="24"/>
        </w:rPr>
        <w:t xml:space="preserve"> </w:t>
      </w:r>
      <w:r w:rsidR="00E44538" w:rsidRPr="00096C85">
        <w:rPr>
          <w:szCs w:val="24"/>
        </w:rPr>
        <w:t>The BDT has identified 1</w:t>
      </w:r>
      <w:r w:rsidR="004764F7" w:rsidRPr="00096C85">
        <w:rPr>
          <w:szCs w:val="24"/>
        </w:rPr>
        <w:t>0</w:t>
      </w:r>
      <w:r w:rsidR="00E44538" w:rsidRPr="00096C85">
        <w:rPr>
          <w:szCs w:val="24"/>
        </w:rPr>
        <w:t xml:space="preserve"> thematic priorities based on </w:t>
      </w:r>
      <w:r w:rsidR="004764F7" w:rsidRPr="00096C85">
        <w:rPr>
          <w:szCs w:val="24"/>
        </w:rPr>
        <w:t xml:space="preserve">11 programs in </w:t>
      </w:r>
      <w:r w:rsidR="00EB6D48" w:rsidRPr="00096C85">
        <w:rPr>
          <w:szCs w:val="24"/>
        </w:rPr>
        <w:t xml:space="preserve">the </w:t>
      </w:r>
      <w:r w:rsidR="004764F7" w:rsidRPr="00096C85">
        <w:rPr>
          <w:szCs w:val="24"/>
        </w:rPr>
        <w:t xml:space="preserve">Buenos Aires </w:t>
      </w:r>
      <w:r w:rsidR="00E44538" w:rsidRPr="00096C85">
        <w:rPr>
          <w:szCs w:val="24"/>
        </w:rPr>
        <w:t>Action Plan</w:t>
      </w:r>
      <w:r w:rsidR="00131D0F" w:rsidRPr="00096C85">
        <w:rPr>
          <w:szCs w:val="24"/>
        </w:rPr>
        <w:t xml:space="preserve"> which in turn are mapped to</w:t>
      </w:r>
      <w:r w:rsidR="004F1D39" w:rsidRPr="00096C85">
        <w:rPr>
          <w:szCs w:val="24"/>
        </w:rPr>
        <w:t xml:space="preserve"> </w:t>
      </w:r>
      <w:r w:rsidR="00D10033" w:rsidRPr="00096C85">
        <w:rPr>
          <w:szCs w:val="24"/>
        </w:rPr>
        <w:t xml:space="preserve">Plenipotentiary and </w:t>
      </w:r>
      <w:r w:rsidR="004F1D39" w:rsidRPr="00096C85">
        <w:rPr>
          <w:szCs w:val="24"/>
        </w:rPr>
        <w:t xml:space="preserve">WTDC Resolutions, </w:t>
      </w:r>
      <w:r w:rsidR="00D10033" w:rsidRPr="00096C85">
        <w:rPr>
          <w:szCs w:val="24"/>
        </w:rPr>
        <w:t>WSIS Action Lines</w:t>
      </w:r>
      <w:r w:rsidR="00E44538" w:rsidRPr="00096C85">
        <w:rPr>
          <w:szCs w:val="24"/>
        </w:rPr>
        <w:t xml:space="preserve"> </w:t>
      </w:r>
      <w:r w:rsidR="00D10033" w:rsidRPr="00096C85">
        <w:rPr>
          <w:szCs w:val="24"/>
        </w:rPr>
        <w:t>and Study Questions.</w:t>
      </w:r>
      <w:r w:rsidR="00096C85" w:rsidRPr="00096C85">
        <w:rPr>
          <w:szCs w:val="24"/>
        </w:rPr>
        <w:t xml:space="preserve"> </w:t>
      </w:r>
      <w:r w:rsidR="00824EEE" w:rsidRPr="00096C85">
        <w:rPr>
          <w:szCs w:val="24"/>
        </w:rPr>
        <w:t xml:space="preserve">The following are some initial thoughts and questions for discussions </w:t>
      </w:r>
      <w:r w:rsidR="00B87638" w:rsidRPr="00096C85">
        <w:rPr>
          <w:szCs w:val="24"/>
        </w:rPr>
        <w:t xml:space="preserve">for </w:t>
      </w:r>
      <w:r w:rsidR="00824EEE" w:rsidRPr="00096C85">
        <w:rPr>
          <w:szCs w:val="24"/>
        </w:rPr>
        <w:t>the WG-SOP.</w:t>
      </w:r>
    </w:p>
    <w:p w14:paraId="4E3CE762" w14:textId="77777777" w:rsidR="00EB6D48" w:rsidRDefault="00EB6D48" w:rsidP="00096C85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right="-142"/>
        <w:rPr>
          <w:szCs w:val="24"/>
        </w:rPr>
      </w:pPr>
      <w:r>
        <w:rPr>
          <w:szCs w:val="24"/>
        </w:rPr>
        <w:t xml:space="preserve">Some questions for consideration: </w:t>
      </w:r>
    </w:p>
    <w:p w14:paraId="14CFD370" w14:textId="4AAECBC8" w:rsidR="006C78C1" w:rsidRDefault="006C78C1" w:rsidP="00096C85">
      <w:pPr>
        <w:pStyle w:val="ListParagraph"/>
        <w:numPr>
          <w:ilvl w:val="0"/>
          <w:numId w:val="5"/>
        </w:numPr>
        <w:spacing w:after="120"/>
        <w:ind w:right="-142"/>
        <w:contextualSpacing w:val="0"/>
        <w:rPr>
          <w:szCs w:val="24"/>
        </w:rPr>
      </w:pPr>
      <w:r>
        <w:rPr>
          <w:szCs w:val="24"/>
        </w:rPr>
        <w:t>How do the objectives of the Strategic Plan relate to the BDT Thematic Priorities and associated regional initiatives, WTDC Resolutions, WSIS Action Lines and Study Questions?</w:t>
      </w:r>
      <w:r w:rsidR="00096C85">
        <w:rPr>
          <w:szCs w:val="24"/>
        </w:rPr>
        <w:t xml:space="preserve"> </w:t>
      </w:r>
    </w:p>
    <w:p w14:paraId="1206AE7B" w14:textId="1F83D31E" w:rsidR="00EB6D48" w:rsidRDefault="00B60C59" w:rsidP="00096C85">
      <w:pPr>
        <w:pStyle w:val="ListParagraph"/>
        <w:numPr>
          <w:ilvl w:val="0"/>
          <w:numId w:val="5"/>
        </w:numPr>
        <w:spacing w:after="120"/>
        <w:ind w:right="-142"/>
        <w:contextualSpacing w:val="0"/>
        <w:rPr>
          <w:szCs w:val="24"/>
        </w:rPr>
      </w:pPr>
      <w:r>
        <w:rPr>
          <w:szCs w:val="24"/>
        </w:rPr>
        <w:t>How can the new Strategic Plan objectives best support results</w:t>
      </w:r>
      <w:r w:rsidR="00987310">
        <w:rPr>
          <w:szCs w:val="24"/>
        </w:rPr>
        <w:t>-</w:t>
      </w:r>
      <w:r>
        <w:rPr>
          <w:szCs w:val="24"/>
        </w:rPr>
        <w:t>based management and</w:t>
      </w:r>
      <w:r w:rsidR="00096C85">
        <w:rPr>
          <w:szCs w:val="24"/>
        </w:rPr>
        <w:t xml:space="preserve"> </w:t>
      </w:r>
      <w:r>
        <w:rPr>
          <w:szCs w:val="24"/>
        </w:rPr>
        <w:t>measurement of implementation of the Action Plan?</w:t>
      </w:r>
      <w:r w:rsidR="00096C85">
        <w:rPr>
          <w:szCs w:val="24"/>
        </w:rPr>
        <w:t xml:space="preserve"> </w:t>
      </w:r>
    </w:p>
    <w:p w14:paraId="6C9F7173" w14:textId="558E8B68" w:rsidR="002770B1" w:rsidRPr="00EB6D48" w:rsidRDefault="003C58BF" w:rsidP="00EB6D4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right="-142"/>
        <w:jc w:val="center"/>
        <w:rPr>
          <w:bCs/>
          <w:szCs w:val="24"/>
        </w:rPr>
      </w:pPr>
      <w:r>
        <w:t>_____________</w:t>
      </w:r>
      <w:r w:rsidR="004122C5">
        <w:t>_</w:t>
      </w:r>
      <w:r w:rsidR="00922EC1">
        <w:t>_</w:t>
      </w:r>
    </w:p>
    <w:sectPr w:rsidR="002770B1" w:rsidRPr="00EB6D48" w:rsidSect="00D20099">
      <w:headerReference w:type="default" r:id="rId9"/>
      <w:footerReference w:type="first" r:id="rId10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E739B" w14:textId="77777777" w:rsidR="00057139" w:rsidRDefault="00057139">
      <w:r>
        <w:separator/>
      </w:r>
    </w:p>
  </w:endnote>
  <w:endnote w:type="continuationSeparator" w:id="0">
    <w:p w14:paraId="1E9D8254" w14:textId="77777777" w:rsidR="00057139" w:rsidRDefault="0005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5816D6" w14:paraId="31B24892" w14:textId="77777777" w:rsidTr="005816D6">
      <w:tc>
        <w:tcPr>
          <w:tcW w:w="1526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69330232" w14:textId="77777777" w:rsidR="005816D6" w:rsidRDefault="005816D6" w:rsidP="005816D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64E8160C" w14:textId="77777777" w:rsidR="005816D6" w:rsidRDefault="005816D6" w:rsidP="005816D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1BEEC2C2" w14:textId="4776F9D6" w:rsidR="005816D6" w:rsidRDefault="005816D6" w:rsidP="005816D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4" w:name="OrgName"/>
          <w:bookmarkEnd w:id="4"/>
          <w:r w:rsidRPr="005816D6">
            <w:rPr>
              <w:sz w:val="18"/>
              <w:szCs w:val="18"/>
              <w:lang w:val="en-US"/>
            </w:rPr>
            <w:t>Mr Victor Manuel Martínez Vanegas</w:t>
          </w:r>
          <w:r>
            <w:rPr>
              <w:sz w:val="18"/>
              <w:szCs w:val="18"/>
              <w:lang w:val="en-US"/>
            </w:rPr>
            <w:t>,</w:t>
          </w:r>
          <w:r w:rsidRPr="005816D6">
            <w:rPr>
              <w:sz w:val="18"/>
              <w:szCs w:val="18"/>
              <w:lang w:val="en-US"/>
            </w:rPr>
            <w:t xml:space="preserve">  Instituto Federal de Telecomunicaciones (IFETEL)</w:t>
          </w:r>
          <w:r>
            <w:rPr>
              <w:sz w:val="18"/>
              <w:szCs w:val="18"/>
              <w:lang w:val="en-US"/>
            </w:rPr>
            <w:t>, Mexico</w:t>
          </w:r>
        </w:p>
      </w:tc>
    </w:tr>
    <w:tr w:rsidR="005816D6" w14:paraId="3D567069" w14:textId="77777777" w:rsidTr="005816D6">
      <w:tc>
        <w:tcPr>
          <w:tcW w:w="1526" w:type="dxa"/>
        </w:tcPr>
        <w:p w14:paraId="1F96D671" w14:textId="77777777" w:rsidR="005816D6" w:rsidRDefault="005816D6" w:rsidP="005816D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hideMark/>
        </w:tcPr>
        <w:p w14:paraId="78AD78E0" w14:textId="77777777" w:rsidR="005816D6" w:rsidRDefault="005816D6" w:rsidP="005816D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20322AF" w14:textId="3521374D" w:rsidR="005816D6" w:rsidRDefault="005816D6" w:rsidP="005816D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5" w:name="PhoneNo"/>
          <w:bookmarkEnd w:id="5"/>
          <w:r>
            <w:rPr>
              <w:sz w:val="18"/>
              <w:szCs w:val="18"/>
              <w:lang w:val="en-US"/>
            </w:rPr>
            <w:t>+52 55 83678490</w:t>
          </w:r>
        </w:p>
      </w:tc>
    </w:tr>
    <w:tr w:rsidR="005816D6" w14:paraId="554AEEFF" w14:textId="77777777" w:rsidTr="005816D6">
      <w:tc>
        <w:tcPr>
          <w:tcW w:w="1526" w:type="dxa"/>
        </w:tcPr>
        <w:p w14:paraId="38234802" w14:textId="77777777" w:rsidR="005816D6" w:rsidRDefault="005816D6" w:rsidP="005816D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hideMark/>
        </w:tcPr>
        <w:p w14:paraId="3C8E42BA" w14:textId="77777777" w:rsidR="005816D6" w:rsidRDefault="005816D6" w:rsidP="005816D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bookmarkStart w:id="6" w:name="Email"/>
      <w:bookmarkEnd w:id="6"/>
      <w:tc>
        <w:tcPr>
          <w:tcW w:w="5987" w:type="dxa"/>
        </w:tcPr>
        <w:p w14:paraId="38A2B6C8" w14:textId="11BF335F" w:rsidR="005816D6" w:rsidRDefault="005816D6" w:rsidP="005816D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5816D6">
            <w:rPr>
              <w:sz w:val="18"/>
              <w:szCs w:val="18"/>
              <w:lang w:val="en-US"/>
            </w:rPr>
            <w:instrText>victor.martinezv@ift.org.mx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D10E5A">
            <w:rPr>
              <w:rStyle w:val="Hyperlink"/>
              <w:sz w:val="18"/>
              <w:szCs w:val="18"/>
              <w:lang w:val="en-US"/>
            </w:rPr>
            <w:t>victor.martinezv@ift.org.mx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7736E1B0" w14:textId="6481A725" w:rsidR="00721657" w:rsidRPr="005816D6" w:rsidRDefault="005816D6" w:rsidP="005816D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1" w:history="1">
      <w:r w:rsidRPr="00BE53BF">
        <w:rPr>
          <w:rStyle w:val="Hyperlink"/>
          <w:sz w:val="18"/>
          <w:szCs w:val="18"/>
        </w:rPr>
        <w:t>TDAG-WG-</w:t>
      </w:r>
      <w:r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1AAA5" w14:textId="77777777" w:rsidR="00057139" w:rsidRDefault="00057139">
      <w:r>
        <w:t>____________________</w:t>
      </w:r>
    </w:p>
  </w:footnote>
  <w:footnote w:type="continuationSeparator" w:id="0">
    <w:p w14:paraId="55D4A416" w14:textId="77777777" w:rsidR="00057139" w:rsidRDefault="0005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907B5" w14:textId="5F7178EA" w:rsidR="00721657" w:rsidRPr="00997C55" w:rsidRDefault="00997C55" w:rsidP="00997C5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rStyle w:val="PageNumber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3B2A2A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A2376"/>
    <w:multiLevelType w:val="hybridMultilevel"/>
    <w:tmpl w:val="C5D4D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10531A"/>
    <w:multiLevelType w:val="hybridMultilevel"/>
    <w:tmpl w:val="6A4426A0"/>
    <w:lvl w:ilvl="0" w:tplc="D8AA70E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51F20658"/>
    <w:multiLevelType w:val="hybridMultilevel"/>
    <w:tmpl w:val="6C486A1C"/>
    <w:lvl w:ilvl="0" w:tplc="D8AA70E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5370367C"/>
    <w:multiLevelType w:val="hybridMultilevel"/>
    <w:tmpl w:val="CED69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A1306"/>
    <w:multiLevelType w:val="hybridMultilevel"/>
    <w:tmpl w:val="2522053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77902C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6E"/>
    <w:rsid w:val="00002716"/>
    <w:rsid w:val="00005791"/>
    <w:rsid w:val="00010827"/>
    <w:rsid w:val="00012580"/>
    <w:rsid w:val="00015089"/>
    <w:rsid w:val="0002520B"/>
    <w:rsid w:val="00037A9E"/>
    <w:rsid w:val="00037F91"/>
    <w:rsid w:val="000415B0"/>
    <w:rsid w:val="000539F1"/>
    <w:rsid w:val="00054747"/>
    <w:rsid w:val="0005521D"/>
    <w:rsid w:val="00055A2A"/>
    <w:rsid w:val="00057139"/>
    <w:rsid w:val="0006061C"/>
    <w:rsid w:val="000615C1"/>
    <w:rsid w:val="00061675"/>
    <w:rsid w:val="00073308"/>
    <w:rsid w:val="000743AA"/>
    <w:rsid w:val="0008145E"/>
    <w:rsid w:val="0009225C"/>
    <w:rsid w:val="00092F06"/>
    <w:rsid w:val="00095A0B"/>
    <w:rsid w:val="00096C85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30B6"/>
    <w:rsid w:val="000F30FA"/>
    <w:rsid w:val="000F5FE8"/>
    <w:rsid w:val="000F6644"/>
    <w:rsid w:val="00100833"/>
    <w:rsid w:val="0010249C"/>
    <w:rsid w:val="00102F72"/>
    <w:rsid w:val="00107E85"/>
    <w:rsid w:val="00113EE8"/>
    <w:rsid w:val="0011455A"/>
    <w:rsid w:val="00114A65"/>
    <w:rsid w:val="00120F1C"/>
    <w:rsid w:val="0012118B"/>
    <w:rsid w:val="00125E18"/>
    <w:rsid w:val="00131D0F"/>
    <w:rsid w:val="00133061"/>
    <w:rsid w:val="00141699"/>
    <w:rsid w:val="0014425C"/>
    <w:rsid w:val="00147000"/>
    <w:rsid w:val="00163091"/>
    <w:rsid w:val="001645CB"/>
    <w:rsid w:val="001647C3"/>
    <w:rsid w:val="00166305"/>
    <w:rsid w:val="00167545"/>
    <w:rsid w:val="001703C6"/>
    <w:rsid w:val="00173781"/>
    <w:rsid w:val="00175ADF"/>
    <w:rsid w:val="00175CAE"/>
    <w:rsid w:val="00180D4D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3B58"/>
    <w:rsid w:val="001F4238"/>
    <w:rsid w:val="001F72B7"/>
    <w:rsid w:val="001F7D8E"/>
    <w:rsid w:val="00200A38"/>
    <w:rsid w:val="00200A46"/>
    <w:rsid w:val="00211B6F"/>
    <w:rsid w:val="00217CC3"/>
    <w:rsid w:val="00220AB6"/>
    <w:rsid w:val="0022120F"/>
    <w:rsid w:val="002250C2"/>
    <w:rsid w:val="0022754A"/>
    <w:rsid w:val="00231D64"/>
    <w:rsid w:val="00236560"/>
    <w:rsid w:val="0023662E"/>
    <w:rsid w:val="00243203"/>
    <w:rsid w:val="00245D0F"/>
    <w:rsid w:val="002548C3"/>
    <w:rsid w:val="00255A4F"/>
    <w:rsid w:val="00257ACD"/>
    <w:rsid w:val="0026081A"/>
    <w:rsid w:val="00262908"/>
    <w:rsid w:val="002650F4"/>
    <w:rsid w:val="002715FD"/>
    <w:rsid w:val="002770B1"/>
    <w:rsid w:val="00285B33"/>
    <w:rsid w:val="00287A3C"/>
    <w:rsid w:val="002A2FC6"/>
    <w:rsid w:val="002A7DEE"/>
    <w:rsid w:val="002C1EC7"/>
    <w:rsid w:val="002C4342"/>
    <w:rsid w:val="002C7EA3"/>
    <w:rsid w:val="002D20AE"/>
    <w:rsid w:val="002D6021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7058"/>
    <w:rsid w:val="00327247"/>
    <w:rsid w:val="00327A9D"/>
    <w:rsid w:val="0033130E"/>
    <w:rsid w:val="0033269C"/>
    <w:rsid w:val="0035516C"/>
    <w:rsid w:val="00355A4C"/>
    <w:rsid w:val="003604FB"/>
    <w:rsid w:val="00360B73"/>
    <w:rsid w:val="0036105D"/>
    <w:rsid w:val="00363B1D"/>
    <w:rsid w:val="00363DAF"/>
    <w:rsid w:val="003708C3"/>
    <w:rsid w:val="00375474"/>
    <w:rsid w:val="00380B71"/>
    <w:rsid w:val="0038365A"/>
    <w:rsid w:val="00386A89"/>
    <w:rsid w:val="0039648E"/>
    <w:rsid w:val="003A5AFE"/>
    <w:rsid w:val="003A5D5F"/>
    <w:rsid w:val="003A7FFE"/>
    <w:rsid w:val="003B0A63"/>
    <w:rsid w:val="003B2A2A"/>
    <w:rsid w:val="003B50E1"/>
    <w:rsid w:val="003C1746"/>
    <w:rsid w:val="003C2AA9"/>
    <w:rsid w:val="003C58BF"/>
    <w:rsid w:val="003D451D"/>
    <w:rsid w:val="003E5A6E"/>
    <w:rsid w:val="003F2DD8"/>
    <w:rsid w:val="003F3F2D"/>
    <w:rsid w:val="003F50B2"/>
    <w:rsid w:val="00400CCF"/>
    <w:rsid w:val="00401BFF"/>
    <w:rsid w:val="00404424"/>
    <w:rsid w:val="00404574"/>
    <w:rsid w:val="0041156B"/>
    <w:rsid w:val="004122C5"/>
    <w:rsid w:val="00413B78"/>
    <w:rsid w:val="00416DDE"/>
    <w:rsid w:val="004258F6"/>
    <w:rsid w:val="00431AAD"/>
    <w:rsid w:val="0044411E"/>
    <w:rsid w:val="00453435"/>
    <w:rsid w:val="00466398"/>
    <w:rsid w:val="0047306D"/>
    <w:rsid w:val="00473791"/>
    <w:rsid w:val="004764F7"/>
    <w:rsid w:val="00476E48"/>
    <w:rsid w:val="00481DE9"/>
    <w:rsid w:val="004900D7"/>
    <w:rsid w:val="0049128B"/>
    <w:rsid w:val="004933BE"/>
    <w:rsid w:val="00493B49"/>
    <w:rsid w:val="00495501"/>
    <w:rsid w:val="004A070A"/>
    <w:rsid w:val="004A2825"/>
    <w:rsid w:val="004A320E"/>
    <w:rsid w:val="004A4E9C"/>
    <w:rsid w:val="004B1A3C"/>
    <w:rsid w:val="004B6D00"/>
    <w:rsid w:val="004D2CC3"/>
    <w:rsid w:val="004D30AD"/>
    <w:rsid w:val="004D35CB"/>
    <w:rsid w:val="004E20E5"/>
    <w:rsid w:val="004E64EA"/>
    <w:rsid w:val="004E7828"/>
    <w:rsid w:val="004F1D39"/>
    <w:rsid w:val="004F46AA"/>
    <w:rsid w:val="004F6A70"/>
    <w:rsid w:val="00500AD7"/>
    <w:rsid w:val="00502ABF"/>
    <w:rsid w:val="00504DB0"/>
    <w:rsid w:val="00507C35"/>
    <w:rsid w:val="00510735"/>
    <w:rsid w:val="005127E0"/>
    <w:rsid w:val="00514D2F"/>
    <w:rsid w:val="00543459"/>
    <w:rsid w:val="0054420E"/>
    <w:rsid w:val="00544D1B"/>
    <w:rsid w:val="00545DC0"/>
    <w:rsid w:val="00545F6C"/>
    <w:rsid w:val="005466D0"/>
    <w:rsid w:val="005477D9"/>
    <w:rsid w:val="005536A0"/>
    <w:rsid w:val="0055720C"/>
    <w:rsid w:val="00561F4B"/>
    <w:rsid w:val="005632DD"/>
    <w:rsid w:val="0056423B"/>
    <w:rsid w:val="00570AE8"/>
    <w:rsid w:val="00573424"/>
    <w:rsid w:val="0057402F"/>
    <w:rsid w:val="005816C3"/>
    <w:rsid w:val="005816D6"/>
    <w:rsid w:val="00581E27"/>
    <w:rsid w:val="00582E3A"/>
    <w:rsid w:val="005849D6"/>
    <w:rsid w:val="00585367"/>
    <w:rsid w:val="005871A1"/>
    <w:rsid w:val="0058737E"/>
    <w:rsid w:val="00592518"/>
    <w:rsid w:val="00592E87"/>
    <w:rsid w:val="00594C4D"/>
    <w:rsid w:val="005A167E"/>
    <w:rsid w:val="005A315A"/>
    <w:rsid w:val="005A33B0"/>
    <w:rsid w:val="005C2DC2"/>
    <w:rsid w:val="005C304A"/>
    <w:rsid w:val="005C3D69"/>
    <w:rsid w:val="005C7C98"/>
    <w:rsid w:val="005D3861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86A"/>
    <w:rsid w:val="005F1CA7"/>
    <w:rsid w:val="005F43DD"/>
    <w:rsid w:val="005F51A9"/>
    <w:rsid w:val="005F6165"/>
    <w:rsid w:val="005F6BE1"/>
    <w:rsid w:val="005F7416"/>
    <w:rsid w:val="00600C11"/>
    <w:rsid w:val="00606B89"/>
    <w:rsid w:val="00607751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2E23"/>
    <w:rsid w:val="006A2EA1"/>
    <w:rsid w:val="006A6549"/>
    <w:rsid w:val="006A7710"/>
    <w:rsid w:val="006A7A61"/>
    <w:rsid w:val="006B1E59"/>
    <w:rsid w:val="006B2FFB"/>
    <w:rsid w:val="006B7E72"/>
    <w:rsid w:val="006C10A2"/>
    <w:rsid w:val="006C1F18"/>
    <w:rsid w:val="006C78C1"/>
    <w:rsid w:val="006D40D5"/>
    <w:rsid w:val="006E56A9"/>
    <w:rsid w:val="006F009A"/>
    <w:rsid w:val="006F3D93"/>
    <w:rsid w:val="006F4253"/>
    <w:rsid w:val="007019B1"/>
    <w:rsid w:val="00715304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6614"/>
    <w:rsid w:val="007A4E50"/>
    <w:rsid w:val="007A595A"/>
    <w:rsid w:val="007A59AB"/>
    <w:rsid w:val="007A5F1F"/>
    <w:rsid w:val="007B18A7"/>
    <w:rsid w:val="007B250E"/>
    <w:rsid w:val="007B4FBF"/>
    <w:rsid w:val="007C27FC"/>
    <w:rsid w:val="007C51FF"/>
    <w:rsid w:val="007D50E4"/>
    <w:rsid w:val="007E2DC5"/>
    <w:rsid w:val="007E4A21"/>
    <w:rsid w:val="007E68AE"/>
    <w:rsid w:val="007F1CC7"/>
    <w:rsid w:val="008027AC"/>
    <w:rsid w:val="008028CE"/>
    <w:rsid w:val="0080332E"/>
    <w:rsid w:val="008141E0"/>
    <w:rsid w:val="00816EE1"/>
    <w:rsid w:val="00816F88"/>
    <w:rsid w:val="00822323"/>
    <w:rsid w:val="00824EEE"/>
    <w:rsid w:val="00827BC6"/>
    <w:rsid w:val="008300AD"/>
    <w:rsid w:val="00831718"/>
    <w:rsid w:val="00833024"/>
    <w:rsid w:val="008419B1"/>
    <w:rsid w:val="00844A56"/>
    <w:rsid w:val="00845B11"/>
    <w:rsid w:val="00852081"/>
    <w:rsid w:val="00860C26"/>
    <w:rsid w:val="00872B6E"/>
    <w:rsid w:val="00874DFD"/>
    <w:rsid w:val="0087649E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A7954"/>
    <w:rsid w:val="008B2EDF"/>
    <w:rsid w:val="008B4302"/>
    <w:rsid w:val="008B53D1"/>
    <w:rsid w:val="008B54CB"/>
    <w:rsid w:val="008B5A3D"/>
    <w:rsid w:val="008C4010"/>
    <w:rsid w:val="008C4FDF"/>
    <w:rsid w:val="008C6B1F"/>
    <w:rsid w:val="008C6D6E"/>
    <w:rsid w:val="008D2EC5"/>
    <w:rsid w:val="008D5E4F"/>
    <w:rsid w:val="008E00AE"/>
    <w:rsid w:val="008E52C4"/>
    <w:rsid w:val="008E6F99"/>
    <w:rsid w:val="008F14F5"/>
    <w:rsid w:val="008F71C1"/>
    <w:rsid w:val="00902D41"/>
    <w:rsid w:val="00902E95"/>
    <w:rsid w:val="00902F49"/>
    <w:rsid w:val="00914004"/>
    <w:rsid w:val="00914279"/>
    <w:rsid w:val="0091492A"/>
    <w:rsid w:val="009155A3"/>
    <w:rsid w:val="00915E00"/>
    <w:rsid w:val="00922EC1"/>
    <w:rsid w:val="009301F1"/>
    <w:rsid w:val="009307DF"/>
    <w:rsid w:val="009359B8"/>
    <w:rsid w:val="00935FF0"/>
    <w:rsid w:val="0094047A"/>
    <w:rsid w:val="009431F8"/>
    <w:rsid w:val="00947A35"/>
    <w:rsid w:val="0096201B"/>
    <w:rsid w:val="00962081"/>
    <w:rsid w:val="00966CB5"/>
    <w:rsid w:val="00975786"/>
    <w:rsid w:val="00977AF0"/>
    <w:rsid w:val="00981CB7"/>
    <w:rsid w:val="00983E1F"/>
    <w:rsid w:val="00987310"/>
    <w:rsid w:val="00993F46"/>
    <w:rsid w:val="009943BA"/>
    <w:rsid w:val="00997358"/>
    <w:rsid w:val="00997C55"/>
    <w:rsid w:val="009A452B"/>
    <w:rsid w:val="009B050C"/>
    <w:rsid w:val="009B087F"/>
    <w:rsid w:val="009B2AF4"/>
    <w:rsid w:val="009B3702"/>
    <w:rsid w:val="009B3B04"/>
    <w:rsid w:val="009C110B"/>
    <w:rsid w:val="009C5441"/>
    <w:rsid w:val="009D119F"/>
    <w:rsid w:val="009D49A2"/>
    <w:rsid w:val="009E5523"/>
    <w:rsid w:val="009F3940"/>
    <w:rsid w:val="009F3EB2"/>
    <w:rsid w:val="009F6EB1"/>
    <w:rsid w:val="009F7FEA"/>
    <w:rsid w:val="00A11D05"/>
    <w:rsid w:val="00A13162"/>
    <w:rsid w:val="00A20267"/>
    <w:rsid w:val="00A3158C"/>
    <w:rsid w:val="00A32DF3"/>
    <w:rsid w:val="00A33D0A"/>
    <w:rsid w:val="00A33E32"/>
    <w:rsid w:val="00A35E20"/>
    <w:rsid w:val="00A36B68"/>
    <w:rsid w:val="00A36F6D"/>
    <w:rsid w:val="00A4391D"/>
    <w:rsid w:val="00A45322"/>
    <w:rsid w:val="00A50CA0"/>
    <w:rsid w:val="00A525CC"/>
    <w:rsid w:val="00A53E7C"/>
    <w:rsid w:val="00A60087"/>
    <w:rsid w:val="00A65342"/>
    <w:rsid w:val="00A705E8"/>
    <w:rsid w:val="00A721F4"/>
    <w:rsid w:val="00A73DCA"/>
    <w:rsid w:val="00A8762A"/>
    <w:rsid w:val="00A92800"/>
    <w:rsid w:val="00A9392C"/>
    <w:rsid w:val="00A9462B"/>
    <w:rsid w:val="00A97D59"/>
    <w:rsid w:val="00AA3E09"/>
    <w:rsid w:val="00AA4BEF"/>
    <w:rsid w:val="00AB1659"/>
    <w:rsid w:val="00AB4962"/>
    <w:rsid w:val="00AB57CF"/>
    <w:rsid w:val="00AB734E"/>
    <w:rsid w:val="00AB740F"/>
    <w:rsid w:val="00AC6F14"/>
    <w:rsid w:val="00AC7221"/>
    <w:rsid w:val="00AE1DDF"/>
    <w:rsid w:val="00AE5961"/>
    <w:rsid w:val="00AF0745"/>
    <w:rsid w:val="00AF4971"/>
    <w:rsid w:val="00AF5276"/>
    <w:rsid w:val="00AF62F0"/>
    <w:rsid w:val="00AF7C86"/>
    <w:rsid w:val="00B01046"/>
    <w:rsid w:val="00B1460E"/>
    <w:rsid w:val="00B15F49"/>
    <w:rsid w:val="00B25489"/>
    <w:rsid w:val="00B310F9"/>
    <w:rsid w:val="00B37866"/>
    <w:rsid w:val="00B412FB"/>
    <w:rsid w:val="00B41EFD"/>
    <w:rsid w:val="00B4576B"/>
    <w:rsid w:val="00B46350"/>
    <w:rsid w:val="00B46DF3"/>
    <w:rsid w:val="00B60C59"/>
    <w:rsid w:val="00B656E3"/>
    <w:rsid w:val="00B66E8F"/>
    <w:rsid w:val="00B80157"/>
    <w:rsid w:val="00B83D5E"/>
    <w:rsid w:val="00B8460A"/>
    <w:rsid w:val="00B8650D"/>
    <w:rsid w:val="00B87638"/>
    <w:rsid w:val="00B879B4"/>
    <w:rsid w:val="00B9021E"/>
    <w:rsid w:val="00B90F07"/>
    <w:rsid w:val="00B97BB9"/>
    <w:rsid w:val="00BA0009"/>
    <w:rsid w:val="00BB1863"/>
    <w:rsid w:val="00BB25EE"/>
    <w:rsid w:val="00BB363A"/>
    <w:rsid w:val="00BC10A0"/>
    <w:rsid w:val="00BC1C7D"/>
    <w:rsid w:val="00BC7BA2"/>
    <w:rsid w:val="00BD426B"/>
    <w:rsid w:val="00BD4FC6"/>
    <w:rsid w:val="00BD79F0"/>
    <w:rsid w:val="00BE2B4D"/>
    <w:rsid w:val="00BF3831"/>
    <w:rsid w:val="00C015F8"/>
    <w:rsid w:val="00C07E26"/>
    <w:rsid w:val="00C1011C"/>
    <w:rsid w:val="00C12F94"/>
    <w:rsid w:val="00C14747"/>
    <w:rsid w:val="00C177C5"/>
    <w:rsid w:val="00C34EC3"/>
    <w:rsid w:val="00C4038C"/>
    <w:rsid w:val="00C42BA2"/>
    <w:rsid w:val="00C44066"/>
    <w:rsid w:val="00C44E13"/>
    <w:rsid w:val="00C50EA7"/>
    <w:rsid w:val="00C54360"/>
    <w:rsid w:val="00C60A41"/>
    <w:rsid w:val="00C623B7"/>
    <w:rsid w:val="00C62DE8"/>
    <w:rsid w:val="00C62DFB"/>
    <w:rsid w:val="00C630E6"/>
    <w:rsid w:val="00C63812"/>
    <w:rsid w:val="00C64AF3"/>
    <w:rsid w:val="00C66F4D"/>
    <w:rsid w:val="00C67BB5"/>
    <w:rsid w:val="00C70781"/>
    <w:rsid w:val="00C72713"/>
    <w:rsid w:val="00C72974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4626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079D"/>
    <w:rsid w:val="00CF167F"/>
    <w:rsid w:val="00CF1A57"/>
    <w:rsid w:val="00CF72E5"/>
    <w:rsid w:val="00D013EE"/>
    <w:rsid w:val="00D01F54"/>
    <w:rsid w:val="00D040F7"/>
    <w:rsid w:val="00D04A76"/>
    <w:rsid w:val="00D10033"/>
    <w:rsid w:val="00D10FC7"/>
    <w:rsid w:val="00D1519F"/>
    <w:rsid w:val="00D20099"/>
    <w:rsid w:val="00D20E99"/>
    <w:rsid w:val="00D21C83"/>
    <w:rsid w:val="00D27486"/>
    <w:rsid w:val="00D30D55"/>
    <w:rsid w:val="00D35BDD"/>
    <w:rsid w:val="00D46B16"/>
    <w:rsid w:val="00D63006"/>
    <w:rsid w:val="00D72301"/>
    <w:rsid w:val="00D8218E"/>
    <w:rsid w:val="00D911DE"/>
    <w:rsid w:val="00D91B97"/>
    <w:rsid w:val="00D93ACC"/>
    <w:rsid w:val="00D93C08"/>
    <w:rsid w:val="00D95DAC"/>
    <w:rsid w:val="00DA0B53"/>
    <w:rsid w:val="00DA1298"/>
    <w:rsid w:val="00DA71AB"/>
    <w:rsid w:val="00DB1171"/>
    <w:rsid w:val="00DB1519"/>
    <w:rsid w:val="00DB2840"/>
    <w:rsid w:val="00DC082F"/>
    <w:rsid w:val="00DC1BD3"/>
    <w:rsid w:val="00DC2C1A"/>
    <w:rsid w:val="00DD66B4"/>
    <w:rsid w:val="00DE1972"/>
    <w:rsid w:val="00DE27AB"/>
    <w:rsid w:val="00DE77F8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557F"/>
    <w:rsid w:val="00E368F7"/>
    <w:rsid w:val="00E36EB8"/>
    <w:rsid w:val="00E37FB8"/>
    <w:rsid w:val="00E40B07"/>
    <w:rsid w:val="00E42326"/>
    <w:rsid w:val="00E43544"/>
    <w:rsid w:val="00E44538"/>
    <w:rsid w:val="00E44D89"/>
    <w:rsid w:val="00E477EA"/>
    <w:rsid w:val="00E55807"/>
    <w:rsid w:val="00E63B14"/>
    <w:rsid w:val="00E65CA0"/>
    <w:rsid w:val="00E67A72"/>
    <w:rsid w:val="00E708E4"/>
    <w:rsid w:val="00E70D9F"/>
    <w:rsid w:val="00E8205B"/>
    <w:rsid w:val="00E83810"/>
    <w:rsid w:val="00E86933"/>
    <w:rsid w:val="00E9605B"/>
    <w:rsid w:val="00E97298"/>
    <w:rsid w:val="00E97753"/>
    <w:rsid w:val="00EA481A"/>
    <w:rsid w:val="00EA6F1A"/>
    <w:rsid w:val="00EA7DE7"/>
    <w:rsid w:val="00EB6D48"/>
    <w:rsid w:val="00EB7A8A"/>
    <w:rsid w:val="00EB7C74"/>
    <w:rsid w:val="00EC454C"/>
    <w:rsid w:val="00EE0CA8"/>
    <w:rsid w:val="00EE3A64"/>
    <w:rsid w:val="00EE50E5"/>
    <w:rsid w:val="00EF01CF"/>
    <w:rsid w:val="00EF3CBF"/>
    <w:rsid w:val="00F03590"/>
    <w:rsid w:val="00F03622"/>
    <w:rsid w:val="00F05E9A"/>
    <w:rsid w:val="00F077FD"/>
    <w:rsid w:val="00F114AE"/>
    <w:rsid w:val="00F124FF"/>
    <w:rsid w:val="00F14CEE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6036"/>
    <w:rsid w:val="00F41B1C"/>
    <w:rsid w:val="00F42E13"/>
    <w:rsid w:val="00F42F1C"/>
    <w:rsid w:val="00F43B44"/>
    <w:rsid w:val="00F440E5"/>
    <w:rsid w:val="00F448F6"/>
    <w:rsid w:val="00F52741"/>
    <w:rsid w:val="00F53D8A"/>
    <w:rsid w:val="00F56FBC"/>
    <w:rsid w:val="00F626F7"/>
    <w:rsid w:val="00F64073"/>
    <w:rsid w:val="00F736F9"/>
    <w:rsid w:val="00F73833"/>
    <w:rsid w:val="00F75417"/>
    <w:rsid w:val="00F9211C"/>
    <w:rsid w:val="00FA095D"/>
    <w:rsid w:val="00FA142E"/>
    <w:rsid w:val="00FA6C8B"/>
    <w:rsid w:val="00FA6CDA"/>
    <w:rsid w:val="00FA7C89"/>
    <w:rsid w:val="00FB4139"/>
    <w:rsid w:val="00FB476E"/>
    <w:rsid w:val="00FC025C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3EC1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54C21C"/>
  <w15:docId w15:val="{3E9BCB81-2512-492B-BEE2-882BD212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C5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8E52C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52C4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317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171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171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1718"/>
    <w:rPr>
      <w:rFonts w:asciiTheme="minorHAnsi" w:hAnsiTheme="minorHAns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_WG_SOP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20\PE_TD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225E9-6BFB-4989-8580-671FC82D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PE_TDAG20.dotm</Template>
  <TotalTime>36</TotalTime>
  <Pages>2</Pages>
  <Words>589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TDAG17</vt:lpstr>
      <vt:lpstr>TDAG17</vt:lpstr>
    </vt:vector>
  </TitlesOfParts>
  <Manager>General Secretariat - Pool</Manager>
  <Company>International Telecommunication Union (ITU)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BDT-nd</dc:creator>
  <cp:lastModifiedBy>Comas Barnes, Maite</cp:lastModifiedBy>
  <cp:revision>3</cp:revision>
  <cp:lastPrinted>2014-11-04T09:22:00Z</cp:lastPrinted>
  <dcterms:created xsi:type="dcterms:W3CDTF">2020-09-21T11:33:00Z</dcterms:created>
  <dcterms:modified xsi:type="dcterms:W3CDTF">2020-09-21T12:08:00Z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