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4962"/>
        <w:gridCol w:w="3792"/>
      </w:tblGrid>
      <w:tr w:rsidR="002B76CB" w:rsidRPr="00F45B51" w14:paraId="4D1996A3" w14:textId="77777777" w:rsidTr="0046057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2A6F1CBC" w14:textId="77777777" w:rsidR="002B76CB" w:rsidRPr="0085753F" w:rsidRDefault="002B76CB" w:rsidP="0046057A">
            <w:pPr>
              <w:spacing w:before="240" w:after="0" w:line="240" w:lineRule="auto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723AC2B" wp14:editId="5E90EE9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03AE3450" w14:textId="77777777" w:rsidR="002B76CB" w:rsidRPr="00F45B51" w:rsidRDefault="002B76CB" w:rsidP="0046057A">
            <w:pPr>
              <w:spacing w:before="120" w:after="0" w:line="240" w:lineRule="auto"/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 October</w:t>
            </w:r>
            <w:r w:rsidRPr="00F45B51">
              <w:rPr>
                <w:b/>
                <w:bCs/>
                <w:sz w:val="26"/>
                <w:szCs w:val="26"/>
              </w:rPr>
              <w:t xml:space="preserve"> 2020, Virtual</w:t>
            </w:r>
          </w:p>
        </w:tc>
      </w:tr>
      <w:tr w:rsidR="002B76CB" w:rsidRPr="000E0704" w14:paraId="15CFB7FA" w14:textId="77777777" w:rsidTr="0046057A">
        <w:trPr>
          <w:cantSplit/>
        </w:trPr>
        <w:tc>
          <w:tcPr>
            <w:tcW w:w="6096" w:type="dxa"/>
            <w:gridSpan w:val="2"/>
            <w:tcBorders>
              <w:top w:val="single" w:sz="2" w:space="0" w:color="00B0F0"/>
            </w:tcBorders>
          </w:tcPr>
          <w:p w14:paraId="69B4C02E" w14:textId="77777777" w:rsidR="002B76CB" w:rsidRPr="00634B67" w:rsidRDefault="002B76CB" w:rsidP="004605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2" w:space="0" w:color="00B0F0"/>
            </w:tcBorders>
          </w:tcPr>
          <w:p w14:paraId="563DA42A" w14:textId="1893B2A0" w:rsidR="002B76CB" w:rsidRPr="00634B67" w:rsidRDefault="002B76CB" w:rsidP="0046057A">
            <w:pPr>
              <w:spacing w:before="120" w:after="0" w:line="240" w:lineRule="auto"/>
              <w:rPr>
                <w:b/>
                <w:bCs/>
                <w:sz w:val="24"/>
                <w:szCs w:val="24"/>
              </w:rPr>
            </w:pPr>
            <w:r w:rsidRPr="00634B67">
              <w:rPr>
                <w:b/>
                <w:bCs/>
                <w:sz w:val="24"/>
                <w:szCs w:val="24"/>
              </w:rPr>
              <w:t>Document TDAG-WG-RDTP/</w:t>
            </w:r>
            <w:r>
              <w:rPr>
                <w:b/>
                <w:bCs/>
                <w:sz w:val="24"/>
                <w:szCs w:val="24"/>
              </w:rPr>
              <w:t>DT/3</w:t>
            </w:r>
            <w:r w:rsidRPr="00634B67">
              <w:rPr>
                <w:b/>
                <w:bCs/>
                <w:sz w:val="24"/>
                <w:szCs w:val="24"/>
              </w:rPr>
              <w:t>-E</w:t>
            </w:r>
          </w:p>
        </w:tc>
      </w:tr>
      <w:tr w:rsidR="002B76CB" w:rsidRPr="000E0704" w14:paraId="15F9AE0D" w14:textId="77777777" w:rsidTr="0046057A">
        <w:trPr>
          <w:cantSplit/>
        </w:trPr>
        <w:tc>
          <w:tcPr>
            <w:tcW w:w="6096" w:type="dxa"/>
            <w:gridSpan w:val="2"/>
          </w:tcPr>
          <w:p w14:paraId="5CD1A7B1" w14:textId="77777777" w:rsidR="002B76CB" w:rsidRPr="00634B67" w:rsidRDefault="002B76CB" w:rsidP="004605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721B2224" w14:textId="77777777" w:rsidR="002B76CB" w:rsidRPr="00634B67" w:rsidRDefault="002B76CB" w:rsidP="004605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34B67">
              <w:rPr>
                <w:b/>
                <w:bCs/>
                <w:sz w:val="24"/>
                <w:szCs w:val="24"/>
              </w:rPr>
              <w:t>10 September 2020</w:t>
            </w:r>
          </w:p>
        </w:tc>
      </w:tr>
      <w:tr w:rsidR="002B76CB" w:rsidRPr="000E0704" w14:paraId="618C9342" w14:textId="77777777" w:rsidTr="0046057A">
        <w:trPr>
          <w:cantSplit/>
        </w:trPr>
        <w:tc>
          <w:tcPr>
            <w:tcW w:w="6096" w:type="dxa"/>
            <w:gridSpan w:val="2"/>
          </w:tcPr>
          <w:p w14:paraId="2696DCA6" w14:textId="77777777" w:rsidR="002B76CB" w:rsidRPr="00634B67" w:rsidRDefault="002B76CB" w:rsidP="004605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049BA16D" w14:textId="567886D1" w:rsidR="002B76CB" w:rsidRPr="00634B67" w:rsidRDefault="002B76CB" w:rsidP="0046057A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634B67">
              <w:rPr>
                <w:b/>
                <w:bCs/>
                <w:sz w:val="24"/>
                <w:szCs w:val="24"/>
              </w:rPr>
              <w:t>English</w:t>
            </w:r>
            <w:r>
              <w:rPr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2B76CB" w:rsidRPr="008905BB" w14:paraId="30CAD5A9" w14:textId="77777777" w:rsidTr="0046057A">
        <w:trPr>
          <w:cantSplit/>
          <w:trHeight w:val="408"/>
        </w:trPr>
        <w:tc>
          <w:tcPr>
            <w:tcW w:w="1134" w:type="dxa"/>
          </w:tcPr>
          <w:p w14:paraId="68FA41D0" w14:textId="77777777" w:rsidR="002B76CB" w:rsidRPr="00634B67" w:rsidRDefault="002B76CB" w:rsidP="002B76CB">
            <w:pPr>
              <w:spacing w:before="80" w:after="80"/>
              <w:jc w:val="both"/>
              <w:rPr>
                <w:b/>
                <w:sz w:val="24"/>
                <w:szCs w:val="24"/>
                <w:lang w:val="en-US"/>
              </w:rPr>
            </w:pPr>
            <w:r w:rsidRPr="00634B67">
              <w:rPr>
                <w:b/>
                <w:bCs/>
                <w:sz w:val="24"/>
                <w:szCs w:val="24"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63BBA58C" w14:textId="1A0CDC89" w:rsidR="002B76CB" w:rsidRPr="002B76CB" w:rsidRDefault="002B76CB" w:rsidP="002B76CB">
            <w:pPr>
              <w:spacing w:before="80" w:after="80"/>
              <w:rPr>
                <w:bCs/>
                <w:sz w:val="24"/>
                <w:szCs w:val="28"/>
                <w:lang w:val="en-US"/>
              </w:rPr>
            </w:pPr>
            <w:r w:rsidRPr="002B76CB">
              <w:rPr>
                <w:bCs/>
                <w:sz w:val="24"/>
                <w:szCs w:val="28"/>
                <w:lang w:val="en-US"/>
              </w:rPr>
              <w:t>Chairman of TDAG Working Group on Resolutions, Declaration and Thematic Priorities</w:t>
            </w:r>
          </w:p>
        </w:tc>
      </w:tr>
      <w:tr w:rsidR="002B76CB" w:rsidRPr="008905BB" w14:paraId="499EAB6F" w14:textId="77777777" w:rsidTr="0046057A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70737A26" w14:textId="77777777" w:rsidR="002B76CB" w:rsidRPr="00634B67" w:rsidRDefault="002B76CB" w:rsidP="002B76CB">
            <w:pPr>
              <w:spacing w:before="80" w:after="8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34B67">
              <w:rPr>
                <w:b/>
                <w:bCs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19220821" w14:textId="7E71CAE5" w:rsidR="002B76CB" w:rsidRPr="002B76CB" w:rsidRDefault="002B76CB" w:rsidP="002B76CB">
            <w:pPr>
              <w:spacing w:before="80" w:after="80"/>
              <w:jc w:val="both"/>
              <w:rPr>
                <w:bCs/>
                <w:sz w:val="24"/>
                <w:szCs w:val="28"/>
                <w:lang w:val="en-US"/>
              </w:rPr>
            </w:pPr>
            <w:r w:rsidRPr="002B76CB">
              <w:rPr>
                <w:bCs/>
                <w:sz w:val="24"/>
                <w:szCs w:val="28"/>
                <w:lang w:val="en-US"/>
              </w:rPr>
              <w:t>Preparatory work on WTDC-21 Thematic Priorities</w:t>
            </w:r>
          </w:p>
        </w:tc>
      </w:tr>
    </w:tbl>
    <w:p w14:paraId="29A36B85" w14:textId="64AE212D" w:rsidR="00DD355B" w:rsidRPr="00613AD1" w:rsidRDefault="00DD355B" w:rsidP="002B7490">
      <w:pPr>
        <w:spacing w:before="120" w:after="120" w:line="240" w:lineRule="auto"/>
        <w:rPr>
          <w:sz w:val="24"/>
          <w:szCs w:val="24"/>
        </w:rPr>
      </w:pPr>
    </w:p>
    <w:p w14:paraId="6C2B72F1" w14:textId="33CCA997" w:rsidR="0065554D" w:rsidRPr="00613AD1" w:rsidRDefault="0065554D" w:rsidP="002B7490">
      <w:pPr>
        <w:spacing w:before="120" w:after="120" w:line="240" w:lineRule="auto"/>
        <w:rPr>
          <w:sz w:val="24"/>
          <w:szCs w:val="24"/>
        </w:rPr>
      </w:pPr>
      <w:r w:rsidRPr="00613AD1">
        <w:rPr>
          <w:sz w:val="24"/>
          <w:szCs w:val="24"/>
        </w:rPr>
        <w:t xml:space="preserve">This document provides a briefing on the status of WTDC-21 work on thematic priorities. It also provides in annex the evolution of Thematic Priorities since the first World Telecommunication Development Conference was held. </w:t>
      </w:r>
    </w:p>
    <w:p w14:paraId="4D073737" w14:textId="1F1E8171" w:rsidR="0065554D" w:rsidRPr="00613AD1" w:rsidRDefault="0065554D" w:rsidP="002B7490">
      <w:pPr>
        <w:spacing w:before="120" w:after="120" w:line="240" w:lineRule="auto"/>
        <w:rPr>
          <w:sz w:val="24"/>
          <w:szCs w:val="24"/>
        </w:rPr>
      </w:pPr>
      <w:r w:rsidRPr="00613AD1">
        <w:rPr>
          <w:sz w:val="24"/>
          <w:szCs w:val="24"/>
        </w:rPr>
        <w:t xml:space="preserve">In my capacity as Chairman of TDAG-WG-RDTP, I have requested the Chairs of Study Groups 1 and 2 to assist by providing the views of their respective Study Groups on WTDC-21 Thematic Priorities. At this first meeting, the two Chairs will give an update on the progress they have made and provide their roadmap for the continuation of work. </w:t>
      </w:r>
    </w:p>
    <w:p w14:paraId="6515D497" w14:textId="133313CB" w:rsidR="00AE7D9A" w:rsidRPr="00613AD1" w:rsidRDefault="00AE7D9A" w:rsidP="002B7490">
      <w:pPr>
        <w:spacing w:before="120" w:after="120" w:line="240" w:lineRule="auto"/>
        <w:rPr>
          <w:sz w:val="24"/>
          <w:szCs w:val="24"/>
        </w:rPr>
      </w:pPr>
      <w:r w:rsidRPr="00613AD1">
        <w:rPr>
          <w:sz w:val="24"/>
          <w:szCs w:val="24"/>
        </w:rPr>
        <w:t xml:space="preserve">Membership is requested </w:t>
      </w:r>
      <w:r w:rsidR="0065554D" w:rsidRPr="00613AD1">
        <w:rPr>
          <w:sz w:val="24"/>
          <w:szCs w:val="24"/>
        </w:rPr>
        <w:t xml:space="preserve">also </w:t>
      </w:r>
      <w:r w:rsidRPr="00613AD1">
        <w:rPr>
          <w:sz w:val="24"/>
          <w:szCs w:val="24"/>
        </w:rPr>
        <w:t xml:space="preserve">to submit contributions that seek to narrow down the number of Thematic Priorities that the Telecommunication Development Bureau (BDT) expected to focus on as they implement the outcomes of WTDC-21. Based on the Buenos Aires Action Plan and the Results Based Management approach, </w:t>
      </w:r>
      <w:r w:rsidR="0083005E" w:rsidRPr="00613AD1">
        <w:rPr>
          <w:sz w:val="24"/>
          <w:szCs w:val="24"/>
        </w:rPr>
        <w:t xml:space="preserve">currently </w:t>
      </w:r>
      <w:r w:rsidRPr="00613AD1">
        <w:rPr>
          <w:sz w:val="24"/>
          <w:szCs w:val="24"/>
        </w:rPr>
        <w:t>the BDT has clustered the work of the Bureau into ten (10) Thematic P</w:t>
      </w:r>
      <w:bookmarkStart w:id="0" w:name="_GoBack"/>
      <w:bookmarkEnd w:id="0"/>
      <w:r w:rsidRPr="00613AD1">
        <w:rPr>
          <w:sz w:val="24"/>
          <w:szCs w:val="24"/>
        </w:rPr>
        <w:t xml:space="preserve">riorities. </w:t>
      </w:r>
      <w:r w:rsidR="0083005E" w:rsidRPr="00613AD1">
        <w:rPr>
          <w:sz w:val="24"/>
          <w:szCs w:val="24"/>
        </w:rPr>
        <w:t>These seem to be too many.</w:t>
      </w:r>
    </w:p>
    <w:p w14:paraId="2DCA67B2" w14:textId="146C770C" w:rsidR="00AE7D9A" w:rsidRPr="00613AD1" w:rsidRDefault="0065554D" w:rsidP="002B7490">
      <w:pPr>
        <w:spacing w:before="120" w:after="120" w:line="240" w:lineRule="auto"/>
        <w:rPr>
          <w:sz w:val="24"/>
          <w:szCs w:val="24"/>
        </w:rPr>
      </w:pPr>
      <w:r w:rsidRPr="00613AD1">
        <w:rPr>
          <w:sz w:val="24"/>
          <w:szCs w:val="24"/>
        </w:rPr>
        <w:t>Based on TDAG discussions, i</w:t>
      </w:r>
      <w:r w:rsidR="00AE7D9A" w:rsidRPr="00613AD1">
        <w:rPr>
          <w:sz w:val="24"/>
          <w:szCs w:val="24"/>
        </w:rPr>
        <w:t xml:space="preserve">t is </w:t>
      </w:r>
      <w:r w:rsidRPr="00613AD1">
        <w:rPr>
          <w:sz w:val="24"/>
          <w:szCs w:val="24"/>
        </w:rPr>
        <w:t xml:space="preserve">very desirable </w:t>
      </w:r>
      <w:r w:rsidR="00AE7D9A" w:rsidRPr="00613AD1">
        <w:rPr>
          <w:sz w:val="24"/>
          <w:szCs w:val="24"/>
        </w:rPr>
        <w:t xml:space="preserve">to have </w:t>
      </w:r>
      <w:r w:rsidR="00AE7D9A" w:rsidRPr="00613AD1">
        <w:rPr>
          <w:b/>
          <w:bCs/>
          <w:sz w:val="24"/>
          <w:szCs w:val="24"/>
        </w:rPr>
        <w:t>fewer,</w:t>
      </w:r>
      <w:r w:rsidR="0083005E" w:rsidRPr="00613AD1">
        <w:rPr>
          <w:b/>
          <w:bCs/>
          <w:sz w:val="24"/>
          <w:szCs w:val="24"/>
        </w:rPr>
        <w:t xml:space="preserve"> more</w:t>
      </w:r>
      <w:r w:rsidR="00AE7D9A" w:rsidRPr="00613AD1">
        <w:rPr>
          <w:b/>
          <w:bCs/>
          <w:sz w:val="24"/>
          <w:szCs w:val="24"/>
        </w:rPr>
        <w:t xml:space="preserve"> </w:t>
      </w:r>
      <w:r w:rsidR="0083005E" w:rsidRPr="00613AD1">
        <w:rPr>
          <w:b/>
          <w:bCs/>
          <w:sz w:val="24"/>
          <w:szCs w:val="24"/>
        </w:rPr>
        <w:t>focused</w:t>
      </w:r>
      <w:r w:rsidR="0083005E" w:rsidRPr="00613AD1">
        <w:rPr>
          <w:sz w:val="24"/>
          <w:szCs w:val="24"/>
        </w:rPr>
        <w:t>,</w:t>
      </w:r>
      <w:r w:rsidR="00AE7D9A" w:rsidRPr="00613AD1">
        <w:rPr>
          <w:sz w:val="24"/>
          <w:szCs w:val="24"/>
        </w:rPr>
        <w:t xml:space="preserve"> and </w:t>
      </w:r>
      <w:r w:rsidR="00AE7D9A" w:rsidRPr="00613AD1">
        <w:rPr>
          <w:b/>
          <w:bCs/>
          <w:sz w:val="24"/>
          <w:szCs w:val="24"/>
        </w:rPr>
        <w:t>consolidated</w:t>
      </w:r>
      <w:r w:rsidR="00AE7D9A" w:rsidRPr="00613AD1">
        <w:rPr>
          <w:sz w:val="24"/>
          <w:szCs w:val="24"/>
        </w:rPr>
        <w:t xml:space="preserve"> Thematic Priorities in order not to overstrain and spread </w:t>
      </w:r>
      <w:r w:rsidR="0083005E" w:rsidRPr="00613AD1">
        <w:rPr>
          <w:sz w:val="24"/>
          <w:szCs w:val="24"/>
        </w:rPr>
        <w:t xml:space="preserve">the limited human and financial </w:t>
      </w:r>
      <w:r w:rsidR="00AE7D9A" w:rsidRPr="00613AD1">
        <w:rPr>
          <w:sz w:val="24"/>
          <w:szCs w:val="24"/>
        </w:rPr>
        <w:t>resources.</w:t>
      </w:r>
    </w:p>
    <w:p w14:paraId="4031C7D8" w14:textId="6214723A" w:rsidR="00AE7D9A" w:rsidRPr="00613AD1" w:rsidRDefault="0083005E" w:rsidP="002B7490">
      <w:pPr>
        <w:spacing w:before="120" w:after="120" w:line="240" w:lineRule="auto"/>
        <w:rPr>
          <w:sz w:val="24"/>
          <w:szCs w:val="24"/>
        </w:rPr>
      </w:pPr>
      <w:r w:rsidRPr="00613AD1">
        <w:rPr>
          <w:b/>
          <w:bCs/>
          <w:sz w:val="24"/>
          <w:szCs w:val="24"/>
        </w:rPr>
        <w:t>Annex</w:t>
      </w:r>
      <w:r w:rsidRPr="00613AD1">
        <w:rPr>
          <w:sz w:val="24"/>
          <w:szCs w:val="24"/>
        </w:rPr>
        <w:t>: Evolution of Thematic Priorities at each World Telecommunication Development Conference (WTDC).</w:t>
      </w:r>
    </w:p>
    <w:p w14:paraId="456F18F3" w14:textId="08998D8D" w:rsidR="002B76CB" w:rsidRDefault="002B76CB" w:rsidP="002B76CB">
      <w:pPr>
        <w:jc w:val="center"/>
      </w:pPr>
      <w:r>
        <w:t>________________</w:t>
      </w:r>
    </w:p>
    <w:sectPr w:rsidR="002B76CB" w:rsidSect="002B76CB">
      <w:foot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98B69" w14:textId="77777777" w:rsidR="002B76CB" w:rsidRDefault="002B76CB" w:rsidP="002B76CB">
      <w:pPr>
        <w:spacing w:after="0" w:line="240" w:lineRule="auto"/>
      </w:pPr>
      <w:r>
        <w:separator/>
      </w:r>
    </w:p>
  </w:endnote>
  <w:endnote w:type="continuationSeparator" w:id="0">
    <w:p w14:paraId="4B83CE29" w14:textId="77777777" w:rsidR="002B76CB" w:rsidRDefault="002B76CB" w:rsidP="002B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2B76CB" w14:paraId="7AEF27A8" w14:textId="77777777" w:rsidTr="0046057A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3E12A179" w14:textId="77777777" w:rsidR="002B76CB" w:rsidRDefault="002B76CB" w:rsidP="002B76C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6BC978DE" w14:textId="77777777" w:rsidR="002B76CB" w:rsidRDefault="002B76CB" w:rsidP="002B76C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B2EDBA7" w14:textId="77777777" w:rsidR="002B76CB" w:rsidRPr="00865F70" w:rsidRDefault="002B76CB" w:rsidP="002B76C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65F70">
            <w:rPr>
              <w:sz w:val="18"/>
              <w:szCs w:val="18"/>
              <w:lang w:val="en-US"/>
            </w:rPr>
            <w:t>Dr Cosmas Zavazava, Chief, Partnerships for Digital Development Department</w:t>
          </w:r>
        </w:p>
        <w:p w14:paraId="3FAD6B03" w14:textId="77777777" w:rsidR="002B76CB" w:rsidRDefault="002B76CB" w:rsidP="002B76C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65F70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1" w:name="OrgName"/>
      <w:bookmarkEnd w:id="1"/>
    </w:tr>
    <w:tr w:rsidR="002B76CB" w14:paraId="717A63DC" w14:textId="77777777" w:rsidTr="0046057A">
      <w:tc>
        <w:tcPr>
          <w:tcW w:w="1527" w:type="dxa"/>
        </w:tcPr>
        <w:p w14:paraId="43D14281" w14:textId="77777777" w:rsidR="002B76CB" w:rsidRDefault="002B76CB" w:rsidP="002B76C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4DF12D0C" w14:textId="77777777" w:rsidR="002B76CB" w:rsidRDefault="002B76CB" w:rsidP="002B76C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385A0B90" w14:textId="77777777" w:rsidR="002B76CB" w:rsidRDefault="002B76CB" w:rsidP="002B76C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865F70">
            <w:rPr>
              <w:sz w:val="18"/>
              <w:szCs w:val="18"/>
              <w:lang w:val="en-US"/>
            </w:rPr>
            <w:t>41 22 730 5447</w:t>
          </w:r>
        </w:p>
      </w:tc>
      <w:bookmarkStart w:id="2" w:name="PhoneNo"/>
      <w:bookmarkEnd w:id="2"/>
    </w:tr>
    <w:tr w:rsidR="002B76CB" w14:paraId="0E397E70" w14:textId="77777777" w:rsidTr="0046057A">
      <w:tc>
        <w:tcPr>
          <w:tcW w:w="1527" w:type="dxa"/>
        </w:tcPr>
        <w:p w14:paraId="7F55D2DF" w14:textId="77777777" w:rsidR="002B76CB" w:rsidRDefault="002B76CB" w:rsidP="002B76C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1A87C135" w14:textId="77777777" w:rsidR="002B76CB" w:rsidRDefault="002B76CB" w:rsidP="002B76C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650BBC08" w14:textId="77777777" w:rsidR="002B76CB" w:rsidRDefault="002B7490" w:rsidP="002B76C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2B76CB" w:rsidRPr="00865F70">
              <w:rPr>
                <w:rStyle w:val="Hyperlink"/>
                <w:sz w:val="18"/>
                <w:szCs w:val="22"/>
              </w:rPr>
              <w:t>cosmas.zavazava@itu.int</w:t>
            </w:r>
          </w:hyperlink>
          <w:r w:rsidR="002B76CB" w:rsidRPr="00865F70">
            <w:rPr>
              <w:sz w:val="18"/>
              <w:szCs w:val="22"/>
            </w:rPr>
            <w:t xml:space="preserve"> </w:t>
          </w:r>
        </w:p>
      </w:tc>
      <w:bookmarkStart w:id="3" w:name="Email"/>
      <w:bookmarkEnd w:id="3"/>
    </w:tr>
  </w:tbl>
  <w:p w14:paraId="3D0ED6AE" w14:textId="77777777" w:rsidR="002B76CB" w:rsidRDefault="002B7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4D427" w14:textId="77777777" w:rsidR="002B76CB" w:rsidRDefault="002B76CB" w:rsidP="002B76CB">
      <w:pPr>
        <w:spacing w:after="0" w:line="240" w:lineRule="auto"/>
      </w:pPr>
      <w:r>
        <w:separator/>
      </w:r>
    </w:p>
  </w:footnote>
  <w:footnote w:type="continuationSeparator" w:id="0">
    <w:p w14:paraId="0C562826" w14:textId="77777777" w:rsidR="002B76CB" w:rsidRDefault="002B76CB" w:rsidP="002B7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2E"/>
    <w:rsid w:val="001F3F72"/>
    <w:rsid w:val="002B7490"/>
    <w:rsid w:val="002B76CB"/>
    <w:rsid w:val="00613AD1"/>
    <w:rsid w:val="0065554D"/>
    <w:rsid w:val="0083005E"/>
    <w:rsid w:val="008C262E"/>
    <w:rsid w:val="00A963DD"/>
    <w:rsid w:val="00AE7D9A"/>
    <w:rsid w:val="00D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655C"/>
  <w15:chartTrackingRefBased/>
  <w15:docId w15:val="{9982FC18-6ED5-428F-BADC-C1906376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6CB"/>
  </w:style>
  <w:style w:type="paragraph" w:styleId="Footer">
    <w:name w:val="footer"/>
    <w:basedOn w:val="Normal"/>
    <w:link w:val="FooterChar"/>
    <w:uiPriority w:val="99"/>
    <w:unhideWhenUsed/>
    <w:rsid w:val="002B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6CB"/>
  </w:style>
  <w:style w:type="paragraph" w:customStyle="1" w:styleId="FirstFooter">
    <w:name w:val="FirstFooter"/>
    <w:basedOn w:val="Footer"/>
    <w:rsid w:val="002B76CB"/>
    <w:pPr>
      <w:tabs>
        <w:tab w:val="clear" w:pos="4513"/>
        <w:tab w:val="clear" w:pos="9026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Hyperlink">
    <w:name w:val="Hyperlink"/>
    <w:aliases w:val="CEO_Hyperlink"/>
    <w:basedOn w:val="DefaultParagraphFont"/>
    <w:uiPriority w:val="99"/>
    <w:rsid w:val="002B7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D477-0855-4B96-8521-F8F9D1EE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Zavazava, Cosmas</dc:creator>
  <cp:keywords/>
  <dc:description/>
  <cp:lastModifiedBy>BDT-nd</cp:lastModifiedBy>
  <cp:revision>6</cp:revision>
  <dcterms:created xsi:type="dcterms:W3CDTF">2020-09-01T10:11:00Z</dcterms:created>
  <dcterms:modified xsi:type="dcterms:W3CDTF">2020-09-10T11:13:00Z</dcterms:modified>
</cp:coreProperties>
</file>