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134"/>
        <w:gridCol w:w="4962"/>
        <w:gridCol w:w="3792"/>
      </w:tblGrid>
      <w:tr w:rsidR="008C262E" w:rsidRPr="00F45B51" w14:paraId="0BDF4579" w14:textId="77777777" w:rsidTr="00A81376">
        <w:trPr>
          <w:cantSplit/>
          <w:trHeight w:val="1134"/>
        </w:trPr>
        <w:tc>
          <w:tcPr>
            <w:tcW w:w="9888" w:type="dxa"/>
            <w:gridSpan w:val="3"/>
            <w:tcBorders>
              <w:bottom w:val="single" w:sz="2" w:space="0" w:color="00B0F0"/>
            </w:tcBorders>
          </w:tcPr>
          <w:p w14:paraId="70BB7900" w14:textId="77777777" w:rsidR="008C262E" w:rsidRPr="0085753F" w:rsidRDefault="008C262E" w:rsidP="00634B67">
            <w:pPr>
              <w:spacing w:before="240" w:after="0" w:line="240" w:lineRule="auto"/>
              <w:ind w:left="34"/>
              <w:rPr>
                <w:b/>
                <w:bCs/>
                <w:sz w:val="32"/>
                <w:szCs w:val="32"/>
              </w:rPr>
            </w:pPr>
            <w:r w:rsidRPr="0085753F">
              <w:rPr>
                <w:noProof/>
                <w:color w:val="3399FF"/>
                <w:sz w:val="32"/>
                <w:szCs w:val="32"/>
                <w:lang w:val="en-US"/>
              </w:rPr>
              <w:drawing>
                <wp:anchor distT="0" distB="0" distL="114300" distR="114300" simplePos="0" relativeHeight="251659264" behindDoc="0" locked="0" layoutInCell="1" allowOverlap="1" wp14:anchorId="4D58492D" wp14:editId="4EFC1222">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85753F">
              <w:rPr>
                <w:b/>
                <w:bCs/>
                <w:sz w:val="32"/>
                <w:szCs w:val="32"/>
              </w:rPr>
              <w:t xml:space="preserve">TDAG Working Group on </w:t>
            </w:r>
            <w:r>
              <w:rPr>
                <w:b/>
                <w:bCs/>
                <w:sz w:val="32"/>
                <w:szCs w:val="32"/>
              </w:rPr>
              <w:t>Resolutions, Declaration and Thematic Priorities</w:t>
            </w:r>
          </w:p>
          <w:p w14:paraId="631DDE1F" w14:textId="77777777" w:rsidR="008C262E" w:rsidRPr="00F45B51" w:rsidRDefault="008C262E" w:rsidP="00634B67">
            <w:pPr>
              <w:spacing w:before="120" w:after="0" w:line="240" w:lineRule="auto"/>
              <w:ind w:right="142"/>
              <w:rPr>
                <w:sz w:val="26"/>
                <w:szCs w:val="26"/>
              </w:rPr>
            </w:pPr>
            <w:r>
              <w:rPr>
                <w:b/>
                <w:bCs/>
                <w:sz w:val="26"/>
                <w:szCs w:val="26"/>
              </w:rPr>
              <w:t>21 October</w:t>
            </w:r>
            <w:r w:rsidRPr="00F45B51">
              <w:rPr>
                <w:b/>
                <w:bCs/>
                <w:sz w:val="26"/>
                <w:szCs w:val="26"/>
              </w:rPr>
              <w:t xml:space="preserve"> 2020, Virtual</w:t>
            </w:r>
          </w:p>
        </w:tc>
      </w:tr>
      <w:tr w:rsidR="00634B67" w:rsidRPr="00F028FB" w14:paraId="43BA9CB4" w14:textId="77777777" w:rsidTr="00634B67">
        <w:trPr>
          <w:cantSplit/>
        </w:trPr>
        <w:tc>
          <w:tcPr>
            <w:tcW w:w="6096" w:type="dxa"/>
            <w:gridSpan w:val="2"/>
            <w:tcBorders>
              <w:top w:val="single" w:sz="2" w:space="0" w:color="00B0F0"/>
            </w:tcBorders>
          </w:tcPr>
          <w:p w14:paraId="0F78F040" w14:textId="77777777" w:rsidR="00634B67" w:rsidRPr="00634B67" w:rsidRDefault="00634B67" w:rsidP="00634B67">
            <w:pPr>
              <w:spacing w:after="0" w:line="240" w:lineRule="auto"/>
              <w:rPr>
                <w:b/>
                <w:bCs/>
                <w:sz w:val="24"/>
                <w:szCs w:val="24"/>
              </w:rPr>
            </w:pPr>
          </w:p>
        </w:tc>
        <w:tc>
          <w:tcPr>
            <w:tcW w:w="3792" w:type="dxa"/>
            <w:tcBorders>
              <w:top w:val="single" w:sz="2" w:space="0" w:color="00B0F0"/>
            </w:tcBorders>
          </w:tcPr>
          <w:p w14:paraId="2DA5910E" w14:textId="522BD6A3" w:rsidR="00634B67" w:rsidRPr="00F028FB" w:rsidRDefault="00634B67" w:rsidP="00634B67">
            <w:pPr>
              <w:spacing w:before="120" w:after="0" w:line="240" w:lineRule="auto"/>
              <w:rPr>
                <w:b/>
                <w:bCs/>
                <w:sz w:val="24"/>
                <w:szCs w:val="24"/>
                <w:lang w:val="fr-FR"/>
              </w:rPr>
            </w:pPr>
            <w:r w:rsidRPr="00F028FB">
              <w:rPr>
                <w:b/>
                <w:bCs/>
                <w:sz w:val="24"/>
                <w:szCs w:val="24"/>
                <w:lang w:val="fr-FR"/>
              </w:rPr>
              <w:t>Document TDAG-WG-RDTP/DT/2-E</w:t>
            </w:r>
          </w:p>
        </w:tc>
      </w:tr>
      <w:tr w:rsidR="00634B67" w:rsidRPr="000E0704" w14:paraId="54490A82" w14:textId="77777777" w:rsidTr="00634B67">
        <w:trPr>
          <w:cantSplit/>
        </w:trPr>
        <w:tc>
          <w:tcPr>
            <w:tcW w:w="6096" w:type="dxa"/>
            <w:gridSpan w:val="2"/>
          </w:tcPr>
          <w:p w14:paraId="691A7E54" w14:textId="77777777" w:rsidR="00634B67" w:rsidRPr="00F028FB" w:rsidRDefault="00634B67" w:rsidP="00634B67">
            <w:pPr>
              <w:spacing w:after="0" w:line="240" w:lineRule="auto"/>
              <w:rPr>
                <w:b/>
                <w:bCs/>
                <w:sz w:val="24"/>
                <w:szCs w:val="24"/>
                <w:lang w:val="fr-FR"/>
              </w:rPr>
            </w:pPr>
          </w:p>
        </w:tc>
        <w:tc>
          <w:tcPr>
            <w:tcW w:w="3792" w:type="dxa"/>
          </w:tcPr>
          <w:p w14:paraId="386D4DA8" w14:textId="5F883079" w:rsidR="00634B67" w:rsidRPr="00634B67" w:rsidRDefault="00634B67" w:rsidP="00634B67">
            <w:pPr>
              <w:spacing w:after="0" w:line="240" w:lineRule="auto"/>
              <w:rPr>
                <w:b/>
                <w:bCs/>
                <w:sz w:val="24"/>
                <w:szCs w:val="24"/>
              </w:rPr>
            </w:pPr>
            <w:r w:rsidRPr="00634B67">
              <w:rPr>
                <w:b/>
                <w:bCs/>
                <w:sz w:val="24"/>
                <w:szCs w:val="24"/>
              </w:rPr>
              <w:t>10 September 2020</w:t>
            </w:r>
          </w:p>
        </w:tc>
      </w:tr>
      <w:tr w:rsidR="00634B67" w:rsidRPr="000E0704" w14:paraId="30A1EFC0" w14:textId="77777777" w:rsidTr="00634B67">
        <w:trPr>
          <w:cantSplit/>
        </w:trPr>
        <w:tc>
          <w:tcPr>
            <w:tcW w:w="6096" w:type="dxa"/>
            <w:gridSpan w:val="2"/>
          </w:tcPr>
          <w:p w14:paraId="11250D53" w14:textId="77777777" w:rsidR="00634B67" w:rsidRPr="00634B67" w:rsidRDefault="00634B67" w:rsidP="00634B67">
            <w:pPr>
              <w:spacing w:after="0" w:line="240" w:lineRule="auto"/>
              <w:rPr>
                <w:b/>
                <w:bCs/>
                <w:sz w:val="24"/>
                <w:szCs w:val="24"/>
              </w:rPr>
            </w:pPr>
          </w:p>
        </w:tc>
        <w:tc>
          <w:tcPr>
            <w:tcW w:w="3792" w:type="dxa"/>
          </w:tcPr>
          <w:p w14:paraId="557CD270" w14:textId="4478165A" w:rsidR="00634B67" w:rsidRPr="00634B67" w:rsidRDefault="000B2DF1" w:rsidP="00634B67">
            <w:pPr>
              <w:spacing w:after="120" w:line="240" w:lineRule="auto"/>
              <w:rPr>
                <w:b/>
                <w:bCs/>
                <w:sz w:val="24"/>
                <w:szCs w:val="24"/>
              </w:rPr>
            </w:pPr>
            <w:r w:rsidRPr="00634B67">
              <w:rPr>
                <w:b/>
                <w:bCs/>
                <w:sz w:val="24"/>
                <w:szCs w:val="24"/>
              </w:rPr>
              <w:t>English</w:t>
            </w:r>
            <w:r>
              <w:rPr>
                <w:b/>
                <w:bCs/>
                <w:sz w:val="24"/>
                <w:szCs w:val="24"/>
              </w:rPr>
              <w:t xml:space="preserve"> only</w:t>
            </w:r>
            <w:bookmarkStart w:id="0" w:name="_GoBack"/>
            <w:bookmarkEnd w:id="0"/>
          </w:p>
        </w:tc>
      </w:tr>
      <w:tr w:rsidR="008C262E" w:rsidRPr="008905BB" w14:paraId="1F36CAF5" w14:textId="77777777" w:rsidTr="00A81376">
        <w:trPr>
          <w:cantSplit/>
          <w:trHeight w:val="408"/>
        </w:trPr>
        <w:tc>
          <w:tcPr>
            <w:tcW w:w="1134" w:type="dxa"/>
          </w:tcPr>
          <w:p w14:paraId="4F776327" w14:textId="77777777" w:rsidR="008C262E" w:rsidRPr="00634B67" w:rsidRDefault="008C262E" w:rsidP="00A81376">
            <w:pPr>
              <w:spacing w:before="80" w:after="80"/>
              <w:jc w:val="both"/>
              <w:rPr>
                <w:b/>
                <w:sz w:val="24"/>
                <w:szCs w:val="24"/>
                <w:lang w:val="en-US"/>
              </w:rPr>
            </w:pPr>
            <w:r w:rsidRPr="00634B67">
              <w:rPr>
                <w:b/>
                <w:bCs/>
                <w:sz w:val="24"/>
                <w:szCs w:val="24"/>
                <w:lang w:val="en-US"/>
              </w:rPr>
              <w:t>Source:</w:t>
            </w:r>
          </w:p>
        </w:tc>
        <w:tc>
          <w:tcPr>
            <w:tcW w:w="8754" w:type="dxa"/>
            <w:gridSpan w:val="2"/>
          </w:tcPr>
          <w:p w14:paraId="3223B72B" w14:textId="77777777" w:rsidR="008C262E" w:rsidRPr="00634B67" w:rsidRDefault="008C262E" w:rsidP="00A81376">
            <w:pPr>
              <w:spacing w:before="80" w:after="80"/>
              <w:rPr>
                <w:bCs/>
                <w:sz w:val="24"/>
                <w:szCs w:val="24"/>
                <w:lang w:val="en-US"/>
              </w:rPr>
            </w:pPr>
            <w:r w:rsidRPr="00634B67">
              <w:rPr>
                <w:bCs/>
                <w:sz w:val="24"/>
                <w:szCs w:val="24"/>
                <w:lang w:val="en-US"/>
              </w:rPr>
              <w:t>Chairman of TDAG Working Group on Resolutions, Declaration and Thematic Priorities</w:t>
            </w:r>
          </w:p>
        </w:tc>
      </w:tr>
      <w:tr w:rsidR="008C262E" w:rsidRPr="008905BB" w14:paraId="1E701813" w14:textId="77777777" w:rsidTr="00A81376">
        <w:trPr>
          <w:cantSplit/>
          <w:trHeight w:val="407"/>
        </w:trPr>
        <w:tc>
          <w:tcPr>
            <w:tcW w:w="1134" w:type="dxa"/>
            <w:tcBorders>
              <w:bottom w:val="single" w:sz="4" w:space="0" w:color="00B0F0"/>
            </w:tcBorders>
          </w:tcPr>
          <w:p w14:paraId="1414E6C8" w14:textId="77777777" w:rsidR="008C262E" w:rsidRPr="00634B67" w:rsidRDefault="008C262E" w:rsidP="00A81376">
            <w:pPr>
              <w:spacing w:before="80" w:after="80"/>
              <w:jc w:val="both"/>
              <w:rPr>
                <w:b/>
                <w:bCs/>
                <w:sz w:val="24"/>
                <w:szCs w:val="24"/>
                <w:lang w:val="en-US"/>
              </w:rPr>
            </w:pPr>
            <w:r w:rsidRPr="00634B67">
              <w:rPr>
                <w:b/>
                <w:bCs/>
                <w:sz w:val="24"/>
                <w:szCs w:val="24"/>
                <w:lang w:val="en-US"/>
              </w:rPr>
              <w:t>Title:</w:t>
            </w:r>
          </w:p>
        </w:tc>
        <w:tc>
          <w:tcPr>
            <w:tcW w:w="8754" w:type="dxa"/>
            <w:gridSpan w:val="2"/>
            <w:tcBorders>
              <w:bottom w:val="single" w:sz="4" w:space="0" w:color="00B0F0"/>
            </w:tcBorders>
          </w:tcPr>
          <w:p w14:paraId="00E64EF7" w14:textId="74C77436" w:rsidR="008C262E" w:rsidRPr="00634B67" w:rsidRDefault="008C262E" w:rsidP="00A81376">
            <w:pPr>
              <w:spacing w:before="80" w:after="80"/>
              <w:jc w:val="both"/>
              <w:rPr>
                <w:bCs/>
                <w:sz w:val="24"/>
                <w:szCs w:val="24"/>
                <w:lang w:val="en-US"/>
              </w:rPr>
            </w:pPr>
            <w:r w:rsidRPr="00634B67">
              <w:rPr>
                <w:bCs/>
                <w:sz w:val="24"/>
                <w:szCs w:val="24"/>
                <w:lang w:val="en-US"/>
              </w:rPr>
              <w:t xml:space="preserve">Preparatory work on WTDC-21 </w:t>
            </w:r>
            <w:r w:rsidR="00E12869" w:rsidRPr="00634B67">
              <w:rPr>
                <w:bCs/>
                <w:sz w:val="24"/>
                <w:szCs w:val="24"/>
                <w:lang w:val="en-US"/>
              </w:rPr>
              <w:t>Resolutions</w:t>
            </w:r>
          </w:p>
        </w:tc>
      </w:tr>
    </w:tbl>
    <w:p w14:paraId="29A36B85" w14:textId="64AE212D" w:rsidR="00DD355B" w:rsidRPr="00634B67" w:rsidRDefault="00DD355B" w:rsidP="00634B67">
      <w:pPr>
        <w:spacing w:before="120" w:after="120" w:line="240" w:lineRule="auto"/>
        <w:rPr>
          <w:sz w:val="24"/>
          <w:szCs w:val="24"/>
        </w:rPr>
      </w:pPr>
    </w:p>
    <w:p w14:paraId="505C3F83" w14:textId="6035FD6D" w:rsidR="00D149D5" w:rsidRPr="00634B67" w:rsidRDefault="00D149D5" w:rsidP="00634B67">
      <w:pPr>
        <w:pStyle w:val="Normalaftertitle"/>
        <w:spacing w:before="120" w:after="120"/>
        <w:rPr>
          <w:sz w:val="24"/>
          <w:szCs w:val="24"/>
        </w:rPr>
      </w:pPr>
      <w:r w:rsidRPr="00634B67">
        <w:rPr>
          <w:sz w:val="24"/>
          <w:szCs w:val="24"/>
        </w:rPr>
        <w:t xml:space="preserve">This document provides high-level guidance and reference materials on the work of the </w:t>
      </w:r>
      <w:r w:rsidRPr="00634B67">
        <w:rPr>
          <w:bCs/>
          <w:sz w:val="24"/>
          <w:szCs w:val="24"/>
          <w:lang w:val="en-US"/>
        </w:rPr>
        <w:t>Working Group on Resolutions, Declaration and Thematic Priorities</w:t>
      </w:r>
      <w:r w:rsidRPr="00634B67">
        <w:rPr>
          <w:sz w:val="24"/>
          <w:szCs w:val="24"/>
        </w:rPr>
        <w:t xml:space="preserve"> (TDAG-WG-RDTP). </w:t>
      </w:r>
    </w:p>
    <w:p w14:paraId="7E9D76CA" w14:textId="7DF8B7D4" w:rsidR="00D149D5" w:rsidRPr="00634B67" w:rsidRDefault="00D149D5" w:rsidP="00634B67">
      <w:pPr>
        <w:spacing w:before="120" w:after="120" w:line="240" w:lineRule="auto"/>
        <w:rPr>
          <w:sz w:val="24"/>
          <w:szCs w:val="24"/>
        </w:rPr>
      </w:pPr>
      <w:r w:rsidRPr="00634B67">
        <w:rPr>
          <w:sz w:val="24"/>
          <w:szCs w:val="24"/>
        </w:rPr>
        <w:t xml:space="preserve">In my capacity as Chairman of TDAG-WG-RDTP, I have requested the Chairs of Study Groups 1 and 2 to assist by carrying out an analysis of all the WTDC-17 resolutions and to recommend what could be done with each resolution. In doing so, I requested that Resolutions 1 and 2 be treated differently from the rest of the resolutions due to their nature. At this first meeting, the two Chairs will give an update on the progress they have made and provide their roadmap for the continuation of work. In this regard, </w:t>
      </w:r>
      <w:r w:rsidR="00F028FB">
        <w:rPr>
          <w:sz w:val="24"/>
          <w:szCs w:val="24"/>
        </w:rPr>
        <w:t>m</w:t>
      </w:r>
      <w:r w:rsidRPr="00634B67">
        <w:rPr>
          <w:sz w:val="24"/>
          <w:szCs w:val="24"/>
        </w:rPr>
        <w:t>embership is also encouraged to submit contributions to the upcoming meeting of the WG-RDTP.</w:t>
      </w:r>
    </w:p>
    <w:p w14:paraId="79E324EE" w14:textId="5FA47117" w:rsidR="00D149D5" w:rsidRPr="00634B67" w:rsidRDefault="00D149D5" w:rsidP="00634B67">
      <w:pPr>
        <w:pStyle w:val="Normalaftertitle"/>
        <w:spacing w:before="120" w:after="120"/>
        <w:rPr>
          <w:sz w:val="24"/>
          <w:szCs w:val="24"/>
        </w:rPr>
      </w:pPr>
      <w:r w:rsidRPr="00634B67">
        <w:rPr>
          <w:sz w:val="24"/>
          <w:szCs w:val="24"/>
        </w:rPr>
        <w:t xml:space="preserve">Based on TDAG discussions, streamlining WTDC resolutions is an important task, and it is very desirable to reduce their number to the extent possible. In order to assist </w:t>
      </w:r>
      <w:r w:rsidR="00F028FB">
        <w:rPr>
          <w:sz w:val="24"/>
          <w:szCs w:val="24"/>
        </w:rPr>
        <w:t>m</w:t>
      </w:r>
      <w:r w:rsidRPr="00634B67">
        <w:rPr>
          <w:sz w:val="24"/>
          <w:szCs w:val="24"/>
        </w:rPr>
        <w:t>embership and for easy reference, the following annexes have been prepared by the Secretariat:</w:t>
      </w:r>
    </w:p>
    <w:p w14:paraId="1A0CC0EA" w14:textId="77777777" w:rsidR="00D149D5" w:rsidRPr="00634B67" w:rsidRDefault="00D149D5" w:rsidP="00634B67">
      <w:pPr>
        <w:pStyle w:val="Normalaftertitle"/>
        <w:spacing w:before="120" w:after="120"/>
        <w:rPr>
          <w:sz w:val="24"/>
          <w:szCs w:val="24"/>
          <w:lang w:eastAsia="en-GB"/>
        </w:rPr>
      </w:pPr>
      <w:r w:rsidRPr="00634B67">
        <w:rPr>
          <w:b/>
          <w:bCs/>
          <w:sz w:val="24"/>
          <w:szCs w:val="24"/>
        </w:rPr>
        <w:t>Annex 1</w:t>
      </w:r>
      <w:r w:rsidRPr="00634B67">
        <w:rPr>
          <w:sz w:val="24"/>
          <w:szCs w:val="24"/>
        </w:rPr>
        <w:t xml:space="preserve"> contains the guiding principles for streamlining WTDC resolutions adopted by TDAG-19.</w:t>
      </w:r>
    </w:p>
    <w:p w14:paraId="76518D9F" w14:textId="77777777" w:rsidR="00D149D5" w:rsidRPr="00634B67" w:rsidRDefault="00D149D5" w:rsidP="00634B67">
      <w:pPr>
        <w:pStyle w:val="Normalaftertitle"/>
        <w:spacing w:before="120" w:after="120"/>
        <w:rPr>
          <w:sz w:val="24"/>
          <w:szCs w:val="24"/>
        </w:rPr>
      </w:pPr>
      <w:r w:rsidRPr="00634B67">
        <w:rPr>
          <w:b/>
          <w:bCs/>
          <w:sz w:val="24"/>
          <w:szCs w:val="24"/>
        </w:rPr>
        <w:t>Annex 2</w:t>
      </w:r>
      <w:r w:rsidRPr="00634B67">
        <w:rPr>
          <w:sz w:val="24"/>
          <w:szCs w:val="24"/>
        </w:rPr>
        <w:t xml:space="preserve"> contains detailed mapping of WTDC resolutions and recommendations to Plenipotentiary (PP) resolutions as well as to resolutions of World Telecommunication Standardization Assemblies (WTSA), World Radiocommunication Conferences (WRC) and Radiocommunication Assemblies (RA), with a view to streamlining them in preparation for WTDC-21.</w:t>
      </w:r>
    </w:p>
    <w:p w14:paraId="31B30AF1" w14:textId="77777777" w:rsidR="00D149D5" w:rsidRPr="00634B67" w:rsidRDefault="00D149D5" w:rsidP="00634B67">
      <w:pPr>
        <w:pStyle w:val="Normalaftertitle"/>
        <w:spacing w:before="120" w:after="120"/>
        <w:rPr>
          <w:sz w:val="24"/>
          <w:szCs w:val="24"/>
        </w:rPr>
      </w:pPr>
      <w:r w:rsidRPr="00634B67">
        <w:rPr>
          <w:b/>
          <w:bCs/>
          <w:sz w:val="24"/>
          <w:szCs w:val="24"/>
        </w:rPr>
        <w:t>Annex 3</w:t>
      </w:r>
      <w:r w:rsidRPr="00634B67">
        <w:rPr>
          <w:sz w:val="24"/>
          <w:szCs w:val="24"/>
        </w:rPr>
        <w:t xml:space="preserve"> provides a framework for clustering of existing WTDC resolutions and recommendations highlighting common issues and themes.</w:t>
      </w:r>
    </w:p>
    <w:p w14:paraId="74ADF9B6" w14:textId="7BDC5F04" w:rsidR="00865F70" w:rsidRPr="00865F70" w:rsidRDefault="00634B67" w:rsidP="00865F70">
      <w:pPr>
        <w:spacing w:before="120" w:after="120" w:line="240" w:lineRule="auto"/>
        <w:jc w:val="center"/>
        <w:rPr>
          <w:sz w:val="24"/>
          <w:szCs w:val="24"/>
        </w:rPr>
      </w:pPr>
      <w:r>
        <w:rPr>
          <w:sz w:val="24"/>
          <w:szCs w:val="24"/>
        </w:rPr>
        <w:t>________________</w:t>
      </w:r>
    </w:p>
    <w:sectPr w:rsidR="00865F70" w:rsidRPr="00865F70" w:rsidSect="00865F70">
      <w:footerReference w:type="default" r:id="rId7"/>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C036E" w14:textId="77777777" w:rsidR="00865F70" w:rsidRDefault="00865F70" w:rsidP="00865F70">
      <w:pPr>
        <w:spacing w:after="0" w:line="240" w:lineRule="auto"/>
      </w:pPr>
      <w:r>
        <w:separator/>
      </w:r>
    </w:p>
  </w:endnote>
  <w:endnote w:type="continuationSeparator" w:id="0">
    <w:p w14:paraId="4BBD2B2E" w14:textId="77777777" w:rsidR="00865F70" w:rsidRDefault="00865F70" w:rsidP="00865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865F70" w14:paraId="0D408D6F" w14:textId="77777777" w:rsidTr="008618EE">
      <w:tc>
        <w:tcPr>
          <w:tcW w:w="1527" w:type="dxa"/>
          <w:tcBorders>
            <w:top w:val="single" w:sz="4" w:space="0" w:color="000000"/>
            <w:left w:val="nil"/>
            <w:bottom w:val="nil"/>
            <w:right w:val="nil"/>
          </w:tcBorders>
          <w:hideMark/>
        </w:tcPr>
        <w:p w14:paraId="1D86A821" w14:textId="77777777" w:rsidR="00865F70" w:rsidRDefault="00865F70" w:rsidP="00865F70">
          <w:pPr>
            <w:pStyle w:val="FirstFooter"/>
            <w:tabs>
              <w:tab w:val="left" w:pos="1559"/>
              <w:tab w:val="left" w:pos="3828"/>
            </w:tabs>
            <w:rPr>
              <w:sz w:val="18"/>
              <w:szCs w:val="18"/>
            </w:rPr>
          </w:pPr>
          <w:r>
            <w:rPr>
              <w:sz w:val="18"/>
              <w:szCs w:val="18"/>
              <w:lang w:val="en-US"/>
            </w:rPr>
            <w:t>Contact:</w:t>
          </w:r>
        </w:p>
      </w:tc>
      <w:tc>
        <w:tcPr>
          <w:tcW w:w="2412" w:type="dxa"/>
          <w:tcBorders>
            <w:top w:val="single" w:sz="4" w:space="0" w:color="000000"/>
            <w:left w:val="nil"/>
            <w:bottom w:val="nil"/>
            <w:right w:val="nil"/>
          </w:tcBorders>
          <w:hideMark/>
        </w:tcPr>
        <w:p w14:paraId="51ECC55E" w14:textId="77777777" w:rsidR="00865F70" w:rsidRDefault="00865F70" w:rsidP="00865F70">
          <w:pPr>
            <w:pStyle w:val="FirstFooter"/>
            <w:tabs>
              <w:tab w:val="left" w:pos="2302"/>
            </w:tabs>
            <w:ind w:left="2302" w:hanging="2302"/>
            <w:rPr>
              <w:sz w:val="18"/>
              <w:szCs w:val="18"/>
              <w:lang w:val="en-US"/>
            </w:rPr>
          </w:pPr>
          <w:r>
            <w:rPr>
              <w:sz w:val="18"/>
              <w:szCs w:val="18"/>
              <w:lang w:val="en-US"/>
            </w:rPr>
            <w:t>Name/Organization/Entity:</w:t>
          </w:r>
        </w:p>
      </w:tc>
      <w:tc>
        <w:tcPr>
          <w:tcW w:w="5991" w:type="dxa"/>
          <w:tcBorders>
            <w:top w:val="single" w:sz="4" w:space="0" w:color="000000"/>
            <w:left w:val="nil"/>
            <w:bottom w:val="nil"/>
            <w:right w:val="nil"/>
          </w:tcBorders>
        </w:tcPr>
        <w:p w14:paraId="575B3016" w14:textId="77777777" w:rsidR="00865F70" w:rsidRPr="00865F70" w:rsidRDefault="00865F70" w:rsidP="00865F70">
          <w:pPr>
            <w:pStyle w:val="FirstFooter"/>
            <w:tabs>
              <w:tab w:val="left" w:pos="2302"/>
            </w:tabs>
            <w:rPr>
              <w:sz w:val="18"/>
              <w:szCs w:val="18"/>
              <w:lang w:val="en-US"/>
            </w:rPr>
          </w:pPr>
          <w:r w:rsidRPr="00865F70">
            <w:rPr>
              <w:sz w:val="18"/>
              <w:szCs w:val="18"/>
              <w:lang w:val="en-US"/>
            </w:rPr>
            <w:t>Dr Cosmas Zavazava, Chief, Partnerships for Digital Development Department</w:t>
          </w:r>
        </w:p>
        <w:p w14:paraId="035C76A7" w14:textId="605090F6" w:rsidR="00865F70" w:rsidRDefault="00865F70" w:rsidP="00865F70">
          <w:pPr>
            <w:pStyle w:val="FirstFooter"/>
            <w:tabs>
              <w:tab w:val="left" w:pos="2302"/>
            </w:tabs>
            <w:rPr>
              <w:sz w:val="18"/>
              <w:szCs w:val="18"/>
              <w:lang w:val="en-US"/>
            </w:rPr>
          </w:pPr>
          <w:r w:rsidRPr="00865F70">
            <w:rPr>
              <w:sz w:val="18"/>
              <w:szCs w:val="18"/>
              <w:lang w:val="en-US"/>
            </w:rPr>
            <w:t>Telecommunication Development Bureau</w:t>
          </w:r>
        </w:p>
      </w:tc>
      <w:bookmarkStart w:id="1" w:name="OrgName"/>
      <w:bookmarkEnd w:id="1"/>
    </w:tr>
    <w:tr w:rsidR="00865F70" w14:paraId="4A8F25A4" w14:textId="77777777" w:rsidTr="008618EE">
      <w:tc>
        <w:tcPr>
          <w:tcW w:w="1527" w:type="dxa"/>
        </w:tcPr>
        <w:p w14:paraId="007E879C" w14:textId="77777777" w:rsidR="00865F70" w:rsidRDefault="00865F70" w:rsidP="00865F70">
          <w:pPr>
            <w:pStyle w:val="FirstFooter"/>
            <w:tabs>
              <w:tab w:val="left" w:pos="1559"/>
              <w:tab w:val="left" w:pos="3828"/>
            </w:tabs>
            <w:rPr>
              <w:sz w:val="20"/>
              <w:lang w:val="en-US"/>
            </w:rPr>
          </w:pPr>
        </w:p>
      </w:tc>
      <w:tc>
        <w:tcPr>
          <w:tcW w:w="2412" w:type="dxa"/>
          <w:hideMark/>
        </w:tcPr>
        <w:p w14:paraId="11252C90" w14:textId="77777777" w:rsidR="00865F70" w:rsidRDefault="00865F70" w:rsidP="00865F70">
          <w:pPr>
            <w:pStyle w:val="FirstFooter"/>
            <w:tabs>
              <w:tab w:val="left" w:pos="2302"/>
            </w:tabs>
            <w:rPr>
              <w:sz w:val="18"/>
              <w:szCs w:val="18"/>
              <w:lang w:val="en-US"/>
            </w:rPr>
          </w:pPr>
          <w:r>
            <w:rPr>
              <w:sz w:val="18"/>
              <w:szCs w:val="18"/>
              <w:lang w:val="en-US"/>
            </w:rPr>
            <w:t>Phone number:</w:t>
          </w:r>
        </w:p>
      </w:tc>
      <w:tc>
        <w:tcPr>
          <w:tcW w:w="5991" w:type="dxa"/>
        </w:tcPr>
        <w:p w14:paraId="5A2B4F54" w14:textId="30860AC8" w:rsidR="00865F70" w:rsidRDefault="00865F70" w:rsidP="00865F70">
          <w:pPr>
            <w:pStyle w:val="FirstFooter"/>
            <w:tabs>
              <w:tab w:val="left" w:pos="2302"/>
            </w:tabs>
            <w:rPr>
              <w:sz w:val="18"/>
              <w:szCs w:val="18"/>
              <w:lang w:val="en-US"/>
            </w:rPr>
          </w:pPr>
          <w:r w:rsidRPr="00523FA7">
            <w:rPr>
              <w:sz w:val="18"/>
              <w:szCs w:val="18"/>
              <w:lang w:val="en-US"/>
            </w:rPr>
            <w:t>+</w:t>
          </w:r>
          <w:r w:rsidRPr="00865F70">
            <w:rPr>
              <w:sz w:val="18"/>
              <w:szCs w:val="18"/>
              <w:lang w:val="en-US"/>
            </w:rPr>
            <w:t>41 22 730 5447</w:t>
          </w:r>
        </w:p>
      </w:tc>
      <w:bookmarkStart w:id="2" w:name="PhoneNo"/>
      <w:bookmarkEnd w:id="2"/>
    </w:tr>
    <w:tr w:rsidR="00865F70" w14:paraId="3FD02984" w14:textId="77777777" w:rsidTr="008618EE">
      <w:tc>
        <w:tcPr>
          <w:tcW w:w="1527" w:type="dxa"/>
        </w:tcPr>
        <w:p w14:paraId="70A3D7BF" w14:textId="77777777" w:rsidR="00865F70" w:rsidRDefault="00865F70" w:rsidP="00865F70">
          <w:pPr>
            <w:pStyle w:val="FirstFooter"/>
            <w:tabs>
              <w:tab w:val="left" w:pos="1559"/>
              <w:tab w:val="left" w:pos="3828"/>
            </w:tabs>
            <w:rPr>
              <w:sz w:val="20"/>
              <w:lang w:val="en-US"/>
            </w:rPr>
          </w:pPr>
        </w:p>
      </w:tc>
      <w:tc>
        <w:tcPr>
          <w:tcW w:w="2412" w:type="dxa"/>
          <w:hideMark/>
        </w:tcPr>
        <w:p w14:paraId="5898AC0D" w14:textId="77777777" w:rsidR="00865F70" w:rsidRDefault="00865F70" w:rsidP="00865F70">
          <w:pPr>
            <w:pStyle w:val="FirstFooter"/>
            <w:tabs>
              <w:tab w:val="left" w:pos="2302"/>
            </w:tabs>
            <w:rPr>
              <w:sz w:val="18"/>
              <w:szCs w:val="18"/>
              <w:lang w:val="en-US"/>
            </w:rPr>
          </w:pPr>
          <w:r>
            <w:rPr>
              <w:sz w:val="18"/>
              <w:szCs w:val="18"/>
              <w:lang w:val="en-US"/>
            </w:rPr>
            <w:t>E-mail:</w:t>
          </w:r>
        </w:p>
      </w:tc>
      <w:tc>
        <w:tcPr>
          <w:tcW w:w="5991" w:type="dxa"/>
        </w:tcPr>
        <w:p w14:paraId="740D5DB0" w14:textId="20EC4324" w:rsidR="00865F70" w:rsidRDefault="000B2DF1" w:rsidP="00865F70">
          <w:pPr>
            <w:pStyle w:val="FirstFooter"/>
            <w:tabs>
              <w:tab w:val="left" w:pos="2302"/>
            </w:tabs>
            <w:rPr>
              <w:sz w:val="18"/>
              <w:szCs w:val="18"/>
              <w:lang w:val="en-US"/>
            </w:rPr>
          </w:pPr>
          <w:hyperlink r:id="rId1" w:history="1">
            <w:r w:rsidR="00865F70" w:rsidRPr="00865F70">
              <w:rPr>
                <w:rStyle w:val="Hyperlink"/>
                <w:sz w:val="18"/>
                <w:szCs w:val="22"/>
              </w:rPr>
              <w:t>cosmas.zavazava@itu.int</w:t>
            </w:r>
          </w:hyperlink>
          <w:r w:rsidR="00865F70" w:rsidRPr="00865F70">
            <w:rPr>
              <w:sz w:val="18"/>
              <w:szCs w:val="22"/>
            </w:rPr>
            <w:t xml:space="preserve"> </w:t>
          </w:r>
        </w:p>
      </w:tc>
      <w:bookmarkStart w:id="3" w:name="Email"/>
      <w:bookmarkEnd w:id="3"/>
    </w:tr>
  </w:tbl>
  <w:p w14:paraId="6F3B9D95" w14:textId="77777777" w:rsidR="00865F70" w:rsidRDefault="00865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7094F" w14:textId="77777777" w:rsidR="00865F70" w:rsidRDefault="00865F70" w:rsidP="00865F70">
      <w:pPr>
        <w:spacing w:after="0" w:line="240" w:lineRule="auto"/>
      </w:pPr>
      <w:r>
        <w:separator/>
      </w:r>
    </w:p>
  </w:footnote>
  <w:footnote w:type="continuationSeparator" w:id="0">
    <w:p w14:paraId="70629F76" w14:textId="77777777" w:rsidR="00865F70" w:rsidRDefault="00865F70" w:rsidP="00865F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2E"/>
    <w:rsid w:val="0000695D"/>
    <w:rsid w:val="000B2DF1"/>
    <w:rsid w:val="004C76EB"/>
    <w:rsid w:val="00634B67"/>
    <w:rsid w:val="00865F70"/>
    <w:rsid w:val="008C262E"/>
    <w:rsid w:val="00A963DD"/>
    <w:rsid w:val="00D149D5"/>
    <w:rsid w:val="00DD355B"/>
    <w:rsid w:val="00E12869"/>
    <w:rsid w:val="00F028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655C"/>
  <w15:chartTrackingRefBased/>
  <w15:docId w15:val="{9982FC18-6ED5-428F-BADC-C1906376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aftertitleChar">
    <w:name w:val="Normal after title Char"/>
    <w:basedOn w:val="DefaultParagraphFont"/>
    <w:link w:val="Normalaftertitle"/>
    <w:locked/>
    <w:rsid w:val="00D149D5"/>
    <w:rPr>
      <w:rFonts w:ascii="Calibri" w:hAnsi="Calibri" w:cs="Calibri"/>
    </w:rPr>
  </w:style>
  <w:style w:type="paragraph" w:customStyle="1" w:styleId="Normalaftertitle">
    <w:name w:val="Normal after title"/>
    <w:basedOn w:val="Normal"/>
    <w:link w:val="NormalaftertitleChar"/>
    <w:rsid w:val="00D149D5"/>
    <w:pPr>
      <w:overflowPunct w:val="0"/>
      <w:autoSpaceDE w:val="0"/>
      <w:autoSpaceDN w:val="0"/>
      <w:spacing w:before="280" w:after="0" w:line="240" w:lineRule="auto"/>
    </w:pPr>
    <w:rPr>
      <w:rFonts w:ascii="Calibri" w:hAnsi="Calibri" w:cs="Calibri"/>
    </w:rPr>
  </w:style>
  <w:style w:type="paragraph" w:styleId="Header">
    <w:name w:val="header"/>
    <w:basedOn w:val="Normal"/>
    <w:link w:val="HeaderChar"/>
    <w:uiPriority w:val="99"/>
    <w:unhideWhenUsed/>
    <w:rsid w:val="00865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F70"/>
  </w:style>
  <w:style w:type="paragraph" w:styleId="Footer">
    <w:name w:val="footer"/>
    <w:basedOn w:val="Normal"/>
    <w:link w:val="FooterChar"/>
    <w:uiPriority w:val="99"/>
    <w:unhideWhenUsed/>
    <w:rsid w:val="00865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F70"/>
  </w:style>
  <w:style w:type="paragraph" w:customStyle="1" w:styleId="FirstFooter">
    <w:name w:val="FirstFooter"/>
    <w:basedOn w:val="Footer"/>
    <w:rsid w:val="00865F70"/>
    <w:pPr>
      <w:tabs>
        <w:tab w:val="clear" w:pos="4513"/>
        <w:tab w:val="clear" w:pos="9026"/>
      </w:tabs>
      <w:spacing w:before="40"/>
    </w:pPr>
    <w:rPr>
      <w:rFonts w:eastAsia="Times New Roman" w:cs="Times New Roman"/>
      <w:sz w:val="16"/>
      <w:szCs w:val="20"/>
      <w:lang w:val="fr-FR"/>
    </w:rPr>
  </w:style>
  <w:style w:type="character" w:styleId="Hyperlink">
    <w:name w:val="Hyperlink"/>
    <w:aliases w:val="CEO_Hyperlink"/>
    <w:basedOn w:val="DefaultParagraphFont"/>
    <w:uiPriority w:val="99"/>
    <w:rsid w:val="00865F70"/>
    <w:rPr>
      <w:color w:val="0563C1" w:themeColor="hyperlink"/>
      <w:u w:val="single"/>
    </w:rPr>
  </w:style>
  <w:style w:type="character" w:styleId="UnresolvedMention">
    <w:name w:val="Unresolved Mention"/>
    <w:basedOn w:val="DefaultParagraphFont"/>
    <w:uiPriority w:val="99"/>
    <w:semiHidden/>
    <w:unhideWhenUsed/>
    <w:rsid w:val="00865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smas.zavazav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Zavazava, Cosmas</dc:creator>
  <cp:keywords/>
  <dc:description/>
  <cp:lastModifiedBy>BDT-nd</cp:lastModifiedBy>
  <cp:revision>7</cp:revision>
  <dcterms:created xsi:type="dcterms:W3CDTF">2020-09-01T10:37:00Z</dcterms:created>
  <dcterms:modified xsi:type="dcterms:W3CDTF">2020-09-11T07:30:00Z</dcterms:modified>
</cp:coreProperties>
</file>