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4961"/>
        <w:gridCol w:w="3651"/>
      </w:tblGrid>
      <w:tr w:rsidR="00683F21" w14:paraId="0DBDEF70" w14:textId="77777777" w:rsidTr="00683F21">
        <w:trPr>
          <w:cantSplit/>
          <w:trHeight w:val="1134"/>
        </w:trPr>
        <w:tc>
          <w:tcPr>
            <w:tcW w:w="9888" w:type="dxa"/>
            <w:gridSpan w:val="3"/>
            <w:tcBorders>
              <w:bottom w:val="single" w:sz="4" w:space="0" w:color="00B0F0"/>
            </w:tcBorders>
          </w:tcPr>
          <w:p w14:paraId="1CB0D30A" w14:textId="77777777" w:rsidR="00683F21" w:rsidRPr="0085753F" w:rsidRDefault="00683F21" w:rsidP="00683F21">
            <w:pPr>
              <w:tabs>
                <w:tab w:val="clear" w:pos="1191"/>
                <w:tab w:val="clear" w:pos="1588"/>
                <w:tab w:val="clear" w:pos="1985"/>
              </w:tabs>
              <w:spacing w:before="240"/>
              <w:ind w:left="34"/>
              <w:rPr>
                <w:b/>
                <w:bCs/>
                <w:sz w:val="32"/>
                <w:szCs w:val="32"/>
              </w:rPr>
            </w:pPr>
            <w:r>
              <w:rPr>
                <w:noProof/>
              </w:rPr>
              <w:drawing>
                <wp:anchor distT="0" distB="0" distL="114300" distR="114300" simplePos="0" relativeHeight="251659264" behindDoc="0" locked="0" layoutInCell="1" allowOverlap="1" wp14:anchorId="542C21BB" wp14:editId="3C16E70A">
                  <wp:simplePos x="0" y="0"/>
                  <wp:positionH relativeFrom="column">
                    <wp:posOffset>21590</wp:posOffset>
                  </wp:positionH>
                  <wp:positionV relativeFrom="paragraph">
                    <wp:posOffset>79375</wp:posOffset>
                  </wp:positionV>
                  <wp:extent cx="838200" cy="838200"/>
                  <wp:effectExtent l="0" t="0" r="0" b="0"/>
                  <wp:wrapSquare wrapText="bothSides"/>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6D2C" w:rsidRPr="0085753F">
              <w:rPr>
                <w:b/>
                <w:bCs/>
                <w:sz w:val="32"/>
                <w:szCs w:val="32"/>
              </w:rPr>
              <w:t xml:space="preserve">TDAG Working Group on </w:t>
            </w:r>
            <w:r w:rsidR="00B66D2C">
              <w:rPr>
                <w:b/>
                <w:bCs/>
                <w:sz w:val="32"/>
                <w:szCs w:val="32"/>
              </w:rPr>
              <w:t>Resolutions, Declaration and Thematic Priorities</w:t>
            </w:r>
          </w:p>
          <w:p w14:paraId="469CF05D" w14:textId="1322E201" w:rsidR="00683F21" w:rsidRPr="00F45B51" w:rsidRDefault="008470D6" w:rsidP="00683F21">
            <w:pPr>
              <w:ind w:right="142"/>
              <w:rPr>
                <w:sz w:val="26"/>
                <w:szCs w:val="26"/>
              </w:rPr>
            </w:pPr>
            <w:r>
              <w:rPr>
                <w:rFonts w:ascii="Calibri" w:hAnsi="Calibri" w:cs="Calibri"/>
                <w:b/>
                <w:bCs/>
                <w:sz w:val="28"/>
                <w:szCs w:val="28"/>
              </w:rPr>
              <w:t>3 March 2021, Virtual</w:t>
            </w:r>
          </w:p>
        </w:tc>
      </w:tr>
      <w:tr w:rsidR="00683C32" w:rsidRPr="00997358" w14:paraId="043D8027" w14:textId="77777777" w:rsidTr="008470D6">
        <w:trPr>
          <w:cantSplit/>
        </w:trPr>
        <w:tc>
          <w:tcPr>
            <w:tcW w:w="6237" w:type="dxa"/>
            <w:gridSpan w:val="2"/>
            <w:tcBorders>
              <w:top w:val="single" w:sz="4" w:space="0" w:color="00B0F0"/>
            </w:tcBorders>
          </w:tcPr>
          <w:p w14:paraId="4A975263" w14:textId="77777777" w:rsidR="00683C32" w:rsidRPr="00997358" w:rsidRDefault="00683C32" w:rsidP="00D20099">
            <w:pPr>
              <w:spacing w:before="0"/>
              <w:ind w:left="34" w:right="-142"/>
              <w:rPr>
                <w:rFonts w:cs="Arial"/>
                <w:b/>
                <w:bCs/>
                <w:sz w:val="20"/>
              </w:rPr>
            </w:pPr>
          </w:p>
        </w:tc>
        <w:tc>
          <w:tcPr>
            <w:tcW w:w="3651" w:type="dxa"/>
            <w:tcBorders>
              <w:top w:val="single" w:sz="4" w:space="0" w:color="00B0F0"/>
            </w:tcBorders>
          </w:tcPr>
          <w:p w14:paraId="2A406A5F" w14:textId="77777777" w:rsidR="00683C32" w:rsidRPr="00997358" w:rsidRDefault="00683C32" w:rsidP="00D20099">
            <w:pPr>
              <w:spacing w:before="0"/>
              <w:ind w:left="34" w:right="-142"/>
              <w:rPr>
                <w:b/>
                <w:bCs/>
                <w:sz w:val="20"/>
              </w:rPr>
            </w:pPr>
          </w:p>
        </w:tc>
      </w:tr>
      <w:tr w:rsidR="00683C32" w:rsidRPr="00CE6D99" w14:paraId="2B4C53DE" w14:textId="77777777" w:rsidTr="008470D6">
        <w:trPr>
          <w:cantSplit/>
        </w:trPr>
        <w:tc>
          <w:tcPr>
            <w:tcW w:w="6237" w:type="dxa"/>
            <w:gridSpan w:val="2"/>
          </w:tcPr>
          <w:p w14:paraId="466A1024" w14:textId="77777777" w:rsidR="00683C32" w:rsidRPr="007F1CC7" w:rsidRDefault="00683C32" w:rsidP="00D20099">
            <w:pPr>
              <w:pStyle w:val="Committee"/>
              <w:spacing w:before="0"/>
              <w:ind w:left="34" w:right="-142"/>
              <w:rPr>
                <w:b w:val="0"/>
                <w:szCs w:val="24"/>
              </w:rPr>
            </w:pPr>
          </w:p>
        </w:tc>
        <w:tc>
          <w:tcPr>
            <w:tcW w:w="3651" w:type="dxa"/>
          </w:tcPr>
          <w:p w14:paraId="6DFA02DA" w14:textId="5C2E8AE4" w:rsidR="00683C32" w:rsidRPr="00CE6D99" w:rsidRDefault="0096201B" w:rsidP="00D20099">
            <w:pPr>
              <w:spacing w:before="0"/>
              <w:ind w:left="34" w:right="-142"/>
              <w:jc w:val="both"/>
              <w:rPr>
                <w:bCs/>
                <w:szCs w:val="24"/>
                <w:lang w:val="es-ES"/>
              </w:rPr>
            </w:pPr>
            <w:r w:rsidRPr="00CE6D99">
              <w:rPr>
                <w:b/>
                <w:bCs/>
                <w:lang w:val="es-ES"/>
              </w:rPr>
              <w:t xml:space="preserve">Document </w:t>
            </w:r>
            <w:bookmarkStart w:id="0" w:name="DocRef1"/>
            <w:bookmarkEnd w:id="0"/>
            <w:r w:rsidR="008470D6">
              <w:rPr>
                <w:rFonts w:ascii="Calibri" w:hAnsi="Calibri" w:cs="Calibri"/>
                <w:b/>
                <w:bCs/>
                <w:szCs w:val="24"/>
                <w:lang w:val="es-ES"/>
              </w:rPr>
              <w:t>TDAG-WG-RDTP/30-E</w:t>
            </w:r>
          </w:p>
        </w:tc>
      </w:tr>
      <w:tr w:rsidR="00683C32" w14:paraId="237A010A" w14:textId="77777777" w:rsidTr="008470D6">
        <w:trPr>
          <w:cantSplit/>
        </w:trPr>
        <w:tc>
          <w:tcPr>
            <w:tcW w:w="6237" w:type="dxa"/>
            <w:gridSpan w:val="2"/>
          </w:tcPr>
          <w:p w14:paraId="2A3A2A11" w14:textId="77777777" w:rsidR="00683C32" w:rsidRPr="00CE6D99" w:rsidRDefault="00683C32" w:rsidP="00D20099">
            <w:pPr>
              <w:spacing w:before="0"/>
              <w:ind w:left="34" w:right="-142"/>
              <w:rPr>
                <w:b/>
                <w:bCs/>
                <w:smallCaps/>
                <w:szCs w:val="24"/>
                <w:lang w:val="es-ES"/>
              </w:rPr>
            </w:pPr>
          </w:p>
        </w:tc>
        <w:tc>
          <w:tcPr>
            <w:tcW w:w="3651" w:type="dxa"/>
          </w:tcPr>
          <w:p w14:paraId="146C8D6B" w14:textId="24887519" w:rsidR="00683C32" w:rsidRPr="007F1CC7" w:rsidRDefault="008567D7" w:rsidP="00D20099">
            <w:pPr>
              <w:spacing w:before="0"/>
              <w:ind w:left="34" w:right="-142"/>
              <w:rPr>
                <w:b/>
                <w:szCs w:val="24"/>
              </w:rPr>
            </w:pPr>
            <w:bookmarkStart w:id="1" w:name="CreationDate"/>
            <w:bookmarkEnd w:id="1"/>
            <w:r>
              <w:rPr>
                <w:b/>
                <w:szCs w:val="24"/>
              </w:rPr>
              <w:t>2</w:t>
            </w:r>
            <w:r w:rsidR="00DE541F">
              <w:rPr>
                <w:b/>
                <w:szCs w:val="24"/>
              </w:rPr>
              <w:t>0</w:t>
            </w:r>
            <w:bookmarkStart w:id="2" w:name="_GoBack"/>
            <w:bookmarkEnd w:id="2"/>
            <w:r w:rsidR="003522A4">
              <w:rPr>
                <w:b/>
                <w:szCs w:val="24"/>
              </w:rPr>
              <w:t xml:space="preserve"> February </w:t>
            </w:r>
            <w:r w:rsidR="008470D6">
              <w:rPr>
                <w:b/>
                <w:szCs w:val="24"/>
              </w:rPr>
              <w:t>2021</w:t>
            </w:r>
          </w:p>
        </w:tc>
      </w:tr>
      <w:tr w:rsidR="00683C32" w14:paraId="36186DF9" w14:textId="77777777" w:rsidTr="008470D6">
        <w:trPr>
          <w:cantSplit/>
        </w:trPr>
        <w:tc>
          <w:tcPr>
            <w:tcW w:w="6237" w:type="dxa"/>
            <w:gridSpan w:val="2"/>
          </w:tcPr>
          <w:p w14:paraId="1A8694D5" w14:textId="77777777" w:rsidR="00683C32" w:rsidRPr="007F1CC7" w:rsidRDefault="00683C32" w:rsidP="00D20099">
            <w:pPr>
              <w:spacing w:before="0"/>
              <w:ind w:left="34" w:right="-142"/>
              <w:rPr>
                <w:b/>
                <w:bCs/>
                <w:smallCaps/>
                <w:szCs w:val="24"/>
              </w:rPr>
            </w:pPr>
          </w:p>
        </w:tc>
        <w:tc>
          <w:tcPr>
            <w:tcW w:w="3651" w:type="dxa"/>
          </w:tcPr>
          <w:p w14:paraId="38086BB2" w14:textId="3F7C7002" w:rsidR="00514D2F" w:rsidRPr="007F1CC7" w:rsidRDefault="003522A4" w:rsidP="00D20099">
            <w:pPr>
              <w:spacing w:before="0"/>
              <w:ind w:left="34" w:right="-142"/>
              <w:rPr>
                <w:szCs w:val="24"/>
              </w:rPr>
            </w:pPr>
            <w:bookmarkStart w:id="3" w:name="Original"/>
            <w:bookmarkEnd w:id="3"/>
            <w:r>
              <w:rPr>
                <w:b/>
              </w:rPr>
              <w:t>English</w:t>
            </w:r>
            <w:r w:rsidR="003462CA">
              <w:rPr>
                <w:b/>
              </w:rPr>
              <w:t xml:space="preserve"> only</w:t>
            </w:r>
          </w:p>
        </w:tc>
      </w:tr>
      <w:tr w:rsidR="008470D6" w14:paraId="1DF66609" w14:textId="77777777" w:rsidTr="008470D6">
        <w:trPr>
          <w:cantSplit/>
        </w:trPr>
        <w:tc>
          <w:tcPr>
            <w:tcW w:w="1276" w:type="dxa"/>
          </w:tcPr>
          <w:p w14:paraId="623FA8EB" w14:textId="2213207B" w:rsidR="008470D6" w:rsidRPr="008470D6" w:rsidRDefault="008470D6" w:rsidP="008470D6">
            <w:pPr>
              <w:pStyle w:val="Source"/>
              <w:spacing w:before="80" w:after="80"/>
              <w:ind w:right="-142"/>
              <w:jc w:val="left"/>
              <w:rPr>
                <w:sz w:val="24"/>
                <w:szCs w:val="24"/>
              </w:rPr>
            </w:pPr>
            <w:r w:rsidRPr="008470D6">
              <w:rPr>
                <w:rFonts w:ascii="Calibri" w:hAnsi="Calibri" w:cs="Calibri"/>
                <w:sz w:val="24"/>
                <w:szCs w:val="24"/>
                <w:lang w:val="en-US"/>
              </w:rPr>
              <w:t>Source:</w:t>
            </w:r>
          </w:p>
        </w:tc>
        <w:tc>
          <w:tcPr>
            <w:tcW w:w="8612" w:type="dxa"/>
            <w:gridSpan w:val="2"/>
            <w:vAlign w:val="center"/>
          </w:tcPr>
          <w:p w14:paraId="3F4039CE" w14:textId="6D943E8E" w:rsidR="008470D6" w:rsidRPr="008470D6" w:rsidRDefault="008470D6" w:rsidP="008470D6">
            <w:pPr>
              <w:pStyle w:val="Source"/>
              <w:spacing w:before="80" w:after="80"/>
              <w:jc w:val="left"/>
              <w:rPr>
                <w:b w:val="0"/>
                <w:bCs/>
                <w:sz w:val="24"/>
                <w:szCs w:val="24"/>
              </w:rPr>
            </w:pPr>
            <w:bookmarkStart w:id="4" w:name="Source"/>
            <w:bookmarkEnd w:id="4"/>
            <w:r>
              <w:rPr>
                <w:b w:val="0"/>
                <w:bCs/>
                <w:sz w:val="24"/>
                <w:szCs w:val="24"/>
              </w:rPr>
              <w:t xml:space="preserve">European Conference of Postal and Telecommunications </w:t>
            </w:r>
            <w:r w:rsidR="008567D7">
              <w:rPr>
                <w:b w:val="0"/>
                <w:bCs/>
                <w:sz w:val="24"/>
                <w:szCs w:val="24"/>
              </w:rPr>
              <w:t>Administrations</w:t>
            </w:r>
          </w:p>
        </w:tc>
      </w:tr>
      <w:tr w:rsidR="008470D6" w:rsidRPr="002E6963" w14:paraId="22DB934D" w14:textId="77777777" w:rsidTr="00683F21">
        <w:trPr>
          <w:cantSplit/>
        </w:trPr>
        <w:tc>
          <w:tcPr>
            <w:tcW w:w="1276" w:type="dxa"/>
            <w:tcBorders>
              <w:bottom w:val="single" w:sz="4" w:space="0" w:color="00B0F0"/>
            </w:tcBorders>
          </w:tcPr>
          <w:p w14:paraId="10B524B7" w14:textId="56B5F22C" w:rsidR="008470D6" w:rsidRPr="008470D6" w:rsidRDefault="008470D6" w:rsidP="008470D6">
            <w:pPr>
              <w:spacing w:before="80" w:after="80"/>
              <w:ind w:left="34" w:right="-142"/>
              <w:rPr>
                <w:b/>
                <w:szCs w:val="24"/>
              </w:rPr>
            </w:pPr>
            <w:r w:rsidRPr="008470D6">
              <w:rPr>
                <w:rFonts w:ascii="Calibri" w:hAnsi="Calibri" w:cs="Calibri"/>
                <w:b/>
                <w:szCs w:val="24"/>
                <w:lang w:val="en-US"/>
              </w:rPr>
              <w:t>Title:</w:t>
            </w:r>
          </w:p>
        </w:tc>
        <w:tc>
          <w:tcPr>
            <w:tcW w:w="8612" w:type="dxa"/>
            <w:gridSpan w:val="2"/>
            <w:tcBorders>
              <w:bottom w:val="single" w:sz="4" w:space="0" w:color="00B0F0"/>
            </w:tcBorders>
          </w:tcPr>
          <w:p w14:paraId="104E31DD" w14:textId="6D667380" w:rsidR="008470D6" w:rsidRPr="008470D6" w:rsidRDefault="008470D6" w:rsidP="008470D6">
            <w:pPr>
              <w:spacing w:before="80" w:after="80"/>
              <w:ind w:left="34" w:right="-142"/>
              <w:rPr>
                <w:szCs w:val="24"/>
              </w:rPr>
            </w:pPr>
            <w:bookmarkStart w:id="5" w:name="Title"/>
            <w:bookmarkEnd w:id="5"/>
            <w:r w:rsidRPr="008470D6">
              <w:rPr>
                <w:szCs w:val="24"/>
              </w:rPr>
              <w:t>On Resolution 1</w:t>
            </w:r>
          </w:p>
        </w:tc>
      </w:tr>
    </w:tbl>
    <w:p w14:paraId="5CAEA44C" w14:textId="77777777" w:rsidR="00AC6F14" w:rsidRDefault="00AC6F14" w:rsidP="00D20099">
      <w:pPr>
        <w:ind w:left="34" w:right="-142"/>
      </w:pPr>
    </w:p>
    <w:p w14:paraId="51883840" w14:textId="77777777" w:rsidR="008470D6" w:rsidRDefault="008470D6" w:rsidP="008470D6">
      <w:pPr>
        <w:spacing w:after="120"/>
        <w:rPr>
          <w:szCs w:val="24"/>
        </w:rPr>
      </w:pPr>
      <w:bookmarkStart w:id="6" w:name="Proposal"/>
      <w:bookmarkEnd w:id="6"/>
      <w:r>
        <w:rPr>
          <w:szCs w:val="24"/>
        </w:rPr>
        <w:t xml:space="preserve">CEPT Com-ITU highly supports the overall approach of streamlining the resolutions to avoid possible duplications, too lengthy or complicated texts. The documents should be simple and comprehensible to serve their initial purpose. In this regard, we welcome </w:t>
      </w:r>
      <w:r>
        <w:rPr>
          <w:rFonts w:cstheme="minorHAnsi"/>
          <w:bCs/>
          <w:szCs w:val="24"/>
        </w:rPr>
        <w:t xml:space="preserve">the efforts of Russian Federation to review and significantly streamline </w:t>
      </w:r>
      <w:r>
        <w:rPr>
          <w:rFonts w:cstheme="minorHAnsi"/>
          <w:b/>
          <w:bCs/>
          <w:color w:val="000000"/>
          <w:szCs w:val="24"/>
          <w:shd w:val="clear" w:color="auto" w:fill="FFFFFF"/>
        </w:rPr>
        <w:t xml:space="preserve">Resolution 1 </w:t>
      </w:r>
      <w:r>
        <w:rPr>
          <w:rFonts w:cstheme="minorHAnsi"/>
          <w:color w:val="000000"/>
          <w:szCs w:val="24"/>
          <w:shd w:val="clear" w:color="auto" w:fill="FFFFFF"/>
        </w:rPr>
        <w:t xml:space="preserve">(Rev. Buenos Aires, 2017) of WTDC on the </w:t>
      </w:r>
      <w:r>
        <w:rPr>
          <w:rFonts w:cstheme="minorHAnsi"/>
          <w:bCs/>
          <w:color w:val="000000"/>
          <w:szCs w:val="24"/>
          <w:shd w:val="clear" w:color="auto" w:fill="FFFFFF"/>
        </w:rPr>
        <w:t>rules of procedure of the ITU Telecommunication Development Sector</w:t>
      </w:r>
      <w:r>
        <w:rPr>
          <w:rFonts w:cstheme="minorHAnsi"/>
          <w:color w:val="000000"/>
          <w:szCs w:val="24"/>
        </w:rPr>
        <w:t xml:space="preserve"> as presented in the </w:t>
      </w:r>
      <w:r>
        <w:rPr>
          <w:rFonts w:cstheme="minorHAnsi"/>
          <w:color w:val="000000"/>
          <w:szCs w:val="24"/>
          <w:shd w:val="clear" w:color="auto" w:fill="FFFFFF"/>
        </w:rPr>
        <w:t xml:space="preserve">Document </w:t>
      </w:r>
      <w:hyperlink r:id="rId9" w:history="1">
        <w:r>
          <w:rPr>
            <w:rStyle w:val="Hyperlink"/>
            <w:rFonts w:cstheme="minorHAnsi"/>
            <w:szCs w:val="24"/>
          </w:rPr>
          <w:t>TDAG-WG-RDTP/14</w:t>
        </w:r>
      </w:hyperlink>
      <w:r>
        <w:rPr>
          <w:rStyle w:val="Hyperlink"/>
          <w:rFonts w:cstheme="minorHAnsi"/>
          <w:szCs w:val="24"/>
        </w:rPr>
        <w:t xml:space="preserve">. </w:t>
      </w:r>
    </w:p>
    <w:p w14:paraId="71E2CB09" w14:textId="77777777" w:rsidR="008470D6" w:rsidRDefault="008470D6" w:rsidP="008470D6">
      <w:pPr>
        <w:tabs>
          <w:tab w:val="left" w:pos="567"/>
          <w:tab w:val="left" w:pos="1134"/>
          <w:tab w:val="left" w:pos="1701"/>
          <w:tab w:val="left" w:pos="2268"/>
        </w:tabs>
        <w:spacing w:after="120"/>
        <w:rPr>
          <w:rFonts w:cstheme="minorHAnsi"/>
          <w:szCs w:val="24"/>
        </w:rPr>
      </w:pPr>
      <w:r>
        <w:rPr>
          <w:rFonts w:cstheme="minorHAnsi"/>
          <w:szCs w:val="24"/>
        </w:rPr>
        <w:t xml:space="preserve">Yet, we take the opportunity to reiterate the request to delete the proposed addition “ITU-D contribution to the draft ITU strategic plan” from Resolution 1 (Section </w:t>
      </w:r>
      <w:r>
        <w:rPr>
          <w:rFonts w:cstheme="minorHAnsi"/>
          <w:szCs w:val="24"/>
          <w:lang w:val="en-US"/>
        </w:rPr>
        <w:t>1, paragraph 1.1. g)</w:t>
      </w:r>
      <w:r>
        <w:rPr>
          <w:rFonts w:cstheme="minorHAnsi"/>
          <w:szCs w:val="24"/>
        </w:rPr>
        <w:t>.</w:t>
      </w:r>
    </w:p>
    <w:p w14:paraId="249405AB" w14:textId="77777777" w:rsidR="008470D6" w:rsidRDefault="008470D6" w:rsidP="008470D6">
      <w:pPr>
        <w:tabs>
          <w:tab w:val="left" w:pos="567"/>
          <w:tab w:val="left" w:pos="1134"/>
          <w:tab w:val="left" w:pos="1701"/>
          <w:tab w:val="left" w:pos="2268"/>
        </w:tabs>
        <w:spacing w:after="120"/>
        <w:rPr>
          <w:rFonts w:cstheme="minorHAnsi"/>
          <w:szCs w:val="24"/>
        </w:rPr>
      </w:pPr>
      <w:r>
        <w:rPr>
          <w:rFonts w:cstheme="minorHAnsi"/>
          <w:szCs w:val="24"/>
        </w:rPr>
        <w:t xml:space="preserve">Understanding the great importance of ITU-D contribution to the draft ITU strategic plan, the TDAG established the Working Group on Strategic and Operational Plans (TDAG-WG-SOP).  TDAG-WG-SOP had agreed that the ITU-D contribution to the ITU strategic plan would be developed through the Council Working Group on the Strategic Plan. This would be the same procedure as applied by other Sectors. In its meeting on 23 November 2020, TDAG had </w:t>
      </w:r>
      <w:r>
        <w:rPr>
          <w:rFonts w:cstheme="minorHAnsi"/>
          <w:iCs/>
          <w:szCs w:val="24"/>
          <w:bdr w:val="none" w:sz="0" w:space="0" w:color="auto" w:frame="1"/>
          <w:shd w:val="clear" w:color="auto" w:fill="FFFFFF"/>
        </w:rPr>
        <w:t>endorsed this proposal</w:t>
      </w:r>
      <w:r>
        <w:rPr>
          <w:rFonts w:cstheme="minorHAnsi"/>
          <w:szCs w:val="24"/>
        </w:rPr>
        <w:t xml:space="preserve"> and it had been agreed that </w:t>
      </w:r>
      <w:r>
        <w:rPr>
          <w:rFonts w:cstheme="minorHAnsi"/>
          <w:b/>
          <w:bCs/>
          <w:szCs w:val="24"/>
        </w:rPr>
        <w:t>“</w:t>
      </w:r>
      <w:r>
        <w:rPr>
          <w:rFonts w:cstheme="minorHAnsi"/>
          <w:i/>
          <w:iCs/>
          <w:szCs w:val="24"/>
          <w:lang w:eastAsia="en-GB"/>
        </w:rPr>
        <w:t>TDAG would review, progress and endorse the ITU-D component of the ITU Strategic Plan along its course to Council and the Plenipotentiary Conference, rather than undertaking this activity at WTDC-21</w:t>
      </w:r>
      <w:r>
        <w:rPr>
          <w:rFonts w:cstheme="minorHAnsi"/>
          <w:szCs w:val="24"/>
          <w:lang w:eastAsia="en-GB"/>
        </w:rPr>
        <w:t>“</w:t>
      </w:r>
      <w:r>
        <w:rPr>
          <w:rFonts w:cstheme="minorHAnsi"/>
          <w:szCs w:val="24"/>
        </w:rPr>
        <w:t xml:space="preserve"> (</w:t>
      </w:r>
      <w:r>
        <w:rPr>
          <w:szCs w:val="24"/>
        </w:rPr>
        <w:t>Document TDAG-20/3/7)</w:t>
      </w:r>
      <w:r>
        <w:rPr>
          <w:rFonts w:cstheme="minorHAnsi"/>
          <w:szCs w:val="24"/>
        </w:rPr>
        <w:t xml:space="preserve">. Moreover, TDAG agreed that these changes shall be reflected in Resolution 1 and Resolution 24 accordingly, also, that “this course of action would allow more time to prepare the ITU-D component of the overall ITU strategic plan; pave the way for a one-ITU approach in the production of the strategic plan of the entire Union through the Council Working Group; and improve linkages with the action plan from WTDC”. </w:t>
      </w:r>
    </w:p>
    <w:p w14:paraId="5DAA2C17" w14:textId="5B8EA56B" w:rsidR="008470D6" w:rsidRDefault="008470D6" w:rsidP="008470D6">
      <w:pPr>
        <w:tabs>
          <w:tab w:val="left" w:pos="567"/>
          <w:tab w:val="left" w:pos="1134"/>
          <w:tab w:val="left" w:pos="1701"/>
          <w:tab w:val="left" w:pos="2268"/>
        </w:tabs>
        <w:spacing w:after="120"/>
        <w:rPr>
          <w:rFonts w:cstheme="minorHAnsi"/>
          <w:szCs w:val="24"/>
        </w:rPr>
      </w:pPr>
      <w:r>
        <w:rPr>
          <w:rFonts w:cstheme="minorHAnsi"/>
          <w:szCs w:val="24"/>
        </w:rPr>
        <w:t xml:space="preserve">It shall be noted that this approach would not preclude the Membership from their inputs into this important task as WTDC is not the only possibility to contribute. This may be done when participating in the work of relevant groups (TDAG-WG-SOP, TDAG, etc). The BDT has prepared the information document on </w:t>
      </w:r>
      <w:hyperlink r:id="rId10" w:history="1">
        <w:r>
          <w:rPr>
            <w:rStyle w:val="Hyperlink"/>
            <w:rFonts w:cstheme="minorHAnsi"/>
            <w:szCs w:val="24"/>
            <w:shd w:val="clear" w:color="auto" w:fill="FFFFFF"/>
          </w:rPr>
          <w:t>ITU Strategic Plan Workflow</w:t>
        </w:r>
      </w:hyperlink>
      <w:r>
        <w:rPr>
          <w:lang w:val="en-US"/>
        </w:rPr>
        <w:t xml:space="preserve"> (Document TDAG-20/3/INF/</w:t>
      </w:r>
      <w:r w:rsidRPr="008470D6">
        <w:rPr>
          <w:lang w:val="en-US"/>
        </w:rPr>
        <w:t>5)</w:t>
      </w:r>
      <w:r>
        <w:rPr>
          <w:rFonts w:cstheme="minorHAnsi"/>
          <w:color w:val="000000"/>
          <w:szCs w:val="24"/>
          <w:shd w:val="clear" w:color="auto" w:fill="FFFFFF"/>
        </w:rPr>
        <w:t xml:space="preserve">, which </w:t>
      </w:r>
      <w:r>
        <w:rPr>
          <w:rFonts w:cstheme="minorHAnsi"/>
          <w:szCs w:val="24"/>
        </w:rPr>
        <w:t>clarifies the timelines for member proposals on the ITU-D component of the ITU strategic plan, and the necessary steps and key deadlines for contributions. All members have been invited to actively participate in this important task, and have all the possibilities to do so.</w:t>
      </w:r>
    </w:p>
    <w:p w14:paraId="11B126DA" w14:textId="77777777" w:rsidR="002770B1" w:rsidRDefault="003C58BF" w:rsidP="00D20099">
      <w:pPr>
        <w:tabs>
          <w:tab w:val="clear" w:pos="794"/>
          <w:tab w:val="clear" w:pos="1191"/>
          <w:tab w:val="clear" w:pos="1588"/>
          <w:tab w:val="clear" w:pos="1985"/>
        </w:tabs>
        <w:spacing w:after="120"/>
        <w:ind w:left="34" w:right="-142"/>
        <w:jc w:val="center"/>
      </w:pPr>
      <w:r>
        <w:t>____________</w:t>
      </w:r>
      <w:r w:rsidR="004122C5">
        <w:t>_</w:t>
      </w:r>
      <w:r w:rsidR="00922EC1">
        <w:t>_</w:t>
      </w:r>
    </w:p>
    <w:sectPr w:rsidR="002770B1" w:rsidSect="00D20099">
      <w:headerReference w:type="default" r:id="rId11"/>
      <w:footerReference w:type="default" r:id="rId12"/>
      <w:footerReference w:type="first" r:id="rId13"/>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86E5C" w14:textId="77777777" w:rsidR="003522A4" w:rsidRDefault="003522A4">
      <w:r>
        <w:separator/>
      </w:r>
    </w:p>
  </w:endnote>
  <w:endnote w:type="continuationSeparator" w:id="0">
    <w:p w14:paraId="1DA13E52" w14:textId="77777777" w:rsidR="003522A4" w:rsidRDefault="0035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30AB9" w14:textId="77777777" w:rsidR="00721657" w:rsidRPr="00A525CC" w:rsidRDefault="00721657" w:rsidP="00A525CC">
    <w:pPr>
      <w:pStyle w:val="Footer"/>
      <w:rPr>
        <w:caps w:val="0"/>
        <w:sz w:val="18"/>
        <w:szCs w:val="18"/>
        <w:lang w:val="en-US"/>
      </w:rPr>
    </w:pPr>
    <w:r w:rsidRPr="003125C3">
      <w:rPr>
        <w:caps w:val="0"/>
        <w:sz w:val="18"/>
        <w:szCs w:val="18"/>
      </w:rPr>
      <w:fldChar w:fldCharType="begin"/>
    </w:r>
    <w:r w:rsidRPr="00A525CC">
      <w:rPr>
        <w:caps w:val="0"/>
        <w:sz w:val="18"/>
        <w:szCs w:val="18"/>
        <w:lang w:val="en-US"/>
      </w:rPr>
      <w:instrText xml:space="preserve"> FILENAME \p \* MERGEFORMAT </w:instrText>
    </w:r>
    <w:r w:rsidRPr="003125C3">
      <w:rPr>
        <w:caps w:val="0"/>
        <w:sz w:val="18"/>
        <w:szCs w:val="18"/>
      </w:rPr>
      <w:fldChar w:fldCharType="separate"/>
    </w:r>
    <w:r w:rsidR="003522A4">
      <w:rPr>
        <w:caps w:val="0"/>
        <w:sz w:val="18"/>
        <w:szCs w:val="18"/>
        <w:lang w:val="en-US"/>
      </w:rPr>
      <w:t>Document1</w:t>
    </w:r>
    <w:r w:rsidRPr="003125C3">
      <w:rPr>
        <w:caps w:val="0"/>
        <w:sz w:val="18"/>
        <w:szCs w:val="18"/>
        <w:lang w:val="en-US"/>
      </w:rPr>
      <w:fldChar w:fldCharType="end"/>
    </w:r>
    <w:r w:rsidR="00C62DE8" w:rsidRPr="00A525CC">
      <w:rPr>
        <w:caps w:val="0"/>
        <w:sz w:val="18"/>
        <w:szCs w:val="18"/>
        <w:lang w:val="en-US"/>
      </w:rPr>
      <w:tab/>
    </w:r>
    <w:r w:rsidRPr="00A525CC">
      <w:rPr>
        <w:caps w:val="0"/>
        <w:sz w:val="18"/>
        <w:szCs w:val="18"/>
        <w:lang w:val="en-US"/>
      </w:rPr>
      <w:tab/>
    </w:r>
    <w:r w:rsidR="00A525CC">
      <w:rPr>
        <w:caps w:val="0"/>
        <w:sz w:val="18"/>
        <w:szCs w:val="18"/>
        <w:lang w:val="en-US"/>
      </w:rPr>
      <w:t>07</w:t>
    </w:r>
    <w:r w:rsidR="00777265" w:rsidRPr="00A525CC">
      <w:rPr>
        <w:caps w:val="0"/>
        <w:sz w:val="18"/>
        <w:szCs w:val="18"/>
        <w:lang w:val="en-US"/>
      </w:rPr>
      <w:t>.</w:t>
    </w:r>
    <w:r w:rsidR="00A525CC">
      <w:rPr>
        <w:caps w:val="0"/>
        <w:sz w:val="18"/>
        <w:szCs w:val="18"/>
        <w:lang w:val="en-US"/>
      </w:rPr>
      <w:t>0</w:t>
    </w:r>
    <w:r w:rsidR="00C62DE8" w:rsidRPr="00A525CC">
      <w:rPr>
        <w:caps w:val="0"/>
        <w:sz w:val="18"/>
        <w:szCs w:val="18"/>
        <w:lang w:val="en-US"/>
      </w:rPr>
      <w:t>1</w:t>
    </w:r>
    <w:r w:rsidR="00777265" w:rsidRPr="00A525CC">
      <w:rPr>
        <w:caps w:val="0"/>
        <w:sz w:val="18"/>
        <w:szCs w:val="18"/>
        <w:lang w:val="en-US"/>
      </w:rPr>
      <w:t>.201</w:t>
    </w:r>
    <w:r w:rsidR="00A525CC">
      <w:rPr>
        <w:caps w:val="0"/>
        <w:sz w:val="18"/>
        <w:szCs w:val="18"/>
        <w:lang w:val="en-U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06061C" w:rsidRPr="004D495C" w14:paraId="5EEF3C68" w14:textId="77777777" w:rsidTr="00CF44F0">
      <w:tc>
        <w:tcPr>
          <w:tcW w:w="1526" w:type="dxa"/>
          <w:tcBorders>
            <w:top w:val="single" w:sz="4" w:space="0" w:color="000000"/>
          </w:tcBorders>
          <w:shd w:val="clear" w:color="auto" w:fill="auto"/>
        </w:tcPr>
        <w:p w14:paraId="706766A9" w14:textId="77777777" w:rsidR="0006061C" w:rsidRPr="004D495C" w:rsidRDefault="0006061C" w:rsidP="0006061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9DA4EA4" w14:textId="77777777" w:rsidR="0006061C" w:rsidRPr="004D495C" w:rsidRDefault="0006061C" w:rsidP="0006061C">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5707BD1F" w14:textId="216063BD" w:rsidR="0006061C" w:rsidRPr="00255A4F" w:rsidRDefault="008470D6" w:rsidP="008470D6">
          <w:pPr>
            <w:pStyle w:val="FirstFooter"/>
            <w:tabs>
              <w:tab w:val="left" w:pos="2302"/>
            </w:tabs>
            <w:rPr>
              <w:sz w:val="18"/>
              <w:szCs w:val="18"/>
              <w:lang w:val="en-US"/>
            </w:rPr>
          </w:pPr>
          <w:bookmarkStart w:id="9" w:name="OrgName"/>
          <w:bookmarkEnd w:id="9"/>
          <w:r>
            <w:rPr>
              <w:sz w:val="18"/>
              <w:szCs w:val="18"/>
              <w:lang w:val="en-US"/>
            </w:rPr>
            <w:t xml:space="preserve">Ms </w:t>
          </w:r>
          <w:r w:rsidR="003522A4">
            <w:rPr>
              <w:sz w:val="18"/>
              <w:szCs w:val="18"/>
              <w:lang w:val="en-US"/>
            </w:rPr>
            <w:t>Inga Rimkeviciene, Lithuania (Republic of), Communications Regulatory Authority</w:t>
          </w:r>
          <w:r>
            <w:rPr>
              <w:sz w:val="18"/>
              <w:szCs w:val="18"/>
              <w:lang w:val="en-US"/>
            </w:rPr>
            <w:t xml:space="preserve">, </w:t>
          </w:r>
          <w:r w:rsidRPr="008470D6">
            <w:rPr>
              <w:sz w:val="18"/>
              <w:szCs w:val="18"/>
              <w:lang w:val="en-US"/>
            </w:rPr>
            <w:t>Lithuania</w:t>
          </w:r>
        </w:p>
      </w:tc>
    </w:tr>
    <w:tr w:rsidR="0006061C" w:rsidRPr="004D495C" w14:paraId="5F3A7EEC" w14:textId="77777777" w:rsidTr="00CF44F0">
      <w:tc>
        <w:tcPr>
          <w:tcW w:w="1526" w:type="dxa"/>
          <w:shd w:val="clear" w:color="auto" w:fill="auto"/>
        </w:tcPr>
        <w:p w14:paraId="1AED3C13" w14:textId="77777777" w:rsidR="0006061C" w:rsidRPr="004D495C" w:rsidRDefault="0006061C" w:rsidP="0006061C">
          <w:pPr>
            <w:pStyle w:val="FirstFooter"/>
            <w:tabs>
              <w:tab w:val="left" w:pos="1559"/>
              <w:tab w:val="left" w:pos="3828"/>
            </w:tabs>
            <w:rPr>
              <w:sz w:val="20"/>
              <w:lang w:val="en-US"/>
            </w:rPr>
          </w:pPr>
        </w:p>
      </w:tc>
      <w:tc>
        <w:tcPr>
          <w:tcW w:w="2410" w:type="dxa"/>
          <w:shd w:val="clear" w:color="auto" w:fill="auto"/>
        </w:tcPr>
        <w:p w14:paraId="1A2653A9" w14:textId="77777777" w:rsidR="0006061C" w:rsidRPr="004D495C" w:rsidRDefault="0006061C" w:rsidP="0006061C">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4B643B0F" w14:textId="10234940" w:rsidR="0006061C" w:rsidRPr="001647C3" w:rsidRDefault="003522A4" w:rsidP="0006061C">
          <w:pPr>
            <w:pStyle w:val="FirstFooter"/>
            <w:tabs>
              <w:tab w:val="left" w:pos="2302"/>
            </w:tabs>
            <w:rPr>
              <w:sz w:val="18"/>
              <w:szCs w:val="18"/>
              <w:lang w:val="en-US"/>
            </w:rPr>
          </w:pPr>
          <w:bookmarkStart w:id="10" w:name="PhoneNo"/>
          <w:bookmarkEnd w:id="10"/>
          <w:r>
            <w:rPr>
              <w:sz w:val="18"/>
              <w:szCs w:val="18"/>
              <w:lang w:val="en-US"/>
            </w:rPr>
            <w:t>+37061643452</w:t>
          </w:r>
        </w:p>
      </w:tc>
    </w:tr>
    <w:tr w:rsidR="0006061C" w:rsidRPr="004D495C" w14:paraId="4DAA2FFD" w14:textId="77777777" w:rsidTr="00CF44F0">
      <w:tc>
        <w:tcPr>
          <w:tcW w:w="1526" w:type="dxa"/>
          <w:shd w:val="clear" w:color="auto" w:fill="auto"/>
        </w:tcPr>
        <w:p w14:paraId="622400B8" w14:textId="77777777" w:rsidR="0006061C" w:rsidRPr="004D495C" w:rsidRDefault="0006061C" w:rsidP="0006061C">
          <w:pPr>
            <w:pStyle w:val="FirstFooter"/>
            <w:tabs>
              <w:tab w:val="left" w:pos="1559"/>
              <w:tab w:val="left" w:pos="3828"/>
            </w:tabs>
            <w:rPr>
              <w:sz w:val="20"/>
              <w:lang w:val="en-US"/>
            </w:rPr>
          </w:pPr>
        </w:p>
      </w:tc>
      <w:tc>
        <w:tcPr>
          <w:tcW w:w="2410" w:type="dxa"/>
          <w:shd w:val="clear" w:color="auto" w:fill="auto"/>
        </w:tcPr>
        <w:p w14:paraId="1A3C7CA5" w14:textId="77777777" w:rsidR="0006061C" w:rsidRPr="004D495C" w:rsidRDefault="0006061C" w:rsidP="0006061C">
          <w:pPr>
            <w:pStyle w:val="FirstFooter"/>
            <w:tabs>
              <w:tab w:val="left" w:pos="2302"/>
            </w:tabs>
            <w:rPr>
              <w:sz w:val="18"/>
              <w:szCs w:val="18"/>
              <w:lang w:val="en-US"/>
            </w:rPr>
          </w:pPr>
          <w:r w:rsidRPr="004D495C">
            <w:rPr>
              <w:sz w:val="18"/>
              <w:szCs w:val="18"/>
              <w:lang w:val="en-US"/>
            </w:rPr>
            <w:t>E-mail:</w:t>
          </w:r>
        </w:p>
      </w:tc>
      <w:bookmarkStart w:id="11" w:name="Email"/>
      <w:bookmarkEnd w:id="11"/>
      <w:tc>
        <w:tcPr>
          <w:tcW w:w="5987" w:type="dxa"/>
          <w:shd w:val="clear" w:color="auto" w:fill="auto"/>
        </w:tcPr>
        <w:p w14:paraId="1D868BB4" w14:textId="73CB3562" w:rsidR="0006061C" w:rsidRPr="001647C3" w:rsidRDefault="008470D6" w:rsidP="0006061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"mailto:inga.rimkeviciene@rrt.lt" </w:instrText>
          </w:r>
          <w:r>
            <w:rPr>
              <w:sz w:val="18"/>
              <w:szCs w:val="18"/>
              <w:lang w:val="en-US"/>
            </w:rPr>
            <w:fldChar w:fldCharType="separate"/>
          </w:r>
          <w:r w:rsidRPr="00A76E8D">
            <w:rPr>
              <w:rStyle w:val="Hyperlink"/>
              <w:sz w:val="18"/>
              <w:szCs w:val="18"/>
              <w:lang w:val="en-US"/>
            </w:rPr>
            <w:t>inga.rimkeviciene@rrt.lt</w:t>
          </w:r>
          <w:r>
            <w:rPr>
              <w:sz w:val="18"/>
              <w:szCs w:val="18"/>
              <w:lang w:val="en-US"/>
            </w:rPr>
            <w:fldChar w:fldCharType="end"/>
          </w:r>
          <w:r>
            <w:rPr>
              <w:sz w:val="18"/>
              <w:szCs w:val="18"/>
              <w:lang w:val="en-US"/>
            </w:rPr>
            <w:t xml:space="preserve"> </w:t>
          </w:r>
        </w:p>
      </w:tc>
    </w:tr>
  </w:tbl>
  <w:p w14:paraId="14FFCE36" w14:textId="77777777" w:rsidR="00721657" w:rsidRPr="00D15EAE" w:rsidRDefault="00DE541F" w:rsidP="00D15EAE">
    <w:pPr>
      <w:pStyle w:val="Footer"/>
      <w:tabs>
        <w:tab w:val="clear" w:pos="5954"/>
        <w:tab w:val="clear" w:pos="9639"/>
        <w:tab w:val="center" w:pos="5103"/>
      </w:tabs>
      <w:spacing w:before="120"/>
      <w:jc w:val="center"/>
      <w:rPr>
        <w:caps w:val="0"/>
        <w:sz w:val="18"/>
        <w:szCs w:val="22"/>
        <w:lang w:val="en-US"/>
      </w:rPr>
    </w:pPr>
    <w:hyperlink r:id="rId1" w:history="1">
      <w:r w:rsidR="00BA3FCC" w:rsidRPr="00BE53BF">
        <w:rPr>
          <w:rStyle w:val="Hyperlink"/>
          <w:sz w:val="18"/>
          <w:szCs w:val="18"/>
        </w:rPr>
        <w:t>TDAG-WG-</w:t>
      </w:r>
      <w:r w:rsidR="00BA3FCC">
        <w:rPr>
          <w:rStyle w:val="Hyperlink"/>
          <w:sz w:val="18"/>
          <w:szCs w:val="18"/>
        </w:rPr>
        <w:t>RDTP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A37E2" w14:textId="77777777" w:rsidR="003522A4" w:rsidRDefault="003522A4">
      <w:r>
        <w:t>____________________</w:t>
      </w:r>
    </w:p>
  </w:footnote>
  <w:footnote w:type="continuationSeparator" w:id="0">
    <w:p w14:paraId="6223273F" w14:textId="77777777" w:rsidR="003522A4" w:rsidRDefault="00352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D7F5B" w14:textId="1E5EA5BE" w:rsidR="00A525CC" w:rsidRPr="006D271A" w:rsidRDefault="00A525CC" w:rsidP="002770B1">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bookmarkStart w:id="7" w:name="DocRef2"/>
    <w:bookmarkEnd w:id="7"/>
    <w:r w:rsidR="000D0E04">
      <w:rPr>
        <w:sz w:val="22"/>
        <w:szCs w:val="22"/>
        <w:lang w:val="de-CH"/>
      </w:rPr>
      <w:t>/</w:t>
    </w:r>
    <w:bookmarkStart w:id="8" w:name="DocNo2"/>
    <w:bookmarkEnd w:id="8"/>
    <w:r w:rsidR="003522A4">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B656E3">
      <w:rPr>
        <w:noProof/>
        <w:sz w:val="22"/>
        <w:szCs w:val="22"/>
        <w:lang w:val="de-CH"/>
      </w:rPr>
      <w:t>2</w:t>
    </w:r>
    <w:r w:rsidRPr="00972BCD">
      <w:rPr>
        <w:sz w:val="22"/>
        <w:szCs w:val="22"/>
      </w:rPr>
      <w:fldChar w:fldCharType="end"/>
    </w:r>
  </w:p>
  <w:p w14:paraId="58FBAC56" w14:textId="77777777" w:rsidR="00721657" w:rsidRPr="00A525CC" w:rsidRDefault="00721657" w:rsidP="00A525CC">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A4"/>
    <w:rsid w:val="00002716"/>
    <w:rsid w:val="00005791"/>
    <w:rsid w:val="00010827"/>
    <w:rsid w:val="00015089"/>
    <w:rsid w:val="0002520B"/>
    <w:rsid w:val="00037A9E"/>
    <w:rsid w:val="00037F91"/>
    <w:rsid w:val="000539F1"/>
    <w:rsid w:val="00054747"/>
    <w:rsid w:val="0005521D"/>
    <w:rsid w:val="00055A2A"/>
    <w:rsid w:val="0006061C"/>
    <w:rsid w:val="000615C1"/>
    <w:rsid w:val="00061675"/>
    <w:rsid w:val="00073308"/>
    <w:rsid w:val="000743AA"/>
    <w:rsid w:val="0009225C"/>
    <w:rsid w:val="000A17C4"/>
    <w:rsid w:val="000A36A4"/>
    <w:rsid w:val="000B2352"/>
    <w:rsid w:val="000C7B84"/>
    <w:rsid w:val="000D0E0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47C3"/>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1D64"/>
    <w:rsid w:val="00236560"/>
    <w:rsid w:val="0023662E"/>
    <w:rsid w:val="00245D0F"/>
    <w:rsid w:val="002548C3"/>
    <w:rsid w:val="00255A4F"/>
    <w:rsid w:val="00257ACD"/>
    <w:rsid w:val="00262908"/>
    <w:rsid w:val="002650F4"/>
    <w:rsid w:val="002715FD"/>
    <w:rsid w:val="002770B1"/>
    <w:rsid w:val="00285B33"/>
    <w:rsid w:val="00287A3C"/>
    <w:rsid w:val="002A2FC6"/>
    <w:rsid w:val="002A7DEE"/>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462CA"/>
    <w:rsid w:val="003522A4"/>
    <w:rsid w:val="0035516C"/>
    <w:rsid w:val="00355A4C"/>
    <w:rsid w:val="003604FB"/>
    <w:rsid w:val="00360B73"/>
    <w:rsid w:val="003708C3"/>
    <w:rsid w:val="00380B71"/>
    <w:rsid w:val="0038365A"/>
    <w:rsid w:val="00386A89"/>
    <w:rsid w:val="0039648E"/>
    <w:rsid w:val="003A5AFE"/>
    <w:rsid w:val="003A5D5F"/>
    <w:rsid w:val="003A7FFE"/>
    <w:rsid w:val="003B0A63"/>
    <w:rsid w:val="003B50E1"/>
    <w:rsid w:val="003C1746"/>
    <w:rsid w:val="003C2AA9"/>
    <w:rsid w:val="003C58BF"/>
    <w:rsid w:val="003C5F3B"/>
    <w:rsid w:val="003D451D"/>
    <w:rsid w:val="003F2DD8"/>
    <w:rsid w:val="003F3F2D"/>
    <w:rsid w:val="003F50B2"/>
    <w:rsid w:val="00400CCF"/>
    <w:rsid w:val="00401BFF"/>
    <w:rsid w:val="00404424"/>
    <w:rsid w:val="004053AC"/>
    <w:rsid w:val="0041156B"/>
    <w:rsid w:val="004122C5"/>
    <w:rsid w:val="00413B78"/>
    <w:rsid w:val="00416DDE"/>
    <w:rsid w:val="004258F6"/>
    <w:rsid w:val="0044411E"/>
    <w:rsid w:val="00453435"/>
    <w:rsid w:val="00466398"/>
    <w:rsid w:val="0047306D"/>
    <w:rsid w:val="00473791"/>
    <w:rsid w:val="00476E48"/>
    <w:rsid w:val="00481DE9"/>
    <w:rsid w:val="0049128B"/>
    <w:rsid w:val="004933BE"/>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36365"/>
    <w:rsid w:val="0054420E"/>
    <w:rsid w:val="00544D1B"/>
    <w:rsid w:val="00545DC0"/>
    <w:rsid w:val="00545F6C"/>
    <w:rsid w:val="005477D9"/>
    <w:rsid w:val="0055720C"/>
    <w:rsid w:val="005632DD"/>
    <w:rsid w:val="0056423B"/>
    <w:rsid w:val="00570AE8"/>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2E47"/>
    <w:rsid w:val="00643381"/>
    <w:rsid w:val="0064734E"/>
    <w:rsid w:val="00650137"/>
    <w:rsid w:val="006509D7"/>
    <w:rsid w:val="00651CE8"/>
    <w:rsid w:val="0065521B"/>
    <w:rsid w:val="00671EF6"/>
    <w:rsid w:val="0067205B"/>
    <w:rsid w:val="006748F8"/>
    <w:rsid w:val="00680489"/>
    <w:rsid w:val="00683C32"/>
    <w:rsid w:val="00683F21"/>
    <w:rsid w:val="00690BB2"/>
    <w:rsid w:val="00693D09"/>
    <w:rsid w:val="006A6549"/>
    <w:rsid w:val="006A7710"/>
    <w:rsid w:val="006A7A61"/>
    <w:rsid w:val="006B1E59"/>
    <w:rsid w:val="006B2FFB"/>
    <w:rsid w:val="006C10A2"/>
    <w:rsid w:val="006C1F18"/>
    <w:rsid w:val="006D40D5"/>
    <w:rsid w:val="006F009A"/>
    <w:rsid w:val="006F3D93"/>
    <w:rsid w:val="007019B1"/>
    <w:rsid w:val="00721132"/>
    <w:rsid w:val="00721657"/>
    <w:rsid w:val="007279A8"/>
    <w:rsid w:val="00727B1A"/>
    <w:rsid w:val="00741337"/>
    <w:rsid w:val="00752258"/>
    <w:rsid w:val="007529E1"/>
    <w:rsid w:val="00762880"/>
    <w:rsid w:val="00762AD6"/>
    <w:rsid w:val="00762E02"/>
    <w:rsid w:val="007703DE"/>
    <w:rsid w:val="00772290"/>
    <w:rsid w:val="00777265"/>
    <w:rsid w:val="007805E7"/>
    <w:rsid w:val="0078222A"/>
    <w:rsid w:val="00787D48"/>
    <w:rsid w:val="00795294"/>
    <w:rsid w:val="007A4E50"/>
    <w:rsid w:val="007A5F1F"/>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470D6"/>
    <w:rsid w:val="00852081"/>
    <w:rsid w:val="008567D7"/>
    <w:rsid w:val="00872B6E"/>
    <w:rsid w:val="00874DFD"/>
    <w:rsid w:val="008802F9"/>
    <w:rsid w:val="00883086"/>
    <w:rsid w:val="008879FD"/>
    <w:rsid w:val="00894C37"/>
    <w:rsid w:val="008A00EA"/>
    <w:rsid w:val="008A3F93"/>
    <w:rsid w:val="008A6236"/>
    <w:rsid w:val="008A6E1C"/>
    <w:rsid w:val="008A72FD"/>
    <w:rsid w:val="008B2EDF"/>
    <w:rsid w:val="008B53D1"/>
    <w:rsid w:val="008B54CB"/>
    <w:rsid w:val="008B5A3D"/>
    <w:rsid w:val="008C4010"/>
    <w:rsid w:val="008C4FDF"/>
    <w:rsid w:val="008C6B1F"/>
    <w:rsid w:val="008D5E4F"/>
    <w:rsid w:val="008F14F5"/>
    <w:rsid w:val="008F71C1"/>
    <w:rsid w:val="00902D41"/>
    <w:rsid w:val="00902F49"/>
    <w:rsid w:val="00914004"/>
    <w:rsid w:val="00914279"/>
    <w:rsid w:val="00922EC1"/>
    <w:rsid w:val="009301F1"/>
    <w:rsid w:val="009307DF"/>
    <w:rsid w:val="009359B8"/>
    <w:rsid w:val="00935FF0"/>
    <w:rsid w:val="009431F8"/>
    <w:rsid w:val="00947A35"/>
    <w:rsid w:val="0096201B"/>
    <w:rsid w:val="00962081"/>
    <w:rsid w:val="00966CB5"/>
    <w:rsid w:val="00975786"/>
    <w:rsid w:val="00977AF0"/>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73DCA"/>
    <w:rsid w:val="00A8762A"/>
    <w:rsid w:val="00A9392C"/>
    <w:rsid w:val="00A9462B"/>
    <w:rsid w:val="00A97D59"/>
    <w:rsid w:val="00AA3E09"/>
    <w:rsid w:val="00AA4BEF"/>
    <w:rsid w:val="00AB1659"/>
    <w:rsid w:val="00AB4962"/>
    <w:rsid w:val="00AB734E"/>
    <w:rsid w:val="00AB740F"/>
    <w:rsid w:val="00AC6F14"/>
    <w:rsid w:val="00AC7221"/>
    <w:rsid w:val="00AE5185"/>
    <w:rsid w:val="00AE5961"/>
    <w:rsid w:val="00AF0745"/>
    <w:rsid w:val="00AF4971"/>
    <w:rsid w:val="00AF5276"/>
    <w:rsid w:val="00AF7C86"/>
    <w:rsid w:val="00B01046"/>
    <w:rsid w:val="00B15F49"/>
    <w:rsid w:val="00B310F9"/>
    <w:rsid w:val="00B37866"/>
    <w:rsid w:val="00B412FB"/>
    <w:rsid w:val="00B41EFD"/>
    <w:rsid w:val="00B4576B"/>
    <w:rsid w:val="00B46350"/>
    <w:rsid w:val="00B46DF3"/>
    <w:rsid w:val="00B656E3"/>
    <w:rsid w:val="00B66D2C"/>
    <w:rsid w:val="00B66E8F"/>
    <w:rsid w:val="00B80157"/>
    <w:rsid w:val="00B83D5E"/>
    <w:rsid w:val="00B8460A"/>
    <w:rsid w:val="00B8650D"/>
    <w:rsid w:val="00B879B4"/>
    <w:rsid w:val="00B90F07"/>
    <w:rsid w:val="00B97BB9"/>
    <w:rsid w:val="00BA0009"/>
    <w:rsid w:val="00BA3FCC"/>
    <w:rsid w:val="00BB1863"/>
    <w:rsid w:val="00BB25EE"/>
    <w:rsid w:val="00BB363A"/>
    <w:rsid w:val="00BC10A0"/>
    <w:rsid w:val="00BC7BA2"/>
    <w:rsid w:val="00BD426B"/>
    <w:rsid w:val="00BD4FC6"/>
    <w:rsid w:val="00BD79F0"/>
    <w:rsid w:val="00BE2B4D"/>
    <w:rsid w:val="00C015F8"/>
    <w:rsid w:val="00C07E26"/>
    <w:rsid w:val="00C1011C"/>
    <w:rsid w:val="00C12F94"/>
    <w:rsid w:val="00C177C5"/>
    <w:rsid w:val="00C34EC3"/>
    <w:rsid w:val="00C4038C"/>
    <w:rsid w:val="00C42BA2"/>
    <w:rsid w:val="00C44066"/>
    <w:rsid w:val="00C44E13"/>
    <w:rsid w:val="00C506B9"/>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E6D99"/>
    <w:rsid w:val="00CF02C4"/>
    <w:rsid w:val="00CF167F"/>
    <w:rsid w:val="00CF72E5"/>
    <w:rsid w:val="00D013EE"/>
    <w:rsid w:val="00D01F54"/>
    <w:rsid w:val="00D040F7"/>
    <w:rsid w:val="00D04A76"/>
    <w:rsid w:val="00D10FC7"/>
    <w:rsid w:val="00D1519F"/>
    <w:rsid w:val="00D15EAE"/>
    <w:rsid w:val="00D20099"/>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E541F"/>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C454C"/>
    <w:rsid w:val="00EE0CA8"/>
    <w:rsid w:val="00EE3A64"/>
    <w:rsid w:val="00EE50E5"/>
    <w:rsid w:val="00EF01CF"/>
    <w:rsid w:val="00F03590"/>
    <w:rsid w:val="00F03622"/>
    <w:rsid w:val="00F077FD"/>
    <w:rsid w:val="00F124FF"/>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0FB4"/>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F9F961"/>
  <w15:docId w15:val="{C901809F-2C4C-42BF-BD9D-50C2D9BF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styleId="UnresolvedMention">
    <w:name w:val="Unresolved Mention"/>
    <w:basedOn w:val="DefaultParagraphFont"/>
    <w:uiPriority w:val="99"/>
    <w:semiHidden/>
    <w:unhideWhenUsed/>
    <w:rsid w:val="00847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13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D18-TDAG27-INF-0005/en" TargetMode="External"/><Relationship Id="rId4" Type="http://schemas.openxmlformats.org/officeDocument/2006/relationships/settings" Target="settings.xml"/><Relationship Id="rId9" Type="http://schemas.openxmlformats.org/officeDocument/2006/relationships/hyperlink" Target="https://www.itu.int/md/D18-TDAG27.RDTP-C-0014/"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TDAG/Pages/TDAG_WG_WTDC.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21\WG-RDTP\PE_TD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E68FD-053F-4C78-9732-0D6866C3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PE_TDAG20.dotm</Template>
  <TotalTime>6</TotalTime>
  <Pages>1</Pages>
  <Words>416</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BDT-nd</dc:creator>
  <cp:lastModifiedBy>BDT-nd</cp:lastModifiedBy>
  <cp:revision>6</cp:revision>
  <cp:lastPrinted>2014-11-04T09:22:00Z</cp:lastPrinted>
  <dcterms:created xsi:type="dcterms:W3CDTF">2021-02-22T13:40:00Z</dcterms:created>
  <dcterms:modified xsi:type="dcterms:W3CDTF">2021-02-22T14:24:00Z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