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FF20A" w14:textId="77777777" w:rsidR="00A845FC" w:rsidRDefault="00A845FC" w:rsidP="00A845FC">
      <w:pPr>
        <w:spacing w:before="0"/>
        <w:jc w:val="center"/>
        <w:rPr>
          <w:b/>
          <w:bCs/>
        </w:rPr>
      </w:pPr>
    </w:p>
    <w:p w14:paraId="20E742CF" w14:textId="26B3116B" w:rsidR="00194F24" w:rsidRPr="00BC763B" w:rsidRDefault="00BC763B" w:rsidP="00BC763B">
      <w:pPr>
        <w:jc w:val="center"/>
        <w:rPr>
          <w:b/>
          <w:bCs/>
        </w:rPr>
      </w:pPr>
      <w:r>
        <w:rPr>
          <w:b/>
          <w:bCs/>
        </w:rPr>
        <w:t>LIAISON STATEMENT</w:t>
      </w:r>
    </w:p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134"/>
        <w:gridCol w:w="4962"/>
        <w:gridCol w:w="3792"/>
      </w:tblGrid>
      <w:tr w:rsidR="00194F24" w14:paraId="5E10E816" w14:textId="77777777" w:rsidTr="006D0FFA">
        <w:trPr>
          <w:cantSplit/>
          <w:trHeight w:val="1134"/>
        </w:trPr>
        <w:tc>
          <w:tcPr>
            <w:tcW w:w="9888" w:type="dxa"/>
            <w:gridSpan w:val="3"/>
            <w:tcBorders>
              <w:bottom w:val="single" w:sz="2" w:space="0" w:color="00B0F0"/>
            </w:tcBorders>
          </w:tcPr>
          <w:p w14:paraId="443E9027" w14:textId="3BBA7F34" w:rsidR="00875EC3" w:rsidRPr="0085753F" w:rsidRDefault="00F9232F" w:rsidP="00875EC3">
            <w:pPr>
              <w:tabs>
                <w:tab w:val="clear" w:pos="1191"/>
                <w:tab w:val="clear" w:pos="1588"/>
                <w:tab w:val="clear" w:pos="1985"/>
              </w:tabs>
              <w:spacing w:before="240"/>
              <w:ind w:left="34"/>
              <w:rPr>
                <w:b/>
                <w:bCs/>
                <w:sz w:val="32"/>
                <w:szCs w:val="32"/>
              </w:rPr>
            </w:pPr>
            <w:r w:rsidRPr="0085753F">
              <w:rPr>
                <w:noProof/>
                <w:color w:val="3399FF"/>
                <w:sz w:val="32"/>
                <w:szCs w:val="32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65FE49BD" wp14:editId="675FB279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838200" cy="838200"/>
                  <wp:effectExtent l="0" t="0" r="0" b="0"/>
                  <wp:wrapSquare wrapText="bothSides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753F">
              <w:rPr>
                <w:b/>
                <w:bCs/>
                <w:sz w:val="32"/>
                <w:szCs w:val="32"/>
              </w:rPr>
              <w:t xml:space="preserve">TDAG </w:t>
            </w:r>
            <w:r w:rsidR="00875EC3" w:rsidRPr="0085753F">
              <w:rPr>
                <w:b/>
                <w:bCs/>
                <w:sz w:val="32"/>
                <w:szCs w:val="32"/>
              </w:rPr>
              <w:t xml:space="preserve">Working Group on WTDC </w:t>
            </w:r>
            <w:r w:rsidR="003F6440">
              <w:rPr>
                <w:b/>
                <w:bCs/>
                <w:sz w:val="32"/>
                <w:szCs w:val="32"/>
              </w:rPr>
              <w:t>Resolutions,</w:t>
            </w:r>
            <w:r w:rsidR="003F6440">
              <w:rPr>
                <w:b/>
                <w:bCs/>
                <w:sz w:val="32"/>
                <w:szCs w:val="32"/>
              </w:rPr>
              <w:br/>
              <w:t>Declaration and Thematic Priorities</w:t>
            </w:r>
          </w:p>
          <w:p w14:paraId="49124C96" w14:textId="1A6C2B36" w:rsidR="00194F24" w:rsidRPr="00F45B51" w:rsidRDefault="00194F24" w:rsidP="00F9232F">
            <w:pPr>
              <w:ind w:right="142"/>
              <w:rPr>
                <w:sz w:val="26"/>
                <w:szCs w:val="26"/>
              </w:rPr>
            </w:pPr>
          </w:p>
        </w:tc>
      </w:tr>
      <w:tr w:rsidR="00FA073C" w:rsidRPr="00F20D2B" w14:paraId="48B980A4" w14:textId="77777777" w:rsidTr="00772674">
        <w:trPr>
          <w:cantSplit/>
        </w:trPr>
        <w:tc>
          <w:tcPr>
            <w:tcW w:w="6096" w:type="dxa"/>
            <w:gridSpan w:val="2"/>
            <w:tcBorders>
              <w:top w:val="single" w:sz="2" w:space="0" w:color="00B0F0"/>
            </w:tcBorders>
          </w:tcPr>
          <w:p w14:paraId="418C6355" w14:textId="77777777" w:rsidR="00FA073C" w:rsidRPr="00997358" w:rsidRDefault="00FA073C" w:rsidP="00FA073C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792" w:type="dxa"/>
            <w:tcBorders>
              <w:top w:val="single" w:sz="2" w:space="0" w:color="00B0F0"/>
            </w:tcBorders>
          </w:tcPr>
          <w:p w14:paraId="49A48CC7" w14:textId="7749E19C" w:rsidR="00FA073C" w:rsidRPr="00F20D2B" w:rsidRDefault="00F9232F" w:rsidP="00FA073C">
            <w:pPr>
              <w:rPr>
                <w:b/>
                <w:bCs/>
                <w:szCs w:val="24"/>
                <w:lang w:val="es-ES"/>
              </w:rPr>
            </w:pPr>
            <w:r w:rsidRPr="00F20D2B">
              <w:rPr>
                <w:b/>
                <w:bCs/>
                <w:szCs w:val="24"/>
                <w:lang w:val="es-ES"/>
              </w:rPr>
              <w:t>Document TDAG-WG-RDTP</w:t>
            </w:r>
            <w:r w:rsidR="00776EB0" w:rsidRPr="00F20D2B">
              <w:rPr>
                <w:b/>
                <w:bCs/>
                <w:szCs w:val="24"/>
                <w:lang w:val="es-ES"/>
              </w:rPr>
              <w:t>/</w:t>
            </w:r>
            <w:r w:rsidR="00A845FC">
              <w:rPr>
                <w:b/>
                <w:bCs/>
                <w:szCs w:val="24"/>
                <w:lang w:val="es-ES"/>
              </w:rPr>
              <w:t>25</w:t>
            </w:r>
            <w:r w:rsidRPr="00F20D2B">
              <w:rPr>
                <w:b/>
                <w:bCs/>
                <w:szCs w:val="24"/>
                <w:lang w:val="es-ES"/>
              </w:rPr>
              <w:t>-E</w:t>
            </w:r>
          </w:p>
        </w:tc>
      </w:tr>
      <w:tr w:rsidR="00FA073C" w:rsidRPr="00997358" w14:paraId="7302F6BC" w14:textId="77777777" w:rsidTr="00772674">
        <w:trPr>
          <w:cantSplit/>
        </w:trPr>
        <w:tc>
          <w:tcPr>
            <w:tcW w:w="6096" w:type="dxa"/>
            <w:gridSpan w:val="2"/>
          </w:tcPr>
          <w:p w14:paraId="1F9741FC" w14:textId="77777777" w:rsidR="00FA073C" w:rsidRPr="00F20D2B" w:rsidRDefault="00FA073C" w:rsidP="00FA073C">
            <w:pPr>
              <w:spacing w:before="0"/>
              <w:rPr>
                <w:b/>
                <w:bCs/>
                <w:sz w:val="20"/>
                <w:lang w:val="es-ES"/>
              </w:rPr>
            </w:pPr>
          </w:p>
        </w:tc>
        <w:tc>
          <w:tcPr>
            <w:tcW w:w="3792" w:type="dxa"/>
          </w:tcPr>
          <w:p w14:paraId="65511797" w14:textId="697C48C7" w:rsidR="00FA073C" w:rsidRPr="000E0704" w:rsidRDefault="002D486A" w:rsidP="00776EB0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  <w:r w:rsidR="00776EB0">
              <w:rPr>
                <w:b/>
                <w:bCs/>
                <w:szCs w:val="24"/>
              </w:rPr>
              <w:t xml:space="preserve"> February 2021</w:t>
            </w:r>
          </w:p>
        </w:tc>
      </w:tr>
      <w:tr w:rsidR="00FA073C" w:rsidRPr="00997358" w14:paraId="769980A4" w14:textId="77777777" w:rsidTr="00772674">
        <w:trPr>
          <w:cantSplit/>
        </w:trPr>
        <w:tc>
          <w:tcPr>
            <w:tcW w:w="6096" w:type="dxa"/>
            <w:gridSpan w:val="2"/>
          </w:tcPr>
          <w:p w14:paraId="4DFD97DF" w14:textId="77777777" w:rsidR="00FA073C" w:rsidRPr="00997358" w:rsidRDefault="00FA073C" w:rsidP="00FA073C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792" w:type="dxa"/>
          </w:tcPr>
          <w:p w14:paraId="14B81F67" w14:textId="1E66D626" w:rsidR="00FA073C" w:rsidRPr="000E0704" w:rsidRDefault="00FA073C" w:rsidP="00FA073C">
            <w:pPr>
              <w:spacing w:before="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English only</w:t>
            </w:r>
          </w:p>
        </w:tc>
      </w:tr>
      <w:tr w:rsidR="00AA0B5B" w:rsidRPr="00F20D2B" w14:paraId="10DE2C82" w14:textId="77777777" w:rsidTr="004018EA">
        <w:trPr>
          <w:cantSplit/>
          <w:trHeight w:val="408"/>
        </w:trPr>
        <w:tc>
          <w:tcPr>
            <w:tcW w:w="1134" w:type="dxa"/>
          </w:tcPr>
          <w:p w14:paraId="46B4A90F" w14:textId="77777777" w:rsidR="00AA0B5B" w:rsidRPr="00F20D2B" w:rsidRDefault="00AA0B5B" w:rsidP="00194F24">
            <w:pPr>
              <w:spacing w:before="80" w:after="80"/>
              <w:jc w:val="both"/>
              <w:rPr>
                <w:rFonts w:cstheme="minorHAnsi"/>
                <w:b/>
                <w:szCs w:val="24"/>
                <w:lang w:val="en-US"/>
              </w:rPr>
            </w:pPr>
            <w:r w:rsidRPr="00F20D2B">
              <w:rPr>
                <w:rFonts w:cstheme="minorHAnsi"/>
                <w:b/>
                <w:bCs/>
                <w:szCs w:val="24"/>
                <w:lang w:val="en-US"/>
              </w:rPr>
              <w:t>Source:</w:t>
            </w:r>
          </w:p>
        </w:tc>
        <w:tc>
          <w:tcPr>
            <w:tcW w:w="8754" w:type="dxa"/>
            <w:gridSpan w:val="2"/>
          </w:tcPr>
          <w:p w14:paraId="0F88DEF6" w14:textId="52BD03EF" w:rsidR="00AA0B5B" w:rsidRPr="00F20D2B" w:rsidRDefault="00B70226" w:rsidP="00776EB0">
            <w:pPr>
              <w:spacing w:before="80" w:after="80"/>
              <w:rPr>
                <w:rFonts w:cstheme="minorHAnsi"/>
                <w:bCs/>
                <w:szCs w:val="24"/>
                <w:lang w:val="en-US"/>
              </w:rPr>
            </w:pPr>
            <w:bookmarkStart w:id="0" w:name="_GoBack"/>
            <w:r w:rsidRPr="00F20D2B">
              <w:rPr>
                <w:rFonts w:cstheme="minorHAnsi"/>
                <w:szCs w:val="24"/>
                <w:lang w:val="fr-FR"/>
              </w:rPr>
              <w:t>Chair</w:t>
            </w:r>
            <w:r w:rsidR="00692FB7" w:rsidRPr="00F20D2B">
              <w:rPr>
                <w:rFonts w:cstheme="minorHAnsi"/>
                <w:szCs w:val="24"/>
                <w:lang w:val="fr-FR"/>
              </w:rPr>
              <w:t>man</w:t>
            </w:r>
            <w:r w:rsidRPr="00F20D2B">
              <w:rPr>
                <w:rFonts w:cstheme="minorHAnsi"/>
                <w:szCs w:val="24"/>
                <w:lang w:val="fr-FR"/>
              </w:rPr>
              <w:t>,</w:t>
            </w:r>
            <w:r w:rsidR="00776EB0" w:rsidRPr="00F20D2B">
              <w:rPr>
                <w:rFonts w:cstheme="minorHAnsi"/>
                <w:szCs w:val="24"/>
                <w:lang w:val="en-US"/>
              </w:rPr>
              <w:t xml:space="preserve"> TDAG-WG-RDTP</w:t>
            </w:r>
            <w:bookmarkEnd w:id="0"/>
          </w:p>
        </w:tc>
      </w:tr>
      <w:tr w:rsidR="00AA0B5B" w:rsidRPr="00F20D2B" w14:paraId="29E95131" w14:textId="77777777" w:rsidTr="004018EA">
        <w:trPr>
          <w:cantSplit/>
          <w:trHeight w:val="407"/>
        </w:trPr>
        <w:tc>
          <w:tcPr>
            <w:tcW w:w="1134" w:type="dxa"/>
            <w:tcBorders>
              <w:bottom w:val="single" w:sz="4" w:space="0" w:color="00B0F0"/>
            </w:tcBorders>
          </w:tcPr>
          <w:p w14:paraId="0B4CC4A0" w14:textId="65A64A24" w:rsidR="00AA0B5B" w:rsidRPr="00F20D2B" w:rsidRDefault="00AA0B5B" w:rsidP="00194F24">
            <w:pPr>
              <w:spacing w:before="80" w:after="80"/>
              <w:jc w:val="both"/>
              <w:rPr>
                <w:rFonts w:cstheme="minorHAnsi"/>
                <w:b/>
                <w:bCs/>
                <w:szCs w:val="24"/>
                <w:lang w:val="en-US"/>
              </w:rPr>
            </w:pPr>
            <w:r w:rsidRPr="00F20D2B">
              <w:rPr>
                <w:rFonts w:cstheme="minorHAnsi"/>
                <w:b/>
                <w:bCs/>
                <w:szCs w:val="24"/>
                <w:lang w:val="en-US"/>
              </w:rPr>
              <w:t>Title:</w:t>
            </w:r>
          </w:p>
        </w:tc>
        <w:tc>
          <w:tcPr>
            <w:tcW w:w="8754" w:type="dxa"/>
            <w:gridSpan w:val="2"/>
            <w:tcBorders>
              <w:bottom w:val="single" w:sz="4" w:space="0" w:color="00B0F0"/>
            </w:tcBorders>
          </w:tcPr>
          <w:p w14:paraId="5DF56324" w14:textId="154A6B77" w:rsidR="00AA0B5B" w:rsidRPr="00F20D2B" w:rsidRDefault="00DB6A5F" w:rsidP="00E257DA">
            <w:pPr>
              <w:spacing w:before="60" w:after="60"/>
              <w:rPr>
                <w:rFonts w:cstheme="minorHAnsi"/>
                <w:bCs/>
                <w:szCs w:val="24"/>
                <w:lang w:val="en-US"/>
              </w:rPr>
            </w:pPr>
            <w:r w:rsidRPr="00F20D2B">
              <w:rPr>
                <w:rFonts w:cstheme="minorHAnsi"/>
                <w:bCs/>
                <w:szCs w:val="24"/>
                <w:lang w:val="en-US"/>
              </w:rPr>
              <w:t xml:space="preserve">Response to </w:t>
            </w:r>
            <w:r w:rsidR="00E43DD3" w:rsidRPr="00F20D2B">
              <w:rPr>
                <w:rFonts w:cstheme="minorHAnsi"/>
                <w:color w:val="000000"/>
                <w:szCs w:val="24"/>
                <w:shd w:val="clear" w:color="auto" w:fill="FFFFFF"/>
              </w:rPr>
              <w:t>l</w:t>
            </w:r>
            <w:r w:rsidR="00933715" w:rsidRPr="00F20D2B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iaison </w:t>
            </w:r>
            <w:r w:rsidR="00E43DD3" w:rsidRPr="00F20D2B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statement </w:t>
            </w:r>
            <w:r w:rsidR="00933715" w:rsidRPr="00F20D2B">
              <w:rPr>
                <w:rFonts w:cstheme="minorHAnsi"/>
                <w:color w:val="000000"/>
                <w:szCs w:val="24"/>
                <w:shd w:val="clear" w:color="auto" w:fill="FFFFFF"/>
              </w:rPr>
              <w:t>on the link between the approved Conference Theme and the Declaration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2268"/>
        <w:gridCol w:w="7361"/>
        <w:gridCol w:w="10"/>
      </w:tblGrid>
      <w:tr w:rsidR="00BC763B" w:rsidRPr="00F20D2B" w14:paraId="200B4B02" w14:textId="77777777" w:rsidTr="0049302F">
        <w:trPr>
          <w:gridAfter w:val="1"/>
          <w:wAfter w:w="1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CE499E9" w14:textId="672CCFAF" w:rsidR="00BC763B" w:rsidRPr="00F20D2B" w:rsidRDefault="006653BF" w:rsidP="0049302F">
            <w:pPr>
              <w:spacing w:after="40"/>
              <w:rPr>
                <w:rFonts w:cstheme="minorHAnsi"/>
                <w:b/>
                <w:bCs/>
                <w:szCs w:val="24"/>
              </w:rPr>
            </w:pPr>
            <w:r w:rsidRPr="00F20D2B">
              <w:rPr>
                <w:rFonts w:cstheme="minorHAnsi"/>
                <w:b/>
                <w:bCs/>
                <w:szCs w:val="24"/>
              </w:rPr>
              <w:t>For information to</w:t>
            </w:r>
            <w:r w:rsidR="00BC763B" w:rsidRPr="00F20D2B">
              <w:rPr>
                <w:rFonts w:cstheme="minorHAnsi"/>
                <w:b/>
                <w:bCs/>
                <w:szCs w:val="24"/>
              </w:rPr>
              <w:t>:</w:t>
            </w: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</w:tcPr>
          <w:p w14:paraId="3B289C91" w14:textId="15A3B07B" w:rsidR="00BC763B" w:rsidRPr="00F20D2B" w:rsidRDefault="006653BF" w:rsidP="0049302F">
            <w:pPr>
              <w:spacing w:after="40"/>
              <w:rPr>
                <w:rFonts w:cstheme="minorHAnsi"/>
                <w:szCs w:val="24"/>
              </w:rPr>
            </w:pPr>
            <w:r w:rsidRPr="00F20D2B">
              <w:rPr>
                <w:rFonts w:cstheme="minorHAnsi"/>
                <w:szCs w:val="24"/>
                <w:lang w:val="en-US"/>
              </w:rPr>
              <w:t>TDAG Working Group on WTDC Preparations (TDAG-WG-Prep)</w:t>
            </w:r>
          </w:p>
        </w:tc>
      </w:tr>
      <w:tr w:rsidR="00BC763B" w:rsidRPr="00F20D2B" w14:paraId="22F1BDFF" w14:textId="77777777" w:rsidTr="0049302F">
        <w:trPr>
          <w:gridAfter w:val="1"/>
          <w:wAfter w:w="1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C494784" w14:textId="148227A3" w:rsidR="00BC763B" w:rsidRPr="00F20D2B" w:rsidRDefault="00BC763B" w:rsidP="0049302F">
            <w:pPr>
              <w:spacing w:before="40" w:after="4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</w:tcPr>
          <w:p w14:paraId="6B547AA3" w14:textId="372B55AA" w:rsidR="00BC763B" w:rsidRPr="00F20D2B" w:rsidRDefault="00BC763B" w:rsidP="0049302F">
            <w:pPr>
              <w:spacing w:before="40" w:after="40"/>
              <w:rPr>
                <w:rFonts w:cstheme="minorHAnsi"/>
                <w:szCs w:val="24"/>
              </w:rPr>
            </w:pPr>
          </w:p>
        </w:tc>
      </w:tr>
      <w:tr w:rsidR="00BC763B" w:rsidRPr="00F20D2B" w14:paraId="18A5A61F" w14:textId="77777777" w:rsidTr="0049302F">
        <w:trPr>
          <w:gridAfter w:val="1"/>
          <w:wAfter w:w="1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12A000" w14:textId="2FE81B53" w:rsidR="00BC763B" w:rsidRPr="00F20D2B" w:rsidRDefault="00BC763B" w:rsidP="0049302F">
            <w:pPr>
              <w:spacing w:before="40" w:after="40"/>
              <w:rPr>
                <w:rFonts w:cstheme="minorHAnsi"/>
                <w:b/>
                <w:bCs/>
                <w:szCs w:val="24"/>
              </w:rPr>
            </w:pPr>
            <w:r w:rsidRPr="00F20D2B">
              <w:rPr>
                <w:rFonts w:cstheme="minorHAnsi"/>
                <w:b/>
                <w:bCs/>
                <w:szCs w:val="24"/>
              </w:rPr>
              <w:t>Deadline:</w:t>
            </w: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</w:tcPr>
          <w:p w14:paraId="6CF89CD6" w14:textId="7106B967" w:rsidR="00BC763B" w:rsidRPr="00F20D2B" w:rsidRDefault="00C87681" w:rsidP="0049302F">
            <w:pPr>
              <w:spacing w:before="40" w:after="40"/>
              <w:rPr>
                <w:rFonts w:cstheme="minorHAnsi"/>
                <w:szCs w:val="24"/>
              </w:rPr>
            </w:pPr>
            <w:r w:rsidRPr="00F20D2B">
              <w:rPr>
                <w:rFonts w:cstheme="minorHAnsi"/>
                <w:szCs w:val="24"/>
              </w:rPr>
              <w:t>n/a</w:t>
            </w:r>
          </w:p>
        </w:tc>
      </w:tr>
      <w:tr w:rsidR="00BC763B" w:rsidRPr="00F20D2B" w14:paraId="1DD18823" w14:textId="77777777" w:rsidTr="0049302F">
        <w:trPr>
          <w:gridAfter w:val="1"/>
          <w:wAfter w:w="1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E2A7CA" w14:textId="77777777" w:rsidR="00BC763B" w:rsidRPr="00F20D2B" w:rsidRDefault="00BC763B" w:rsidP="00BC763B">
            <w:pPr>
              <w:spacing w:before="20"/>
              <w:rPr>
                <w:rFonts w:cstheme="minorHAnsi"/>
                <w:szCs w:val="24"/>
              </w:rPr>
            </w:pP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</w:tcPr>
          <w:p w14:paraId="09BFCABE" w14:textId="77777777" w:rsidR="00BC763B" w:rsidRPr="00F20D2B" w:rsidRDefault="00BC763B" w:rsidP="00BC763B">
            <w:pPr>
              <w:spacing w:before="20"/>
              <w:rPr>
                <w:rFonts w:cstheme="minorHAnsi"/>
                <w:szCs w:val="24"/>
              </w:rPr>
            </w:pPr>
          </w:p>
        </w:tc>
      </w:tr>
      <w:tr w:rsidR="00DF2B60" w:rsidRPr="00F20D2B" w14:paraId="573B144B" w14:textId="77777777" w:rsidTr="0049302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605829" w14:textId="1F6FAECE" w:rsidR="00DF2B60" w:rsidRPr="00F20D2B" w:rsidRDefault="00DF2B60" w:rsidP="00DF2B60">
            <w:pPr>
              <w:spacing w:before="0"/>
              <w:rPr>
                <w:rFonts w:cstheme="minorHAnsi"/>
                <w:b/>
                <w:bCs/>
                <w:szCs w:val="24"/>
              </w:rPr>
            </w:pPr>
            <w:r w:rsidRPr="00F20D2B">
              <w:rPr>
                <w:rFonts w:cstheme="minorHAnsi"/>
                <w:b/>
                <w:bCs/>
                <w:szCs w:val="24"/>
              </w:rPr>
              <w:t>Contacts: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AEE0C" w14:textId="6A3E2C74" w:rsidR="00DF2B60" w:rsidRPr="00F20D2B" w:rsidRDefault="0000662A" w:rsidP="0000662A">
            <w:pPr>
              <w:spacing w:before="0"/>
              <w:rPr>
                <w:rFonts w:cstheme="minorHAnsi"/>
                <w:szCs w:val="24"/>
              </w:rPr>
            </w:pPr>
            <w:r w:rsidRPr="00F20D2B">
              <w:rPr>
                <w:rFonts w:cstheme="minorHAnsi"/>
                <w:szCs w:val="24"/>
              </w:rPr>
              <w:t>D</w:t>
            </w:r>
            <w:r w:rsidR="00DF2B60" w:rsidRPr="00F20D2B">
              <w:rPr>
                <w:rFonts w:cstheme="minorHAnsi"/>
                <w:szCs w:val="24"/>
              </w:rPr>
              <w:t xml:space="preserve">r Ahmad Sharafat, Chairman, </w:t>
            </w:r>
            <w:r w:rsidR="00437F02" w:rsidRPr="00F20D2B">
              <w:rPr>
                <w:rFonts w:cstheme="minorHAnsi"/>
                <w:szCs w:val="24"/>
              </w:rPr>
              <w:t>TDAG-WG-RDTP</w:t>
            </w:r>
          </w:p>
        </w:tc>
      </w:tr>
      <w:tr w:rsidR="00DF2B60" w:rsidRPr="00F20D2B" w14:paraId="03A94CDB" w14:textId="77777777" w:rsidTr="0049302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865FD9" w14:textId="77777777" w:rsidR="00DF2B60" w:rsidRPr="00F20D2B" w:rsidRDefault="00DF2B60" w:rsidP="00DF2B60">
            <w:pPr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40324" w14:textId="6089588E" w:rsidR="00DF2B60" w:rsidRPr="00F20D2B" w:rsidRDefault="00DF2B60" w:rsidP="00DF2B60">
            <w:pPr>
              <w:spacing w:before="0"/>
              <w:rPr>
                <w:rFonts w:cstheme="minorHAnsi"/>
                <w:szCs w:val="24"/>
              </w:rPr>
            </w:pPr>
            <w:r w:rsidRPr="00F20D2B">
              <w:rPr>
                <w:rFonts w:cstheme="minorHAnsi"/>
                <w:szCs w:val="24"/>
              </w:rPr>
              <w:t>+98 912 106 1716 (Iran); +41 76 622 7447 (Switzerland)</w:t>
            </w:r>
          </w:p>
        </w:tc>
      </w:tr>
      <w:tr w:rsidR="00800597" w:rsidRPr="00F20D2B" w14:paraId="48E842C7" w14:textId="77777777" w:rsidTr="0049302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AFEA97" w14:textId="77777777" w:rsidR="00800597" w:rsidRPr="00F20D2B" w:rsidRDefault="00800597" w:rsidP="00DF2B60">
            <w:pPr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76E88" w14:textId="7CE3EBCC" w:rsidR="00800597" w:rsidRPr="00F20D2B" w:rsidRDefault="00A845FC" w:rsidP="00DF2B60">
            <w:pPr>
              <w:spacing w:before="0"/>
              <w:rPr>
                <w:rFonts w:cstheme="minorHAnsi"/>
                <w:szCs w:val="24"/>
              </w:rPr>
            </w:pPr>
            <w:hyperlink r:id="rId9" w:history="1">
              <w:r w:rsidR="00E34F9C" w:rsidRPr="004555C6">
                <w:rPr>
                  <w:rStyle w:val="Hyperlink"/>
                  <w:rFonts w:cstheme="minorHAnsi"/>
                  <w:szCs w:val="24"/>
                </w:rPr>
                <w:t>ahmad.sharafat@gmail.com</w:t>
              </w:r>
            </w:hyperlink>
            <w:r w:rsidR="00E34F9C">
              <w:rPr>
                <w:rFonts w:cstheme="minorHAnsi"/>
                <w:szCs w:val="24"/>
              </w:rPr>
              <w:t xml:space="preserve"> </w:t>
            </w:r>
          </w:p>
        </w:tc>
      </w:tr>
      <w:tr w:rsidR="00DF2B60" w:rsidRPr="00F20D2B" w14:paraId="57FF34E7" w14:textId="77777777" w:rsidTr="0049302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F619B2" w14:textId="77777777" w:rsidR="00DF2B60" w:rsidRPr="00F20D2B" w:rsidRDefault="00DF2B60" w:rsidP="00DF2B60">
            <w:pPr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A98A7" w14:textId="750252EC" w:rsidR="00DF2B60" w:rsidRPr="004B41F5" w:rsidRDefault="00DF2B60" w:rsidP="00725905">
            <w:pPr>
              <w:pStyle w:val="FirstFooter"/>
              <w:tabs>
                <w:tab w:val="left" w:pos="2302"/>
              </w:tabs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r w:rsidRPr="00F20D2B">
              <w:rPr>
                <w:rFonts w:cstheme="minorHAnsi"/>
                <w:sz w:val="24"/>
                <w:szCs w:val="24"/>
                <w:lang w:val="en-US"/>
              </w:rPr>
              <w:t>Dr Cosmas Zavazava, Chief, Partnerships for Digital Development Department</w:t>
            </w:r>
            <w:r w:rsidR="00725905">
              <w:rPr>
                <w:rFonts w:cstheme="minorHAnsi"/>
                <w:sz w:val="24"/>
                <w:szCs w:val="24"/>
                <w:lang w:val="en-US"/>
              </w:rPr>
              <w:t>, ITU/BDT</w:t>
            </w:r>
          </w:p>
        </w:tc>
      </w:tr>
      <w:tr w:rsidR="00DF2B60" w:rsidRPr="00F20D2B" w14:paraId="4D4A8061" w14:textId="77777777" w:rsidTr="0049302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8DE90D" w14:textId="77777777" w:rsidR="00DF2B60" w:rsidRPr="00F20D2B" w:rsidRDefault="00DF2B60" w:rsidP="00DF2B60">
            <w:pPr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25743" w14:textId="3E2BD750" w:rsidR="00DF2B60" w:rsidRPr="00F20D2B" w:rsidRDefault="00DF2B60" w:rsidP="00E34F9C">
            <w:pPr>
              <w:tabs>
                <w:tab w:val="left" w:pos="2302"/>
              </w:tabs>
              <w:spacing w:before="0"/>
              <w:rPr>
                <w:rFonts w:cstheme="minorHAnsi"/>
                <w:szCs w:val="24"/>
                <w:lang w:val="en-US"/>
              </w:rPr>
            </w:pPr>
            <w:r w:rsidRPr="00F20D2B">
              <w:rPr>
                <w:rFonts w:cstheme="minorHAnsi"/>
                <w:szCs w:val="24"/>
                <w:lang w:val="en-US"/>
              </w:rPr>
              <w:t>+41 22 730 5447</w:t>
            </w:r>
          </w:p>
        </w:tc>
      </w:tr>
      <w:tr w:rsidR="00DF2B60" w:rsidRPr="00F20D2B" w14:paraId="2BA0D636" w14:textId="77777777" w:rsidTr="0049302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A1F1B27" w14:textId="77777777" w:rsidR="00DF2B60" w:rsidRPr="00F20D2B" w:rsidRDefault="00DF2B60" w:rsidP="00DF2B60">
            <w:pPr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1A918" w14:textId="54469CF3" w:rsidR="00DF2B60" w:rsidRPr="00F20D2B" w:rsidRDefault="00A845FC" w:rsidP="00E34F9C">
            <w:pPr>
              <w:tabs>
                <w:tab w:val="left" w:pos="2302"/>
              </w:tabs>
              <w:spacing w:before="0"/>
              <w:rPr>
                <w:rFonts w:cstheme="minorHAnsi"/>
                <w:szCs w:val="24"/>
                <w:lang w:val="en-US"/>
              </w:rPr>
            </w:pPr>
            <w:hyperlink r:id="rId10" w:history="1">
              <w:r w:rsidR="00DF2B60" w:rsidRPr="00F20D2B">
                <w:rPr>
                  <w:rStyle w:val="Hyperlink"/>
                  <w:rFonts w:cstheme="minorHAnsi"/>
                  <w:szCs w:val="24"/>
                </w:rPr>
                <w:t>cosmas.zavazava@itu.int</w:t>
              </w:r>
            </w:hyperlink>
          </w:p>
        </w:tc>
      </w:tr>
    </w:tbl>
    <w:p w14:paraId="272E7C68" w14:textId="5B13DB54" w:rsidR="0092437F" w:rsidRPr="00F20D2B" w:rsidRDefault="0092437F" w:rsidP="009B0368">
      <w:pPr>
        <w:rPr>
          <w:rFonts w:cstheme="minorHAnsi"/>
          <w:szCs w:val="24"/>
        </w:rPr>
      </w:pPr>
      <w:r w:rsidRPr="00F20D2B">
        <w:rPr>
          <w:rFonts w:cstheme="minorHAnsi"/>
          <w:szCs w:val="24"/>
        </w:rPr>
        <w:t xml:space="preserve">The </w:t>
      </w:r>
      <w:r w:rsidR="004B41F5">
        <w:rPr>
          <w:rFonts w:cstheme="minorHAnsi"/>
          <w:szCs w:val="24"/>
        </w:rPr>
        <w:t xml:space="preserve">TDAG Working Group on WTDC Resolutions, Declaration and Thematic Priorities (TDAG-WG-RDTP) </w:t>
      </w:r>
      <w:r w:rsidRPr="00F20D2B">
        <w:rPr>
          <w:rFonts w:cstheme="minorHAnsi"/>
          <w:szCs w:val="24"/>
        </w:rPr>
        <w:t xml:space="preserve">would like to thank the </w:t>
      </w:r>
      <w:r w:rsidR="004B41F5" w:rsidRPr="00F20D2B">
        <w:rPr>
          <w:rFonts w:cstheme="minorHAnsi"/>
          <w:szCs w:val="24"/>
          <w:lang w:val="en-US"/>
        </w:rPr>
        <w:t>TDAG Working Group on WTDC Preparations (TDAG-WG-Prep)</w:t>
      </w:r>
      <w:r w:rsidR="004B41F5">
        <w:rPr>
          <w:rFonts w:cstheme="minorHAnsi"/>
          <w:szCs w:val="24"/>
          <w:lang w:val="en-US"/>
        </w:rPr>
        <w:t xml:space="preserve"> </w:t>
      </w:r>
      <w:r w:rsidRPr="00F20D2B">
        <w:rPr>
          <w:rFonts w:cstheme="minorHAnsi"/>
          <w:szCs w:val="24"/>
        </w:rPr>
        <w:t xml:space="preserve">for the liaison statement on the link between the approved Conference Theme and the Declaration, which was published in </w:t>
      </w:r>
      <w:r w:rsidR="00DB6A5F" w:rsidRPr="00F20D2B">
        <w:rPr>
          <w:rFonts w:cstheme="minorHAnsi"/>
          <w:szCs w:val="24"/>
        </w:rPr>
        <w:t xml:space="preserve">document </w:t>
      </w:r>
      <w:hyperlink r:id="rId11" w:history="1">
        <w:r w:rsidR="00DB6A5F" w:rsidRPr="00F20D2B">
          <w:rPr>
            <w:rStyle w:val="Hyperlink"/>
            <w:rFonts w:cstheme="minorHAnsi"/>
            <w:szCs w:val="24"/>
          </w:rPr>
          <w:t>TDAG-WG-RDTP/13</w:t>
        </w:r>
      </w:hyperlink>
      <w:r w:rsidR="00DB6A5F" w:rsidRPr="00F20D2B">
        <w:rPr>
          <w:rFonts w:cstheme="minorHAnsi"/>
          <w:szCs w:val="24"/>
        </w:rPr>
        <w:t>.</w:t>
      </w:r>
    </w:p>
    <w:p w14:paraId="5C8333DB" w14:textId="5896F571" w:rsidR="00A30FC2" w:rsidRPr="00F20D2B" w:rsidRDefault="00406A4D" w:rsidP="009B0368">
      <w:pPr>
        <w:rPr>
          <w:rFonts w:cstheme="minorHAnsi"/>
          <w:szCs w:val="24"/>
          <w:lang w:val="en-CA"/>
        </w:rPr>
      </w:pPr>
      <w:r w:rsidRPr="00F20D2B">
        <w:rPr>
          <w:rFonts w:cstheme="minorHAnsi"/>
          <w:szCs w:val="24"/>
        </w:rPr>
        <w:t xml:space="preserve">At its third meeting on </w:t>
      </w:r>
      <w:r w:rsidRPr="00F20D2B">
        <w:rPr>
          <w:rFonts w:cstheme="minorHAnsi"/>
          <w:szCs w:val="24"/>
          <w:lang w:val="en-US"/>
        </w:rPr>
        <w:t>21 January 2021, t</w:t>
      </w:r>
      <w:r w:rsidR="009B0368" w:rsidRPr="00F20D2B">
        <w:rPr>
          <w:rFonts w:cstheme="minorHAnsi"/>
          <w:szCs w:val="24"/>
        </w:rPr>
        <w:t>he TDAG-WG-RDTP</w:t>
      </w:r>
      <w:r w:rsidR="0000662A" w:rsidRPr="00F20D2B">
        <w:rPr>
          <w:rFonts w:cstheme="minorHAnsi"/>
          <w:szCs w:val="24"/>
        </w:rPr>
        <w:t xml:space="preserve"> </w:t>
      </w:r>
      <w:r w:rsidR="00B57E81" w:rsidRPr="00F20D2B">
        <w:rPr>
          <w:rFonts w:cstheme="minorHAnsi"/>
          <w:szCs w:val="24"/>
        </w:rPr>
        <w:t xml:space="preserve">took note of the </w:t>
      </w:r>
      <w:r w:rsidR="00B57E81" w:rsidRPr="00F20D2B">
        <w:rPr>
          <w:rFonts w:cstheme="minorHAnsi"/>
          <w:szCs w:val="24"/>
          <w:lang w:val="en-CA"/>
        </w:rPr>
        <w:t>selected theme</w:t>
      </w:r>
      <w:r w:rsidR="00B57E81" w:rsidRPr="00F20D2B">
        <w:rPr>
          <w:rFonts w:cstheme="minorHAnsi"/>
          <w:szCs w:val="24"/>
        </w:rPr>
        <w:t xml:space="preserve"> for </w:t>
      </w:r>
      <w:r w:rsidR="00B57E81" w:rsidRPr="00F20D2B">
        <w:rPr>
          <w:rFonts w:cstheme="minorHAnsi"/>
          <w:szCs w:val="24"/>
          <w:lang w:val="en-US"/>
        </w:rPr>
        <w:t>the</w:t>
      </w:r>
      <w:r w:rsidR="00B57E81" w:rsidRPr="00F20D2B">
        <w:rPr>
          <w:rFonts w:cstheme="minorHAnsi"/>
          <w:bCs/>
          <w:szCs w:val="24"/>
          <w:lang w:val="en-US"/>
        </w:rPr>
        <w:t xml:space="preserve"> </w:t>
      </w:r>
      <w:r w:rsidR="00B57E81" w:rsidRPr="00F20D2B">
        <w:rPr>
          <w:rFonts w:cstheme="minorHAnsi"/>
          <w:szCs w:val="24"/>
          <w:lang w:val="en-CA"/>
        </w:rPr>
        <w:t xml:space="preserve">World Telecommunication Development Conference (WTDC-21) </w:t>
      </w:r>
      <w:r w:rsidR="00A30FC2" w:rsidRPr="00F20D2B">
        <w:rPr>
          <w:rFonts w:cstheme="minorHAnsi"/>
          <w:b/>
          <w:i/>
          <w:szCs w:val="24"/>
          <w:lang w:val="en-CA"/>
        </w:rPr>
        <w:t>Connecting the unconnected to achieve Sustainable Developmen</w:t>
      </w:r>
      <w:r w:rsidR="0031748F" w:rsidRPr="00F20D2B">
        <w:rPr>
          <w:rFonts w:cstheme="minorHAnsi"/>
          <w:b/>
          <w:i/>
          <w:szCs w:val="24"/>
          <w:lang w:val="en-CA"/>
        </w:rPr>
        <w:t>t</w:t>
      </w:r>
      <w:r w:rsidRPr="00F20D2B">
        <w:rPr>
          <w:rFonts w:cstheme="minorHAnsi"/>
          <w:szCs w:val="24"/>
          <w:lang w:val="en-CA"/>
        </w:rPr>
        <w:t>.</w:t>
      </w:r>
      <w:r w:rsidR="0031748F" w:rsidRPr="00F20D2B">
        <w:rPr>
          <w:rFonts w:cstheme="minorHAnsi"/>
          <w:szCs w:val="24"/>
          <w:lang w:val="en-CA"/>
        </w:rPr>
        <w:t xml:space="preserve"> </w:t>
      </w:r>
    </w:p>
    <w:p w14:paraId="2B4E092F" w14:textId="4C93FCD5" w:rsidR="002D486A" w:rsidRDefault="00A30FC2" w:rsidP="00F62D70">
      <w:pPr>
        <w:rPr>
          <w:rFonts w:cstheme="minorHAnsi"/>
          <w:b/>
          <w:szCs w:val="24"/>
        </w:rPr>
      </w:pPr>
      <w:r w:rsidRPr="00F20D2B">
        <w:rPr>
          <w:rFonts w:cstheme="minorHAnsi"/>
          <w:szCs w:val="24"/>
        </w:rPr>
        <w:t>TDAG-WG-RDTP</w:t>
      </w:r>
      <w:r w:rsidR="008F0D0C">
        <w:t xml:space="preserve"> </w:t>
      </w:r>
      <w:r w:rsidR="004218A9">
        <w:t xml:space="preserve">expressed support for </w:t>
      </w:r>
      <w:r>
        <w:rPr>
          <w:lang w:val="en-US"/>
        </w:rPr>
        <w:t xml:space="preserve">the request </w:t>
      </w:r>
      <w:r w:rsidR="008F0D0C">
        <w:rPr>
          <w:lang w:val="en-US"/>
        </w:rPr>
        <w:t xml:space="preserve">contained in the liaison statement </w:t>
      </w:r>
      <w:r>
        <w:rPr>
          <w:lang w:val="en-US"/>
        </w:rPr>
        <w:t>from</w:t>
      </w:r>
      <w:r w:rsidR="008F0D0C">
        <w:rPr>
          <w:lang w:val="en-US"/>
        </w:rPr>
        <w:t xml:space="preserve"> </w:t>
      </w:r>
      <w:r w:rsidR="004218A9">
        <w:rPr>
          <w:lang w:val="en-US"/>
        </w:rPr>
        <w:t xml:space="preserve">TDAG-WG-Prep that a clear link must be established between </w:t>
      </w:r>
      <w:r w:rsidR="00B57E81">
        <w:rPr>
          <w:lang w:val="en-US"/>
        </w:rPr>
        <w:t xml:space="preserve">the WTDC-21 overall </w:t>
      </w:r>
      <w:r>
        <w:rPr>
          <w:lang w:val="en-US"/>
        </w:rPr>
        <w:t>theme</w:t>
      </w:r>
      <w:r w:rsidR="008F0D0C">
        <w:rPr>
          <w:lang w:val="en-US"/>
        </w:rPr>
        <w:t xml:space="preserve"> </w:t>
      </w:r>
      <w:r w:rsidR="004218A9">
        <w:rPr>
          <w:lang w:val="en-US"/>
        </w:rPr>
        <w:t>and the</w:t>
      </w:r>
      <w:r w:rsidR="00B57E81">
        <w:rPr>
          <w:lang w:val="en-US"/>
        </w:rPr>
        <w:t xml:space="preserve"> WTDC-21</w:t>
      </w:r>
      <w:r w:rsidR="004218A9">
        <w:rPr>
          <w:lang w:val="en-US"/>
        </w:rPr>
        <w:t xml:space="preserve"> </w:t>
      </w:r>
      <w:r w:rsidR="008F0D0C">
        <w:rPr>
          <w:bCs/>
          <w:lang w:val="en-US"/>
        </w:rPr>
        <w:t>declaratio</w:t>
      </w:r>
      <w:r w:rsidR="004F7931">
        <w:rPr>
          <w:bCs/>
          <w:lang w:val="en-US"/>
        </w:rPr>
        <w:t>n</w:t>
      </w:r>
      <w:r w:rsidR="006E2739">
        <w:rPr>
          <w:bCs/>
          <w:lang w:val="en-US"/>
        </w:rPr>
        <w:t xml:space="preserve"> </w:t>
      </w:r>
      <w:r w:rsidR="006E2739" w:rsidRPr="006653BF">
        <w:rPr>
          <w:rFonts w:cstheme="minorHAnsi"/>
          <w:szCs w:val="24"/>
          <w:shd w:val="clear" w:color="auto" w:fill="FFFFFF"/>
        </w:rPr>
        <w:t>—</w:t>
      </w:r>
      <w:r w:rsidR="00C10002">
        <w:rPr>
          <w:rFonts w:cstheme="minorHAnsi"/>
          <w:szCs w:val="24"/>
          <w:shd w:val="clear" w:color="auto" w:fill="FFFFFF"/>
        </w:rPr>
        <w:t xml:space="preserve"> </w:t>
      </w:r>
      <w:r w:rsidR="006E2739">
        <w:rPr>
          <w:rFonts w:cstheme="minorHAnsi"/>
          <w:szCs w:val="24"/>
          <w:shd w:val="clear" w:color="auto" w:fill="FFFFFF"/>
        </w:rPr>
        <w:t>and that the two must be fully aligned</w:t>
      </w:r>
      <w:r w:rsidR="008F0D0C" w:rsidRPr="004F7931">
        <w:rPr>
          <w:szCs w:val="24"/>
        </w:rPr>
        <w:t>.</w:t>
      </w:r>
      <w:r w:rsidR="00C10002">
        <w:rPr>
          <w:szCs w:val="24"/>
        </w:rPr>
        <w:t xml:space="preserve"> </w:t>
      </w:r>
      <w:r w:rsidR="001950CD" w:rsidRPr="004F7931">
        <w:rPr>
          <w:bCs/>
          <w:i/>
          <w:iCs/>
          <w:szCs w:val="24"/>
        </w:rPr>
        <w:t xml:space="preserve"> </w:t>
      </w:r>
      <w:r w:rsidR="004F7931">
        <w:rPr>
          <w:bCs/>
          <w:iCs/>
          <w:szCs w:val="24"/>
        </w:rPr>
        <w:t>In this regard,</w:t>
      </w:r>
      <w:r w:rsidR="00933715" w:rsidRPr="00933715">
        <w:t xml:space="preserve"> </w:t>
      </w:r>
      <w:r w:rsidR="00933715">
        <w:t>TDAG-WG-RDTP</w:t>
      </w:r>
      <w:r w:rsidR="004F7931">
        <w:rPr>
          <w:bCs/>
          <w:iCs/>
          <w:szCs w:val="24"/>
        </w:rPr>
        <w:t xml:space="preserve"> agreed that w</w:t>
      </w:r>
      <w:r w:rsidR="004F7931" w:rsidRPr="004F7931">
        <w:rPr>
          <w:bCs/>
          <w:iCs/>
          <w:szCs w:val="24"/>
        </w:rPr>
        <w:t>hen drawing up the declaration</w:t>
      </w:r>
      <w:r w:rsidR="004F7931">
        <w:rPr>
          <w:bCs/>
          <w:iCs/>
          <w:szCs w:val="24"/>
        </w:rPr>
        <w:t xml:space="preserve">, </w:t>
      </w:r>
      <w:r w:rsidR="00933715">
        <w:rPr>
          <w:bCs/>
          <w:iCs/>
          <w:szCs w:val="24"/>
        </w:rPr>
        <w:t xml:space="preserve">it </w:t>
      </w:r>
      <w:r w:rsidR="006E2739">
        <w:t xml:space="preserve">would </w:t>
      </w:r>
      <w:r w:rsidR="00B57E81">
        <w:t xml:space="preserve">focus on the core messages to be delivered by ITU Members to broader audiences. </w:t>
      </w:r>
      <w:r w:rsidR="00C10002">
        <w:t xml:space="preserve"> </w:t>
      </w:r>
      <w:r w:rsidR="006E2739">
        <w:rPr>
          <w:szCs w:val="24"/>
        </w:rPr>
        <w:t xml:space="preserve">Besides, </w:t>
      </w:r>
      <w:r w:rsidR="004F7931">
        <w:rPr>
          <w:szCs w:val="24"/>
        </w:rPr>
        <w:t xml:space="preserve">the </w:t>
      </w:r>
      <w:r w:rsidR="001950CD" w:rsidRPr="006653BF">
        <w:rPr>
          <w:szCs w:val="24"/>
        </w:rPr>
        <w:t>declaration</w:t>
      </w:r>
      <w:r w:rsidR="00F62D70">
        <w:rPr>
          <w:szCs w:val="24"/>
        </w:rPr>
        <w:t xml:space="preserve"> would </w:t>
      </w:r>
      <w:r w:rsidR="003862BA">
        <w:rPr>
          <w:szCs w:val="24"/>
        </w:rPr>
        <w:t xml:space="preserve">be </w:t>
      </w:r>
      <w:r w:rsidR="001950CD" w:rsidRPr="006653BF">
        <w:rPr>
          <w:szCs w:val="24"/>
        </w:rPr>
        <w:t xml:space="preserve">short, concise, precise, and focused on solutions </w:t>
      </w:r>
      <w:r w:rsidR="00B57E81">
        <w:rPr>
          <w:szCs w:val="24"/>
        </w:rPr>
        <w:t xml:space="preserve">towards connecting </w:t>
      </w:r>
      <w:r w:rsidR="001950CD" w:rsidRPr="006653BF">
        <w:rPr>
          <w:szCs w:val="24"/>
        </w:rPr>
        <w:t xml:space="preserve">the </w:t>
      </w:r>
      <w:r w:rsidR="003862BA" w:rsidRPr="006653BF">
        <w:rPr>
          <w:szCs w:val="24"/>
        </w:rPr>
        <w:t>3.7 billion people that are still unconnected</w:t>
      </w:r>
      <w:r w:rsidR="00B57E81">
        <w:rPr>
          <w:szCs w:val="24"/>
        </w:rPr>
        <w:t xml:space="preserve"> to the Internet</w:t>
      </w:r>
      <w:r w:rsidR="006E2739">
        <w:rPr>
          <w:szCs w:val="24"/>
        </w:rPr>
        <w:t xml:space="preserve">. </w:t>
      </w:r>
      <w:r w:rsidR="00C10002">
        <w:rPr>
          <w:szCs w:val="24"/>
        </w:rPr>
        <w:t xml:space="preserve"> </w:t>
      </w:r>
      <w:r w:rsidR="006E2739">
        <w:rPr>
          <w:szCs w:val="24"/>
        </w:rPr>
        <w:t>M</w:t>
      </w:r>
      <w:r w:rsidR="00A360C6">
        <w:rPr>
          <w:szCs w:val="24"/>
        </w:rPr>
        <w:t xml:space="preserve">ore importantly, </w:t>
      </w:r>
      <w:r w:rsidR="001950CD" w:rsidRPr="006653BF">
        <w:rPr>
          <w:szCs w:val="24"/>
        </w:rPr>
        <w:t>the content of the declaration</w:t>
      </w:r>
      <w:r w:rsidR="006946DA">
        <w:rPr>
          <w:szCs w:val="24"/>
        </w:rPr>
        <w:t xml:space="preserve"> </w:t>
      </w:r>
      <w:r w:rsidR="00F62D70">
        <w:rPr>
          <w:szCs w:val="24"/>
        </w:rPr>
        <w:t xml:space="preserve">would be </w:t>
      </w:r>
      <w:r w:rsidR="001950CD" w:rsidRPr="006653BF">
        <w:rPr>
          <w:szCs w:val="24"/>
        </w:rPr>
        <w:t xml:space="preserve">the result of </w:t>
      </w:r>
      <w:r w:rsidR="006946DA">
        <w:rPr>
          <w:szCs w:val="24"/>
        </w:rPr>
        <w:t xml:space="preserve">further </w:t>
      </w:r>
      <w:r w:rsidR="001950CD" w:rsidRPr="006653BF">
        <w:rPr>
          <w:szCs w:val="24"/>
        </w:rPr>
        <w:t>discussion</w:t>
      </w:r>
      <w:r w:rsidR="006946DA">
        <w:rPr>
          <w:szCs w:val="24"/>
        </w:rPr>
        <w:t>s</w:t>
      </w:r>
      <w:r w:rsidR="001950CD" w:rsidRPr="006653BF">
        <w:rPr>
          <w:szCs w:val="24"/>
        </w:rPr>
        <w:t xml:space="preserve"> on the four thematic priorities put forward in </w:t>
      </w:r>
      <w:hyperlink r:id="rId12" w:history="1">
        <w:r w:rsidR="00933715" w:rsidRPr="00A861B4">
          <w:rPr>
            <w:rStyle w:val="Hyperlink"/>
            <w:szCs w:val="24"/>
          </w:rPr>
          <w:t>TDAG-WG-RDTP/20</w:t>
        </w:r>
      </w:hyperlink>
      <w:r w:rsidR="006653BF" w:rsidRPr="006653BF">
        <w:rPr>
          <w:szCs w:val="24"/>
        </w:rPr>
        <w:t xml:space="preserve">, namely </w:t>
      </w:r>
      <w:r w:rsidR="006653BF" w:rsidRPr="00A360C6">
        <w:rPr>
          <w:rFonts w:cstheme="minorHAnsi"/>
          <w:b/>
          <w:bCs/>
          <w:szCs w:val="24"/>
        </w:rPr>
        <w:t>Connectivity</w:t>
      </w:r>
      <w:r w:rsidR="00A410DE">
        <w:rPr>
          <w:rFonts w:cstheme="minorHAnsi"/>
          <w:b/>
          <w:bCs/>
          <w:szCs w:val="24"/>
        </w:rPr>
        <w:t>;</w:t>
      </w:r>
      <w:r w:rsidR="006653BF" w:rsidRPr="00A360C6">
        <w:rPr>
          <w:rFonts w:cstheme="minorHAnsi"/>
          <w:b/>
          <w:bCs/>
          <w:szCs w:val="24"/>
        </w:rPr>
        <w:t xml:space="preserve"> Digital </w:t>
      </w:r>
      <w:r w:rsidR="00F978C6">
        <w:rPr>
          <w:rFonts w:cstheme="minorHAnsi"/>
          <w:b/>
          <w:bCs/>
          <w:szCs w:val="24"/>
        </w:rPr>
        <w:t>Inclusion</w:t>
      </w:r>
      <w:r w:rsidR="00A410DE">
        <w:rPr>
          <w:rFonts w:cstheme="minorHAnsi"/>
          <w:b/>
          <w:bCs/>
          <w:szCs w:val="24"/>
        </w:rPr>
        <w:t>;</w:t>
      </w:r>
      <w:r w:rsidR="006653BF" w:rsidRPr="00A360C6">
        <w:rPr>
          <w:rFonts w:cstheme="minorHAnsi"/>
          <w:b/>
          <w:bCs/>
          <w:i/>
          <w:iCs/>
          <w:szCs w:val="24"/>
        </w:rPr>
        <w:t xml:space="preserve"> </w:t>
      </w:r>
      <w:r w:rsidR="006E2739">
        <w:rPr>
          <w:rFonts w:cstheme="minorHAnsi"/>
          <w:b/>
          <w:bCs/>
          <w:szCs w:val="24"/>
        </w:rPr>
        <w:t>Enabling Environment</w:t>
      </w:r>
      <w:r w:rsidR="00A410DE">
        <w:rPr>
          <w:rFonts w:cstheme="minorHAnsi"/>
          <w:b/>
          <w:bCs/>
          <w:szCs w:val="24"/>
        </w:rPr>
        <w:t>;</w:t>
      </w:r>
      <w:r w:rsidR="00F62D70">
        <w:rPr>
          <w:rFonts w:cstheme="minorHAnsi"/>
          <w:b/>
          <w:bCs/>
          <w:szCs w:val="24"/>
        </w:rPr>
        <w:t xml:space="preserve"> and </w:t>
      </w:r>
      <w:r w:rsidR="006653BF" w:rsidRPr="00A360C6">
        <w:rPr>
          <w:rFonts w:cstheme="minorHAnsi"/>
          <w:b/>
          <w:bCs/>
          <w:szCs w:val="24"/>
        </w:rPr>
        <w:t>Resource Mobilization and International Cooperation.</w:t>
      </w:r>
      <w:r w:rsidR="006653BF" w:rsidRPr="00A360C6">
        <w:rPr>
          <w:rFonts w:cstheme="minorHAnsi"/>
          <w:b/>
          <w:szCs w:val="24"/>
        </w:rPr>
        <w:t xml:space="preserve"> </w:t>
      </w:r>
    </w:p>
    <w:p w14:paraId="0CEB7766" w14:textId="4A0B371C" w:rsidR="00A973DB" w:rsidRPr="00A973DB" w:rsidRDefault="003C58BF" w:rsidP="002D486A">
      <w:pPr>
        <w:jc w:val="center"/>
      </w:pPr>
      <w:r>
        <w:t>___________</w:t>
      </w:r>
      <w:r w:rsidR="004122C5">
        <w:t>_</w:t>
      </w:r>
      <w:r w:rsidR="00922EC1">
        <w:t>_</w:t>
      </w:r>
    </w:p>
    <w:sectPr w:rsidR="00A973DB" w:rsidRPr="00A973DB" w:rsidSect="004737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53937" w14:textId="77777777" w:rsidR="00367392" w:rsidRDefault="00367392">
      <w:r>
        <w:separator/>
      </w:r>
    </w:p>
  </w:endnote>
  <w:endnote w:type="continuationSeparator" w:id="0">
    <w:p w14:paraId="3890DE69" w14:textId="77777777" w:rsidR="00367392" w:rsidRDefault="0036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3BFF3" w14:textId="77777777" w:rsidR="004C0DAE" w:rsidRDefault="004C0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BDB80" w14:textId="77777777" w:rsidR="004C0DAE" w:rsidRPr="00792DDA" w:rsidRDefault="004C0DAE" w:rsidP="00792D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23EE5" w14:textId="2166E477" w:rsidR="00BC35D2" w:rsidRDefault="00A845FC" w:rsidP="00BC35D2">
    <w:pPr>
      <w:pStyle w:val="Footer"/>
      <w:jc w:val="center"/>
    </w:pPr>
    <w:hyperlink r:id="rId1" w:history="1">
      <w:r w:rsidR="00DF2B60" w:rsidRPr="00BE53BF">
        <w:rPr>
          <w:rStyle w:val="Hyperlink"/>
          <w:sz w:val="18"/>
          <w:szCs w:val="18"/>
        </w:rPr>
        <w:t>TDAG-WG-</w:t>
      </w:r>
      <w:r w:rsidR="00DF2B60">
        <w:rPr>
          <w:rStyle w:val="Hyperlink"/>
          <w:sz w:val="18"/>
          <w:szCs w:val="18"/>
        </w:rPr>
        <w:t>RDTP</w:t>
      </w:r>
    </w:hyperlink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7B666" w14:textId="77777777" w:rsidR="00367392" w:rsidRDefault="00367392">
      <w:r>
        <w:t>____________________</w:t>
      </w:r>
    </w:p>
  </w:footnote>
  <w:footnote w:type="continuationSeparator" w:id="0">
    <w:p w14:paraId="6EE70390" w14:textId="77777777" w:rsidR="00367392" w:rsidRDefault="00367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A591D" w14:textId="77777777" w:rsidR="004C0DAE" w:rsidRDefault="004C0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3469" w14:textId="53CA57C3" w:rsidR="00721657" w:rsidRPr="00792DDA" w:rsidRDefault="00721657" w:rsidP="00792DDA">
    <w:pPr>
      <w:pStyle w:val="Header"/>
      <w:rPr>
        <w:rStyle w:val="PageNumb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AA178" w14:textId="77777777" w:rsidR="004C0DAE" w:rsidRDefault="004C0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E2D4A"/>
    <w:multiLevelType w:val="hybridMultilevel"/>
    <w:tmpl w:val="39281800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02F62"/>
    <w:multiLevelType w:val="multilevel"/>
    <w:tmpl w:val="EBFCB38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CE"/>
    <w:rsid w:val="00002716"/>
    <w:rsid w:val="00005791"/>
    <w:rsid w:val="0000662A"/>
    <w:rsid w:val="00010827"/>
    <w:rsid w:val="00015089"/>
    <w:rsid w:val="0002520B"/>
    <w:rsid w:val="000275AE"/>
    <w:rsid w:val="00037A9E"/>
    <w:rsid w:val="00037F91"/>
    <w:rsid w:val="000539F1"/>
    <w:rsid w:val="00054747"/>
    <w:rsid w:val="00055A2A"/>
    <w:rsid w:val="000615C1"/>
    <w:rsid w:val="00061675"/>
    <w:rsid w:val="000743AA"/>
    <w:rsid w:val="0009225C"/>
    <w:rsid w:val="000A17C4"/>
    <w:rsid w:val="000A36A4"/>
    <w:rsid w:val="000A3A00"/>
    <w:rsid w:val="000B2352"/>
    <w:rsid w:val="000C7B84"/>
    <w:rsid w:val="000D261B"/>
    <w:rsid w:val="000D58A3"/>
    <w:rsid w:val="000E0704"/>
    <w:rsid w:val="000E3ED4"/>
    <w:rsid w:val="000E3F9C"/>
    <w:rsid w:val="000F1550"/>
    <w:rsid w:val="000F251B"/>
    <w:rsid w:val="000F5FE8"/>
    <w:rsid w:val="000F6644"/>
    <w:rsid w:val="00100833"/>
    <w:rsid w:val="00102F72"/>
    <w:rsid w:val="00106E46"/>
    <w:rsid w:val="00107E85"/>
    <w:rsid w:val="00113EE8"/>
    <w:rsid w:val="0011455A"/>
    <w:rsid w:val="00114A65"/>
    <w:rsid w:val="00133061"/>
    <w:rsid w:val="00141699"/>
    <w:rsid w:val="00147000"/>
    <w:rsid w:val="00161B92"/>
    <w:rsid w:val="00161C05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4F24"/>
    <w:rsid w:val="001950CD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D0FBC"/>
    <w:rsid w:val="001F23E6"/>
    <w:rsid w:val="001F4238"/>
    <w:rsid w:val="00200A38"/>
    <w:rsid w:val="00200A46"/>
    <w:rsid w:val="00211B6F"/>
    <w:rsid w:val="00217CC3"/>
    <w:rsid w:val="00220AB6"/>
    <w:rsid w:val="0022120F"/>
    <w:rsid w:val="00227421"/>
    <w:rsid w:val="0022754A"/>
    <w:rsid w:val="00236560"/>
    <w:rsid w:val="0023662E"/>
    <w:rsid w:val="00245D0F"/>
    <w:rsid w:val="00247CDD"/>
    <w:rsid w:val="002548C3"/>
    <w:rsid w:val="00257ACD"/>
    <w:rsid w:val="00262908"/>
    <w:rsid w:val="002650F4"/>
    <w:rsid w:val="002715FD"/>
    <w:rsid w:val="002770B1"/>
    <w:rsid w:val="00285B33"/>
    <w:rsid w:val="00287A3C"/>
    <w:rsid w:val="002A19ED"/>
    <w:rsid w:val="002A2FC6"/>
    <w:rsid w:val="002C1EC7"/>
    <w:rsid w:val="002C3015"/>
    <w:rsid w:val="002C4342"/>
    <w:rsid w:val="002C7EA3"/>
    <w:rsid w:val="002D20AE"/>
    <w:rsid w:val="002D486A"/>
    <w:rsid w:val="002D66C1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47DE"/>
    <w:rsid w:val="003125C3"/>
    <w:rsid w:val="00312AE6"/>
    <w:rsid w:val="0031748F"/>
    <w:rsid w:val="00317D1A"/>
    <w:rsid w:val="003211FF"/>
    <w:rsid w:val="003242AB"/>
    <w:rsid w:val="00327208"/>
    <w:rsid w:val="00327247"/>
    <w:rsid w:val="003278DD"/>
    <w:rsid w:val="00327A9D"/>
    <w:rsid w:val="0033130E"/>
    <w:rsid w:val="0033269C"/>
    <w:rsid w:val="00340FE5"/>
    <w:rsid w:val="00351C79"/>
    <w:rsid w:val="0035516C"/>
    <w:rsid w:val="00355A4C"/>
    <w:rsid w:val="003604FB"/>
    <w:rsid w:val="00360B73"/>
    <w:rsid w:val="0036205D"/>
    <w:rsid w:val="00367392"/>
    <w:rsid w:val="00380B71"/>
    <w:rsid w:val="0038365A"/>
    <w:rsid w:val="003862BA"/>
    <w:rsid w:val="00386A89"/>
    <w:rsid w:val="0039648E"/>
    <w:rsid w:val="003A5AFE"/>
    <w:rsid w:val="003A5D5F"/>
    <w:rsid w:val="003A7FFE"/>
    <w:rsid w:val="003B0A63"/>
    <w:rsid w:val="003B28C6"/>
    <w:rsid w:val="003B50E1"/>
    <w:rsid w:val="003C1746"/>
    <w:rsid w:val="003C2AA9"/>
    <w:rsid w:val="003C58BF"/>
    <w:rsid w:val="003D451D"/>
    <w:rsid w:val="003D6150"/>
    <w:rsid w:val="003F2DD8"/>
    <w:rsid w:val="003F3F2D"/>
    <w:rsid w:val="003F50B2"/>
    <w:rsid w:val="003F6440"/>
    <w:rsid w:val="00400CCF"/>
    <w:rsid w:val="004018EA"/>
    <w:rsid w:val="00401BFF"/>
    <w:rsid w:val="00404424"/>
    <w:rsid w:val="00406A4D"/>
    <w:rsid w:val="0041156B"/>
    <w:rsid w:val="004122C5"/>
    <w:rsid w:val="00413B78"/>
    <w:rsid w:val="00416DDE"/>
    <w:rsid w:val="00420241"/>
    <w:rsid w:val="004218A9"/>
    <w:rsid w:val="00424348"/>
    <w:rsid w:val="00434BEB"/>
    <w:rsid w:val="00437F02"/>
    <w:rsid w:val="0044411E"/>
    <w:rsid w:val="00453435"/>
    <w:rsid w:val="00460089"/>
    <w:rsid w:val="00463B91"/>
    <w:rsid w:val="00466398"/>
    <w:rsid w:val="0047306D"/>
    <w:rsid w:val="00473791"/>
    <w:rsid w:val="00476E48"/>
    <w:rsid w:val="00481DE9"/>
    <w:rsid w:val="00487D23"/>
    <w:rsid w:val="0049128B"/>
    <w:rsid w:val="004919F8"/>
    <w:rsid w:val="0049302F"/>
    <w:rsid w:val="00493B49"/>
    <w:rsid w:val="00495501"/>
    <w:rsid w:val="00497300"/>
    <w:rsid w:val="004A070A"/>
    <w:rsid w:val="004A0A96"/>
    <w:rsid w:val="004A320E"/>
    <w:rsid w:val="004A4E9C"/>
    <w:rsid w:val="004B1A3C"/>
    <w:rsid w:val="004B41F5"/>
    <w:rsid w:val="004C0DAE"/>
    <w:rsid w:val="004C7615"/>
    <w:rsid w:val="004D2CC3"/>
    <w:rsid w:val="004D35CB"/>
    <w:rsid w:val="004D7DAB"/>
    <w:rsid w:val="004E182A"/>
    <w:rsid w:val="004E20E5"/>
    <w:rsid w:val="004E64EA"/>
    <w:rsid w:val="004E7828"/>
    <w:rsid w:val="004F46AA"/>
    <w:rsid w:val="004F6A70"/>
    <w:rsid w:val="004F7931"/>
    <w:rsid w:val="00500AD7"/>
    <w:rsid w:val="00502ABF"/>
    <w:rsid w:val="00504DB0"/>
    <w:rsid w:val="00507C35"/>
    <w:rsid w:val="00510735"/>
    <w:rsid w:val="00510BA2"/>
    <w:rsid w:val="00512882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0E6E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6C7"/>
    <w:rsid w:val="00625A69"/>
    <w:rsid w:val="00625FB8"/>
    <w:rsid w:val="006261BD"/>
    <w:rsid w:val="00635EDB"/>
    <w:rsid w:val="00643042"/>
    <w:rsid w:val="006443EF"/>
    <w:rsid w:val="0064734E"/>
    <w:rsid w:val="00650137"/>
    <w:rsid w:val="006509D7"/>
    <w:rsid w:val="00651CE8"/>
    <w:rsid w:val="0065521B"/>
    <w:rsid w:val="006653BF"/>
    <w:rsid w:val="00671EF6"/>
    <w:rsid w:val="0067205B"/>
    <w:rsid w:val="006748F8"/>
    <w:rsid w:val="0067589B"/>
    <w:rsid w:val="00680489"/>
    <w:rsid w:val="00683C32"/>
    <w:rsid w:val="006875F2"/>
    <w:rsid w:val="00690BB2"/>
    <w:rsid w:val="00692FB7"/>
    <w:rsid w:val="00693988"/>
    <w:rsid w:val="00693D09"/>
    <w:rsid w:val="006946DA"/>
    <w:rsid w:val="006947B9"/>
    <w:rsid w:val="006967D5"/>
    <w:rsid w:val="006A6549"/>
    <w:rsid w:val="006A7710"/>
    <w:rsid w:val="006A7A61"/>
    <w:rsid w:val="006B1243"/>
    <w:rsid w:val="006B1E59"/>
    <w:rsid w:val="006B2FFB"/>
    <w:rsid w:val="006C10A2"/>
    <w:rsid w:val="006C1F18"/>
    <w:rsid w:val="006D0FFA"/>
    <w:rsid w:val="006D40D5"/>
    <w:rsid w:val="006E2739"/>
    <w:rsid w:val="006F009A"/>
    <w:rsid w:val="006F3D93"/>
    <w:rsid w:val="007019B1"/>
    <w:rsid w:val="00721657"/>
    <w:rsid w:val="00725905"/>
    <w:rsid w:val="007279A8"/>
    <w:rsid w:val="00727B1A"/>
    <w:rsid w:val="00741337"/>
    <w:rsid w:val="00752258"/>
    <w:rsid w:val="007529E1"/>
    <w:rsid w:val="007620F3"/>
    <w:rsid w:val="00762880"/>
    <w:rsid w:val="00762AD6"/>
    <w:rsid w:val="00762E02"/>
    <w:rsid w:val="00764266"/>
    <w:rsid w:val="00772290"/>
    <w:rsid w:val="00772674"/>
    <w:rsid w:val="00776EB0"/>
    <w:rsid w:val="00777265"/>
    <w:rsid w:val="007805E7"/>
    <w:rsid w:val="0078222A"/>
    <w:rsid w:val="00787D48"/>
    <w:rsid w:val="00792DDA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7F49E9"/>
    <w:rsid w:val="00800597"/>
    <w:rsid w:val="008027AC"/>
    <w:rsid w:val="008028CE"/>
    <w:rsid w:val="0080332E"/>
    <w:rsid w:val="008141E0"/>
    <w:rsid w:val="00816EE1"/>
    <w:rsid w:val="00816F88"/>
    <w:rsid w:val="00821996"/>
    <w:rsid w:val="00822323"/>
    <w:rsid w:val="00823A3C"/>
    <w:rsid w:val="00827BC6"/>
    <w:rsid w:val="008300AD"/>
    <w:rsid w:val="00833024"/>
    <w:rsid w:val="00835B1D"/>
    <w:rsid w:val="008419B1"/>
    <w:rsid w:val="00844A56"/>
    <w:rsid w:val="00845B11"/>
    <w:rsid w:val="00850E8D"/>
    <w:rsid w:val="00852081"/>
    <w:rsid w:val="0085753F"/>
    <w:rsid w:val="00872B6E"/>
    <w:rsid w:val="00874DFD"/>
    <w:rsid w:val="00875EC3"/>
    <w:rsid w:val="008802F9"/>
    <w:rsid w:val="00883086"/>
    <w:rsid w:val="008879FD"/>
    <w:rsid w:val="008905BB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2C4"/>
    <w:rsid w:val="008D5E4F"/>
    <w:rsid w:val="008F0D0C"/>
    <w:rsid w:val="008F14F5"/>
    <w:rsid w:val="008F71C1"/>
    <w:rsid w:val="00902D41"/>
    <w:rsid w:val="00902F49"/>
    <w:rsid w:val="00904230"/>
    <w:rsid w:val="0091182E"/>
    <w:rsid w:val="00914004"/>
    <w:rsid w:val="00922EC1"/>
    <w:rsid w:val="00923CF1"/>
    <w:rsid w:val="0092437F"/>
    <w:rsid w:val="009301F1"/>
    <w:rsid w:val="009307DF"/>
    <w:rsid w:val="00933715"/>
    <w:rsid w:val="009359B8"/>
    <w:rsid w:val="00935FF0"/>
    <w:rsid w:val="009431F8"/>
    <w:rsid w:val="00947A35"/>
    <w:rsid w:val="0096201B"/>
    <w:rsid w:val="00962081"/>
    <w:rsid w:val="009662B5"/>
    <w:rsid w:val="00966CB5"/>
    <w:rsid w:val="00975786"/>
    <w:rsid w:val="00981CB7"/>
    <w:rsid w:val="00983E1F"/>
    <w:rsid w:val="00993F46"/>
    <w:rsid w:val="00997358"/>
    <w:rsid w:val="009A452B"/>
    <w:rsid w:val="009B0368"/>
    <w:rsid w:val="009B050C"/>
    <w:rsid w:val="009B087F"/>
    <w:rsid w:val="009B2AF4"/>
    <w:rsid w:val="009C110B"/>
    <w:rsid w:val="009C5441"/>
    <w:rsid w:val="009C7DCE"/>
    <w:rsid w:val="009D119F"/>
    <w:rsid w:val="009D49A2"/>
    <w:rsid w:val="009F3940"/>
    <w:rsid w:val="009F3EB2"/>
    <w:rsid w:val="009F6EB1"/>
    <w:rsid w:val="00A10B22"/>
    <w:rsid w:val="00A11D05"/>
    <w:rsid w:val="00A13162"/>
    <w:rsid w:val="00A20267"/>
    <w:rsid w:val="00A30FC2"/>
    <w:rsid w:val="00A3158C"/>
    <w:rsid w:val="00A319FD"/>
    <w:rsid w:val="00A32DF3"/>
    <w:rsid w:val="00A33E32"/>
    <w:rsid w:val="00A35E20"/>
    <w:rsid w:val="00A360C6"/>
    <w:rsid w:val="00A36F6D"/>
    <w:rsid w:val="00A410DE"/>
    <w:rsid w:val="00A419AA"/>
    <w:rsid w:val="00A50CA0"/>
    <w:rsid w:val="00A525CC"/>
    <w:rsid w:val="00A53E7C"/>
    <w:rsid w:val="00A60087"/>
    <w:rsid w:val="00A705E8"/>
    <w:rsid w:val="00A721F4"/>
    <w:rsid w:val="00A736E4"/>
    <w:rsid w:val="00A80E0B"/>
    <w:rsid w:val="00A845FC"/>
    <w:rsid w:val="00A9297E"/>
    <w:rsid w:val="00A9392C"/>
    <w:rsid w:val="00A9462B"/>
    <w:rsid w:val="00A973DB"/>
    <w:rsid w:val="00A97D59"/>
    <w:rsid w:val="00AA0B5B"/>
    <w:rsid w:val="00AA3E09"/>
    <w:rsid w:val="00AA4BEF"/>
    <w:rsid w:val="00AB1659"/>
    <w:rsid w:val="00AB4962"/>
    <w:rsid w:val="00AB734E"/>
    <w:rsid w:val="00AB740F"/>
    <w:rsid w:val="00AB7638"/>
    <w:rsid w:val="00AC4FE9"/>
    <w:rsid w:val="00AC6F14"/>
    <w:rsid w:val="00AC7221"/>
    <w:rsid w:val="00AE5961"/>
    <w:rsid w:val="00AF0745"/>
    <w:rsid w:val="00AF4971"/>
    <w:rsid w:val="00AF5276"/>
    <w:rsid w:val="00AF7C86"/>
    <w:rsid w:val="00B01046"/>
    <w:rsid w:val="00B07C31"/>
    <w:rsid w:val="00B310F9"/>
    <w:rsid w:val="00B37866"/>
    <w:rsid w:val="00B412FB"/>
    <w:rsid w:val="00B4576B"/>
    <w:rsid w:val="00B46350"/>
    <w:rsid w:val="00B46DF3"/>
    <w:rsid w:val="00B47F9F"/>
    <w:rsid w:val="00B57E81"/>
    <w:rsid w:val="00B63D22"/>
    <w:rsid w:val="00B648C7"/>
    <w:rsid w:val="00B66E8F"/>
    <w:rsid w:val="00B70226"/>
    <w:rsid w:val="00B80157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270E"/>
    <w:rsid w:val="00BB363A"/>
    <w:rsid w:val="00BC10A0"/>
    <w:rsid w:val="00BC35D2"/>
    <w:rsid w:val="00BC763B"/>
    <w:rsid w:val="00BC7BA2"/>
    <w:rsid w:val="00BD426B"/>
    <w:rsid w:val="00BD79F0"/>
    <w:rsid w:val="00BE2B4D"/>
    <w:rsid w:val="00BE53BF"/>
    <w:rsid w:val="00BE723F"/>
    <w:rsid w:val="00BF5EDF"/>
    <w:rsid w:val="00C015F8"/>
    <w:rsid w:val="00C07E26"/>
    <w:rsid w:val="00C10002"/>
    <w:rsid w:val="00C1011C"/>
    <w:rsid w:val="00C12F94"/>
    <w:rsid w:val="00C14DFD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6B10"/>
    <w:rsid w:val="00C87681"/>
    <w:rsid w:val="00C87BCA"/>
    <w:rsid w:val="00C87EED"/>
    <w:rsid w:val="00C911BE"/>
    <w:rsid w:val="00C94506"/>
    <w:rsid w:val="00C954BC"/>
    <w:rsid w:val="00C956AD"/>
    <w:rsid w:val="00CA1F0B"/>
    <w:rsid w:val="00CB110F"/>
    <w:rsid w:val="00CB2A2E"/>
    <w:rsid w:val="00CB338A"/>
    <w:rsid w:val="00CB79C5"/>
    <w:rsid w:val="00CC07FD"/>
    <w:rsid w:val="00CC411F"/>
    <w:rsid w:val="00CC4B75"/>
    <w:rsid w:val="00CC732E"/>
    <w:rsid w:val="00CD2FCD"/>
    <w:rsid w:val="00CD6AA8"/>
    <w:rsid w:val="00CD7207"/>
    <w:rsid w:val="00CE0422"/>
    <w:rsid w:val="00CE0DBE"/>
    <w:rsid w:val="00CE4462"/>
    <w:rsid w:val="00CE5E4D"/>
    <w:rsid w:val="00CF02C4"/>
    <w:rsid w:val="00CF167F"/>
    <w:rsid w:val="00CF72E5"/>
    <w:rsid w:val="00D013EE"/>
    <w:rsid w:val="00D01F54"/>
    <w:rsid w:val="00D040F7"/>
    <w:rsid w:val="00D04A76"/>
    <w:rsid w:val="00D07942"/>
    <w:rsid w:val="00D10FC7"/>
    <w:rsid w:val="00D1519F"/>
    <w:rsid w:val="00D1725C"/>
    <w:rsid w:val="00D20E99"/>
    <w:rsid w:val="00D21C83"/>
    <w:rsid w:val="00D35BDD"/>
    <w:rsid w:val="00D368A6"/>
    <w:rsid w:val="00D56743"/>
    <w:rsid w:val="00D63006"/>
    <w:rsid w:val="00D72301"/>
    <w:rsid w:val="00D77D25"/>
    <w:rsid w:val="00D83869"/>
    <w:rsid w:val="00D911DE"/>
    <w:rsid w:val="00D91B97"/>
    <w:rsid w:val="00D93762"/>
    <w:rsid w:val="00D93ACC"/>
    <w:rsid w:val="00D93C08"/>
    <w:rsid w:val="00D95DAC"/>
    <w:rsid w:val="00DA0B53"/>
    <w:rsid w:val="00DB1171"/>
    <w:rsid w:val="00DB1519"/>
    <w:rsid w:val="00DB2840"/>
    <w:rsid w:val="00DB6A5F"/>
    <w:rsid w:val="00DC1BD3"/>
    <w:rsid w:val="00DC2C1A"/>
    <w:rsid w:val="00DD2F28"/>
    <w:rsid w:val="00DD66B4"/>
    <w:rsid w:val="00DE1591"/>
    <w:rsid w:val="00DE1972"/>
    <w:rsid w:val="00DE27AB"/>
    <w:rsid w:val="00DF2AB3"/>
    <w:rsid w:val="00DF2B60"/>
    <w:rsid w:val="00DF7250"/>
    <w:rsid w:val="00E00CAA"/>
    <w:rsid w:val="00E03EBF"/>
    <w:rsid w:val="00E05209"/>
    <w:rsid w:val="00E11BCF"/>
    <w:rsid w:val="00E2258E"/>
    <w:rsid w:val="00E257DA"/>
    <w:rsid w:val="00E260C2"/>
    <w:rsid w:val="00E31AAB"/>
    <w:rsid w:val="00E32596"/>
    <w:rsid w:val="00E34F9C"/>
    <w:rsid w:val="00E368F7"/>
    <w:rsid w:val="00E36EB8"/>
    <w:rsid w:val="00E37FB8"/>
    <w:rsid w:val="00E40B07"/>
    <w:rsid w:val="00E42326"/>
    <w:rsid w:val="00E43544"/>
    <w:rsid w:val="00E43DD3"/>
    <w:rsid w:val="00E44D89"/>
    <w:rsid w:val="00E477EA"/>
    <w:rsid w:val="00E53919"/>
    <w:rsid w:val="00E55807"/>
    <w:rsid w:val="00E56F53"/>
    <w:rsid w:val="00E63B14"/>
    <w:rsid w:val="00E65CA0"/>
    <w:rsid w:val="00E70D9F"/>
    <w:rsid w:val="00E75941"/>
    <w:rsid w:val="00E83810"/>
    <w:rsid w:val="00E86933"/>
    <w:rsid w:val="00E9605B"/>
    <w:rsid w:val="00E97298"/>
    <w:rsid w:val="00E97753"/>
    <w:rsid w:val="00EA0C51"/>
    <w:rsid w:val="00EA3CC8"/>
    <w:rsid w:val="00EA7DE7"/>
    <w:rsid w:val="00EB7A8A"/>
    <w:rsid w:val="00EC6FED"/>
    <w:rsid w:val="00EC7F3B"/>
    <w:rsid w:val="00EE3A64"/>
    <w:rsid w:val="00EE50E5"/>
    <w:rsid w:val="00EF01CF"/>
    <w:rsid w:val="00F007C2"/>
    <w:rsid w:val="00F03590"/>
    <w:rsid w:val="00F03622"/>
    <w:rsid w:val="00F077FD"/>
    <w:rsid w:val="00F204F3"/>
    <w:rsid w:val="00F20D2B"/>
    <w:rsid w:val="00F218AB"/>
    <w:rsid w:val="00F238B3"/>
    <w:rsid w:val="00F24FED"/>
    <w:rsid w:val="00F25586"/>
    <w:rsid w:val="00F2651D"/>
    <w:rsid w:val="00F26FE6"/>
    <w:rsid w:val="00F27362"/>
    <w:rsid w:val="00F31498"/>
    <w:rsid w:val="00F32FEF"/>
    <w:rsid w:val="00F35673"/>
    <w:rsid w:val="00F41B1C"/>
    <w:rsid w:val="00F42E13"/>
    <w:rsid w:val="00F42F1C"/>
    <w:rsid w:val="00F43B44"/>
    <w:rsid w:val="00F440E5"/>
    <w:rsid w:val="00F448F6"/>
    <w:rsid w:val="00F45B51"/>
    <w:rsid w:val="00F52741"/>
    <w:rsid w:val="00F53D8A"/>
    <w:rsid w:val="00F626F7"/>
    <w:rsid w:val="00F627C4"/>
    <w:rsid w:val="00F62D70"/>
    <w:rsid w:val="00F736F9"/>
    <w:rsid w:val="00F73833"/>
    <w:rsid w:val="00F9211C"/>
    <w:rsid w:val="00F9232F"/>
    <w:rsid w:val="00F978C6"/>
    <w:rsid w:val="00FA073C"/>
    <w:rsid w:val="00FA095D"/>
    <w:rsid w:val="00FA321B"/>
    <w:rsid w:val="00FA6C8B"/>
    <w:rsid w:val="00FA6CDA"/>
    <w:rsid w:val="00FA7C89"/>
    <w:rsid w:val="00FB4139"/>
    <w:rsid w:val="00FB476E"/>
    <w:rsid w:val="00FB4AF9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05F1B3"/>
  <w15:docId w15:val="{CB266E90-654A-4450-8BA5-4A5A3ED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aliases w:val="Recommendation,List Paragraph11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53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63B91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823A3C"/>
  </w:style>
  <w:style w:type="character" w:customStyle="1" w:styleId="eop">
    <w:name w:val="eop"/>
    <w:basedOn w:val="DefaultParagraphFont"/>
    <w:rsid w:val="00823A3C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73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42434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4348"/>
    <w:rPr>
      <w:rFonts w:ascii="Segoe UI" w:hAnsi="Segoe UI" w:cs="Segoe UI"/>
      <w:sz w:val="18"/>
      <w:szCs w:val="18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83869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ommendation Char,List Paragraph11 Char"/>
    <w:link w:val="ListParagraph"/>
    <w:uiPriority w:val="34"/>
    <w:locked/>
    <w:rsid w:val="006653BF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6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D18-TDAG27.RDTP-C-0020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18-TDAG27.RDTP-C-0013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smas.zavazava@itu.i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hmad.sharafat@gmail.com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https://www.itu.int/en/ITU-D/Conferences/TDAG/Pages/TDAG_WG_WTDC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3DE8-7AA3-47D2-BE2F-7ACF5445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Comas Barnes, Maite</dc:creator>
  <cp:lastModifiedBy>BDT-nd</cp:lastModifiedBy>
  <cp:revision>3</cp:revision>
  <cp:lastPrinted>2014-11-04T09:22:00Z</cp:lastPrinted>
  <dcterms:created xsi:type="dcterms:W3CDTF">2021-02-05T08:22:00Z</dcterms:created>
  <dcterms:modified xsi:type="dcterms:W3CDTF">2021-02-05T08:26:00Z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