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97F21" w14:textId="77777777" w:rsidR="004018EA" w:rsidRDefault="004018EA" w:rsidP="00BC763B">
      <w:pPr>
        <w:jc w:val="center"/>
        <w:rPr>
          <w:b/>
          <w:bCs/>
        </w:rPr>
      </w:pPr>
    </w:p>
    <w:p w14:paraId="20E742CF" w14:textId="77305E95" w:rsidR="00194F24" w:rsidRPr="00BC763B" w:rsidRDefault="00BC763B" w:rsidP="00BC763B">
      <w:pPr>
        <w:jc w:val="center"/>
        <w:rPr>
          <w:b/>
          <w:bCs/>
        </w:rPr>
      </w:pPr>
      <w:r>
        <w:rPr>
          <w:b/>
          <w:bCs/>
        </w:rPr>
        <w:t>LIAISON STATEMENT</w:t>
      </w:r>
    </w:p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134"/>
        <w:gridCol w:w="5245"/>
        <w:gridCol w:w="3509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189CD60D" w14:textId="77777777" w:rsidR="00F9232F" w:rsidRPr="0085753F" w:rsidRDefault="00F9232F" w:rsidP="00F9232F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5FE49BD" wp14:editId="675FB27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753F">
              <w:rPr>
                <w:b/>
                <w:bCs/>
                <w:sz w:val="32"/>
                <w:szCs w:val="32"/>
              </w:rPr>
              <w:t xml:space="preserve">TDAG Working Group on </w:t>
            </w:r>
            <w:r>
              <w:rPr>
                <w:b/>
                <w:bCs/>
                <w:sz w:val="32"/>
                <w:szCs w:val="32"/>
              </w:rPr>
              <w:t>Resolutions, Declaration and Thematic Priorities</w:t>
            </w:r>
          </w:p>
          <w:p w14:paraId="49124C96" w14:textId="5D4EAB7D" w:rsidR="00194F24" w:rsidRPr="00F45B51" w:rsidRDefault="00F9232F" w:rsidP="00F9232F">
            <w:pPr>
              <w:ind w:right="142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  <w:r w:rsidRPr="00F45B5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January 2021</w:t>
            </w:r>
            <w:r w:rsidRPr="00F45B51">
              <w:rPr>
                <w:b/>
                <w:bCs/>
                <w:sz w:val="26"/>
                <w:szCs w:val="26"/>
              </w:rPr>
              <w:t>, Virtual</w:t>
            </w:r>
            <w:r w:rsidRPr="00F45B51">
              <w:rPr>
                <w:sz w:val="26"/>
                <w:szCs w:val="26"/>
              </w:rPr>
              <w:t xml:space="preserve"> </w:t>
            </w:r>
          </w:p>
        </w:tc>
      </w:tr>
      <w:tr w:rsidR="00FA073C" w:rsidRPr="00997358" w14:paraId="48B980A4" w14:textId="77777777" w:rsidTr="00D368A6">
        <w:trPr>
          <w:cantSplit/>
        </w:trPr>
        <w:tc>
          <w:tcPr>
            <w:tcW w:w="6379" w:type="dxa"/>
            <w:gridSpan w:val="2"/>
            <w:tcBorders>
              <w:top w:val="single" w:sz="2" w:space="0" w:color="00B0F0"/>
            </w:tcBorders>
          </w:tcPr>
          <w:p w14:paraId="418C6355" w14:textId="77777777" w:rsidR="00FA073C" w:rsidRPr="00997358" w:rsidRDefault="00FA073C" w:rsidP="00FA073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2" w:space="0" w:color="00B0F0"/>
            </w:tcBorders>
          </w:tcPr>
          <w:p w14:paraId="49A48CC7" w14:textId="62DD790A" w:rsidR="00FA073C" w:rsidRPr="000E0704" w:rsidRDefault="00F9232F" w:rsidP="00FA073C">
            <w:pPr>
              <w:rPr>
                <w:b/>
                <w:bCs/>
                <w:szCs w:val="24"/>
              </w:rPr>
            </w:pPr>
            <w:r w:rsidRPr="001B64FA">
              <w:rPr>
                <w:b/>
                <w:bCs/>
                <w:szCs w:val="24"/>
                <w:lang w:val="fr-FR"/>
              </w:rPr>
              <w:t>Document TDAG-WG-RDTP</w:t>
            </w:r>
            <w:r>
              <w:rPr>
                <w:b/>
                <w:bCs/>
                <w:szCs w:val="24"/>
                <w:lang w:val="fr-FR"/>
              </w:rPr>
              <w:t>/13-E</w:t>
            </w:r>
          </w:p>
        </w:tc>
      </w:tr>
      <w:tr w:rsidR="00FA073C" w:rsidRPr="00997358" w14:paraId="7302F6BC" w14:textId="77777777" w:rsidTr="00D368A6">
        <w:trPr>
          <w:cantSplit/>
        </w:trPr>
        <w:tc>
          <w:tcPr>
            <w:tcW w:w="6379" w:type="dxa"/>
            <w:gridSpan w:val="2"/>
          </w:tcPr>
          <w:p w14:paraId="1F9741FC" w14:textId="77777777" w:rsidR="00FA073C" w:rsidRPr="00997358" w:rsidRDefault="00FA073C" w:rsidP="00FA073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</w:tcPr>
          <w:p w14:paraId="65511797" w14:textId="54921746" w:rsidR="00FA073C" w:rsidRPr="000E0704" w:rsidRDefault="00F9232F" w:rsidP="00FA073C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="00692FB7">
              <w:rPr>
                <w:b/>
                <w:bCs/>
                <w:szCs w:val="24"/>
              </w:rPr>
              <w:t xml:space="preserve"> November</w:t>
            </w:r>
            <w:r w:rsidR="00FA073C">
              <w:rPr>
                <w:b/>
                <w:bCs/>
                <w:szCs w:val="24"/>
              </w:rPr>
              <w:t xml:space="preserve"> 2020</w:t>
            </w:r>
          </w:p>
        </w:tc>
      </w:tr>
      <w:tr w:rsidR="00FA073C" w:rsidRPr="00997358" w14:paraId="769980A4" w14:textId="77777777" w:rsidTr="00D368A6">
        <w:trPr>
          <w:cantSplit/>
        </w:trPr>
        <w:tc>
          <w:tcPr>
            <w:tcW w:w="6379" w:type="dxa"/>
            <w:gridSpan w:val="2"/>
          </w:tcPr>
          <w:p w14:paraId="4DFD97DF" w14:textId="77777777" w:rsidR="00FA073C" w:rsidRPr="00997358" w:rsidRDefault="00FA073C" w:rsidP="00FA073C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509" w:type="dxa"/>
          </w:tcPr>
          <w:p w14:paraId="14B81F67" w14:textId="1E66D626" w:rsidR="00FA073C" w:rsidRPr="000E0704" w:rsidRDefault="00FA073C" w:rsidP="00FA073C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English only</w:t>
            </w:r>
          </w:p>
        </w:tc>
      </w:tr>
      <w:tr w:rsidR="00AA0B5B" w:rsidRPr="00002716" w14:paraId="10DE2C82" w14:textId="77777777" w:rsidTr="004018EA">
        <w:trPr>
          <w:cantSplit/>
          <w:trHeight w:val="408"/>
        </w:trPr>
        <w:tc>
          <w:tcPr>
            <w:tcW w:w="1134" w:type="dxa"/>
          </w:tcPr>
          <w:p w14:paraId="46B4A90F" w14:textId="77777777" w:rsidR="00AA0B5B" w:rsidRPr="00194F24" w:rsidRDefault="00AA0B5B" w:rsidP="00194F24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Source:</w:t>
            </w:r>
          </w:p>
        </w:tc>
        <w:tc>
          <w:tcPr>
            <w:tcW w:w="8754" w:type="dxa"/>
            <w:gridSpan w:val="2"/>
          </w:tcPr>
          <w:p w14:paraId="0F88DEF6" w14:textId="46F3715B" w:rsidR="00AA0B5B" w:rsidRPr="008905BB" w:rsidRDefault="00B70226" w:rsidP="00E33024">
            <w:pPr>
              <w:spacing w:before="80" w:after="80"/>
              <w:rPr>
                <w:bCs/>
                <w:szCs w:val="24"/>
                <w:lang w:val="en-US"/>
              </w:rPr>
            </w:pPr>
            <w:r>
              <w:rPr>
                <w:lang w:val="fr-FR"/>
              </w:rPr>
              <w:t>Chair</w:t>
            </w:r>
            <w:r w:rsidR="00692FB7">
              <w:rPr>
                <w:lang w:val="fr-FR"/>
              </w:rPr>
              <w:t>man</w:t>
            </w:r>
            <w:r>
              <w:rPr>
                <w:lang w:val="fr-FR"/>
              </w:rPr>
              <w:t>, TDAG-WG-</w:t>
            </w:r>
            <w:r w:rsidR="00497300">
              <w:rPr>
                <w:lang w:val="fr-FR"/>
              </w:rPr>
              <w:t>Prep</w:t>
            </w:r>
          </w:p>
        </w:tc>
      </w:tr>
      <w:tr w:rsidR="00AA0B5B" w:rsidRPr="00002716" w14:paraId="29E95131" w14:textId="77777777" w:rsidTr="004018EA">
        <w:trPr>
          <w:cantSplit/>
          <w:trHeight w:val="407"/>
        </w:trPr>
        <w:tc>
          <w:tcPr>
            <w:tcW w:w="1134" w:type="dxa"/>
            <w:tcBorders>
              <w:bottom w:val="single" w:sz="4" w:space="0" w:color="00B0F0"/>
            </w:tcBorders>
          </w:tcPr>
          <w:p w14:paraId="0B4CC4A0" w14:textId="65A64A24" w:rsidR="00AA0B5B" w:rsidRDefault="00AA0B5B" w:rsidP="00194F24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Title:</w:t>
            </w:r>
          </w:p>
        </w:tc>
        <w:tc>
          <w:tcPr>
            <w:tcW w:w="8754" w:type="dxa"/>
            <w:gridSpan w:val="2"/>
            <w:tcBorders>
              <w:bottom w:val="single" w:sz="4" w:space="0" w:color="00B0F0"/>
            </w:tcBorders>
          </w:tcPr>
          <w:p w14:paraId="5DF56324" w14:textId="64FE1F28" w:rsidR="00AA0B5B" w:rsidRPr="008905BB" w:rsidRDefault="00835B1D" w:rsidP="00F9232F">
            <w:pPr>
              <w:spacing w:before="80" w:after="8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Liaison Statement on the link between the approved Conference Theme and the Declaration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7361"/>
        <w:gridCol w:w="10"/>
      </w:tblGrid>
      <w:tr w:rsidR="00BC763B" w14:paraId="200B4B02" w14:textId="77777777" w:rsidTr="0049302F">
        <w:trPr>
          <w:gridAfter w:val="1"/>
          <w:wAfter w:w="10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E499E9" w14:textId="308B9EBD" w:rsidR="00BC763B" w:rsidRPr="00BC763B" w:rsidRDefault="00BC763B" w:rsidP="0049302F">
            <w:pPr>
              <w:spacing w:after="40"/>
              <w:rPr>
                <w:b/>
                <w:bCs/>
              </w:rPr>
            </w:pPr>
            <w:r w:rsidRPr="00BC763B">
              <w:rPr>
                <w:b/>
                <w:bCs/>
              </w:rPr>
              <w:t>For action to:</w:t>
            </w:r>
          </w:p>
        </w:tc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14:paraId="3B289C91" w14:textId="147378D3" w:rsidR="00BC763B" w:rsidRDefault="00835B1D" w:rsidP="0049302F">
            <w:pPr>
              <w:spacing w:after="40"/>
            </w:pPr>
            <w:r>
              <w:t>TDAG Working Group on WTDC Resolutions, Declaration and Thematic Priorities (TDAG-WG-RDTP)</w:t>
            </w:r>
          </w:p>
        </w:tc>
      </w:tr>
      <w:tr w:rsidR="00BC763B" w14:paraId="22F1BDFF" w14:textId="77777777" w:rsidTr="0049302F">
        <w:trPr>
          <w:gridAfter w:val="1"/>
          <w:wAfter w:w="10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94784" w14:textId="530F1FF0" w:rsidR="00BC763B" w:rsidRPr="00BC763B" w:rsidRDefault="00BC763B" w:rsidP="0049302F">
            <w:pPr>
              <w:spacing w:before="40" w:after="40"/>
              <w:rPr>
                <w:b/>
                <w:bCs/>
              </w:rPr>
            </w:pPr>
            <w:r w:rsidRPr="00BC763B">
              <w:rPr>
                <w:b/>
                <w:bCs/>
              </w:rPr>
              <w:t>For information to:</w:t>
            </w:r>
          </w:p>
        </w:tc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14:paraId="6B547AA3" w14:textId="55FAD9DE" w:rsidR="00BC763B" w:rsidRDefault="00B70226" w:rsidP="0049302F">
            <w:pPr>
              <w:spacing w:before="40" w:after="40"/>
            </w:pPr>
            <w:r>
              <w:t>-</w:t>
            </w:r>
          </w:p>
        </w:tc>
      </w:tr>
      <w:tr w:rsidR="00BC763B" w14:paraId="18A5A61F" w14:textId="77777777" w:rsidTr="0049302F">
        <w:trPr>
          <w:gridAfter w:val="1"/>
          <w:wAfter w:w="10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12A000" w14:textId="2FE81B53" w:rsidR="00BC763B" w:rsidRPr="00BC763B" w:rsidRDefault="00BC763B" w:rsidP="0049302F">
            <w:pPr>
              <w:spacing w:before="40" w:after="40"/>
              <w:rPr>
                <w:b/>
                <w:bCs/>
              </w:rPr>
            </w:pPr>
            <w:r w:rsidRPr="00BC763B">
              <w:rPr>
                <w:b/>
                <w:bCs/>
              </w:rPr>
              <w:t>Deadline:</w:t>
            </w:r>
          </w:p>
        </w:tc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14:paraId="6CF89CD6" w14:textId="7106B967" w:rsidR="00BC763B" w:rsidRDefault="00C87681" w:rsidP="0049302F">
            <w:pPr>
              <w:spacing w:before="40" w:after="40"/>
            </w:pPr>
            <w:r>
              <w:t>n/a</w:t>
            </w:r>
          </w:p>
        </w:tc>
      </w:tr>
      <w:tr w:rsidR="00BC763B" w14:paraId="1DD18823" w14:textId="77777777" w:rsidTr="0049302F">
        <w:trPr>
          <w:gridAfter w:val="1"/>
          <w:wAfter w:w="10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2A7CA" w14:textId="77777777" w:rsidR="00BC763B" w:rsidRDefault="00BC763B" w:rsidP="00BC763B">
            <w:pPr>
              <w:spacing w:before="20"/>
            </w:pPr>
          </w:p>
        </w:tc>
        <w:tc>
          <w:tcPr>
            <w:tcW w:w="7361" w:type="dxa"/>
            <w:tcBorders>
              <w:top w:val="nil"/>
              <w:left w:val="nil"/>
              <w:bottom w:val="nil"/>
              <w:right w:val="nil"/>
            </w:tcBorders>
          </w:tcPr>
          <w:p w14:paraId="09BFCABE" w14:textId="77777777" w:rsidR="00BC763B" w:rsidRDefault="00BC763B" w:rsidP="00BC763B">
            <w:pPr>
              <w:spacing w:before="20"/>
            </w:pPr>
          </w:p>
        </w:tc>
      </w:tr>
      <w:tr w:rsidR="0049302F" w14:paraId="573B144B" w14:textId="77777777" w:rsidTr="004930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605829" w14:textId="0B9DD12D" w:rsidR="0049302F" w:rsidRPr="00BC763B" w:rsidRDefault="0049302F" w:rsidP="00BC763B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AEE0C" w14:textId="7E2C05E4" w:rsidR="0049302F" w:rsidRPr="004018EA" w:rsidRDefault="00835B1D" w:rsidP="00BC763B">
            <w:pPr>
              <w:spacing w:before="0"/>
              <w:rPr>
                <w:szCs w:val="24"/>
              </w:rPr>
            </w:pPr>
            <w:r w:rsidRPr="004018EA">
              <w:rPr>
                <w:szCs w:val="24"/>
                <w:lang w:val="en-US"/>
              </w:rPr>
              <w:t xml:space="preserve">Mr </w:t>
            </w:r>
            <w:r>
              <w:rPr>
                <w:szCs w:val="24"/>
                <w:lang w:val="en-US"/>
              </w:rPr>
              <w:t>Santiago Reyes-Borda, Senior Policy Advisor, Innovation, Science and Economic Development, Canada – Chairman, TDAG-WG-Prep</w:t>
            </w:r>
          </w:p>
        </w:tc>
      </w:tr>
      <w:tr w:rsidR="0049302F" w14:paraId="03A94CDB" w14:textId="77777777" w:rsidTr="004930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865FD9" w14:textId="77777777" w:rsidR="0049302F" w:rsidRDefault="0049302F" w:rsidP="00BC763B">
            <w:pPr>
              <w:spacing w:before="0"/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40324" w14:textId="72B44F0B" w:rsidR="0049302F" w:rsidRPr="004018EA" w:rsidRDefault="004C0DAE" w:rsidP="00BC763B">
            <w:pPr>
              <w:spacing w:before="0"/>
              <w:rPr>
                <w:szCs w:val="24"/>
              </w:rPr>
            </w:pPr>
            <w:hyperlink r:id="rId9" w:history="1">
              <w:r w:rsidR="00D83869" w:rsidRPr="008C5861">
                <w:rPr>
                  <w:rStyle w:val="Hyperlink"/>
                  <w:szCs w:val="24"/>
                </w:rPr>
                <w:t>santiago.reyes-borda@canada.ca</w:t>
              </w:r>
            </w:hyperlink>
            <w:r w:rsidR="00A973DB">
              <w:rPr>
                <w:szCs w:val="24"/>
              </w:rPr>
              <w:t xml:space="preserve"> </w:t>
            </w:r>
          </w:p>
        </w:tc>
      </w:tr>
      <w:tr w:rsidR="0049302F" w14:paraId="57FF34E7" w14:textId="77777777" w:rsidTr="0049302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F619B2" w14:textId="77777777" w:rsidR="0049302F" w:rsidRDefault="0049302F" w:rsidP="00BC763B">
            <w:pPr>
              <w:spacing w:before="0"/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A98A7" w14:textId="5CDAC9D6" w:rsidR="0049302F" w:rsidRPr="004018EA" w:rsidRDefault="0049302F" w:rsidP="00BC763B">
            <w:pPr>
              <w:spacing w:before="0"/>
              <w:rPr>
                <w:szCs w:val="24"/>
              </w:rPr>
            </w:pPr>
          </w:p>
        </w:tc>
      </w:tr>
    </w:tbl>
    <w:p w14:paraId="1BFB228A" w14:textId="18584883" w:rsidR="00923CF1" w:rsidRDefault="00923CF1" w:rsidP="00340FE5"/>
    <w:p w14:paraId="4F56136F" w14:textId="77777777" w:rsidR="00835B1D" w:rsidRDefault="00835B1D" w:rsidP="00835B1D">
      <w:pPr>
        <w:rPr>
          <w:lang w:val="en-US"/>
        </w:rPr>
      </w:pPr>
      <w:r>
        <w:rPr>
          <w:lang w:val="en-US"/>
        </w:rPr>
        <w:t>The TDAG Working Group on WTDC Preparations (TDAG-WG-Prep) is pleased to share with the TDAG-WG-RDTP its final report (</w:t>
      </w:r>
      <w:hyperlink r:id="rId10" w:history="1">
        <w:r w:rsidRPr="00487D23">
          <w:rPr>
            <w:rStyle w:val="Hyperlink"/>
            <w:lang w:val="en-US"/>
          </w:rPr>
          <w:t>TDAG-20/3/5</w:t>
        </w:r>
      </w:hyperlink>
      <w:r>
        <w:rPr>
          <w:lang w:val="en-US"/>
        </w:rPr>
        <w:t>), as submitted to TDAG-20/3.</w:t>
      </w:r>
    </w:p>
    <w:p w14:paraId="34345AB3" w14:textId="77777777" w:rsidR="00835B1D" w:rsidRPr="009662B5" w:rsidRDefault="00835B1D" w:rsidP="00835B1D">
      <w:pPr>
        <w:rPr>
          <w:lang w:val="en-CA"/>
        </w:rPr>
      </w:pPr>
      <w:r>
        <w:rPr>
          <w:lang w:val="en-US"/>
        </w:rPr>
        <w:t xml:space="preserve">In particular, the TDAG-WG-Prep would like to highlight that on the determination of the conference theme, there was almost full agreement on </w:t>
      </w:r>
      <w:r>
        <w:rPr>
          <w:lang w:val="en-CA"/>
        </w:rPr>
        <w:t>“</w:t>
      </w:r>
      <w:r w:rsidRPr="00161B92">
        <w:rPr>
          <w:lang w:val="en-CA"/>
        </w:rPr>
        <w:t>Connecting the unconnected to achieve Sustainable Development</w:t>
      </w:r>
      <w:r>
        <w:rPr>
          <w:lang w:val="en-CA"/>
        </w:rPr>
        <w:t>”.  However, given that one Member State suggested another theme: “I</w:t>
      </w:r>
      <w:r w:rsidRPr="00161B92">
        <w:rPr>
          <w:lang w:val="en-CA"/>
        </w:rPr>
        <w:t>CT resilience for a better future</w:t>
      </w:r>
      <w:r>
        <w:rPr>
          <w:lang w:val="en-CA"/>
        </w:rPr>
        <w:t xml:space="preserve">”, the matter was left for TDAG’s decision, which at the meeting of 23 November adopted the following theme: </w:t>
      </w:r>
      <w:r>
        <w:rPr>
          <w:i/>
          <w:iCs/>
          <w:lang w:val="en-CA"/>
        </w:rPr>
        <w:t>Connecting the unconnected to achieve Sustainable Development</w:t>
      </w:r>
      <w:r>
        <w:rPr>
          <w:iCs/>
          <w:lang w:val="en-CA"/>
        </w:rPr>
        <w:t>.</w:t>
      </w:r>
    </w:p>
    <w:p w14:paraId="5788428B" w14:textId="77777777" w:rsidR="00835B1D" w:rsidRDefault="00835B1D" w:rsidP="00835B1D">
      <w:pPr>
        <w:rPr>
          <w:lang w:val="en-US"/>
        </w:rPr>
      </w:pPr>
      <w:r>
        <w:rPr>
          <w:lang w:val="en-US"/>
        </w:rPr>
        <w:t>The TDAG-WG-Prep believes that it is particularly important that there be complete alignment between the Conference theme and the Conference Declaration, and proposes that the TDAG-WG-RDTP base its work on the Declaration on the selected theme.</w:t>
      </w:r>
    </w:p>
    <w:p w14:paraId="0B2236E3" w14:textId="77777777" w:rsidR="00A10B22" w:rsidRDefault="00A10B22" w:rsidP="00340FE5">
      <w:pPr>
        <w:rPr>
          <w:lang w:val="en-US"/>
        </w:rPr>
      </w:pPr>
    </w:p>
    <w:p w14:paraId="0CEB7766" w14:textId="5EA9D9B0" w:rsidR="00A973DB" w:rsidRPr="00A973DB" w:rsidRDefault="003C58BF" w:rsidP="00A10B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center"/>
        <w:textAlignment w:val="auto"/>
      </w:pPr>
      <w:r>
        <w:t>_____________</w:t>
      </w:r>
      <w:r w:rsidR="004122C5">
        <w:t>_</w:t>
      </w:r>
      <w:r w:rsidR="00922EC1">
        <w:t>_</w:t>
      </w:r>
    </w:p>
    <w:sectPr w:rsidR="00A973DB" w:rsidRPr="00A973DB" w:rsidSect="004737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21A40" w14:textId="77777777" w:rsidR="00BE723F" w:rsidRDefault="00BE723F">
      <w:r>
        <w:separator/>
      </w:r>
    </w:p>
  </w:endnote>
  <w:endnote w:type="continuationSeparator" w:id="0">
    <w:p w14:paraId="0B89FF7C" w14:textId="77777777" w:rsidR="00BE723F" w:rsidRDefault="00BE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BFF3" w14:textId="77777777" w:rsidR="004C0DAE" w:rsidRDefault="004C0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BDB80" w14:textId="77777777" w:rsidR="004C0DAE" w:rsidRDefault="004C0D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GoBack"/>
  <w:bookmarkEnd w:id="0"/>
  <w:p w14:paraId="7E923EE5" w14:textId="77372489" w:rsidR="00BC35D2" w:rsidRDefault="004C0DAE" w:rsidP="00BC35D2">
    <w:pPr>
      <w:pStyle w:val="Footer"/>
      <w:jc w:val="center"/>
    </w:pPr>
    <w:r>
      <w:fldChar w:fldCharType="begin"/>
    </w:r>
    <w:r>
      <w:instrText xml:space="preserve"> HYPERLINK "http://www.itu.int/ITU-D/TDAG/" </w:instrText>
    </w:r>
    <w:r>
      <w:fldChar w:fldCharType="separate"/>
    </w:r>
    <w:r w:rsidR="00BC35D2">
      <w:rPr>
        <w:rStyle w:val="Hyperlink"/>
        <w:sz w:val="18"/>
        <w:szCs w:val="18"/>
      </w:rPr>
      <w:t>TDAG</w:t>
    </w:r>
    <w:r>
      <w:rPr>
        <w:rStyle w:val="Hyperlink"/>
        <w:sz w:val="18"/>
        <w:szCs w:val="18"/>
      </w:rPr>
      <w:fldChar w:fldCharType="end"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EA957" w14:textId="77777777" w:rsidR="00BE723F" w:rsidRDefault="00BE723F">
      <w:r>
        <w:t>____________________</w:t>
      </w:r>
    </w:p>
  </w:footnote>
  <w:footnote w:type="continuationSeparator" w:id="0">
    <w:p w14:paraId="018820AE" w14:textId="77777777" w:rsidR="00BE723F" w:rsidRDefault="00BE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A591D" w14:textId="77777777" w:rsidR="004C0DAE" w:rsidRDefault="004C0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8130D86" w:rsidR="00721657" w:rsidRPr="00B63D22" w:rsidRDefault="00BE53BF" w:rsidP="00BE53BF">
    <w:pPr>
      <w:pStyle w:val="Header"/>
      <w:rPr>
        <w:rStyle w:val="PageNumber"/>
        <w:lang w:val="en-US"/>
      </w:rPr>
    </w:pPr>
    <w:r w:rsidRPr="00B63D22">
      <w:rPr>
        <w:rStyle w:val="PageNumber"/>
        <w:lang w:val="en-US"/>
      </w:rPr>
      <w:t>TDAG-WG-</w:t>
    </w:r>
    <w:r w:rsidR="003B28C6" w:rsidRPr="00B63D22">
      <w:rPr>
        <w:rStyle w:val="PageNumber"/>
        <w:lang w:val="en-US"/>
      </w:rPr>
      <w:t>SOP</w:t>
    </w:r>
    <w:r w:rsidRPr="00B63D22">
      <w:rPr>
        <w:rStyle w:val="PageNumber"/>
        <w:lang w:val="en-US"/>
      </w:rPr>
      <w:t>/xxx</w:t>
    </w:r>
    <w:r w:rsidR="00643042" w:rsidRPr="00B63D22">
      <w:rPr>
        <w:rStyle w:val="PageNumber"/>
        <w:lang w:val="en-US"/>
      </w:rPr>
      <w:br/>
      <w:t>-</w:t>
    </w:r>
    <w:r w:rsidR="00643042" w:rsidRPr="00B63D22">
      <w:rPr>
        <w:rStyle w:val="PageNumber"/>
        <w:lang w:val="en-US"/>
      </w:rPr>
      <w:fldChar w:fldCharType="begin"/>
    </w:r>
    <w:r w:rsidR="00643042" w:rsidRPr="00B63D22">
      <w:rPr>
        <w:rStyle w:val="PageNumber"/>
        <w:lang w:val="en-US"/>
      </w:rPr>
      <w:instrText xml:space="preserve"> PAGE   \* MERGEFORMAT </w:instrText>
    </w:r>
    <w:r w:rsidR="00643042" w:rsidRPr="00B63D22">
      <w:rPr>
        <w:rStyle w:val="PageNumber"/>
        <w:lang w:val="en-US"/>
      </w:rPr>
      <w:fldChar w:fldCharType="separate"/>
    </w:r>
    <w:r w:rsidR="00F627C4">
      <w:rPr>
        <w:rStyle w:val="PageNumber"/>
        <w:noProof/>
        <w:lang w:val="en-US"/>
      </w:rPr>
      <w:t>2</w:t>
    </w:r>
    <w:r w:rsidR="00643042" w:rsidRPr="00B63D22">
      <w:rPr>
        <w:rStyle w:val="PageNumber"/>
        <w:noProof/>
        <w:lang w:val="en-US"/>
      </w:rPr>
      <w:fldChar w:fldCharType="end"/>
    </w:r>
    <w:r w:rsidR="00643042" w:rsidRPr="00B63D22">
      <w:rPr>
        <w:rStyle w:val="PageNumber"/>
        <w:lang w:val="en-US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AA178" w14:textId="77777777" w:rsidR="004C0DAE" w:rsidRDefault="004C0D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6E46"/>
    <w:rsid w:val="00107E85"/>
    <w:rsid w:val="00113EE8"/>
    <w:rsid w:val="0011455A"/>
    <w:rsid w:val="00114A65"/>
    <w:rsid w:val="00133061"/>
    <w:rsid w:val="00141699"/>
    <w:rsid w:val="00147000"/>
    <w:rsid w:val="00161B92"/>
    <w:rsid w:val="00161C05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0FBC"/>
    <w:rsid w:val="001F23E6"/>
    <w:rsid w:val="001F4238"/>
    <w:rsid w:val="00200A38"/>
    <w:rsid w:val="00200A46"/>
    <w:rsid w:val="00211B6F"/>
    <w:rsid w:val="00217CC3"/>
    <w:rsid w:val="00220AB6"/>
    <w:rsid w:val="0022120F"/>
    <w:rsid w:val="00227421"/>
    <w:rsid w:val="0022754A"/>
    <w:rsid w:val="00236560"/>
    <w:rsid w:val="0023662E"/>
    <w:rsid w:val="00245D0F"/>
    <w:rsid w:val="00247CDD"/>
    <w:rsid w:val="002548C3"/>
    <w:rsid w:val="00257ACD"/>
    <w:rsid w:val="00262908"/>
    <w:rsid w:val="002650F4"/>
    <w:rsid w:val="002715FD"/>
    <w:rsid w:val="002770B1"/>
    <w:rsid w:val="00285B33"/>
    <w:rsid w:val="00287A3C"/>
    <w:rsid w:val="002A19ED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08"/>
    <w:rsid w:val="00327247"/>
    <w:rsid w:val="003278DD"/>
    <w:rsid w:val="00327A9D"/>
    <w:rsid w:val="0033130E"/>
    <w:rsid w:val="0033269C"/>
    <w:rsid w:val="00340FE5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28C6"/>
    <w:rsid w:val="003B50E1"/>
    <w:rsid w:val="003C1746"/>
    <w:rsid w:val="003C2AA9"/>
    <w:rsid w:val="003C58BF"/>
    <w:rsid w:val="003D451D"/>
    <w:rsid w:val="003D6150"/>
    <w:rsid w:val="003F2DD8"/>
    <w:rsid w:val="003F3F2D"/>
    <w:rsid w:val="003F50B2"/>
    <w:rsid w:val="00400CCF"/>
    <w:rsid w:val="004018EA"/>
    <w:rsid w:val="00401BFF"/>
    <w:rsid w:val="00404424"/>
    <w:rsid w:val="0041156B"/>
    <w:rsid w:val="004122C5"/>
    <w:rsid w:val="00413B78"/>
    <w:rsid w:val="00416DDE"/>
    <w:rsid w:val="00420241"/>
    <w:rsid w:val="00424348"/>
    <w:rsid w:val="00434BEB"/>
    <w:rsid w:val="0044411E"/>
    <w:rsid w:val="00453435"/>
    <w:rsid w:val="00460089"/>
    <w:rsid w:val="00463B91"/>
    <w:rsid w:val="00466398"/>
    <w:rsid w:val="0047306D"/>
    <w:rsid w:val="00473791"/>
    <w:rsid w:val="00476E48"/>
    <w:rsid w:val="00481DE9"/>
    <w:rsid w:val="00487D23"/>
    <w:rsid w:val="0049128B"/>
    <w:rsid w:val="004919F8"/>
    <w:rsid w:val="0049302F"/>
    <w:rsid w:val="00493B49"/>
    <w:rsid w:val="00495501"/>
    <w:rsid w:val="00497300"/>
    <w:rsid w:val="004A070A"/>
    <w:rsid w:val="004A0A96"/>
    <w:rsid w:val="004A320E"/>
    <w:rsid w:val="004A4E9C"/>
    <w:rsid w:val="004B1A3C"/>
    <w:rsid w:val="004C0DAE"/>
    <w:rsid w:val="004C7615"/>
    <w:rsid w:val="004D2CC3"/>
    <w:rsid w:val="004D35CB"/>
    <w:rsid w:val="004D7DAB"/>
    <w:rsid w:val="004E182A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0BA2"/>
    <w:rsid w:val="00512882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0E6E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43EF"/>
    <w:rsid w:val="0064734E"/>
    <w:rsid w:val="00650137"/>
    <w:rsid w:val="006509D7"/>
    <w:rsid w:val="00651CE8"/>
    <w:rsid w:val="0065521B"/>
    <w:rsid w:val="00671EF6"/>
    <w:rsid w:val="0067205B"/>
    <w:rsid w:val="006748F8"/>
    <w:rsid w:val="0067589B"/>
    <w:rsid w:val="00680489"/>
    <w:rsid w:val="00683C32"/>
    <w:rsid w:val="00690BB2"/>
    <w:rsid w:val="00692FB7"/>
    <w:rsid w:val="00693988"/>
    <w:rsid w:val="00693D09"/>
    <w:rsid w:val="006947B9"/>
    <w:rsid w:val="006967D5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64266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7F49E9"/>
    <w:rsid w:val="008027AC"/>
    <w:rsid w:val="008028CE"/>
    <w:rsid w:val="0080332E"/>
    <w:rsid w:val="008141E0"/>
    <w:rsid w:val="00816EE1"/>
    <w:rsid w:val="00816F88"/>
    <w:rsid w:val="00821996"/>
    <w:rsid w:val="00822323"/>
    <w:rsid w:val="00823A3C"/>
    <w:rsid w:val="00827BC6"/>
    <w:rsid w:val="008300AD"/>
    <w:rsid w:val="00833024"/>
    <w:rsid w:val="00835B1D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182E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2B5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0B22"/>
    <w:rsid w:val="00A11D05"/>
    <w:rsid w:val="00A13162"/>
    <w:rsid w:val="00A20267"/>
    <w:rsid w:val="00A3158C"/>
    <w:rsid w:val="00A319FD"/>
    <w:rsid w:val="00A32DF3"/>
    <w:rsid w:val="00A33E32"/>
    <w:rsid w:val="00A35E20"/>
    <w:rsid w:val="00A36F6D"/>
    <w:rsid w:val="00A419AA"/>
    <w:rsid w:val="00A50CA0"/>
    <w:rsid w:val="00A525CC"/>
    <w:rsid w:val="00A53E7C"/>
    <w:rsid w:val="00A60087"/>
    <w:rsid w:val="00A705E8"/>
    <w:rsid w:val="00A721F4"/>
    <w:rsid w:val="00A736E4"/>
    <w:rsid w:val="00A80E0B"/>
    <w:rsid w:val="00A9392C"/>
    <w:rsid w:val="00A9462B"/>
    <w:rsid w:val="00A973DB"/>
    <w:rsid w:val="00A97D59"/>
    <w:rsid w:val="00AA0B5B"/>
    <w:rsid w:val="00AA3E09"/>
    <w:rsid w:val="00AA4BEF"/>
    <w:rsid w:val="00AB1659"/>
    <w:rsid w:val="00AB4962"/>
    <w:rsid w:val="00AB734E"/>
    <w:rsid w:val="00AB740F"/>
    <w:rsid w:val="00AB7638"/>
    <w:rsid w:val="00AC4FE9"/>
    <w:rsid w:val="00AC6F14"/>
    <w:rsid w:val="00AC7221"/>
    <w:rsid w:val="00AE5961"/>
    <w:rsid w:val="00AF0745"/>
    <w:rsid w:val="00AF4971"/>
    <w:rsid w:val="00AF5276"/>
    <w:rsid w:val="00AF7C86"/>
    <w:rsid w:val="00B01046"/>
    <w:rsid w:val="00B07C31"/>
    <w:rsid w:val="00B310F9"/>
    <w:rsid w:val="00B37866"/>
    <w:rsid w:val="00B412FB"/>
    <w:rsid w:val="00B4576B"/>
    <w:rsid w:val="00B46350"/>
    <w:rsid w:val="00B46DF3"/>
    <w:rsid w:val="00B47F9F"/>
    <w:rsid w:val="00B63D22"/>
    <w:rsid w:val="00B648C7"/>
    <w:rsid w:val="00B66E8F"/>
    <w:rsid w:val="00B70226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35D2"/>
    <w:rsid w:val="00BC763B"/>
    <w:rsid w:val="00BC7BA2"/>
    <w:rsid w:val="00BD426B"/>
    <w:rsid w:val="00BD79F0"/>
    <w:rsid w:val="00BE2B4D"/>
    <w:rsid w:val="00BE53BF"/>
    <w:rsid w:val="00BE723F"/>
    <w:rsid w:val="00BF5EDF"/>
    <w:rsid w:val="00C015F8"/>
    <w:rsid w:val="00C07E26"/>
    <w:rsid w:val="00C1011C"/>
    <w:rsid w:val="00C12F94"/>
    <w:rsid w:val="00C14DFD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6B10"/>
    <w:rsid w:val="00C87681"/>
    <w:rsid w:val="00C87BCA"/>
    <w:rsid w:val="00C87EED"/>
    <w:rsid w:val="00C911BE"/>
    <w:rsid w:val="00C94506"/>
    <w:rsid w:val="00C954BC"/>
    <w:rsid w:val="00CA1F0B"/>
    <w:rsid w:val="00CB110F"/>
    <w:rsid w:val="00CB2A2E"/>
    <w:rsid w:val="00CB338A"/>
    <w:rsid w:val="00CB79C5"/>
    <w:rsid w:val="00CC07FD"/>
    <w:rsid w:val="00CC411F"/>
    <w:rsid w:val="00CC4B75"/>
    <w:rsid w:val="00CC732E"/>
    <w:rsid w:val="00CD2FCD"/>
    <w:rsid w:val="00CD6AA8"/>
    <w:rsid w:val="00CD7207"/>
    <w:rsid w:val="00CE0422"/>
    <w:rsid w:val="00CE0DBE"/>
    <w:rsid w:val="00CE4462"/>
    <w:rsid w:val="00CE5E4D"/>
    <w:rsid w:val="00CF02C4"/>
    <w:rsid w:val="00CF167F"/>
    <w:rsid w:val="00CF72E5"/>
    <w:rsid w:val="00D013EE"/>
    <w:rsid w:val="00D01F54"/>
    <w:rsid w:val="00D040F7"/>
    <w:rsid w:val="00D04A76"/>
    <w:rsid w:val="00D07942"/>
    <w:rsid w:val="00D10FC7"/>
    <w:rsid w:val="00D1519F"/>
    <w:rsid w:val="00D20E99"/>
    <w:rsid w:val="00D21C83"/>
    <w:rsid w:val="00D35BDD"/>
    <w:rsid w:val="00D368A6"/>
    <w:rsid w:val="00D56743"/>
    <w:rsid w:val="00D63006"/>
    <w:rsid w:val="00D72301"/>
    <w:rsid w:val="00D77D25"/>
    <w:rsid w:val="00D83869"/>
    <w:rsid w:val="00D911DE"/>
    <w:rsid w:val="00D91B97"/>
    <w:rsid w:val="00D93762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2F28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3919"/>
    <w:rsid w:val="00E55807"/>
    <w:rsid w:val="00E56F53"/>
    <w:rsid w:val="00E63B14"/>
    <w:rsid w:val="00E65CA0"/>
    <w:rsid w:val="00E70D9F"/>
    <w:rsid w:val="00E75941"/>
    <w:rsid w:val="00E83810"/>
    <w:rsid w:val="00E86933"/>
    <w:rsid w:val="00E9605B"/>
    <w:rsid w:val="00E97298"/>
    <w:rsid w:val="00E97753"/>
    <w:rsid w:val="00EA0C51"/>
    <w:rsid w:val="00EA3CC8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627C4"/>
    <w:rsid w:val="00F736F9"/>
    <w:rsid w:val="00F73833"/>
    <w:rsid w:val="00F9211C"/>
    <w:rsid w:val="00F9232F"/>
    <w:rsid w:val="00FA073C"/>
    <w:rsid w:val="00FA095D"/>
    <w:rsid w:val="00FA321B"/>
    <w:rsid w:val="00FA6C8B"/>
    <w:rsid w:val="00FA6CDA"/>
    <w:rsid w:val="00FA7C89"/>
    <w:rsid w:val="00FB4139"/>
    <w:rsid w:val="00FB476E"/>
    <w:rsid w:val="00FB4AF9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63B9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823A3C"/>
  </w:style>
  <w:style w:type="character" w:customStyle="1" w:styleId="eop">
    <w:name w:val="eop"/>
    <w:basedOn w:val="DefaultParagraphFont"/>
    <w:rsid w:val="00823A3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73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243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4348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83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D18-TDAG27-C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tiago.reyes-borda@canada.ca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C127-1901-4451-9335-94DE4EDD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12</cp:revision>
  <cp:lastPrinted>2014-11-04T09:22:00Z</cp:lastPrinted>
  <dcterms:created xsi:type="dcterms:W3CDTF">2020-11-23T11:07:00Z</dcterms:created>
  <dcterms:modified xsi:type="dcterms:W3CDTF">2020-12-03T11:50:00Z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