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594326" w14:paraId="08F0A08D" w14:textId="77777777" w:rsidTr="00481C8F">
        <w:trPr>
          <w:cantSplit/>
          <w:trHeight w:val="1134"/>
        </w:trPr>
        <w:tc>
          <w:tcPr>
            <w:tcW w:w="9888" w:type="dxa"/>
            <w:gridSpan w:val="3"/>
            <w:tcBorders>
              <w:bottom w:val="single" w:sz="2" w:space="0" w:color="00B0F0"/>
            </w:tcBorders>
          </w:tcPr>
          <w:p w14:paraId="0D989179" w14:textId="77777777" w:rsidR="00594326" w:rsidRPr="0085753F" w:rsidRDefault="00594326" w:rsidP="00481C8F">
            <w:pPr>
              <w:tabs>
                <w:tab w:val="clear" w:pos="1191"/>
                <w:tab w:val="clear" w:pos="1588"/>
                <w:tab w:val="clear" w:pos="1985"/>
              </w:tabs>
              <w:spacing w:before="240"/>
              <w:ind w:left="34"/>
              <w:rPr>
                <w:b/>
                <w:bCs/>
                <w:sz w:val="32"/>
                <w:szCs w:val="32"/>
              </w:rPr>
            </w:pPr>
            <w:r w:rsidRPr="0085753F">
              <w:rPr>
                <w:noProof/>
                <w:color w:val="3399FF"/>
                <w:sz w:val="32"/>
                <w:szCs w:val="32"/>
                <w:lang w:val="en-US"/>
              </w:rPr>
              <w:drawing>
                <wp:anchor distT="0" distB="0" distL="114300" distR="114300" simplePos="0" relativeHeight="251659264" behindDoc="0" locked="0" layoutInCell="1" allowOverlap="1" wp14:anchorId="7DD49F95" wp14:editId="60FB0E1D">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TDAG Working Group on WTDC Preparations</w:t>
            </w:r>
          </w:p>
          <w:p w14:paraId="31118A3A" w14:textId="77777777" w:rsidR="00594326" w:rsidRPr="00F45B51" w:rsidRDefault="00594326" w:rsidP="00481C8F">
            <w:pPr>
              <w:ind w:right="142"/>
              <w:rPr>
                <w:sz w:val="26"/>
                <w:szCs w:val="26"/>
              </w:rPr>
            </w:pPr>
            <w:r w:rsidRPr="00F45B51">
              <w:rPr>
                <w:b/>
                <w:bCs/>
                <w:sz w:val="26"/>
                <w:szCs w:val="26"/>
              </w:rPr>
              <w:t>16 July 2020, Virtual</w:t>
            </w:r>
          </w:p>
        </w:tc>
      </w:tr>
      <w:tr w:rsidR="00594326" w:rsidRPr="00997358" w14:paraId="59D1F2B1" w14:textId="77777777" w:rsidTr="00481C8F">
        <w:trPr>
          <w:cantSplit/>
        </w:trPr>
        <w:tc>
          <w:tcPr>
            <w:tcW w:w="6237" w:type="dxa"/>
            <w:gridSpan w:val="2"/>
            <w:tcBorders>
              <w:top w:val="single" w:sz="2" w:space="0" w:color="00B0F0"/>
            </w:tcBorders>
          </w:tcPr>
          <w:p w14:paraId="124BEDA9" w14:textId="77777777" w:rsidR="00594326" w:rsidRPr="00997358" w:rsidRDefault="00594326" w:rsidP="00481C8F">
            <w:pPr>
              <w:spacing w:before="0"/>
              <w:rPr>
                <w:b/>
                <w:bCs/>
                <w:sz w:val="20"/>
              </w:rPr>
            </w:pPr>
          </w:p>
        </w:tc>
        <w:tc>
          <w:tcPr>
            <w:tcW w:w="3651" w:type="dxa"/>
            <w:tcBorders>
              <w:top w:val="single" w:sz="2" w:space="0" w:color="00B0F0"/>
            </w:tcBorders>
          </w:tcPr>
          <w:p w14:paraId="05E914DC" w14:textId="77777777" w:rsidR="00594326" w:rsidRPr="000E0704" w:rsidRDefault="00594326" w:rsidP="00481C8F">
            <w:pPr>
              <w:rPr>
                <w:b/>
                <w:bCs/>
                <w:szCs w:val="24"/>
              </w:rPr>
            </w:pPr>
            <w:r w:rsidRPr="000E0704">
              <w:rPr>
                <w:b/>
                <w:bCs/>
                <w:szCs w:val="24"/>
              </w:rPr>
              <w:t>Doc</w:t>
            </w:r>
            <w:r>
              <w:rPr>
                <w:b/>
                <w:bCs/>
                <w:szCs w:val="24"/>
              </w:rPr>
              <w:t>ument</w:t>
            </w:r>
            <w:r w:rsidRPr="000E0704">
              <w:rPr>
                <w:b/>
                <w:bCs/>
                <w:szCs w:val="24"/>
              </w:rPr>
              <w:t xml:space="preserve"> </w:t>
            </w:r>
            <w:r w:rsidRPr="00AA0B5B">
              <w:rPr>
                <w:b/>
                <w:bCs/>
                <w:szCs w:val="24"/>
              </w:rPr>
              <w:t>TDAG-WG-Prep/</w:t>
            </w:r>
            <w:r>
              <w:rPr>
                <w:b/>
                <w:bCs/>
                <w:szCs w:val="24"/>
              </w:rPr>
              <w:t>2-E</w:t>
            </w:r>
          </w:p>
        </w:tc>
      </w:tr>
      <w:tr w:rsidR="00594326" w:rsidRPr="00997358" w14:paraId="447E6184" w14:textId="77777777" w:rsidTr="00481C8F">
        <w:trPr>
          <w:cantSplit/>
        </w:trPr>
        <w:tc>
          <w:tcPr>
            <w:tcW w:w="6237" w:type="dxa"/>
            <w:gridSpan w:val="2"/>
          </w:tcPr>
          <w:p w14:paraId="66586809" w14:textId="77777777" w:rsidR="00594326" w:rsidRPr="00997358" w:rsidRDefault="00594326" w:rsidP="00481C8F">
            <w:pPr>
              <w:spacing w:before="0"/>
              <w:rPr>
                <w:b/>
                <w:bCs/>
                <w:sz w:val="20"/>
              </w:rPr>
            </w:pPr>
          </w:p>
        </w:tc>
        <w:tc>
          <w:tcPr>
            <w:tcW w:w="3651" w:type="dxa"/>
          </w:tcPr>
          <w:p w14:paraId="689C0526" w14:textId="77777777" w:rsidR="00594326" w:rsidRPr="000E0704" w:rsidRDefault="00594326" w:rsidP="00481C8F">
            <w:pPr>
              <w:spacing w:before="0"/>
              <w:rPr>
                <w:b/>
                <w:bCs/>
                <w:szCs w:val="24"/>
              </w:rPr>
            </w:pPr>
            <w:r>
              <w:rPr>
                <w:b/>
                <w:bCs/>
                <w:szCs w:val="24"/>
              </w:rPr>
              <w:t>15 July 2020</w:t>
            </w:r>
          </w:p>
        </w:tc>
      </w:tr>
      <w:tr w:rsidR="00594326" w:rsidRPr="00997358" w14:paraId="53655000" w14:textId="77777777" w:rsidTr="00481C8F">
        <w:trPr>
          <w:cantSplit/>
        </w:trPr>
        <w:tc>
          <w:tcPr>
            <w:tcW w:w="6237" w:type="dxa"/>
            <w:gridSpan w:val="2"/>
          </w:tcPr>
          <w:p w14:paraId="3F6FCF35" w14:textId="77777777" w:rsidR="00594326" w:rsidRPr="00997358" w:rsidRDefault="00594326" w:rsidP="00481C8F">
            <w:pPr>
              <w:spacing w:before="0"/>
              <w:rPr>
                <w:b/>
                <w:bCs/>
                <w:sz w:val="20"/>
              </w:rPr>
            </w:pPr>
          </w:p>
        </w:tc>
        <w:tc>
          <w:tcPr>
            <w:tcW w:w="3651" w:type="dxa"/>
          </w:tcPr>
          <w:p w14:paraId="3F6CFE51" w14:textId="77777777" w:rsidR="00594326" w:rsidRPr="000E0704" w:rsidRDefault="00594326" w:rsidP="00481C8F">
            <w:pPr>
              <w:spacing w:before="0" w:after="120"/>
              <w:rPr>
                <w:b/>
                <w:bCs/>
                <w:szCs w:val="24"/>
              </w:rPr>
            </w:pPr>
            <w:r>
              <w:rPr>
                <w:b/>
                <w:bCs/>
                <w:szCs w:val="24"/>
              </w:rPr>
              <w:t>English only</w:t>
            </w:r>
          </w:p>
        </w:tc>
      </w:tr>
      <w:tr w:rsidR="00594326" w:rsidRPr="00002716" w14:paraId="656DEE79" w14:textId="77777777" w:rsidTr="00481C8F">
        <w:trPr>
          <w:cantSplit/>
          <w:trHeight w:val="408"/>
        </w:trPr>
        <w:tc>
          <w:tcPr>
            <w:tcW w:w="1276" w:type="dxa"/>
          </w:tcPr>
          <w:p w14:paraId="70BB0363" w14:textId="77777777" w:rsidR="00594326" w:rsidRPr="00194F24" w:rsidRDefault="00594326" w:rsidP="00481C8F">
            <w:pPr>
              <w:spacing w:before="80" w:after="80"/>
              <w:jc w:val="both"/>
              <w:rPr>
                <w:b/>
                <w:szCs w:val="24"/>
                <w:lang w:val="en-US"/>
              </w:rPr>
            </w:pPr>
            <w:r>
              <w:rPr>
                <w:b/>
                <w:bCs/>
                <w:lang w:val="en-US"/>
              </w:rPr>
              <w:t>Source:</w:t>
            </w:r>
          </w:p>
        </w:tc>
        <w:tc>
          <w:tcPr>
            <w:tcW w:w="8612" w:type="dxa"/>
            <w:gridSpan w:val="2"/>
          </w:tcPr>
          <w:p w14:paraId="517DE2AD" w14:textId="77777777" w:rsidR="00594326" w:rsidRPr="008905BB" w:rsidRDefault="00594326" w:rsidP="00481C8F">
            <w:pPr>
              <w:spacing w:before="80" w:after="80"/>
              <w:rPr>
                <w:bCs/>
                <w:szCs w:val="24"/>
                <w:lang w:val="en-US"/>
              </w:rPr>
            </w:pPr>
            <w:r w:rsidRPr="00560EA2">
              <w:rPr>
                <w:bCs/>
                <w:szCs w:val="24"/>
                <w:lang w:val="en-US"/>
              </w:rPr>
              <w:t>Director, Telecommunication Development Bureau</w:t>
            </w:r>
          </w:p>
        </w:tc>
      </w:tr>
      <w:tr w:rsidR="00594326" w:rsidRPr="00002716" w14:paraId="78C5C458" w14:textId="77777777" w:rsidTr="00481C8F">
        <w:trPr>
          <w:cantSplit/>
          <w:trHeight w:val="407"/>
        </w:trPr>
        <w:tc>
          <w:tcPr>
            <w:tcW w:w="1276" w:type="dxa"/>
            <w:tcBorders>
              <w:bottom w:val="single" w:sz="4" w:space="0" w:color="00B0F0"/>
            </w:tcBorders>
          </w:tcPr>
          <w:p w14:paraId="456279D0" w14:textId="77777777" w:rsidR="00594326" w:rsidRDefault="00594326" w:rsidP="00481C8F">
            <w:pPr>
              <w:spacing w:before="80" w:after="80"/>
              <w:jc w:val="both"/>
              <w:rPr>
                <w:b/>
                <w:bCs/>
                <w:lang w:val="en-US"/>
              </w:rPr>
            </w:pPr>
            <w:r>
              <w:rPr>
                <w:b/>
                <w:bCs/>
                <w:szCs w:val="24"/>
                <w:lang w:val="en-US"/>
              </w:rPr>
              <w:t>Title:</w:t>
            </w:r>
          </w:p>
        </w:tc>
        <w:tc>
          <w:tcPr>
            <w:tcW w:w="8612" w:type="dxa"/>
            <w:gridSpan w:val="2"/>
            <w:tcBorders>
              <w:bottom w:val="single" w:sz="4" w:space="0" w:color="00B0F0"/>
            </w:tcBorders>
          </w:tcPr>
          <w:p w14:paraId="6DE802F1" w14:textId="77777777" w:rsidR="00594326" w:rsidRPr="008905BB" w:rsidRDefault="00594326" w:rsidP="00481C8F">
            <w:pPr>
              <w:spacing w:before="80" w:after="80"/>
              <w:jc w:val="both"/>
              <w:rPr>
                <w:bCs/>
                <w:lang w:val="en-US"/>
              </w:rPr>
            </w:pPr>
            <w:r w:rsidRPr="00EA514C">
              <w:rPr>
                <w:bCs/>
                <w:lang w:val="en-US"/>
              </w:rPr>
              <w:t xml:space="preserve">Information document on </w:t>
            </w:r>
            <w:r>
              <w:rPr>
                <w:bCs/>
                <w:lang w:val="en-US"/>
              </w:rPr>
              <w:t>WTDC</w:t>
            </w:r>
            <w:r w:rsidRPr="00EA514C">
              <w:rPr>
                <w:bCs/>
                <w:lang w:val="en-US"/>
              </w:rPr>
              <w:t xml:space="preserve"> preparations</w:t>
            </w:r>
          </w:p>
        </w:tc>
      </w:tr>
    </w:tbl>
    <w:p w14:paraId="560A5A48" w14:textId="77777777" w:rsidR="00594326" w:rsidRDefault="00594326" w:rsidP="00594326">
      <w:pPr>
        <w:ind w:left="34" w:right="-142"/>
      </w:pPr>
    </w:p>
    <w:p w14:paraId="66364ECD" w14:textId="77777777" w:rsidR="00594326" w:rsidRPr="00A71536" w:rsidRDefault="00594326" w:rsidP="00594326">
      <w:pPr>
        <w:tabs>
          <w:tab w:val="clear" w:pos="794"/>
          <w:tab w:val="clear" w:pos="1191"/>
          <w:tab w:val="clear" w:pos="1588"/>
          <w:tab w:val="clear" w:pos="1985"/>
        </w:tabs>
        <w:overflowPunct/>
        <w:autoSpaceDE/>
        <w:autoSpaceDN/>
        <w:adjustRightInd/>
        <w:textAlignment w:val="auto"/>
      </w:pPr>
      <w:r w:rsidRPr="00A71536">
        <w:t>This document provides a summary of the process to date relating proposals for changes and enhancements to the preparations for the World Telecommunication Development Conference (WTDC), including WTDC-21.</w:t>
      </w:r>
    </w:p>
    <w:p w14:paraId="4C79F5B9" w14:textId="77777777" w:rsidR="00594326" w:rsidRDefault="00594326" w:rsidP="00594326">
      <w:pPr>
        <w:tabs>
          <w:tab w:val="clear" w:pos="794"/>
          <w:tab w:val="clear" w:pos="1191"/>
          <w:tab w:val="clear" w:pos="1588"/>
          <w:tab w:val="clear" w:pos="1985"/>
        </w:tabs>
        <w:overflowPunct/>
        <w:autoSpaceDE/>
        <w:autoSpaceDN/>
        <w:adjustRightInd/>
        <w:textAlignment w:val="auto"/>
      </w:pPr>
      <w:r>
        <w:t>It</w:t>
      </w:r>
      <w:r w:rsidRPr="00EA514C">
        <w:t xml:space="preserve"> is provided as background information for the work of the TDAG-WG-Prep.</w:t>
      </w:r>
    </w:p>
    <w:p w14:paraId="6E6F7086" w14:textId="77777777" w:rsidR="00AC6F14" w:rsidRDefault="00AC6F14" w:rsidP="00D20099">
      <w:pPr>
        <w:ind w:left="34" w:right="-142"/>
      </w:pPr>
    </w:p>
    <w:p w14:paraId="5FA6A393" w14:textId="77777777" w:rsidR="00AA087E" w:rsidRDefault="00AA087E">
      <w:pPr>
        <w:tabs>
          <w:tab w:val="clear" w:pos="794"/>
          <w:tab w:val="clear" w:pos="1191"/>
          <w:tab w:val="clear" w:pos="1588"/>
          <w:tab w:val="clear" w:pos="1985"/>
        </w:tabs>
        <w:overflowPunct/>
        <w:autoSpaceDE/>
        <w:autoSpaceDN/>
        <w:adjustRightInd/>
        <w:spacing w:before="0"/>
        <w:textAlignment w:val="auto"/>
      </w:pPr>
      <w:bookmarkStart w:id="0" w:name="Proposal"/>
      <w:bookmarkEnd w:id="0"/>
      <w:r>
        <w:br w:type="page"/>
      </w:r>
    </w:p>
    <w:p w14:paraId="002F817E" w14:textId="432DF7BF" w:rsidR="00352CFE" w:rsidRPr="00E54AF4" w:rsidRDefault="004E0498" w:rsidP="00F02830">
      <w:pPr>
        <w:tabs>
          <w:tab w:val="clear" w:pos="794"/>
          <w:tab w:val="clear" w:pos="1191"/>
          <w:tab w:val="clear" w:pos="1588"/>
          <w:tab w:val="clear" w:pos="1985"/>
        </w:tabs>
        <w:ind w:left="34" w:right="-142"/>
        <w:jc w:val="center"/>
        <w:rPr>
          <w:rFonts w:cstheme="minorHAnsi"/>
          <w:b/>
          <w:bCs/>
          <w:szCs w:val="24"/>
        </w:rPr>
      </w:pPr>
      <w:r>
        <w:rPr>
          <w:rFonts w:cstheme="minorHAnsi"/>
          <w:b/>
          <w:bCs/>
          <w:szCs w:val="24"/>
        </w:rPr>
        <w:lastRenderedPageBreak/>
        <w:t>Secretariat Information Note</w:t>
      </w:r>
      <w:r w:rsidR="00A52CC2" w:rsidRPr="00E54AF4">
        <w:rPr>
          <w:rFonts w:cstheme="minorHAnsi"/>
          <w:b/>
          <w:bCs/>
          <w:szCs w:val="24"/>
        </w:rPr>
        <w:t xml:space="preserve"> on </w:t>
      </w:r>
      <w:r>
        <w:rPr>
          <w:rFonts w:cstheme="minorHAnsi"/>
          <w:b/>
          <w:bCs/>
          <w:szCs w:val="24"/>
        </w:rPr>
        <w:t>WTDC Preparations</w:t>
      </w:r>
    </w:p>
    <w:p w14:paraId="1C252092" w14:textId="1076D524" w:rsidR="00352CFE" w:rsidRPr="00F02830" w:rsidRDefault="00352CFE" w:rsidP="00743F77">
      <w:pPr>
        <w:pStyle w:val="ListParagraph"/>
        <w:keepNext/>
        <w:numPr>
          <w:ilvl w:val="0"/>
          <w:numId w:val="9"/>
        </w:numPr>
        <w:tabs>
          <w:tab w:val="clear" w:pos="1134"/>
          <w:tab w:val="clear" w:pos="1871"/>
          <w:tab w:val="clear" w:pos="2268"/>
        </w:tabs>
        <w:spacing w:before="240"/>
        <w:ind w:left="720" w:hanging="720"/>
        <w:contextualSpacing w:val="0"/>
        <w:rPr>
          <w:rFonts w:cstheme="minorHAnsi"/>
          <w:b/>
          <w:bCs/>
          <w:szCs w:val="24"/>
        </w:rPr>
      </w:pPr>
      <w:r w:rsidRPr="00F02830">
        <w:rPr>
          <w:rFonts w:cstheme="minorHAnsi"/>
          <w:b/>
          <w:bCs/>
          <w:szCs w:val="24"/>
        </w:rPr>
        <w:t>Introduction</w:t>
      </w:r>
    </w:p>
    <w:p w14:paraId="28B23FF1" w14:textId="0B264183" w:rsidR="00A52CC2" w:rsidRPr="00F02830" w:rsidRDefault="00111B88" w:rsidP="00743F77">
      <w:pPr>
        <w:tabs>
          <w:tab w:val="clear" w:pos="794"/>
          <w:tab w:val="clear" w:pos="1191"/>
          <w:tab w:val="clear" w:pos="1588"/>
          <w:tab w:val="clear" w:pos="1985"/>
        </w:tabs>
        <w:ind w:left="720" w:hanging="720"/>
        <w:rPr>
          <w:rFonts w:cstheme="minorHAnsi"/>
          <w:szCs w:val="24"/>
        </w:rPr>
      </w:pPr>
      <w:r w:rsidRPr="00F02830">
        <w:rPr>
          <w:rFonts w:cstheme="minorHAnsi"/>
          <w:szCs w:val="24"/>
        </w:rPr>
        <w:t>1.1</w:t>
      </w:r>
      <w:r w:rsidRPr="00F02830">
        <w:rPr>
          <w:rFonts w:cstheme="minorHAnsi"/>
          <w:szCs w:val="24"/>
        </w:rPr>
        <w:tab/>
      </w:r>
      <w:r w:rsidR="00A52CC2" w:rsidRPr="00F02830">
        <w:rPr>
          <w:rFonts w:cstheme="minorHAnsi"/>
          <w:szCs w:val="24"/>
        </w:rPr>
        <w:t>The World Telecommunication Development Conference (“WTDC”) is held every four years and sets the development agenda of the Telecommunication Development Sector (“ITU-D”). WTDC further offers a unique opportunity for the international community to come together and discuss the future of the ICT sector and its contribution to social and economic development.</w:t>
      </w:r>
    </w:p>
    <w:p w14:paraId="7B31F8AB" w14:textId="6B90F0EB" w:rsidR="00F11BBE" w:rsidRPr="00F02830" w:rsidRDefault="00111B88" w:rsidP="00743F77">
      <w:pPr>
        <w:tabs>
          <w:tab w:val="clear" w:pos="794"/>
          <w:tab w:val="clear" w:pos="1191"/>
          <w:tab w:val="clear" w:pos="1588"/>
          <w:tab w:val="clear" w:pos="1985"/>
        </w:tabs>
        <w:ind w:left="720" w:hanging="720"/>
        <w:rPr>
          <w:rFonts w:cstheme="minorHAnsi"/>
          <w:szCs w:val="24"/>
        </w:rPr>
      </w:pPr>
      <w:r w:rsidRPr="00F02830">
        <w:rPr>
          <w:rFonts w:cstheme="minorHAnsi"/>
          <w:szCs w:val="24"/>
        </w:rPr>
        <w:t>1.2</w:t>
      </w:r>
      <w:r w:rsidRPr="00F02830">
        <w:rPr>
          <w:rFonts w:cstheme="minorHAnsi"/>
          <w:szCs w:val="24"/>
        </w:rPr>
        <w:tab/>
      </w:r>
      <w:r w:rsidR="00024164" w:rsidRPr="00F02830">
        <w:rPr>
          <w:rFonts w:cstheme="minorHAnsi"/>
          <w:szCs w:val="24"/>
        </w:rPr>
        <w:t xml:space="preserve">During TDAG-19, BDT held several </w:t>
      </w:r>
      <w:r w:rsidR="003111C0" w:rsidRPr="00F02830">
        <w:rPr>
          <w:rFonts w:cstheme="minorHAnsi"/>
          <w:szCs w:val="24"/>
        </w:rPr>
        <w:t xml:space="preserve">Breakout Sessions </w:t>
      </w:r>
      <w:r w:rsidR="00024164" w:rsidRPr="00F02830">
        <w:rPr>
          <w:rFonts w:cstheme="minorHAnsi"/>
          <w:szCs w:val="24"/>
        </w:rPr>
        <w:t xml:space="preserve">focussed on possible reforms to WTDC, based on input from members regarding the need for change. </w:t>
      </w:r>
      <w:r w:rsidR="00694037" w:rsidRPr="00F02830">
        <w:rPr>
          <w:rFonts w:cstheme="minorHAnsi"/>
          <w:szCs w:val="24"/>
        </w:rPr>
        <w:t xml:space="preserve">It was proposed to continue this process </w:t>
      </w:r>
      <w:r w:rsidR="00065F73" w:rsidRPr="00F02830">
        <w:rPr>
          <w:rFonts w:cstheme="minorHAnsi"/>
          <w:szCs w:val="24"/>
        </w:rPr>
        <w:t xml:space="preserve">with sessions on WTDC Reform </w:t>
      </w:r>
      <w:r w:rsidR="00694037" w:rsidRPr="00F02830">
        <w:rPr>
          <w:rFonts w:cstheme="minorHAnsi"/>
          <w:szCs w:val="24"/>
        </w:rPr>
        <w:t xml:space="preserve">at TDAG-20’s proposed physical meeting which was due to be held in March 2020, however due to the lockdowns caused as a result of Covid-19 </w:t>
      </w:r>
      <w:r w:rsidR="00065F73" w:rsidRPr="00F02830">
        <w:rPr>
          <w:rFonts w:cstheme="minorHAnsi"/>
          <w:szCs w:val="24"/>
        </w:rPr>
        <w:t xml:space="preserve">those sessions could not be held. </w:t>
      </w:r>
    </w:p>
    <w:p w14:paraId="594BBEE4" w14:textId="0F660D4B" w:rsidR="00A52CC2" w:rsidRPr="00F02830" w:rsidRDefault="00F11BBE" w:rsidP="00743F77">
      <w:pPr>
        <w:tabs>
          <w:tab w:val="clear" w:pos="794"/>
          <w:tab w:val="clear" w:pos="1191"/>
          <w:tab w:val="clear" w:pos="1588"/>
          <w:tab w:val="clear" w:pos="1985"/>
        </w:tabs>
        <w:ind w:left="720" w:hanging="720"/>
        <w:rPr>
          <w:rFonts w:cstheme="minorHAnsi"/>
          <w:szCs w:val="24"/>
        </w:rPr>
      </w:pPr>
      <w:r w:rsidRPr="00F02830">
        <w:rPr>
          <w:rFonts w:cstheme="minorHAnsi"/>
          <w:szCs w:val="24"/>
        </w:rPr>
        <w:t>1.3</w:t>
      </w:r>
      <w:r w:rsidRPr="00F02830">
        <w:rPr>
          <w:rFonts w:cstheme="minorHAnsi"/>
          <w:szCs w:val="24"/>
        </w:rPr>
        <w:tab/>
      </w:r>
      <w:r w:rsidR="00065F73" w:rsidRPr="00F02830">
        <w:rPr>
          <w:rFonts w:cstheme="minorHAnsi"/>
          <w:szCs w:val="24"/>
        </w:rPr>
        <w:t>It was decided to engage membership on WTDC reform through virtual sessions so o</w:t>
      </w:r>
      <w:r w:rsidR="00A52CC2" w:rsidRPr="00F02830">
        <w:rPr>
          <w:rFonts w:cstheme="minorHAnsi"/>
          <w:szCs w:val="24"/>
        </w:rPr>
        <w:t xml:space="preserve">n 24 March 2020, BDT organized </w:t>
      </w:r>
      <w:r w:rsidR="00024164" w:rsidRPr="00F02830">
        <w:rPr>
          <w:rFonts w:cstheme="minorHAnsi"/>
          <w:szCs w:val="24"/>
        </w:rPr>
        <w:t>the</w:t>
      </w:r>
      <w:r w:rsidR="00A52CC2" w:rsidRPr="00F02830">
        <w:rPr>
          <w:rFonts w:cstheme="minorHAnsi"/>
          <w:szCs w:val="24"/>
        </w:rPr>
        <w:t xml:space="preserve"> first </w:t>
      </w:r>
      <w:hyperlink r:id="rId13" w:history="1">
        <w:r w:rsidR="00A52CC2" w:rsidRPr="00F02830">
          <w:rPr>
            <w:rStyle w:val="Hyperlink"/>
            <w:rFonts w:cstheme="minorHAnsi"/>
            <w:szCs w:val="24"/>
          </w:rPr>
          <w:t>Web Dialogue on WTDC</w:t>
        </w:r>
      </w:hyperlink>
      <w:r w:rsidR="00A52CC2" w:rsidRPr="00F02830">
        <w:rPr>
          <w:rFonts w:cstheme="minorHAnsi"/>
          <w:szCs w:val="24"/>
        </w:rPr>
        <w:t xml:space="preserve"> where participants had the opportunity to discuss and provide their input on how to improve the effectiveness of WTDC-21. Although circumstances dictated that the membership was unable to gather in person, over 200 participants actively took part in the discussions. A Summary Report of the First Web Dialogue is available at </w:t>
      </w:r>
      <w:hyperlink r:id="rId14" w:history="1">
        <w:r w:rsidR="00A15EA6" w:rsidRPr="00A15EA6">
          <w:rPr>
            <w:rStyle w:val="Hyperlink"/>
            <w:rFonts w:cstheme="minorHAnsi"/>
            <w:szCs w:val="24"/>
          </w:rPr>
          <w:t>this link</w:t>
        </w:r>
      </w:hyperlink>
      <w:r w:rsidR="00A15EA6">
        <w:rPr>
          <w:rFonts w:cstheme="minorHAnsi"/>
          <w:szCs w:val="24"/>
        </w:rPr>
        <w:t>.</w:t>
      </w:r>
    </w:p>
    <w:p w14:paraId="0A9D5841" w14:textId="623B418A" w:rsidR="00111B88" w:rsidRPr="00311EA8" w:rsidRDefault="00111B88" w:rsidP="00743F77">
      <w:pPr>
        <w:tabs>
          <w:tab w:val="clear" w:pos="794"/>
          <w:tab w:val="clear" w:pos="1191"/>
          <w:tab w:val="clear" w:pos="1588"/>
          <w:tab w:val="clear" w:pos="1985"/>
        </w:tabs>
        <w:ind w:left="720" w:hanging="720"/>
        <w:rPr>
          <w:rFonts w:cstheme="minorHAnsi"/>
          <w:szCs w:val="24"/>
        </w:rPr>
      </w:pPr>
      <w:r w:rsidRPr="00F02830">
        <w:rPr>
          <w:rFonts w:cstheme="minorHAnsi"/>
          <w:szCs w:val="24"/>
        </w:rPr>
        <w:t>1.</w:t>
      </w:r>
      <w:r w:rsidR="003111C0" w:rsidRPr="00F02830">
        <w:rPr>
          <w:rFonts w:cstheme="minorHAnsi"/>
          <w:szCs w:val="24"/>
        </w:rPr>
        <w:t>4</w:t>
      </w:r>
      <w:r w:rsidRPr="00F02830">
        <w:rPr>
          <w:rFonts w:cstheme="minorHAnsi"/>
          <w:szCs w:val="24"/>
        </w:rPr>
        <w:tab/>
      </w:r>
      <w:r w:rsidR="00A52CC2" w:rsidRPr="00311EA8">
        <w:rPr>
          <w:rFonts w:cstheme="minorHAnsi"/>
          <w:szCs w:val="24"/>
        </w:rPr>
        <w:t>Building on the outcomes of the first event, the membership was again invited to come together on 30 April 2020 for the Second Web Dialogue on WTDC. T</w:t>
      </w:r>
      <w:r w:rsidR="00A52CC2" w:rsidRPr="00311EA8">
        <w:rPr>
          <w:rFonts w:cstheme="minorHAnsi"/>
          <w:szCs w:val="24"/>
          <w:shd w:val="clear" w:color="auto" w:fill="FFFFFF"/>
        </w:rPr>
        <w:t xml:space="preserve">he objective of the 2nd Web Dialogue was to further discuss and refine proposals for consideration of the TDAG-20 to ensure that the World Telecommunication Development Conference will be a solutions-based conference that addresses the real challenges in the development of telecommunications/ICTs. </w:t>
      </w:r>
      <w:r w:rsidR="00A52CC2" w:rsidRPr="00311EA8">
        <w:rPr>
          <w:rFonts w:cstheme="minorHAnsi"/>
          <w:szCs w:val="24"/>
        </w:rPr>
        <w:t xml:space="preserve">Over </w:t>
      </w:r>
      <w:r w:rsidR="001F3003" w:rsidRPr="00311EA8">
        <w:rPr>
          <w:rFonts w:cstheme="minorHAnsi"/>
          <w:szCs w:val="24"/>
        </w:rPr>
        <w:t>200</w:t>
      </w:r>
      <w:r w:rsidR="00A52CC2" w:rsidRPr="00311EA8">
        <w:rPr>
          <w:rFonts w:cstheme="minorHAnsi"/>
          <w:szCs w:val="24"/>
        </w:rPr>
        <w:t xml:space="preserve"> members participated in the event, and the Summary Report </w:t>
      </w:r>
      <w:r w:rsidR="009A3772" w:rsidRPr="00311EA8">
        <w:rPr>
          <w:rFonts w:cstheme="minorHAnsi"/>
          <w:szCs w:val="24"/>
        </w:rPr>
        <w:t xml:space="preserve">for the dialogue </w:t>
      </w:r>
      <w:r w:rsidR="00A52CC2" w:rsidRPr="00311EA8">
        <w:rPr>
          <w:rFonts w:cstheme="minorHAnsi"/>
          <w:szCs w:val="24"/>
        </w:rPr>
        <w:t xml:space="preserve">is available at </w:t>
      </w:r>
      <w:hyperlink r:id="rId15" w:history="1">
        <w:r w:rsidR="00F9290F" w:rsidRPr="00A90CD4">
          <w:rPr>
            <w:rStyle w:val="Hyperlink"/>
            <w:rFonts w:cstheme="minorHAnsi"/>
            <w:szCs w:val="24"/>
          </w:rPr>
          <w:t>this link</w:t>
        </w:r>
      </w:hyperlink>
      <w:r w:rsidR="00A52CC2" w:rsidRPr="00311EA8">
        <w:rPr>
          <w:rFonts w:cstheme="minorHAnsi"/>
          <w:szCs w:val="24"/>
        </w:rPr>
        <w:t xml:space="preserve">. </w:t>
      </w:r>
    </w:p>
    <w:p w14:paraId="652AA1DB" w14:textId="0D3BDA29" w:rsidR="005D49D9" w:rsidRPr="00F02830" w:rsidRDefault="00525E5E" w:rsidP="00525E5E">
      <w:pPr>
        <w:tabs>
          <w:tab w:val="clear" w:pos="794"/>
          <w:tab w:val="clear" w:pos="1191"/>
          <w:tab w:val="clear" w:pos="1588"/>
          <w:tab w:val="clear" w:pos="1985"/>
        </w:tabs>
        <w:ind w:left="720" w:hanging="720"/>
        <w:rPr>
          <w:rFonts w:cstheme="minorHAnsi"/>
          <w:b/>
          <w:bCs/>
          <w:szCs w:val="24"/>
        </w:rPr>
      </w:pPr>
      <w:r>
        <w:rPr>
          <w:rFonts w:cstheme="minorHAnsi"/>
          <w:szCs w:val="24"/>
        </w:rPr>
        <w:t>2.</w:t>
      </w:r>
      <w:r>
        <w:rPr>
          <w:rFonts w:cstheme="minorHAnsi"/>
          <w:szCs w:val="24"/>
        </w:rPr>
        <w:tab/>
      </w:r>
      <w:r w:rsidR="009E7F8D" w:rsidRPr="00F02830">
        <w:rPr>
          <w:rFonts w:cstheme="minorHAnsi"/>
          <w:b/>
          <w:bCs/>
          <w:szCs w:val="24"/>
        </w:rPr>
        <w:t>Proposals for WTDC Reform</w:t>
      </w:r>
    </w:p>
    <w:p w14:paraId="1172EC52" w14:textId="6CC18386" w:rsidR="003D0769" w:rsidRPr="00F02830" w:rsidRDefault="003D0769" w:rsidP="00743F77">
      <w:pPr>
        <w:tabs>
          <w:tab w:val="clear" w:pos="794"/>
          <w:tab w:val="clear" w:pos="1191"/>
          <w:tab w:val="clear" w:pos="1588"/>
          <w:tab w:val="clear" w:pos="1985"/>
        </w:tabs>
        <w:ind w:left="720" w:hanging="720"/>
        <w:rPr>
          <w:rFonts w:cstheme="minorHAnsi"/>
          <w:szCs w:val="24"/>
        </w:rPr>
      </w:pPr>
      <w:r w:rsidRPr="00F02830">
        <w:rPr>
          <w:rFonts w:cstheme="minorHAnsi"/>
          <w:szCs w:val="24"/>
        </w:rPr>
        <w:t>2.1</w:t>
      </w:r>
      <w:r w:rsidRPr="00F02830">
        <w:rPr>
          <w:rFonts w:cstheme="minorHAnsi"/>
          <w:szCs w:val="24"/>
        </w:rPr>
        <w:tab/>
        <w:t>T</w:t>
      </w:r>
      <w:r w:rsidR="009E7F8D" w:rsidRPr="00F02830">
        <w:rPr>
          <w:rFonts w:cstheme="minorHAnsi"/>
          <w:szCs w:val="24"/>
        </w:rPr>
        <w:t xml:space="preserve">he </w:t>
      </w:r>
      <w:r w:rsidR="009E7F8D" w:rsidRPr="00F54239">
        <w:rPr>
          <w:rFonts w:cstheme="minorHAnsi"/>
          <w:color w:val="444444"/>
          <w:szCs w:val="24"/>
          <w:shd w:val="clear" w:color="auto" w:fill="FFFFFF"/>
        </w:rPr>
        <w:t>Web</w:t>
      </w:r>
      <w:r w:rsidR="009E7F8D" w:rsidRPr="00F02830">
        <w:rPr>
          <w:rFonts w:cstheme="minorHAnsi"/>
          <w:szCs w:val="24"/>
        </w:rPr>
        <w:t xml:space="preserve"> Dialogues</w:t>
      </w:r>
      <w:r w:rsidRPr="00F02830">
        <w:rPr>
          <w:rFonts w:cstheme="minorHAnsi"/>
          <w:szCs w:val="24"/>
        </w:rPr>
        <w:t xml:space="preserve"> considered TDAG reform under the umbrella of four topics:</w:t>
      </w:r>
    </w:p>
    <w:p w14:paraId="47727FE9" w14:textId="04E50094" w:rsidR="003D0769" w:rsidRPr="00F02830" w:rsidRDefault="003D0769" w:rsidP="00743F77">
      <w:pPr>
        <w:tabs>
          <w:tab w:val="clear" w:pos="794"/>
          <w:tab w:val="clear" w:pos="1191"/>
          <w:tab w:val="clear" w:pos="1588"/>
          <w:tab w:val="clear" w:pos="1985"/>
        </w:tabs>
        <w:spacing w:before="60"/>
        <w:ind w:left="1287"/>
        <w:rPr>
          <w:rFonts w:cstheme="minorHAnsi"/>
          <w:szCs w:val="24"/>
        </w:rPr>
      </w:pPr>
      <w:r w:rsidRPr="00F02830">
        <w:rPr>
          <w:rFonts w:cstheme="minorHAnsi"/>
          <w:szCs w:val="24"/>
        </w:rPr>
        <w:t>Topic 1: The Preparatory Process</w:t>
      </w:r>
    </w:p>
    <w:p w14:paraId="779E83FD" w14:textId="6053D121" w:rsidR="003D0769" w:rsidRPr="00F02830" w:rsidRDefault="003D0769" w:rsidP="00743F77">
      <w:pPr>
        <w:tabs>
          <w:tab w:val="clear" w:pos="794"/>
          <w:tab w:val="clear" w:pos="1191"/>
          <w:tab w:val="clear" w:pos="1588"/>
          <w:tab w:val="clear" w:pos="1985"/>
        </w:tabs>
        <w:spacing w:before="60"/>
        <w:ind w:left="1287"/>
        <w:rPr>
          <w:rFonts w:cstheme="minorHAnsi"/>
          <w:szCs w:val="24"/>
        </w:rPr>
      </w:pPr>
      <w:r w:rsidRPr="00F02830">
        <w:rPr>
          <w:rFonts w:cstheme="minorHAnsi"/>
          <w:szCs w:val="24"/>
        </w:rPr>
        <w:t>Topic 2: Content and Structure</w:t>
      </w:r>
    </w:p>
    <w:p w14:paraId="4FD02671" w14:textId="0A8AD501" w:rsidR="003D0769" w:rsidRPr="00F02830" w:rsidRDefault="003D0769" w:rsidP="00743F77">
      <w:pPr>
        <w:tabs>
          <w:tab w:val="clear" w:pos="794"/>
          <w:tab w:val="clear" w:pos="1191"/>
          <w:tab w:val="clear" w:pos="1588"/>
          <w:tab w:val="clear" w:pos="1985"/>
        </w:tabs>
        <w:spacing w:before="60"/>
        <w:ind w:left="1287"/>
        <w:rPr>
          <w:rFonts w:cstheme="minorHAnsi"/>
          <w:szCs w:val="24"/>
        </w:rPr>
      </w:pPr>
      <w:r w:rsidRPr="00F02830">
        <w:rPr>
          <w:rFonts w:cstheme="minorHAnsi"/>
          <w:szCs w:val="24"/>
        </w:rPr>
        <w:t>Topic 3: Stakeholder Engagement</w:t>
      </w:r>
    </w:p>
    <w:p w14:paraId="22ABFDD4" w14:textId="0B1A3E11" w:rsidR="003D0769" w:rsidRPr="00F02830" w:rsidRDefault="003D0769" w:rsidP="00743F77">
      <w:pPr>
        <w:tabs>
          <w:tab w:val="clear" w:pos="794"/>
          <w:tab w:val="clear" w:pos="1191"/>
          <w:tab w:val="clear" w:pos="1588"/>
          <w:tab w:val="clear" w:pos="1985"/>
        </w:tabs>
        <w:spacing w:before="60"/>
        <w:ind w:left="1287"/>
        <w:rPr>
          <w:rFonts w:cstheme="minorHAnsi"/>
          <w:szCs w:val="24"/>
        </w:rPr>
      </w:pPr>
      <w:r w:rsidRPr="00F02830">
        <w:rPr>
          <w:rFonts w:cstheme="minorHAnsi"/>
          <w:szCs w:val="24"/>
        </w:rPr>
        <w:t>Topic 4: Side Events</w:t>
      </w:r>
    </w:p>
    <w:p w14:paraId="31DD1DD9" w14:textId="0C514011" w:rsidR="003D0769" w:rsidRPr="00F02830" w:rsidRDefault="00111B88" w:rsidP="00743F77">
      <w:pPr>
        <w:tabs>
          <w:tab w:val="clear" w:pos="794"/>
          <w:tab w:val="clear" w:pos="1191"/>
          <w:tab w:val="clear" w:pos="1588"/>
          <w:tab w:val="clear" w:pos="1985"/>
        </w:tabs>
        <w:ind w:left="720" w:hanging="720"/>
        <w:rPr>
          <w:rFonts w:cstheme="minorHAnsi"/>
          <w:szCs w:val="24"/>
        </w:rPr>
      </w:pPr>
      <w:r w:rsidRPr="00F02830">
        <w:rPr>
          <w:rFonts w:cstheme="minorHAnsi"/>
          <w:szCs w:val="24"/>
        </w:rPr>
        <w:t>2.2</w:t>
      </w:r>
      <w:r w:rsidRPr="00F02830">
        <w:rPr>
          <w:rFonts w:cstheme="minorHAnsi"/>
          <w:szCs w:val="24"/>
        </w:rPr>
        <w:tab/>
      </w:r>
      <w:r w:rsidR="003D0769" w:rsidRPr="00F02830">
        <w:rPr>
          <w:rFonts w:cstheme="minorHAnsi"/>
          <w:szCs w:val="24"/>
        </w:rPr>
        <w:t>Based on the outcomes from the discussions, the Secretariat noted that the proposals presented would more concisely be grouped into two broad areas, namely, proposals related to the preparations for WTDC, and proposals for reform to the conference itself.</w:t>
      </w:r>
    </w:p>
    <w:p w14:paraId="0EE1B939" w14:textId="2AB1B75C" w:rsidR="009E7F8D" w:rsidRPr="00F02830" w:rsidRDefault="00111B88" w:rsidP="00743F77">
      <w:pPr>
        <w:tabs>
          <w:tab w:val="clear" w:pos="794"/>
          <w:tab w:val="clear" w:pos="1191"/>
          <w:tab w:val="clear" w:pos="1588"/>
          <w:tab w:val="clear" w:pos="1985"/>
        </w:tabs>
        <w:ind w:left="720" w:hanging="720"/>
        <w:rPr>
          <w:rFonts w:cstheme="minorHAnsi"/>
          <w:szCs w:val="24"/>
        </w:rPr>
      </w:pPr>
      <w:r w:rsidRPr="00F02830">
        <w:rPr>
          <w:rFonts w:cstheme="minorHAnsi"/>
          <w:szCs w:val="24"/>
        </w:rPr>
        <w:t>2.3</w:t>
      </w:r>
      <w:r w:rsidRPr="00F02830">
        <w:rPr>
          <w:rFonts w:cstheme="minorHAnsi"/>
          <w:szCs w:val="24"/>
        </w:rPr>
        <w:tab/>
      </w:r>
      <w:r w:rsidR="003D0769" w:rsidRPr="00F02830">
        <w:rPr>
          <w:rFonts w:cstheme="minorHAnsi"/>
          <w:szCs w:val="24"/>
        </w:rPr>
        <w:t>T</w:t>
      </w:r>
      <w:r w:rsidR="009E7F8D" w:rsidRPr="00F02830">
        <w:rPr>
          <w:rFonts w:cstheme="minorHAnsi"/>
          <w:szCs w:val="24"/>
        </w:rPr>
        <w:t>he</w:t>
      </w:r>
      <w:r w:rsidR="003D0769" w:rsidRPr="00F02830">
        <w:rPr>
          <w:rFonts w:cstheme="minorHAnsi"/>
          <w:szCs w:val="24"/>
        </w:rPr>
        <w:t>refore, the Director submit</w:t>
      </w:r>
      <w:r w:rsidR="00FB0CFA">
        <w:rPr>
          <w:rFonts w:cstheme="minorHAnsi"/>
          <w:szCs w:val="24"/>
        </w:rPr>
        <w:t>ted</w:t>
      </w:r>
      <w:r w:rsidR="003D0769" w:rsidRPr="00F02830">
        <w:rPr>
          <w:rFonts w:cstheme="minorHAnsi"/>
          <w:szCs w:val="24"/>
        </w:rPr>
        <w:t xml:space="preserve"> the</w:t>
      </w:r>
      <w:r w:rsidR="009E7F8D" w:rsidRPr="00F02830">
        <w:rPr>
          <w:rFonts w:cstheme="minorHAnsi"/>
          <w:szCs w:val="24"/>
        </w:rPr>
        <w:t xml:space="preserve"> </w:t>
      </w:r>
      <w:r w:rsidR="00460E7E">
        <w:rPr>
          <w:rFonts w:cstheme="minorHAnsi"/>
          <w:szCs w:val="24"/>
        </w:rPr>
        <w:t xml:space="preserve">summary outcomes of the dialogues as </w:t>
      </w:r>
      <w:r w:rsidR="009E7F8D" w:rsidRPr="00F02830">
        <w:rPr>
          <w:rFonts w:cstheme="minorHAnsi"/>
          <w:szCs w:val="24"/>
        </w:rPr>
        <w:t xml:space="preserve">proposals </w:t>
      </w:r>
      <w:r w:rsidR="00FC428A">
        <w:rPr>
          <w:rFonts w:cstheme="minorHAnsi"/>
          <w:szCs w:val="24"/>
        </w:rPr>
        <w:t>to TDAG-20</w:t>
      </w:r>
      <w:r w:rsidR="00460E7E">
        <w:rPr>
          <w:rFonts w:cstheme="minorHAnsi"/>
          <w:szCs w:val="24"/>
        </w:rPr>
        <w:t>, as follows</w:t>
      </w:r>
      <w:r w:rsidR="009E7F8D" w:rsidRPr="00F02830">
        <w:rPr>
          <w:rFonts w:cstheme="minorHAnsi"/>
          <w:szCs w:val="24"/>
        </w:rPr>
        <w:t>:</w:t>
      </w:r>
    </w:p>
    <w:p w14:paraId="3D387360" w14:textId="00AE36CA" w:rsidR="009E7F8D" w:rsidRPr="00F02830" w:rsidRDefault="00111B88" w:rsidP="00743F77">
      <w:pPr>
        <w:tabs>
          <w:tab w:val="clear" w:pos="794"/>
          <w:tab w:val="clear" w:pos="1191"/>
          <w:tab w:val="clear" w:pos="1588"/>
          <w:tab w:val="clear" w:pos="1985"/>
        </w:tabs>
        <w:ind w:left="720" w:hanging="720"/>
        <w:rPr>
          <w:rFonts w:cstheme="minorHAnsi"/>
          <w:bCs/>
          <w:szCs w:val="24"/>
        </w:rPr>
      </w:pPr>
      <w:r w:rsidRPr="00F54239">
        <w:rPr>
          <w:rFonts w:cstheme="minorHAnsi"/>
          <w:szCs w:val="24"/>
        </w:rPr>
        <w:t>2.4</w:t>
      </w:r>
      <w:r w:rsidRPr="00F54239">
        <w:rPr>
          <w:rFonts w:cstheme="minorHAnsi"/>
          <w:szCs w:val="24"/>
        </w:rPr>
        <w:tab/>
      </w:r>
      <w:r w:rsidRPr="00FB0CFA">
        <w:rPr>
          <w:rFonts w:cstheme="minorHAnsi"/>
          <w:szCs w:val="24"/>
          <w:u w:val="single"/>
        </w:rPr>
        <w:t>B</w:t>
      </w:r>
      <w:r w:rsidR="009E7F8D" w:rsidRPr="00FB0CFA">
        <w:rPr>
          <w:rFonts w:cstheme="minorHAnsi"/>
          <w:szCs w:val="24"/>
          <w:u w:val="single"/>
        </w:rPr>
        <w:t>efore the Conference</w:t>
      </w:r>
      <w:r w:rsidRPr="00F02830">
        <w:rPr>
          <w:rFonts w:cstheme="minorHAnsi"/>
          <w:bCs/>
          <w:szCs w:val="24"/>
          <w:u w:val="single"/>
        </w:rPr>
        <w:t>:</w:t>
      </w:r>
    </w:p>
    <w:p w14:paraId="1C9F1795" w14:textId="5EFD6FE2" w:rsidR="003D0769" w:rsidRPr="00F02830" w:rsidRDefault="00111B88" w:rsidP="00743F77">
      <w:pPr>
        <w:tabs>
          <w:tab w:val="clear" w:pos="794"/>
          <w:tab w:val="clear" w:pos="1191"/>
          <w:tab w:val="clear" w:pos="1588"/>
          <w:tab w:val="clear" w:pos="1985"/>
        </w:tabs>
        <w:ind w:left="709" w:hanging="672"/>
        <w:rPr>
          <w:rFonts w:cstheme="minorHAnsi"/>
          <w:bCs/>
          <w:szCs w:val="24"/>
        </w:rPr>
      </w:pPr>
      <w:r w:rsidRPr="00F02830">
        <w:rPr>
          <w:rFonts w:cstheme="minorHAnsi"/>
          <w:bCs/>
          <w:szCs w:val="24"/>
        </w:rPr>
        <w:tab/>
      </w:r>
      <w:r w:rsidR="00F539D2" w:rsidRPr="00F02830">
        <w:rPr>
          <w:rFonts w:cstheme="minorHAnsi"/>
          <w:bCs/>
          <w:szCs w:val="24"/>
        </w:rPr>
        <w:t>Consideration should be given to the following approaches</w:t>
      </w:r>
      <w:r w:rsidR="003D0769" w:rsidRPr="00F02830">
        <w:rPr>
          <w:rFonts w:cstheme="minorHAnsi"/>
          <w:bCs/>
          <w:szCs w:val="24"/>
        </w:rPr>
        <w:t xml:space="preserve">: </w:t>
      </w:r>
    </w:p>
    <w:p w14:paraId="15D6D2E8" w14:textId="6D65C2F4" w:rsidR="003D0769" w:rsidRPr="00F02830" w:rsidRDefault="003D0769" w:rsidP="00743F77">
      <w:pPr>
        <w:pStyle w:val="ListParagraph"/>
        <w:numPr>
          <w:ilvl w:val="0"/>
          <w:numId w:val="10"/>
        </w:numPr>
        <w:tabs>
          <w:tab w:val="clear" w:pos="1134"/>
          <w:tab w:val="clear" w:pos="1871"/>
          <w:tab w:val="clear" w:pos="2268"/>
        </w:tabs>
        <w:ind w:left="1287" w:hanging="567"/>
        <w:contextualSpacing w:val="0"/>
        <w:rPr>
          <w:rFonts w:cstheme="minorHAnsi"/>
          <w:bCs/>
          <w:szCs w:val="24"/>
        </w:rPr>
      </w:pPr>
      <w:r w:rsidRPr="00F02830">
        <w:rPr>
          <w:rFonts w:cstheme="minorHAnsi"/>
          <w:bCs/>
          <w:szCs w:val="24"/>
        </w:rPr>
        <w:t>Implement a comprehensive preparatory process that introduces formal inter-regional coordination meetings (IRMs).  These meetings should have a clearly defined format and clear agendas. Outcomes of IRMs would be non-binding as Member States have the sovereign right to submit proposals at the Conference.</w:t>
      </w:r>
    </w:p>
    <w:p w14:paraId="4BFB423C" w14:textId="77777777" w:rsidR="002D0A80" w:rsidRDefault="009E7F8D" w:rsidP="002D0A80">
      <w:pPr>
        <w:pStyle w:val="ListParagraph"/>
        <w:numPr>
          <w:ilvl w:val="0"/>
          <w:numId w:val="10"/>
        </w:numPr>
        <w:tabs>
          <w:tab w:val="clear" w:pos="1134"/>
          <w:tab w:val="clear" w:pos="1871"/>
          <w:tab w:val="clear" w:pos="2268"/>
        </w:tabs>
        <w:ind w:left="1287" w:hanging="567"/>
        <w:contextualSpacing w:val="0"/>
        <w:rPr>
          <w:rFonts w:cstheme="minorHAnsi"/>
          <w:bCs/>
          <w:szCs w:val="24"/>
        </w:rPr>
      </w:pPr>
      <w:r w:rsidRPr="00F02830">
        <w:rPr>
          <w:rFonts w:cstheme="minorHAnsi"/>
          <w:bCs/>
          <w:szCs w:val="24"/>
        </w:rPr>
        <w:lastRenderedPageBreak/>
        <w:t>Define the number of representatives from each region to attend IRMs and decide on the chairmanship of IRMs.</w:t>
      </w:r>
    </w:p>
    <w:p w14:paraId="2339CF0A" w14:textId="1A1C5526" w:rsidR="002D0A80" w:rsidRPr="002D0A80" w:rsidRDefault="002D0A80" w:rsidP="002D0A80">
      <w:pPr>
        <w:pStyle w:val="ListParagraph"/>
        <w:numPr>
          <w:ilvl w:val="0"/>
          <w:numId w:val="10"/>
        </w:numPr>
        <w:tabs>
          <w:tab w:val="clear" w:pos="1134"/>
          <w:tab w:val="clear" w:pos="1871"/>
          <w:tab w:val="clear" w:pos="2268"/>
        </w:tabs>
        <w:ind w:left="1287" w:hanging="567"/>
        <w:contextualSpacing w:val="0"/>
        <w:rPr>
          <w:rFonts w:cstheme="minorHAnsi"/>
          <w:bCs/>
          <w:szCs w:val="24"/>
        </w:rPr>
      </w:pPr>
      <w:r>
        <w:t>Define target lists by constituent group, focus on attracting funding entities and target beneficiaries of ITU-D activities (youth, women, representatives from LDCs, persons from indigenous communities, etc.).</w:t>
      </w:r>
    </w:p>
    <w:p w14:paraId="02B53872" w14:textId="660BC3B4" w:rsidR="009E7F8D" w:rsidRPr="00F02830" w:rsidRDefault="009E7F8D" w:rsidP="00743F77">
      <w:pPr>
        <w:pStyle w:val="ListParagraph"/>
        <w:numPr>
          <w:ilvl w:val="0"/>
          <w:numId w:val="10"/>
        </w:numPr>
        <w:tabs>
          <w:tab w:val="clear" w:pos="1134"/>
          <w:tab w:val="clear" w:pos="1871"/>
          <w:tab w:val="clear" w:pos="2268"/>
        </w:tabs>
        <w:ind w:left="1287" w:hanging="567"/>
        <w:contextualSpacing w:val="0"/>
        <w:rPr>
          <w:rFonts w:cstheme="minorHAnsi"/>
          <w:bCs/>
          <w:szCs w:val="24"/>
        </w:rPr>
      </w:pPr>
      <w:r w:rsidRPr="00F02830">
        <w:rPr>
          <w:rFonts w:cstheme="minorHAnsi"/>
          <w:bCs/>
          <w:szCs w:val="24"/>
        </w:rPr>
        <w:t>Ensure proper planning and coordination between RPMs, IRMs and RTO preparatory meetings to safeguard the efficiency of the Conference preparatory process.</w:t>
      </w:r>
    </w:p>
    <w:p w14:paraId="7D432588" w14:textId="5E3FE35B" w:rsidR="009E7F8D" w:rsidRPr="00F02830" w:rsidRDefault="009E7F8D" w:rsidP="00743F77">
      <w:pPr>
        <w:pStyle w:val="ListParagraph"/>
        <w:numPr>
          <w:ilvl w:val="0"/>
          <w:numId w:val="10"/>
        </w:numPr>
        <w:tabs>
          <w:tab w:val="clear" w:pos="1134"/>
          <w:tab w:val="clear" w:pos="1871"/>
          <w:tab w:val="clear" w:pos="2268"/>
        </w:tabs>
        <w:ind w:left="1287" w:hanging="567"/>
        <w:contextualSpacing w:val="0"/>
        <w:rPr>
          <w:rFonts w:cstheme="minorHAnsi"/>
          <w:bCs/>
          <w:szCs w:val="24"/>
        </w:rPr>
      </w:pPr>
      <w:r w:rsidRPr="00F02830">
        <w:rPr>
          <w:rFonts w:cstheme="minorHAnsi"/>
          <w:bCs/>
          <w:szCs w:val="24"/>
        </w:rPr>
        <w:t>Establish, in collaboration with the Secretariat, a list of coordinators from each region for each topic on the Conference agenda.</w:t>
      </w:r>
    </w:p>
    <w:p w14:paraId="5401F851" w14:textId="73E1A2D5" w:rsidR="00050D32" w:rsidRPr="00F02830" w:rsidRDefault="00050D32" w:rsidP="00743F77">
      <w:pPr>
        <w:pStyle w:val="ListParagraph"/>
        <w:numPr>
          <w:ilvl w:val="0"/>
          <w:numId w:val="10"/>
        </w:numPr>
        <w:tabs>
          <w:tab w:val="clear" w:pos="1134"/>
          <w:tab w:val="clear" w:pos="1871"/>
          <w:tab w:val="clear" w:pos="2268"/>
        </w:tabs>
        <w:ind w:left="1287" w:hanging="567"/>
        <w:contextualSpacing w:val="0"/>
        <w:rPr>
          <w:rFonts w:cstheme="minorHAnsi"/>
          <w:bCs/>
          <w:szCs w:val="24"/>
        </w:rPr>
      </w:pPr>
      <w:r w:rsidRPr="00F02830">
        <w:rPr>
          <w:rFonts w:cstheme="minorHAnsi"/>
          <w:bCs/>
          <w:szCs w:val="24"/>
        </w:rPr>
        <w:t>Leverage on a selected basis</w:t>
      </w:r>
      <w:r w:rsidR="000164B5">
        <w:rPr>
          <w:rFonts w:cstheme="minorHAnsi"/>
          <w:bCs/>
          <w:szCs w:val="24"/>
        </w:rPr>
        <w:t>,</w:t>
      </w:r>
      <w:r w:rsidRPr="00F02830">
        <w:rPr>
          <w:rFonts w:cstheme="minorHAnsi"/>
          <w:bCs/>
          <w:szCs w:val="24"/>
        </w:rPr>
        <w:t xml:space="preserve"> other </w:t>
      </w:r>
      <w:r w:rsidR="00706075" w:rsidRPr="00F02830">
        <w:rPr>
          <w:rFonts w:cstheme="minorHAnsi"/>
          <w:bCs/>
          <w:szCs w:val="24"/>
        </w:rPr>
        <w:t>high-profile</w:t>
      </w:r>
      <w:r w:rsidRPr="00F02830">
        <w:rPr>
          <w:rFonts w:cstheme="minorHAnsi"/>
          <w:bCs/>
          <w:szCs w:val="24"/>
        </w:rPr>
        <w:t xml:space="preserve"> fora to raise awareness and interest on WTDC</w:t>
      </w:r>
      <w:r w:rsidR="000D4A5E" w:rsidRPr="00F02830">
        <w:rPr>
          <w:rFonts w:cstheme="minorHAnsi"/>
          <w:bCs/>
          <w:szCs w:val="24"/>
        </w:rPr>
        <w:t>.</w:t>
      </w:r>
    </w:p>
    <w:p w14:paraId="4FA9FF1A" w14:textId="2860552A" w:rsidR="003D0769" w:rsidRPr="00F02830" w:rsidRDefault="00111B88" w:rsidP="00743F77">
      <w:pPr>
        <w:tabs>
          <w:tab w:val="clear" w:pos="794"/>
          <w:tab w:val="clear" w:pos="1191"/>
          <w:tab w:val="clear" w:pos="1588"/>
          <w:tab w:val="clear" w:pos="1985"/>
        </w:tabs>
        <w:ind w:left="720" w:hanging="720"/>
        <w:rPr>
          <w:rFonts w:cstheme="minorHAnsi"/>
          <w:bCs/>
          <w:szCs w:val="24"/>
        </w:rPr>
      </w:pPr>
      <w:r w:rsidRPr="00F02830">
        <w:rPr>
          <w:rFonts w:cstheme="minorHAnsi"/>
          <w:bCs/>
          <w:szCs w:val="24"/>
        </w:rPr>
        <w:t>2.5</w:t>
      </w:r>
      <w:r w:rsidRPr="00F02830">
        <w:rPr>
          <w:rFonts w:cstheme="minorHAnsi"/>
          <w:bCs/>
          <w:szCs w:val="24"/>
        </w:rPr>
        <w:tab/>
      </w:r>
      <w:r w:rsidR="003D0769" w:rsidRPr="00AC7B28">
        <w:rPr>
          <w:rFonts w:cstheme="minorHAnsi"/>
          <w:bCs/>
          <w:szCs w:val="24"/>
          <w:u w:val="single"/>
        </w:rPr>
        <w:t xml:space="preserve">During the </w:t>
      </w:r>
      <w:r w:rsidR="003D0769" w:rsidRPr="00AC7B28">
        <w:rPr>
          <w:rFonts w:cstheme="minorHAnsi"/>
          <w:szCs w:val="24"/>
          <w:u w:val="single"/>
        </w:rPr>
        <w:t>Conference</w:t>
      </w:r>
      <w:r w:rsidRPr="00AC7B28">
        <w:rPr>
          <w:rFonts w:cstheme="minorHAnsi"/>
          <w:bCs/>
          <w:szCs w:val="24"/>
          <w:u w:val="single"/>
        </w:rPr>
        <w:t>:</w:t>
      </w:r>
    </w:p>
    <w:p w14:paraId="3D0F4780" w14:textId="321BF06D" w:rsidR="003D0769" w:rsidRPr="00F02830" w:rsidRDefault="00F539D2" w:rsidP="00743F77">
      <w:pPr>
        <w:tabs>
          <w:tab w:val="clear" w:pos="794"/>
          <w:tab w:val="clear" w:pos="1191"/>
          <w:tab w:val="clear" w:pos="1588"/>
          <w:tab w:val="clear" w:pos="1985"/>
        </w:tabs>
        <w:ind w:left="709"/>
        <w:rPr>
          <w:rFonts w:cstheme="minorHAnsi"/>
          <w:bCs/>
          <w:szCs w:val="24"/>
        </w:rPr>
      </w:pPr>
      <w:r w:rsidRPr="00F02830">
        <w:rPr>
          <w:rFonts w:cstheme="minorHAnsi"/>
          <w:bCs/>
          <w:szCs w:val="24"/>
        </w:rPr>
        <w:t xml:space="preserve">Consideration should be given to </w:t>
      </w:r>
      <w:r w:rsidR="003D0769" w:rsidRPr="00F02830">
        <w:rPr>
          <w:rFonts w:cstheme="minorHAnsi"/>
          <w:bCs/>
          <w:szCs w:val="24"/>
        </w:rPr>
        <w:t>merg</w:t>
      </w:r>
      <w:r w:rsidRPr="00F02830">
        <w:rPr>
          <w:rFonts w:cstheme="minorHAnsi"/>
          <w:bCs/>
          <w:szCs w:val="24"/>
        </w:rPr>
        <w:t>ing</w:t>
      </w:r>
      <w:r w:rsidR="003D0769" w:rsidRPr="00F02830">
        <w:rPr>
          <w:rFonts w:cstheme="minorHAnsi"/>
          <w:bCs/>
          <w:szCs w:val="24"/>
        </w:rPr>
        <w:t xml:space="preserve"> the high-level segment and the side-events into thematic events, a “Development Track” as follows:</w:t>
      </w:r>
    </w:p>
    <w:p w14:paraId="69C28655" w14:textId="3230CD26" w:rsidR="003D0769" w:rsidRPr="00F02830" w:rsidRDefault="003D0769" w:rsidP="00743F77">
      <w:pPr>
        <w:pStyle w:val="ListParagraph"/>
        <w:numPr>
          <w:ilvl w:val="0"/>
          <w:numId w:val="13"/>
        </w:numPr>
        <w:tabs>
          <w:tab w:val="clear" w:pos="1134"/>
          <w:tab w:val="clear" w:pos="1871"/>
          <w:tab w:val="clear" w:pos="2268"/>
        </w:tabs>
        <w:ind w:left="1287" w:hanging="567"/>
        <w:contextualSpacing w:val="0"/>
        <w:rPr>
          <w:rFonts w:cstheme="minorHAnsi"/>
          <w:bCs/>
          <w:szCs w:val="24"/>
        </w:rPr>
      </w:pPr>
      <w:r w:rsidRPr="00F02830">
        <w:rPr>
          <w:rFonts w:cstheme="minorHAnsi"/>
          <w:bCs/>
          <w:szCs w:val="24"/>
        </w:rPr>
        <w:t>Carefully select themes to match the WTDC agenda and establish a clear agenda and value proposition with the intention of addressing development challenges and membership priorities, and obtaining funding/pledges to complement the ITU budget</w:t>
      </w:r>
      <w:r w:rsidR="00050D32" w:rsidRPr="00F02830">
        <w:rPr>
          <w:rFonts w:cstheme="minorHAnsi"/>
          <w:bCs/>
          <w:szCs w:val="24"/>
        </w:rPr>
        <w:t>.</w:t>
      </w:r>
    </w:p>
    <w:p w14:paraId="475644B4" w14:textId="45D862B0" w:rsidR="00050D32" w:rsidRPr="00F02830" w:rsidRDefault="00050D32" w:rsidP="00743F77">
      <w:pPr>
        <w:pStyle w:val="ListParagraph"/>
        <w:numPr>
          <w:ilvl w:val="0"/>
          <w:numId w:val="13"/>
        </w:numPr>
        <w:tabs>
          <w:tab w:val="clear" w:pos="1134"/>
          <w:tab w:val="clear" w:pos="1871"/>
          <w:tab w:val="clear" w:pos="2268"/>
        </w:tabs>
        <w:ind w:left="1287" w:hanging="567"/>
        <w:contextualSpacing w:val="0"/>
        <w:rPr>
          <w:rFonts w:cstheme="minorHAnsi"/>
          <w:bCs/>
          <w:szCs w:val="24"/>
        </w:rPr>
      </w:pPr>
      <w:r w:rsidRPr="00F02830">
        <w:rPr>
          <w:rFonts w:cstheme="minorHAnsi"/>
          <w:bCs/>
          <w:szCs w:val="24"/>
        </w:rPr>
        <w:t>Invite high-level participants to chair and/or deliver key-note speeches on the theme(s) selected.</w:t>
      </w:r>
    </w:p>
    <w:p w14:paraId="66A85F9D" w14:textId="1DAF6DCF" w:rsidR="003D0769" w:rsidRPr="00F02830" w:rsidRDefault="00050D32" w:rsidP="00743F77">
      <w:pPr>
        <w:pStyle w:val="ListParagraph"/>
        <w:numPr>
          <w:ilvl w:val="0"/>
          <w:numId w:val="13"/>
        </w:numPr>
        <w:tabs>
          <w:tab w:val="clear" w:pos="1134"/>
          <w:tab w:val="clear" w:pos="1871"/>
          <w:tab w:val="clear" w:pos="2268"/>
        </w:tabs>
        <w:ind w:left="1287" w:hanging="567"/>
        <w:contextualSpacing w:val="0"/>
        <w:rPr>
          <w:rFonts w:cstheme="minorHAnsi"/>
          <w:bCs/>
          <w:szCs w:val="24"/>
        </w:rPr>
      </w:pPr>
      <w:r w:rsidRPr="00F02830">
        <w:rPr>
          <w:rFonts w:cstheme="minorHAnsi"/>
          <w:bCs/>
          <w:szCs w:val="24"/>
        </w:rPr>
        <w:t>Organize t</w:t>
      </w:r>
      <w:r w:rsidR="003D0769" w:rsidRPr="00F02830">
        <w:rPr>
          <w:rFonts w:cstheme="minorHAnsi"/>
          <w:bCs/>
          <w:szCs w:val="24"/>
        </w:rPr>
        <w:t xml:space="preserve">hematic </w:t>
      </w:r>
      <w:r w:rsidRPr="00F02830">
        <w:rPr>
          <w:rFonts w:cstheme="minorHAnsi"/>
          <w:bCs/>
          <w:szCs w:val="24"/>
        </w:rPr>
        <w:t>tracks</w:t>
      </w:r>
      <w:r w:rsidR="003D0769" w:rsidRPr="00F02830">
        <w:rPr>
          <w:rFonts w:cstheme="minorHAnsi"/>
          <w:bCs/>
          <w:szCs w:val="24"/>
        </w:rPr>
        <w:t xml:space="preserve"> to be </w:t>
      </w:r>
      <w:r w:rsidRPr="00F02830">
        <w:rPr>
          <w:rFonts w:cstheme="minorHAnsi"/>
          <w:bCs/>
          <w:szCs w:val="24"/>
        </w:rPr>
        <w:t xml:space="preserve">separate </w:t>
      </w:r>
      <w:r w:rsidR="003D0769" w:rsidRPr="00F02830">
        <w:rPr>
          <w:rFonts w:cstheme="minorHAnsi"/>
          <w:bCs/>
          <w:szCs w:val="24"/>
        </w:rPr>
        <w:t>from the “administrative” part of the conference.</w:t>
      </w:r>
    </w:p>
    <w:p w14:paraId="19BB05A4" w14:textId="5268AA63" w:rsidR="00AB110C" w:rsidRDefault="00FB0CFA" w:rsidP="00AB110C">
      <w:pPr>
        <w:tabs>
          <w:tab w:val="clear" w:pos="794"/>
          <w:tab w:val="clear" w:pos="1191"/>
          <w:tab w:val="clear" w:pos="1588"/>
          <w:tab w:val="clear" w:pos="1985"/>
        </w:tabs>
        <w:ind w:left="709" w:hanging="709"/>
        <w:rPr>
          <w:rFonts w:cstheme="minorHAnsi"/>
          <w:bCs/>
          <w:szCs w:val="24"/>
        </w:rPr>
      </w:pPr>
      <w:r>
        <w:rPr>
          <w:rFonts w:cstheme="minorHAnsi"/>
          <w:bCs/>
          <w:szCs w:val="24"/>
        </w:rPr>
        <w:t>2.6</w:t>
      </w:r>
      <w:r>
        <w:rPr>
          <w:rFonts w:cstheme="minorHAnsi"/>
          <w:bCs/>
          <w:szCs w:val="24"/>
        </w:rPr>
        <w:tab/>
      </w:r>
      <w:r w:rsidR="003D0769" w:rsidRPr="00F02830">
        <w:rPr>
          <w:rFonts w:cstheme="minorHAnsi"/>
          <w:bCs/>
          <w:szCs w:val="24"/>
        </w:rPr>
        <w:t>The conference should no longer discuss the ITU-D contribution to the ITU Strategic Plan, with this responsibility being transferred to TDAG (revision of WTDC Resolutions 1 and 31 required).</w:t>
      </w:r>
    </w:p>
    <w:p w14:paraId="145D858C" w14:textId="132E89E7" w:rsidR="00AB110C" w:rsidRPr="00AB110C" w:rsidRDefault="00AB110C" w:rsidP="00AB110C">
      <w:pPr>
        <w:tabs>
          <w:tab w:val="clear" w:pos="794"/>
          <w:tab w:val="clear" w:pos="1191"/>
          <w:tab w:val="clear" w:pos="1588"/>
          <w:tab w:val="clear" w:pos="1985"/>
        </w:tabs>
        <w:ind w:left="709" w:hanging="709"/>
        <w:rPr>
          <w:rFonts w:cstheme="minorHAnsi"/>
          <w:bCs/>
          <w:szCs w:val="24"/>
        </w:rPr>
      </w:pPr>
      <w:r>
        <w:rPr>
          <w:rFonts w:cstheme="minorHAnsi"/>
          <w:bCs/>
          <w:szCs w:val="24"/>
        </w:rPr>
        <w:t>2.7</w:t>
      </w:r>
      <w:r>
        <w:rPr>
          <w:rFonts w:cstheme="minorHAnsi"/>
          <w:bCs/>
          <w:szCs w:val="24"/>
        </w:rPr>
        <w:tab/>
      </w:r>
      <w:r w:rsidR="004E0498">
        <w:rPr>
          <w:rFonts w:cstheme="minorHAnsi"/>
          <w:bCs/>
          <w:szCs w:val="24"/>
        </w:rPr>
        <w:t>TDAG also received and considered contributions</w:t>
      </w:r>
      <w:r>
        <w:rPr>
          <w:rFonts w:cstheme="minorHAnsi"/>
          <w:bCs/>
          <w:szCs w:val="24"/>
        </w:rPr>
        <w:t xml:space="preserve"> on WTDC </w:t>
      </w:r>
      <w:r w:rsidR="004E0498">
        <w:rPr>
          <w:rFonts w:cstheme="minorHAnsi"/>
          <w:bCs/>
          <w:szCs w:val="24"/>
        </w:rPr>
        <w:t>reform and WTDC preparations from Canada, Russia, United Arab Emirates, USA, and Brazil.</w:t>
      </w:r>
    </w:p>
    <w:p w14:paraId="7C42B231" w14:textId="0AFFD5B5" w:rsidR="009E7F8D" w:rsidRPr="00AB75A8" w:rsidRDefault="00AB75A8" w:rsidP="00AB110C">
      <w:pPr>
        <w:keepNext/>
        <w:tabs>
          <w:tab w:val="clear" w:pos="794"/>
          <w:tab w:val="clear" w:pos="1191"/>
          <w:tab w:val="clear" w:pos="1588"/>
          <w:tab w:val="clear" w:pos="1985"/>
        </w:tabs>
        <w:spacing w:before="240"/>
        <w:ind w:left="34"/>
        <w:rPr>
          <w:rFonts w:cstheme="minorHAnsi"/>
          <w:b/>
          <w:bCs/>
          <w:szCs w:val="24"/>
        </w:rPr>
      </w:pPr>
      <w:r>
        <w:rPr>
          <w:rFonts w:cstheme="minorHAnsi"/>
          <w:b/>
          <w:bCs/>
          <w:szCs w:val="24"/>
        </w:rPr>
        <w:t>3.</w:t>
      </w:r>
      <w:r>
        <w:rPr>
          <w:rFonts w:cstheme="minorHAnsi"/>
          <w:b/>
          <w:bCs/>
          <w:szCs w:val="24"/>
        </w:rPr>
        <w:tab/>
      </w:r>
      <w:r w:rsidR="00FB0CFA" w:rsidRPr="00AB75A8">
        <w:rPr>
          <w:rFonts w:cstheme="minorHAnsi"/>
          <w:b/>
          <w:bCs/>
          <w:szCs w:val="24"/>
        </w:rPr>
        <w:t>TDAG Decisions</w:t>
      </w:r>
    </w:p>
    <w:p w14:paraId="302A669E" w14:textId="0EBA7CA8" w:rsidR="00FB0CFA" w:rsidRPr="00AB75A8" w:rsidRDefault="00FC428A" w:rsidP="00AB110C">
      <w:pPr>
        <w:tabs>
          <w:tab w:val="clear" w:pos="794"/>
          <w:tab w:val="clear" w:pos="1191"/>
          <w:tab w:val="clear" w:pos="1588"/>
          <w:tab w:val="clear" w:pos="1985"/>
        </w:tabs>
        <w:ind w:left="709"/>
        <w:rPr>
          <w:rFonts w:cstheme="minorHAnsi"/>
          <w:szCs w:val="24"/>
        </w:rPr>
      </w:pPr>
      <w:r>
        <w:rPr>
          <w:rFonts w:cstheme="minorHAnsi"/>
          <w:szCs w:val="24"/>
        </w:rPr>
        <w:t xml:space="preserve">TDAG deliberated on the proposals for WTDC at its virtual meeting held from 2 to 5 June 2020, and at an extraordinary meeting held on 16 June 2020 for the specific purpose of finalising TDAG’s deliberations on </w:t>
      </w:r>
      <w:r w:rsidR="004E0498">
        <w:rPr>
          <w:rFonts w:cstheme="minorHAnsi"/>
          <w:szCs w:val="24"/>
        </w:rPr>
        <w:t xml:space="preserve">preparations for </w:t>
      </w:r>
      <w:r>
        <w:rPr>
          <w:rFonts w:cstheme="minorHAnsi"/>
          <w:szCs w:val="24"/>
        </w:rPr>
        <w:t>WTDC</w:t>
      </w:r>
      <w:r w:rsidR="004E0498">
        <w:rPr>
          <w:rFonts w:cstheme="minorHAnsi"/>
          <w:szCs w:val="24"/>
        </w:rPr>
        <w:t>-21</w:t>
      </w:r>
      <w:r>
        <w:rPr>
          <w:rFonts w:cstheme="minorHAnsi"/>
          <w:szCs w:val="24"/>
        </w:rPr>
        <w:t xml:space="preserve">.  </w:t>
      </w:r>
      <w:r w:rsidR="00065F73" w:rsidRPr="00AB75A8">
        <w:rPr>
          <w:rFonts w:cstheme="minorHAnsi"/>
          <w:szCs w:val="24"/>
        </w:rPr>
        <w:t>TDAG</w:t>
      </w:r>
      <w:r w:rsidR="00FB0CFA" w:rsidRPr="00AB75A8">
        <w:rPr>
          <w:rFonts w:cstheme="minorHAnsi"/>
          <w:szCs w:val="24"/>
        </w:rPr>
        <w:t>:</w:t>
      </w:r>
    </w:p>
    <w:p w14:paraId="3E5174DB" w14:textId="70AB20ED" w:rsidR="00302776" w:rsidRDefault="000164B5" w:rsidP="007D5761">
      <w:pPr>
        <w:pStyle w:val="ListParagraph"/>
        <w:numPr>
          <w:ilvl w:val="0"/>
          <w:numId w:val="19"/>
        </w:numPr>
        <w:ind w:left="1134"/>
        <w:contextualSpacing w:val="0"/>
        <w:rPr>
          <w:rFonts w:cstheme="minorHAnsi"/>
          <w:szCs w:val="24"/>
        </w:rPr>
      </w:pPr>
      <w:r>
        <w:rPr>
          <w:rFonts w:cstheme="minorHAnsi"/>
          <w:szCs w:val="24"/>
        </w:rPr>
        <w:t>Discussed using the summary of the Web Dialogue discussions presented by the Director as a basis for the way forward</w:t>
      </w:r>
      <w:r w:rsidR="00302776">
        <w:rPr>
          <w:rFonts w:cstheme="minorHAnsi"/>
          <w:szCs w:val="24"/>
        </w:rPr>
        <w:t>;</w:t>
      </w:r>
    </w:p>
    <w:p w14:paraId="75B17B9B" w14:textId="723DC4BD" w:rsidR="000F04E1" w:rsidRDefault="007D5761" w:rsidP="007D5761">
      <w:pPr>
        <w:pStyle w:val="ListParagraph"/>
        <w:numPr>
          <w:ilvl w:val="0"/>
          <w:numId w:val="19"/>
        </w:numPr>
        <w:ind w:left="1134"/>
        <w:contextualSpacing w:val="0"/>
        <w:rPr>
          <w:rFonts w:cstheme="minorHAnsi"/>
          <w:szCs w:val="24"/>
        </w:rPr>
      </w:pPr>
      <w:r>
        <w:rPr>
          <w:rFonts w:cstheme="minorHAnsi"/>
          <w:szCs w:val="24"/>
        </w:rPr>
        <w:t>E</w:t>
      </w:r>
      <w:r w:rsidR="00065F73" w:rsidRPr="00F02830">
        <w:rPr>
          <w:rFonts w:cstheme="minorHAnsi"/>
          <w:szCs w:val="24"/>
        </w:rPr>
        <w:t>stablish</w:t>
      </w:r>
      <w:r>
        <w:rPr>
          <w:rFonts w:cstheme="minorHAnsi"/>
          <w:szCs w:val="24"/>
        </w:rPr>
        <w:t>ed</w:t>
      </w:r>
      <w:r w:rsidR="00065F73" w:rsidRPr="00F02830">
        <w:rPr>
          <w:rFonts w:cstheme="minorHAnsi"/>
          <w:szCs w:val="24"/>
        </w:rPr>
        <w:t xml:space="preserve"> </w:t>
      </w:r>
      <w:r w:rsidR="000F04E1">
        <w:rPr>
          <w:rFonts w:cstheme="minorHAnsi"/>
          <w:szCs w:val="24"/>
        </w:rPr>
        <w:t>the following</w:t>
      </w:r>
      <w:r w:rsidR="00C47975" w:rsidRPr="00F02830">
        <w:rPr>
          <w:rFonts w:cstheme="minorHAnsi"/>
          <w:szCs w:val="24"/>
        </w:rPr>
        <w:t xml:space="preserve"> </w:t>
      </w:r>
      <w:r w:rsidR="00281EC8" w:rsidRPr="00F02830">
        <w:rPr>
          <w:rFonts w:cstheme="minorHAnsi"/>
          <w:szCs w:val="24"/>
        </w:rPr>
        <w:t xml:space="preserve">working </w:t>
      </w:r>
      <w:r w:rsidR="00065F73" w:rsidRPr="00F02830">
        <w:rPr>
          <w:rFonts w:cstheme="minorHAnsi"/>
          <w:szCs w:val="24"/>
        </w:rPr>
        <w:t>groups</w:t>
      </w:r>
      <w:r>
        <w:rPr>
          <w:rFonts w:cstheme="minorHAnsi"/>
          <w:szCs w:val="24"/>
        </w:rPr>
        <w:t xml:space="preserve"> on WTDC-21</w:t>
      </w:r>
      <w:r w:rsidR="00C47975" w:rsidRPr="00F02830">
        <w:rPr>
          <w:rFonts w:cstheme="minorHAnsi"/>
          <w:szCs w:val="24"/>
        </w:rPr>
        <w:t xml:space="preserve">, as </w:t>
      </w:r>
      <w:r w:rsidR="000F04E1">
        <w:rPr>
          <w:rFonts w:cstheme="minorHAnsi"/>
          <w:szCs w:val="24"/>
        </w:rPr>
        <w:t>follows:</w:t>
      </w:r>
    </w:p>
    <w:p w14:paraId="69711470" w14:textId="15BA58C6" w:rsidR="000F04E1" w:rsidRDefault="000F04E1" w:rsidP="000F04E1">
      <w:pPr>
        <w:pStyle w:val="ListParagraph"/>
        <w:numPr>
          <w:ilvl w:val="1"/>
          <w:numId w:val="19"/>
        </w:numPr>
        <w:contextualSpacing w:val="0"/>
        <w:rPr>
          <w:rFonts w:cstheme="minorHAnsi"/>
          <w:szCs w:val="24"/>
        </w:rPr>
      </w:pPr>
      <w:r>
        <w:rPr>
          <w:rFonts w:cstheme="minorHAnsi"/>
          <w:szCs w:val="24"/>
        </w:rPr>
        <w:t>TDAG Working Group on WTDC Preparations (TDAG-WG-Prep), Chaired by Mr. Santiago Reyes</w:t>
      </w:r>
      <w:r w:rsidR="007A7F9D">
        <w:rPr>
          <w:rFonts w:cstheme="minorHAnsi"/>
          <w:szCs w:val="24"/>
        </w:rPr>
        <w:t>-</w:t>
      </w:r>
      <w:r>
        <w:rPr>
          <w:rFonts w:cstheme="minorHAnsi"/>
          <w:szCs w:val="24"/>
        </w:rPr>
        <w:t>Borda;</w:t>
      </w:r>
    </w:p>
    <w:p w14:paraId="42534BAF" w14:textId="30F45086" w:rsidR="000F04E1" w:rsidRDefault="000F04E1" w:rsidP="000F04E1">
      <w:pPr>
        <w:pStyle w:val="ListParagraph"/>
        <w:numPr>
          <w:ilvl w:val="1"/>
          <w:numId w:val="19"/>
        </w:numPr>
        <w:contextualSpacing w:val="0"/>
        <w:rPr>
          <w:rFonts w:cstheme="minorHAnsi"/>
          <w:szCs w:val="24"/>
        </w:rPr>
      </w:pPr>
      <w:r>
        <w:rPr>
          <w:rFonts w:cstheme="minorHAnsi"/>
          <w:szCs w:val="24"/>
        </w:rPr>
        <w:t xml:space="preserve">TDAG Working Group on WTDC Resolutions, Declaration and Thematic Priorities, Chaired by </w:t>
      </w:r>
      <w:proofErr w:type="spellStart"/>
      <w:r>
        <w:rPr>
          <w:rFonts w:cstheme="minorHAnsi"/>
          <w:szCs w:val="24"/>
        </w:rPr>
        <w:t>Dr.</w:t>
      </w:r>
      <w:proofErr w:type="spellEnd"/>
      <w:r>
        <w:rPr>
          <w:rFonts w:cstheme="minorHAnsi"/>
          <w:szCs w:val="24"/>
        </w:rPr>
        <w:t xml:space="preserve"> Ahmad Sharafat.</w:t>
      </w:r>
    </w:p>
    <w:p w14:paraId="488D286F" w14:textId="5D12E005" w:rsidR="00D223D9" w:rsidRPr="000F04E1" w:rsidRDefault="000164B5" w:rsidP="000F04E1">
      <w:pPr>
        <w:pStyle w:val="ListParagraph"/>
        <w:numPr>
          <w:ilvl w:val="0"/>
          <w:numId w:val="19"/>
        </w:numPr>
        <w:ind w:left="1134"/>
        <w:contextualSpacing w:val="0"/>
        <w:rPr>
          <w:rFonts w:cstheme="minorHAnsi"/>
          <w:szCs w:val="24"/>
        </w:rPr>
      </w:pPr>
      <w:r>
        <w:rPr>
          <w:rFonts w:cstheme="minorHAnsi"/>
          <w:szCs w:val="24"/>
        </w:rPr>
        <w:t>Agreed on</w:t>
      </w:r>
      <w:r w:rsidR="000F04E1">
        <w:rPr>
          <w:rFonts w:cstheme="minorHAnsi"/>
          <w:szCs w:val="24"/>
        </w:rPr>
        <w:t xml:space="preserve"> Terms of Reference for the working groups as </w:t>
      </w:r>
      <w:r w:rsidR="00296D10" w:rsidRPr="000F04E1">
        <w:rPr>
          <w:rFonts w:cstheme="minorHAnsi"/>
          <w:szCs w:val="24"/>
        </w:rPr>
        <w:t xml:space="preserve">set out </w:t>
      </w:r>
      <w:r w:rsidR="000F04E1" w:rsidRPr="000F04E1">
        <w:rPr>
          <w:rFonts w:cstheme="minorHAnsi"/>
          <w:szCs w:val="24"/>
        </w:rPr>
        <w:t xml:space="preserve">in </w:t>
      </w:r>
      <w:r w:rsidR="00D026D8">
        <w:rPr>
          <w:rFonts w:cstheme="minorHAnsi"/>
          <w:szCs w:val="24"/>
        </w:rPr>
        <w:t xml:space="preserve">document </w:t>
      </w:r>
      <w:hyperlink r:id="rId16" w:history="1">
        <w:r w:rsidR="00D026D8" w:rsidRPr="00D026D8">
          <w:rPr>
            <w:rStyle w:val="Hyperlink"/>
            <w:rFonts w:cstheme="minorHAnsi"/>
            <w:szCs w:val="24"/>
          </w:rPr>
          <w:t>TDAG-20/2/DT/3(Rev.1)</w:t>
        </w:r>
      </w:hyperlink>
      <w:bookmarkStart w:id="1" w:name="_GoBack"/>
      <w:bookmarkEnd w:id="1"/>
      <w:r w:rsidR="000F04E1" w:rsidRPr="000F04E1">
        <w:rPr>
          <w:rFonts w:cstheme="minorHAnsi"/>
          <w:szCs w:val="24"/>
        </w:rPr>
        <w:t>;</w:t>
      </w:r>
    </w:p>
    <w:p w14:paraId="7436FB60" w14:textId="7C3F6EA1" w:rsidR="000F04E1" w:rsidRDefault="000F04E1" w:rsidP="007D5761">
      <w:pPr>
        <w:pStyle w:val="ListParagraph"/>
        <w:numPr>
          <w:ilvl w:val="0"/>
          <w:numId w:val="19"/>
        </w:numPr>
        <w:ind w:left="1134"/>
        <w:contextualSpacing w:val="0"/>
        <w:rPr>
          <w:rFonts w:cstheme="minorHAnsi"/>
          <w:szCs w:val="24"/>
        </w:rPr>
      </w:pPr>
      <w:r>
        <w:rPr>
          <w:rFonts w:cstheme="minorHAnsi"/>
          <w:szCs w:val="24"/>
        </w:rPr>
        <w:lastRenderedPageBreak/>
        <w:t>Decided to convene a further extraordinary virtual meeting of TDAG in late 2020 to consider and decide on the recommendations of the Working Groups.</w:t>
      </w:r>
    </w:p>
    <w:p w14:paraId="6ED71B5E" w14:textId="304653C7" w:rsidR="001F6259" w:rsidRPr="00F02830" w:rsidRDefault="003C58BF" w:rsidP="00567053">
      <w:pPr>
        <w:tabs>
          <w:tab w:val="clear" w:pos="794"/>
          <w:tab w:val="clear" w:pos="1191"/>
          <w:tab w:val="clear" w:pos="1588"/>
          <w:tab w:val="clear" w:pos="1985"/>
        </w:tabs>
        <w:ind w:left="34" w:right="-142"/>
        <w:jc w:val="center"/>
        <w:rPr>
          <w:rFonts w:cstheme="minorHAnsi"/>
          <w:szCs w:val="24"/>
        </w:rPr>
      </w:pPr>
      <w:r w:rsidRPr="00F02830">
        <w:rPr>
          <w:rFonts w:cstheme="minorHAnsi"/>
          <w:szCs w:val="24"/>
        </w:rPr>
        <w:t>_____________</w:t>
      </w:r>
      <w:r w:rsidR="004122C5" w:rsidRPr="00F02830">
        <w:rPr>
          <w:rFonts w:cstheme="minorHAnsi"/>
          <w:szCs w:val="24"/>
        </w:rPr>
        <w:t>_</w:t>
      </w:r>
      <w:r w:rsidR="00922EC1" w:rsidRPr="00F02830">
        <w:rPr>
          <w:rFonts w:cstheme="minorHAnsi"/>
          <w:szCs w:val="24"/>
        </w:rPr>
        <w:t>_</w:t>
      </w:r>
    </w:p>
    <w:sectPr w:rsidR="001F6259" w:rsidRPr="00F02830" w:rsidSect="00567053">
      <w:headerReference w:type="default" r:id="rId17"/>
      <w:footerReference w:type="first" r:id="rId18"/>
      <w:pgSz w:w="11907" w:h="16834"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CF827" w14:textId="77777777" w:rsidR="0038551D" w:rsidRDefault="0038551D">
      <w:r>
        <w:separator/>
      </w:r>
    </w:p>
  </w:endnote>
  <w:endnote w:type="continuationSeparator" w:id="0">
    <w:p w14:paraId="00DD0967" w14:textId="77777777" w:rsidR="0038551D" w:rsidRDefault="0038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0" w:type="dxa"/>
      <w:tblLayout w:type="fixed"/>
      <w:tblLook w:val="04A0" w:firstRow="1" w:lastRow="0" w:firstColumn="1" w:lastColumn="0" w:noHBand="0" w:noVBand="1"/>
    </w:tblPr>
    <w:tblGrid>
      <w:gridCol w:w="1527"/>
      <w:gridCol w:w="2412"/>
      <w:gridCol w:w="5991"/>
    </w:tblGrid>
    <w:tr w:rsidR="00594326" w14:paraId="420CD699" w14:textId="77777777" w:rsidTr="00481C8F">
      <w:tc>
        <w:tcPr>
          <w:tcW w:w="1527" w:type="dxa"/>
          <w:tcBorders>
            <w:top w:val="single" w:sz="4" w:space="0" w:color="000000"/>
            <w:left w:val="nil"/>
            <w:bottom w:val="nil"/>
            <w:right w:val="nil"/>
          </w:tcBorders>
          <w:hideMark/>
        </w:tcPr>
        <w:p w14:paraId="76DEEFCF" w14:textId="77777777" w:rsidR="00594326" w:rsidRDefault="00594326" w:rsidP="00594326">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61A2D853" w14:textId="77777777" w:rsidR="00594326" w:rsidRDefault="00594326" w:rsidP="00594326">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3F51D95F" w14:textId="77777777" w:rsidR="00594326" w:rsidRDefault="00594326" w:rsidP="00594326">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lang w:val="en-GB"/>
            </w:rPr>
            <w:t>Telecommunication Development Bureau</w:t>
          </w:r>
        </w:p>
      </w:tc>
      <w:bookmarkStart w:id="2" w:name="OrgName"/>
      <w:bookmarkEnd w:id="2"/>
    </w:tr>
    <w:tr w:rsidR="00594326" w14:paraId="1BC8AB6E" w14:textId="77777777" w:rsidTr="00481C8F">
      <w:tc>
        <w:tcPr>
          <w:tcW w:w="1527" w:type="dxa"/>
        </w:tcPr>
        <w:p w14:paraId="01917132" w14:textId="77777777" w:rsidR="00594326" w:rsidRDefault="00594326" w:rsidP="00594326">
          <w:pPr>
            <w:pStyle w:val="FirstFooter"/>
            <w:tabs>
              <w:tab w:val="left" w:pos="1559"/>
              <w:tab w:val="left" w:pos="3828"/>
            </w:tabs>
            <w:rPr>
              <w:sz w:val="20"/>
              <w:lang w:val="en-US"/>
            </w:rPr>
          </w:pPr>
        </w:p>
      </w:tc>
      <w:tc>
        <w:tcPr>
          <w:tcW w:w="2412" w:type="dxa"/>
          <w:hideMark/>
        </w:tcPr>
        <w:p w14:paraId="43B034D3" w14:textId="77777777" w:rsidR="00594326" w:rsidRDefault="00594326" w:rsidP="00594326">
          <w:pPr>
            <w:pStyle w:val="FirstFooter"/>
            <w:tabs>
              <w:tab w:val="left" w:pos="2302"/>
            </w:tabs>
            <w:rPr>
              <w:sz w:val="18"/>
              <w:szCs w:val="18"/>
              <w:lang w:val="en-US"/>
            </w:rPr>
          </w:pPr>
          <w:r>
            <w:rPr>
              <w:sz w:val="18"/>
              <w:szCs w:val="18"/>
              <w:lang w:val="en-US"/>
            </w:rPr>
            <w:t>Phone number:</w:t>
          </w:r>
        </w:p>
      </w:tc>
      <w:tc>
        <w:tcPr>
          <w:tcW w:w="5991" w:type="dxa"/>
        </w:tcPr>
        <w:p w14:paraId="59E75C31" w14:textId="77777777" w:rsidR="00594326" w:rsidRDefault="00594326" w:rsidP="00594326">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3" w:name="PhoneNo"/>
      <w:bookmarkEnd w:id="3"/>
    </w:tr>
    <w:tr w:rsidR="00594326" w14:paraId="30A7A95B" w14:textId="77777777" w:rsidTr="00481C8F">
      <w:tc>
        <w:tcPr>
          <w:tcW w:w="1527" w:type="dxa"/>
        </w:tcPr>
        <w:p w14:paraId="7C655673" w14:textId="77777777" w:rsidR="00594326" w:rsidRDefault="00594326" w:rsidP="00594326">
          <w:pPr>
            <w:pStyle w:val="FirstFooter"/>
            <w:tabs>
              <w:tab w:val="left" w:pos="1559"/>
              <w:tab w:val="left" w:pos="3828"/>
            </w:tabs>
            <w:rPr>
              <w:sz w:val="20"/>
              <w:lang w:val="en-US"/>
            </w:rPr>
          </w:pPr>
        </w:p>
      </w:tc>
      <w:tc>
        <w:tcPr>
          <w:tcW w:w="2412" w:type="dxa"/>
          <w:hideMark/>
        </w:tcPr>
        <w:p w14:paraId="56B28285" w14:textId="77777777" w:rsidR="00594326" w:rsidRDefault="00594326" w:rsidP="00594326">
          <w:pPr>
            <w:pStyle w:val="FirstFooter"/>
            <w:tabs>
              <w:tab w:val="left" w:pos="2302"/>
            </w:tabs>
            <w:rPr>
              <w:sz w:val="18"/>
              <w:szCs w:val="18"/>
              <w:lang w:val="en-US"/>
            </w:rPr>
          </w:pPr>
          <w:r>
            <w:rPr>
              <w:sz w:val="18"/>
              <w:szCs w:val="18"/>
              <w:lang w:val="en-US"/>
            </w:rPr>
            <w:t>E-mail:</w:t>
          </w:r>
        </w:p>
      </w:tc>
      <w:tc>
        <w:tcPr>
          <w:tcW w:w="5991" w:type="dxa"/>
        </w:tcPr>
        <w:p w14:paraId="19461531" w14:textId="77777777" w:rsidR="00594326" w:rsidRDefault="00D026D8" w:rsidP="00594326">
          <w:pPr>
            <w:pStyle w:val="FirstFooter"/>
            <w:tabs>
              <w:tab w:val="left" w:pos="2302"/>
            </w:tabs>
            <w:rPr>
              <w:sz w:val="18"/>
              <w:szCs w:val="18"/>
              <w:lang w:val="en-US"/>
            </w:rPr>
          </w:pPr>
          <w:hyperlink r:id="rId1" w:history="1">
            <w:r w:rsidR="00594326" w:rsidRPr="00D934D7">
              <w:rPr>
                <w:rStyle w:val="Hyperlink"/>
                <w:sz w:val="18"/>
                <w:szCs w:val="22"/>
              </w:rPr>
              <w:t>stephen.bereaux@itu.int</w:t>
            </w:r>
          </w:hyperlink>
          <w:r w:rsidR="00594326" w:rsidRPr="00D934D7">
            <w:rPr>
              <w:sz w:val="18"/>
              <w:szCs w:val="22"/>
            </w:rPr>
            <w:t xml:space="preserve"> </w:t>
          </w:r>
        </w:p>
      </w:tc>
      <w:bookmarkStart w:id="4" w:name="Email"/>
      <w:bookmarkEnd w:id="4"/>
    </w:tr>
  </w:tbl>
  <w:p w14:paraId="1D91A11F" w14:textId="22CB4542" w:rsidR="00594326" w:rsidRPr="00594326" w:rsidRDefault="00594326" w:rsidP="00594326">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Pr="00BE53BF">
        <w:rPr>
          <w:rStyle w:val="Hyperlink"/>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A5B49" w14:textId="77777777" w:rsidR="0038551D" w:rsidRDefault="0038551D">
      <w:r>
        <w:t>____________________</w:t>
      </w:r>
    </w:p>
  </w:footnote>
  <w:footnote w:type="continuationSeparator" w:id="0">
    <w:p w14:paraId="7AA4D6F3" w14:textId="77777777" w:rsidR="0038551D" w:rsidRDefault="0038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2B1B" w14:textId="254ED49A" w:rsidR="00721657" w:rsidRPr="00594326" w:rsidRDefault="00594326" w:rsidP="00594326">
    <w:pPr>
      <w:pStyle w:val="Header"/>
      <w:rPr>
        <w:rStyle w:val="PageNumber"/>
        <w:lang w:val="en-US"/>
      </w:rPr>
    </w:pPr>
    <w:r>
      <w:rPr>
        <w:rStyle w:val="PageNumber"/>
        <w:lang w:val="en-US"/>
      </w:rPr>
      <w:t>TDAG-WG-Prep/2-E</w:t>
    </w:r>
    <w:r>
      <w:rPr>
        <w:rStyle w:val="PageNumber"/>
        <w:lang w:val="en-US"/>
      </w:rPr>
      <w:b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sidR="00D026D8">
      <w:rPr>
        <w:rStyle w:val="PageNumber"/>
        <w:noProof/>
        <w:lang w:val="en-US"/>
      </w:rPr>
      <w:t>4</w:t>
    </w:r>
    <w:r w:rsidRPr="00643042">
      <w:rPr>
        <w:rStyle w:val="PageNumber"/>
        <w:noProof/>
        <w:lang w:val="en-US"/>
      </w:rPr>
      <w:fldChar w:fldCharType="end"/>
    </w:r>
    <w:r>
      <w:rPr>
        <w:rStyle w:val="PageNumbe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2E1"/>
    <w:multiLevelType w:val="multilevel"/>
    <w:tmpl w:val="F72E5A3C"/>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Wingdings" w:hAnsi="Wingding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 w15:restartNumberingAfterBreak="0">
    <w:nsid w:val="07B13911"/>
    <w:multiLevelType w:val="hybridMultilevel"/>
    <w:tmpl w:val="0C5202CE"/>
    <w:lvl w:ilvl="0" w:tplc="D8AA70E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ED6386"/>
    <w:multiLevelType w:val="hybridMultilevel"/>
    <w:tmpl w:val="CAE2FEF2"/>
    <w:lvl w:ilvl="0" w:tplc="D8AA70EE">
      <w:start w:val="1"/>
      <w:numFmt w:val="bullet"/>
      <w:lvlText w:val=""/>
      <w:lvlJc w:val="left"/>
      <w:pPr>
        <w:ind w:left="717" w:hanging="360"/>
      </w:pPr>
      <w:rPr>
        <w:rFonts w:ascii="Symbol" w:hAnsi="Symbol" w:hint="default"/>
      </w:rPr>
    </w:lvl>
    <w:lvl w:ilvl="1" w:tplc="20000003" w:tentative="1">
      <w:start w:val="1"/>
      <w:numFmt w:val="bullet"/>
      <w:lvlText w:val="o"/>
      <w:lvlJc w:val="left"/>
      <w:pPr>
        <w:ind w:left="1437" w:hanging="360"/>
      </w:pPr>
      <w:rPr>
        <w:rFonts w:ascii="Courier New" w:hAnsi="Courier New" w:cs="Courier New" w:hint="default"/>
      </w:rPr>
    </w:lvl>
    <w:lvl w:ilvl="2" w:tplc="20000005" w:tentative="1">
      <w:start w:val="1"/>
      <w:numFmt w:val="bullet"/>
      <w:lvlText w:val=""/>
      <w:lvlJc w:val="left"/>
      <w:pPr>
        <w:ind w:left="2157" w:hanging="360"/>
      </w:pPr>
      <w:rPr>
        <w:rFonts w:ascii="Wingdings" w:hAnsi="Wingdings" w:hint="default"/>
      </w:rPr>
    </w:lvl>
    <w:lvl w:ilvl="3" w:tplc="20000001" w:tentative="1">
      <w:start w:val="1"/>
      <w:numFmt w:val="bullet"/>
      <w:lvlText w:val=""/>
      <w:lvlJc w:val="left"/>
      <w:pPr>
        <w:ind w:left="2877" w:hanging="360"/>
      </w:pPr>
      <w:rPr>
        <w:rFonts w:ascii="Symbol" w:hAnsi="Symbol" w:hint="default"/>
      </w:rPr>
    </w:lvl>
    <w:lvl w:ilvl="4" w:tplc="20000003" w:tentative="1">
      <w:start w:val="1"/>
      <w:numFmt w:val="bullet"/>
      <w:lvlText w:val="o"/>
      <w:lvlJc w:val="left"/>
      <w:pPr>
        <w:ind w:left="3597" w:hanging="360"/>
      </w:pPr>
      <w:rPr>
        <w:rFonts w:ascii="Courier New" w:hAnsi="Courier New" w:cs="Courier New" w:hint="default"/>
      </w:rPr>
    </w:lvl>
    <w:lvl w:ilvl="5" w:tplc="20000005" w:tentative="1">
      <w:start w:val="1"/>
      <w:numFmt w:val="bullet"/>
      <w:lvlText w:val=""/>
      <w:lvlJc w:val="left"/>
      <w:pPr>
        <w:ind w:left="4317" w:hanging="360"/>
      </w:pPr>
      <w:rPr>
        <w:rFonts w:ascii="Wingdings" w:hAnsi="Wingdings" w:hint="default"/>
      </w:rPr>
    </w:lvl>
    <w:lvl w:ilvl="6" w:tplc="20000001" w:tentative="1">
      <w:start w:val="1"/>
      <w:numFmt w:val="bullet"/>
      <w:lvlText w:val=""/>
      <w:lvlJc w:val="left"/>
      <w:pPr>
        <w:ind w:left="5037" w:hanging="360"/>
      </w:pPr>
      <w:rPr>
        <w:rFonts w:ascii="Symbol" w:hAnsi="Symbol" w:hint="default"/>
      </w:rPr>
    </w:lvl>
    <w:lvl w:ilvl="7" w:tplc="20000003" w:tentative="1">
      <w:start w:val="1"/>
      <w:numFmt w:val="bullet"/>
      <w:lvlText w:val="o"/>
      <w:lvlJc w:val="left"/>
      <w:pPr>
        <w:ind w:left="5757" w:hanging="360"/>
      </w:pPr>
      <w:rPr>
        <w:rFonts w:ascii="Courier New" w:hAnsi="Courier New" w:cs="Courier New" w:hint="default"/>
      </w:rPr>
    </w:lvl>
    <w:lvl w:ilvl="8" w:tplc="20000005" w:tentative="1">
      <w:start w:val="1"/>
      <w:numFmt w:val="bullet"/>
      <w:lvlText w:val=""/>
      <w:lvlJc w:val="left"/>
      <w:pPr>
        <w:ind w:left="6477" w:hanging="360"/>
      </w:pPr>
      <w:rPr>
        <w:rFonts w:ascii="Wingdings" w:hAnsi="Wingdings" w:hint="default"/>
      </w:rPr>
    </w:lvl>
  </w:abstractNum>
  <w:abstractNum w:abstractNumId="3" w15:restartNumberingAfterBreak="0">
    <w:nsid w:val="110A5EAD"/>
    <w:multiLevelType w:val="hybridMultilevel"/>
    <w:tmpl w:val="C5C841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206F17"/>
    <w:multiLevelType w:val="hybridMultilevel"/>
    <w:tmpl w:val="09E02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3C0F6E"/>
    <w:multiLevelType w:val="hybridMultilevel"/>
    <w:tmpl w:val="33A48E28"/>
    <w:lvl w:ilvl="0" w:tplc="20000001">
      <w:start w:val="1"/>
      <w:numFmt w:val="bullet"/>
      <w:lvlText w:val=""/>
      <w:lvlJc w:val="left"/>
      <w:pPr>
        <w:ind w:left="754" w:hanging="360"/>
      </w:pPr>
      <w:rPr>
        <w:rFonts w:ascii="Symbol" w:hAnsi="Symbol" w:hint="default"/>
      </w:rPr>
    </w:lvl>
    <w:lvl w:ilvl="1" w:tplc="20000003" w:tentative="1">
      <w:start w:val="1"/>
      <w:numFmt w:val="bullet"/>
      <w:lvlText w:val="o"/>
      <w:lvlJc w:val="left"/>
      <w:pPr>
        <w:ind w:left="1474" w:hanging="360"/>
      </w:pPr>
      <w:rPr>
        <w:rFonts w:ascii="Courier New" w:hAnsi="Courier New" w:cs="Courier New" w:hint="default"/>
      </w:rPr>
    </w:lvl>
    <w:lvl w:ilvl="2" w:tplc="20000005" w:tentative="1">
      <w:start w:val="1"/>
      <w:numFmt w:val="bullet"/>
      <w:lvlText w:val=""/>
      <w:lvlJc w:val="left"/>
      <w:pPr>
        <w:ind w:left="2194" w:hanging="360"/>
      </w:pPr>
      <w:rPr>
        <w:rFonts w:ascii="Wingdings" w:hAnsi="Wingdings" w:hint="default"/>
      </w:rPr>
    </w:lvl>
    <w:lvl w:ilvl="3" w:tplc="20000001" w:tentative="1">
      <w:start w:val="1"/>
      <w:numFmt w:val="bullet"/>
      <w:lvlText w:val=""/>
      <w:lvlJc w:val="left"/>
      <w:pPr>
        <w:ind w:left="2914" w:hanging="360"/>
      </w:pPr>
      <w:rPr>
        <w:rFonts w:ascii="Symbol" w:hAnsi="Symbol" w:hint="default"/>
      </w:rPr>
    </w:lvl>
    <w:lvl w:ilvl="4" w:tplc="20000003" w:tentative="1">
      <w:start w:val="1"/>
      <w:numFmt w:val="bullet"/>
      <w:lvlText w:val="o"/>
      <w:lvlJc w:val="left"/>
      <w:pPr>
        <w:ind w:left="3634" w:hanging="360"/>
      </w:pPr>
      <w:rPr>
        <w:rFonts w:ascii="Courier New" w:hAnsi="Courier New" w:cs="Courier New" w:hint="default"/>
      </w:rPr>
    </w:lvl>
    <w:lvl w:ilvl="5" w:tplc="20000005" w:tentative="1">
      <w:start w:val="1"/>
      <w:numFmt w:val="bullet"/>
      <w:lvlText w:val=""/>
      <w:lvlJc w:val="left"/>
      <w:pPr>
        <w:ind w:left="4354" w:hanging="360"/>
      </w:pPr>
      <w:rPr>
        <w:rFonts w:ascii="Wingdings" w:hAnsi="Wingdings" w:hint="default"/>
      </w:rPr>
    </w:lvl>
    <w:lvl w:ilvl="6" w:tplc="20000001" w:tentative="1">
      <w:start w:val="1"/>
      <w:numFmt w:val="bullet"/>
      <w:lvlText w:val=""/>
      <w:lvlJc w:val="left"/>
      <w:pPr>
        <w:ind w:left="5074" w:hanging="360"/>
      </w:pPr>
      <w:rPr>
        <w:rFonts w:ascii="Symbol" w:hAnsi="Symbol" w:hint="default"/>
      </w:rPr>
    </w:lvl>
    <w:lvl w:ilvl="7" w:tplc="20000003" w:tentative="1">
      <w:start w:val="1"/>
      <w:numFmt w:val="bullet"/>
      <w:lvlText w:val="o"/>
      <w:lvlJc w:val="left"/>
      <w:pPr>
        <w:ind w:left="5794" w:hanging="360"/>
      </w:pPr>
      <w:rPr>
        <w:rFonts w:ascii="Courier New" w:hAnsi="Courier New" w:cs="Courier New" w:hint="default"/>
      </w:rPr>
    </w:lvl>
    <w:lvl w:ilvl="8" w:tplc="20000005" w:tentative="1">
      <w:start w:val="1"/>
      <w:numFmt w:val="bullet"/>
      <w:lvlText w:val=""/>
      <w:lvlJc w:val="left"/>
      <w:pPr>
        <w:ind w:left="6514" w:hanging="360"/>
      </w:pPr>
      <w:rPr>
        <w:rFonts w:ascii="Wingdings" w:hAnsi="Wingdings" w:hint="default"/>
      </w:rPr>
    </w:lvl>
  </w:abstractNum>
  <w:abstractNum w:abstractNumId="6"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7" w15:restartNumberingAfterBreak="0">
    <w:nsid w:val="27A81703"/>
    <w:multiLevelType w:val="hybridMultilevel"/>
    <w:tmpl w:val="02EA0F9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F20155"/>
    <w:multiLevelType w:val="hybridMultilevel"/>
    <w:tmpl w:val="752A58A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10" w15:restartNumberingAfterBreak="0">
    <w:nsid w:val="3DAB0EEA"/>
    <w:multiLevelType w:val="hybridMultilevel"/>
    <w:tmpl w:val="D53E3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21813"/>
    <w:multiLevelType w:val="hybridMultilevel"/>
    <w:tmpl w:val="8A7648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A00215"/>
    <w:multiLevelType w:val="hybridMultilevel"/>
    <w:tmpl w:val="058C14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4C8646B"/>
    <w:multiLevelType w:val="hybridMultilevel"/>
    <w:tmpl w:val="43FC9F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BA1306"/>
    <w:multiLevelType w:val="hybridMultilevel"/>
    <w:tmpl w:val="07B4C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72795116"/>
    <w:multiLevelType w:val="hybridMultilevel"/>
    <w:tmpl w:val="396C342C"/>
    <w:lvl w:ilvl="0" w:tplc="6936BB18">
      <w:start w:val="1"/>
      <w:numFmt w:val="decimal"/>
      <w:lvlText w:val="%1."/>
      <w:lvlJc w:val="left"/>
      <w:pPr>
        <w:ind w:left="1155" w:hanging="360"/>
      </w:pPr>
      <w:rPr>
        <w:rFonts w:hint="default"/>
      </w:rPr>
    </w:lvl>
    <w:lvl w:ilvl="1" w:tplc="20000019" w:tentative="1">
      <w:start w:val="1"/>
      <w:numFmt w:val="lowerLetter"/>
      <w:lvlText w:val="%2."/>
      <w:lvlJc w:val="left"/>
      <w:pPr>
        <w:ind w:left="1875" w:hanging="360"/>
      </w:pPr>
    </w:lvl>
    <w:lvl w:ilvl="2" w:tplc="2000001B" w:tentative="1">
      <w:start w:val="1"/>
      <w:numFmt w:val="lowerRoman"/>
      <w:lvlText w:val="%3."/>
      <w:lvlJc w:val="right"/>
      <w:pPr>
        <w:ind w:left="2595" w:hanging="180"/>
      </w:pPr>
    </w:lvl>
    <w:lvl w:ilvl="3" w:tplc="2000000F" w:tentative="1">
      <w:start w:val="1"/>
      <w:numFmt w:val="decimal"/>
      <w:lvlText w:val="%4."/>
      <w:lvlJc w:val="left"/>
      <w:pPr>
        <w:ind w:left="3315" w:hanging="360"/>
      </w:pPr>
    </w:lvl>
    <w:lvl w:ilvl="4" w:tplc="20000019" w:tentative="1">
      <w:start w:val="1"/>
      <w:numFmt w:val="lowerLetter"/>
      <w:lvlText w:val="%5."/>
      <w:lvlJc w:val="left"/>
      <w:pPr>
        <w:ind w:left="4035" w:hanging="360"/>
      </w:pPr>
    </w:lvl>
    <w:lvl w:ilvl="5" w:tplc="2000001B" w:tentative="1">
      <w:start w:val="1"/>
      <w:numFmt w:val="lowerRoman"/>
      <w:lvlText w:val="%6."/>
      <w:lvlJc w:val="right"/>
      <w:pPr>
        <w:ind w:left="4755" w:hanging="180"/>
      </w:pPr>
    </w:lvl>
    <w:lvl w:ilvl="6" w:tplc="2000000F" w:tentative="1">
      <w:start w:val="1"/>
      <w:numFmt w:val="decimal"/>
      <w:lvlText w:val="%7."/>
      <w:lvlJc w:val="left"/>
      <w:pPr>
        <w:ind w:left="5475" w:hanging="360"/>
      </w:pPr>
    </w:lvl>
    <w:lvl w:ilvl="7" w:tplc="20000019" w:tentative="1">
      <w:start w:val="1"/>
      <w:numFmt w:val="lowerLetter"/>
      <w:lvlText w:val="%8."/>
      <w:lvlJc w:val="left"/>
      <w:pPr>
        <w:ind w:left="6195" w:hanging="360"/>
      </w:pPr>
    </w:lvl>
    <w:lvl w:ilvl="8" w:tplc="2000001B" w:tentative="1">
      <w:start w:val="1"/>
      <w:numFmt w:val="lowerRoman"/>
      <w:lvlText w:val="%9."/>
      <w:lvlJc w:val="right"/>
      <w:pPr>
        <w:ind w:left="6915" w:hanging="180"/>
      </w:pPr>
    </w:lvl>
  </w:abstractNum>
  <w:abstractNum w:abstractNumId="17" w15:restartNumberingAfterBreak="0">
    <w:nsid w:val="78407DAA"/>
    <w:multiLevelType w:val="hybridMultilevel"/>
    <w:tmpl w:val="62A26DFC"/>
    <w:lvl w:ilvl="0" w:tplc="B092740C">
      <w:numFmt w:val="bullet"/>
      <w:lvlText w:val="•"/>
      <w:lvlJc w:val="left"/>
      <w:pPr>
        <w:ind w:left="394" w:hanging="360"/>
      </w:pPr>
      <w:rPr>
        <w:rFonts w:ascii="Calibri" w:eastAsia="Times New Roman" w:hAnsi="Calibri" w:cs="Calibri" w:hint="default"/>
      </w:rPr>
    </w:lvl>
    <w:lvl w:ilvl="1" w:tplc="20000003" w:tentative="1">
      <w:start w:val="1"/>
      <w:numFmt w:val="bullet"/>
      <w:lvlText w:val="o"/>
      <w:lvlJc w:val="left"/>
      <w:pPr>
        <w:ind w:left="1114" w:hanging="360"/>
      </w:pPr>
      <w:rPr>
        <w:rFonts w:ascii="Courier New" w:hAnsi="Courier New" w:cs="Courier New" w:hint="default"/>
      </w:rPr>
    </w:lvl>
    <w:lvl w:ilvl="2" w:tplc="20000005" w:tentative="1">
      <w:start w:val="1"/>
      <w:numFmt w:val="bullet"/>
      <w:lvlText w:val=""/>
      <w:lvlJc w:val="left"/>
      <w:pPr>
        <w:ind w:left="1834" w:hanging="360"/>
      </w:pPr>
      <w:rPr>
        <w:rFonts w:ascii="Wingdings" w:hAnsi="Wingdings" w:hint="default"/>
      </w:rPr>
    </w:lvl>
    <w:lvl w:ilvl="3" w:tplc="20000001" w:tentative="1">
      <w:start w:val="1"/>
      <w:numFmt w:val="bullet"/>
      <w:lvlText w:val=""/>
      <w:lvlJc w:val="left"/>
      <w:pPr>
        <w:ind w:left="2554" w:hanging="360"/>
      </w:pPr>
      <w:rPr>
        <w:rFonts w:ascii="Symbol" w:hAnsi="Symbol" w:hint="default"/>
      </w:rPr>
    </w:lvl>
    <w:lvl w:ilvl="4" w:tplc="20000003" w:tentative="1">
      <w:start w:val="1"/>
      <w:numFmt w:val="bullet"/>
      <w:lvlText w:val="o"/>
      <w:lvlJc w:val="left"/>
      <w:pPr>
        <w:ind w:left="3274" w:hanging="360"/>
      </w:pPr>
      <w:rPr>
        <w:rFonts w:ascii="Courier New" w:hAnsi="Courier New" w:cs="Courier New" w:hint="default"/>
      </w:rPr>
    </w:lvl>
    <w:lvl w:ilvl="5" w:tplc="20000005" w:tentative="1">
      <w:start w:val="1"/>
      <w:numFmt w:val="bullet"/>
      <w:lvlText w:val=""/>
      <w:lvlJc w:val="left"/>
      <w:pPr>
        <w:ind w:left="3994" w:hanging="360"/>
      </w:pPr>
      <w:rPr>
        <w:rFonts w:ascii="Wingdings" w:hAnsi="Wingdings" w:hint="default"/>
      </w:rPr>
    </w:lvl>
    <w:lvl w:ilvl="6" w:tplc="20000001" w:tentative="1">
      <w:start w:val="1"/>
      <w:numFmt w:val="bullet"/>
      <w:lvlText w:val=""/>
      <w:lvlJc w:val="left"/>
      <w:pPr>
        <w:ind w:left="4714" w:hanging="360"/>
      </w:pPr>
      <w:rPr>
        <w:rFonts w:ascii="Symbol" w:hAnsi="Symbol" w:hint="default"/>
      </w:rPr>
    </w:lvl>
    <w:lvl w:ilvl="7" w:tplc="20000003" w:tentative="1">
      <w:start w:val="1"/>
      <w:numFmt w:val="bullet"/>
      <w:lvlText w:val="o"/>
      <w:lvlJc w:val="left"/>
      <w:pPr>
        <w:ind w:left="5434" w:hanging="360"/>
      </w:pPr>
      <w:rPr>
        <w:rFonts w:ascii="Courier New" w:hAnsi="Courier New" w:cs="Courier New" w:hint="default"/>
      </w:rPr>
    </w:lvl>
    <w:lvl w:ilvl="8" w:tplc="20000005" w:tentative="1">
      <w:start w:val="1"/>
      <w:numFmt w:val="bullet"/>
      <w:lvlText w:val=""/>
      <w:lvlJc w:val="left"/>
      <w:pPr>
        <w:ind w:left="6154" w:hanging="360"/>
      </w:pPr>
      <w:rPr>
        <w:rFonts w:ascii="Wingdings" w:hAnsi="Wingdings" w:hint="default"/>
      </w:rPr>
    </w:lvl>
  </w:abstractNum>
  <w:abstractNum w:abstractNumId="18" w15:restartNumberingAfterBreak="0">
    <w:nsid w:val="78773D0F"/>
    <w:multiLevelType w:val="hybridMultilevel"/>
    <w:tmpl w:val="4302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7"/>
  </w:num>
  <w:num w:numId="4">
    <w:abstractNumId w:val="2"/>
  </w:num>
  <w:num w:numId="5">
    <w:abstractNumId w:val="1"/>
  </w:num>
  <w:num w:numId="6">
    <w:abstractNumId w:val="18"/>
  </w:num>
  <w:num w:numId="7">
    <w:abstractNumId w:val="10"/>
  </w:num>
  <w:num w:numId="8">
    <w:abstractNumId w:val="3"/>
  </w:num>
  <w:num w:numId="9">
    <w:abstractNumId w:val="9"/>
  </w:num>
  <w:num w:numId="10">
    <w:abstractNumId w:val="8"/>
  </w:num>
  <w:num w:numId="11">
    <w:abstractNumId w:val="11"/>
  </w:num>
  <w:num w:numId="12">
    <w:abstractNumId w:val="4"/>
  </w:num>
  <w:num w:numId="13">
    <w:abstractNumId w:val="14"/>
  </w:num>
  <w:num w:numId="14">
    <w:abstractNumId w:val="16"/>
  </w:num>
  <w:num w:numId="15">
    <w:abstractNumId w:val="12"/>
  </w:num>
  <w:num w:numId="16">
    <w:abstractNumId w:val="7"/>
  </w:num>
  <w:num w:numId="17">
    <w:abstractNumId w:val="0"/>
  </w:num>
  <w:num w:numId="18">
    <w:abstractNumId w:val="6"/>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99"/>
    <w:rsid w:val="00001396"/>
    <w:rsid w:val="00002716"/>
    <w:rsid w:val="00002A5C"/>
    <w:rsid w:val="00005791"/>
    <w:rsid w:val="00010827"/>
    <w:rsid w:val="00015089"/>
    <w:rsid w:val="000164B5"/>
    <w:rsid w:val="0002065A"/>
    <w:rsid w:val="00024164"/>
    <w:rsid w:val="0002520B"/>
    <w:rsid w:val="00032C33"/>
    <w:rsid w:val="00037A9E"/>
    <w:rsid w:val="00037F91"/>
    <w:rsid w:val="00044D2C"/>
    <w:rsid w:val="00050D32"/>
    <w:rsid w:val="000536CB"/>
    <w:rsid w:val="000539F1"/>
    <w:rsid w:val="00054747"/>
    <w:rsid w:val="0005521D"/>
    <w:rsid w:val="00055A2A"/>
    <w:rsid w:val="00056744"/>
    <w:rsid w:val="0006061C"/>
    <w:rsid w:val="000615C1"/>
    <w:rsid w:val="00061675"/>
    <w:rsid w:val="00065F73"/>
    <w:rsid w:val="00073308"/>
    <w:rsid w:val="000743AA"/>
    <w:rsid w:val="00091C11"/>
    <w:rsid w:val="0009225C"/>
    <w:rsid w:val="00096577"/>
    <w:rsid w:val="000A17C4"/>
    <w:rsid w:val="000A36A4"/>
    <w:rsid w:val="000B2352"/>
    <w:rsid w:val="000B5D7C"/>
    <w:rsid w:val="000C7039"/>
    <w:rsid w:val="000C7B84"/>
    <w:rsid w:val="000D114D"/>
    <w:rsid w:val="000D261B"/>
    <w:rsid w:val="000D4A5E"/>
    <w:rsid w:val="000D58A3"/>
    <w:rsid w:val="000E3ED4"/>
    <w:rsid w:val="000E3F9C"/>
    <w:rsid w:val="000F04E1"/>
    <w:rsid w:val="000F1550"/>
    <w:rsid w:val="000F251B"/>
    <w:rsid w:val="000F5FE8"/>
    <w:rsid w:val="000F635A"/>
    <w:rsid w:val="000F6644"/>
    <w:rsid w:val="00100833"/>
    <w:rsid w:val="00102F72"/>
    <w:rsid w:val="00103963"/>
    <w:rsid w:val="00107E85"/>
    <w:rsid w:val="00111B88"/>
    <w:rsid w:val="00113EE8"/>
    <w:rsid w:val="0011455A"/>
    <w:rsid w:val="00114A65"/>
    <w:rsid w:val="00133061"/>
    <w:rsid w:val="00141699"/>
    <w:rsid w:val="00145A8C"/>
    <w:rsid w:val="00147000"/>
    <w:rsid w:val="0015036F"/>
    <w:rsid w:val="00163091"/>
    <w:rsid w:val="001645CB"/>
    <w:rsid w:val="001647C3"/>
    <w:rsid w:val="00166305"/>
    <w:rsid w:val="00167545"/>
    <w:rsid w:val="001703C6"/>
    <w:rsid w:val="00173781"/>
    <w:rsid w:val="0017470C"/>
    <w:rsid w:val="00175ADF"/>
    <w:rsid w:val="00175CAE"/>
    <w:rsid w:val="001828DB"/>
    <w:rsid w:val="001850FE"/>
    <w:rsid w:val="00185135"/>
    <w:rsid w:val="0019037C"/>
    <w:rsid w:val="001905A9"/>
    <w:rsid w:val="00191273"/>
    <w:rsid w:val="001942A7"/>
    <w:rsid w:val="0019587B"/>
    <w:rsid w:val="001A163D"/>
    <w:rsid w:val="001A441E"/>
    <w:rsid w:val="001A6733"/>
    <w:rsid w:val="001B2305"/>
    <w:rsid w:val="001B357F"/>
    <w:rsid w:val="001B408C"/>
    <w:rsid w:val="001C3444"/>
    <w:rsid w:val="001C3702"/>
    <w:rsid w:val="001C4656"/>
    <w:rsid w:val="001C46BC"/>
    <w:rsid w:val="001D0794"/>
    <w:rsid w:val="001D552A"/>
    <w:rsid w:val="001F23E6"/>
    <w:rsid w:val="001F3003"/>
    <w:rsid w:val="001F4238"/>
    <w:rsid w:val="001F6259"/>
    <w:rsid w:val="00200A38"/>
    <w:rsid w:val="00200A46"/>
    <w:rsid w:val="00211B6F"/>
    <w:rsid w:val="00217CC3"/>
    <w:rsid w:val="00220AB6"/>
    <w:rsid w:val="0022120F"/>
    <w:rsid w:val="0022754A"/>
    <w:rsid w:val="00231D64"/>
    <w:rsid w:val="00233087"/>
    <w:rsid w:val="002333CA"/>
    <w:rsid w:val="00236560"/>
    <w:rsid w:val="0023662E"/>
    <w:rsid w:val="00245D0F"/>
    <w:rsid w:val="002548C3"/>
    <w:rsid w:val="002554CE"/>
    <w:rsid w:val="00255A4F"/>
    <w:rsid w:val="002566A4"/>
    <w:rsid w:val="002578AC"/>
    <w:rsid w:val="00257ACD"/>
    <w:rsid w:val="00262908"/>
    <w:rsid w:val="002650F4"/>
    <w:rsid w:val="00265387"/>
    <w:rsid w:val="002715FD"/>
    <w:rsid w:val="002770B1"/>
    <w:rsid w:val="00281EC8"/>
    <w:rsid w:val="00284CDC"/>
    <w:rsid w:val="00285B33"/>
    <w:rsid w:val="00287A3C"/>
    <w:rsid w:val="00293C89"/>
    <w:rsid w:val="00295D31"/>
    <w:rsid w:val="00296D10"/>
    <w:rsid w:val="002A2FC6"/>
    <w:rsid w:val="002A7DEE"/>
    <w:rsid w:val="002B5E1E"/>
    <w:rsid w:val="002C1EC7"/>
    <w:rsid w:val="002C2841"/>
    <w:rsid w:val="002C4342"/>
    <w:rsid w:val="002C7EA3"/>
    <w:rsid w:val="002D0A80"/>
    <w:rsid w:val="002D0C64"/>
    <w:rsid w:val="002D17F2"/>
    <w:rsid w:val="002D20AE"/>
    <w:rsid w:val="002D6C61"/>
    <w:rsid w:val="002E2104"/>
    <w:rsid w:val="002E2DAC"/>
    <w:rsid w:val="002E6963"/>
    <w:rsid w:val="002E6F8F"/>
    <w:rsid w:val="002F05D8"/>
    <w:rsid w:val="002F2DE0"/>
    <w:rsid w:val="002F5E25"/>
    <w:rsid w:val="00302776"/>
    <w:rsid w:val="0030353C"/>
    <w:rsid w:val="003111C0"/>
    <w:rsid w:val="00311EA8"/>
    <w:rsid w:val="003125C3"/>
    <w:rsid w:val="00312AE6"/>
    <w:rsid w:val="00317D1A"/>
    <w:rsid w:val="003211FF"/>
    <w:rsid w:val="00327247"/>
    <w:rsid w:val="00327A9D"/>
    <w:rsid w:val="0033130E"/>
    <w:rsid w:val="0033269C"/>
    <w:rsid w:val="003400B5"/>
    <w:rsid w:val="00352CFE"/>
    <w:rsid w:val="0035516C"/>
    <w:rsid w:val="00355A4C"/>
    <w:rsid w:val="00355CEA"/>
    <w:rsid w:val="003604FB"/>
    <w:rsid w:val="00360B73"/>
    <w:rsid w:val="00365732"/>
    <w:rsid w:val="003708C3"/>
    <w:rsid w:val="00380B71"/>
    <w:rsid w:val="0038365A"/>
    <w:rsid w:val="0038551D"/>
    <w:rsid w:val="00386A89"/>
    <w:rsid w:val="00392198"/>
    <w:rsid w:val="0039648E"/>
    <w:rsid w:val="003A5AFE"/>
    <w:rsid w:val="003A5D5F"/>
    <w:rsid w:val="003A7FFE"/>
    <w:rsid w:val="003B0A63"/>
    <w:rsid w:val="003B50E1"/>
    <w:rsid w:val="003C1746"/>
    <w:rsid w:val="003C2AA9"/>
    <w:rsid w:val="003C52B3"/>
    <w:rsid w:val="003C58BF"/>
    <w:rsid w:val="003D0769"/>
    <w:rsid w:val="003D451D"/>
    <w:rsid w:val="003E2BEC"/>
    <w:rsid w:val="003F2DD8"/>
    <w:rsid w:val="003F3F2D"/>
    <w:rsid w:val="003F50B2"/>
    <w:rsid w:val="00400CCF"/>
    <w:rsid w:val="00401BFF"/>
    <w:rsid w:val="00402C63"/>
    <w:rsid w:val="00404424"/>
    <w:rsid w:val="0041156B"/>
    <w:rsid w:val="004122C5"/>
    <w:rsid w:val="00413B78"/>
    <w:rsid w:val="00416DDE"/>
    <w:rsid w:val="004258F6"/>
    <w:rsid w:val="004326C7"/>
    <w:rsid w:val="0044411E"/>
    <w:rsid w:val="00446B55"/>
    <w:rsid w:val="004509BD"/>
    <w:rsid w:val="00453435"/>
    <w:rsid w:val="00460E7E"/>
    <w:rsid w:val="004650F8"/>
    <w:rsid w:val="00466398"/>
    <w:rsid w:val="0047306D"/>
    <w:rsid w:val="00473791"/>
    <w:rsid w:val="00476E48"/>
    <w:rsid w:val="00481DE9"/>
    <w:rsid w:val="00481FEC"/>
    <w:rsid w:val="0049128B"/>
    <w:rsid w:val="004933BE"/>
    <w:rsid w:val="004936A8"/>
    <w:rsid w:val="00493B49"/>
    <w:rsid w:val="00495501"/>
    <w:rsid w:val="004A070A"/>
    <w:rsid w:val="004A0B42"/>
    <w:rsid w:val="004A298F"/>
    <w:rsid w:val="004A320E"/>
    <w:rsid w:val="004A4E9C"/>
    <w:rsid w:val="004B1A3C"/>
    <w:rsid w:val="004D2CC3"/>
    <w:rsid w:val="004D35CB"/>
    <w:rsid w:val="004E0498"/>
    <w:rsid w:val="004E20E5"/>
    <w:rsid w:val="004E4A0E"/>
    <w:rsid w:val="004E64EA"/>
    <w:rsid w:val="004E7828"/>
    <w:rsid w:val="004F3FE3"/>
    <w:rsid w:val="004F46AA"/>
    <w:rsid w:val="004F6A70"/>
    <w:rsid w:val="00500AD7"/>
    <w:rsid w:val="00502ABF"/>
    <w:rsid w:val="00504DB0"/>
    <w:rsid w:val="0050542F"/>
    <w:rsid w:val="00507C35"/>
    <w:rsid w:val="00510735"/>
    <w:rsid w:val="00511E85"/>
    <w:rsid w:val="00514D2F"/>
    <w:rsid w:val="005161CB"/>
    <w:rsid w:val="005255DD"/>
    <w:rsid w:val="00525E5E"/>
    <w:rsid w:val="00532B5F"/>
    <w:rsid w:val="00541A86"/>
    <w:rsid w:val="0054420E"/>
    <w:rsid w:val="0054465F"/>
    <w:rsid w:val="00544D1B"/>
    <w:rsid w:val="00545DC0"/>
    <w:rsid w:val="00545F6C"/>
    <w:rsid w:val="005477D9"/>
    <w:rsid w:val="0055720C"/>
    <w:rsid w:val="00557BCC"/>
    <w:rsid w:val="00561F7E"/>
    <w:rsid w:val="005632DD"/>
    <w:rsid w:val="0056423B"/>
    <w:rsid w:val="00567053"/>
    <w:rsid w:val="00570AE8"/>
    <w:rsid w:val="00573424"/>
    <w:rsid w:val="0057402F"/>
    <w:rsid w:val="005801BF"/>
    <w:rsid w:val="005849D6"/>
    <w:rsid w:val="00585367"/>
    <w:rsid w:val="005871A1"/>
    <w:rsid w:val="0058737E"/>
    <w:rsid w:val="00592518"/>
    <w:rsid w:val="00592E87"/>
    <w:rsid w:val="00594326"/>
    <w:rsid w:val="00594C4D"/>
    <w:rsid w:val="005A33B0"/>
    <w:rsid w:val="005A454D"/>
    <w:rsid w:val="005B41FF"/>
    <w:rsid w:val="005B70D8"/>
    <w:rsid w:val="005B7E12"/>
    <w:rsid w:val="005C2DC2"/>
    <w:rsid w:val="005C304A"/>
    <w:rsid w:val="005C326F"/>
    <w:rsid w:val="005C3D69"/>
    <w:rsid w:val="005C7C98"/>
    <w:rsid w:val="005D11EA"/>
    <w:rsid w:val="005D49D9"/>
    <w:rsid w:val="005D55A4"/>
    <w:rsid w:val="005D57C8"/>
    <w:rsid w:val="005D7761"/>
    <w:rsid w:val="005E0278"/>
    <w:rsid w:val="005E090D"/>
    <w:rsid w:val="005E3CA0"/>
    <w:rsid w:val="005E44B1"/>
    <w:rsid w:val="005E636A"/>
    <w:rsid w:val="005E67B0"/>
    <w:rsid w:val="005E7047"/>
    <w:rsid w:val="005E777F"/>
    <w:rsid w:val="005F1CA7"/>
    <w:rsid w:val="005F43DD"/>
    <w:rsid w:val="005F4EDC"/>
    <w:rsid w:val="005F51A9"/>
    <w:rsid w:val="005F6BE1"/>
    <w:rsid w:val="005F7416"/>
    <w:rsid w:val="005F7506"/>
    <w:rsid w:val="00600C11"/>
    <w:rsid w:val="00606B89"/>
    <w:rsid w:val="00611EAF"/>
    <w:rsid w:val="00623F30"/>
    <w:rsid w:val="00625777"/>
    <w:rsid w:val="00625FB8"/>
    <w:rsid w:val="006261BD"/>
    <w:rsid w:val="006320B3"/>
    <w:rsid w:val="00635EDB"/>
    <w:rsid w:val="0064734E"/>
    <w:rsid w:val="00650137"/>
    <w:rsid w:val="006509D7"/>
    <w:rsid w:val="00651CE8"/>
    <w:rsid w:val="0065521B"/>
    <w:rsid w:val="00656673"/>
    <w:rsid w:val="00671EF6"/>
    <w:rsid w:val="0067205B"/>
    <w:rsid w:val="006748F8"/>
    <w:rsid w:val="00680489"/>
    <w:rsid w:val="00681873"/>
    <w:rsid w:val="00683C32"/>
    <w:rsid w:val="00690BB2"/>
    <w:rsid w:val="00693D09"/>
    <w:rsid w:val="00694037"/>
    <w:rsid w:val="006A6549"/>
    <w:rsid w:val="006A7710"/>
    <w:rsid w:val="006A7A61"/>
    <w:rsid w:val="006B1730"/>
    <w:rsid w:val="006B1E59"/>
    <w:rsid w:val="006B2FFB"/>
    <w:rsid w:val="006C10A2"/>
    <w:rsid w:val="006C1F18"/>
    <w:rsid w:val="006C338A"/>
    <w:rsid w:val="006D2F97"/>
    <w:rsid w:val="006D40D5"/>
    <w:rsid w:val="006E0273"/>
    <w:rsid w:val="006E0D36"/>
    <w:rsid w:val="006E7F8C"/>
    <w:rsid w:val="006F009A"/>
    <w:rsid w:val="006F27EC"/>
    <w:rsid w:val="006F3B4C"/>
    <w:rsid w:val="006F3D93"/>
    <w:rsid w:val="007019B1"/>
    <w:rsid w:val="00706075"/>
    <w:rsid w:val="00721657"/>
    <w:rsid w:val="00722E49"/>
    <w:rsid w:val="007279A8"/>
    <w:rsid w:val="00727B1A"/>
    <w:rsid w:val="00741337"/>
    <w:rsid w:val="00741C3A"/>
    <w:rsid w:val="00743F77"/>
    <w:rsid w:val="00752258"/>
    <w:rsid w:val="007529E1"/>
    <w:rsid w:val="007579C0"/>
    <w:rsid w:val="00762880"/>
    <w:rsid w:val="00762AD6"/>
    <w:rsid w:val="00762E02"/>
    <w:rsid w:val="00766E3D"/>
    <w:rsid w:val="00772290"/>
    <w:rsid w:val="00777265"/>
    <w:rsid w:val="007805E7"/>
    <w:rsid w:val="0078222A"/>
    <w:rsid w:val="00787D48"/>
    <w:rsid w:val="00792A82"/>
    <w:rsid w:val="00795294"/>
    <w:rsid w:val="007A4E50"/>
    <w:rsid w:val="007A5F1F"/>
    <w:rsid w:val="007A7F9D"/>
    <w:rsid w:val="007B18A7"/>
    <w:rsid w:val="007B250E"/>
    <w:rsid w:val="007B68EA"/>
    <w:rsid w:val="007C27FC"/>
    <w:rsid w:val="007C47F2"/>
    <w:rsid w:val="007C51FF"/>
    <w:rsid w:val="007D50E4"/>
    <w:rsid w:val="007D5761"/>
    <w:rsid w:val="007E2DC5"/>
    <w:rsid w:val="007F1CC7"/>
    <w:rsid w:val="008027AC"/>
    <w:rsid w:val="008028CE"/>
    <w:rsid w:val="0080332E"/>
    <w:rsid w:val="008141E0"/>
    <w:rsid w:val="00816EE1"/>
    <w:rsid w:val="00816F88"/>
    <w:rsid w:val="0082096C"/>
    <w:rsid w:val="00822323"/>
    <w:rsid w:val="00822F83"/>
    <w:rsid w:val="00827BC6"/>
    <w:rsid w:val="008300AD"/>
    <w:rsid w:val="00833024"/>
    <w:rsid w:val="008419B1"/>
    <w:rsid w:val="00844A56"/>
    <w:rsid w:val="008459D4"/>
    <w:rsid w:val="00845B11"/>
    <w:rsid w:val="0085165A"/>
    <w:rsid w:val="00852081"/>
    <w:rsid w:val="00852CFC"/>
    <w:rsid w:val="00856228"/>
    <w:rsid w:val="00872639"/>
    <w:rsid w:val="00872B6E"/>
    <w:rsid w:val="00874391"/>
    <w:rsid w:val="00874DFD"/>
    <w:rsid w:val="008756AF"/>
    <w:rsid w:val="008802F9"/>
    <w:rsid w:val="00883086"/>
    <w:rsid w:val="0088730A"/>
    <w:rsid w:val="008879FD"/>
    <w:rsid w:val="00894C37"/>
    <w:rsid w:val="008A00EA"/>
    <w:rsid w:val="008A3F93"/>
    <w:rsid w:val="008A6236"/>
    <w:rsid w:val="008A6E1C"/>
    <w:rsid w:val="008A72FD"/>
    <w:rsid w:val="008B1774"/>
    <w:rsid w:val="008B2EDF"/>
    <w:rsid w:val="008B3A63"/>
    <w:rsid w:val="008B53D1"/>
    <w:rsid w:val="008B5464"/>
    <w:rsid w:val="008B54CB"/>
    <w:rsid w:val="008B5A3D"/>
    <w:rsid w:val="008C4010"/>
    <w:rsid w:val="008C4FDF"/>
    <w:rsid w:val="008C6B1F"/>
    <w:rsid w:val="008D5E4F"/>
    <w:rsid w:val="008F14F5"/>
    <w:rsid w:val="008F48A7"/>
    <w:rsid w:val="008F71C1"/>
    <w:rsid w:val="00902D41"/>
    <w:rsid w:val="00902F49"/>
    <w:rsid w:val="00914004"/>
    <w:rsid w:val="00914279"/>
    <w:rsid w:val="00922EC1"/>
    <w:rsid w:val="00924566"/>
    <w:rsid w:val="009301F1"/>
    <w:rsid w:val="009307DF"/>
    <w:rsid w:val="009359B8"/>
    <w:rsid w:val="00935FF0"/>
    <w:rsid w:val="009431F8"/>
    <w:rsid w:val="00947A35"/>
    <w:rsid w:val="009521CD"/>
    <w:rsid w:val="0095499D"/>
    <w:rsid w:val="009553B6"/>
    <w:rsid w:val="0096201B"/>
    <w:rsid w:val="00962081"/>
    <w:rsid w:val="009641CA"/>
    <w:rsid w:val="00966CB5"/>
    <w:rsid w:val="00975786"/>
    <w:rsid w:val="00977AF0"/>
    <w:rsid w:val="00981CB7"/>
    <w:rsid w:val="00983E1F"/>
    <w:rsid w:val="00993F46"/>
    <w:rsid w:val="00997358"/>
    <w:rsid w:val="009A3772"/>
    <w:rsid w:val="009A452B"/>
    <w:rsid w:val="009B050C"/>
    <w:rsid w:val="009B087F"/>
    <w:rsid w:val="009B2AF4"/>
    <w:rsid w:val="009C110B"/>
    <w:rsid w:val="009C5441"/>
    <w:rsid w:val="009D119F"/>
    <w:rsid w:val="009D3C99"/>
    <w:rsid w:val="009D49A2"/>
    <w:rsid w:val="009D7F2C"/>
    <w:rsid w:val="009E7F8D"/>
    <w:rsid w:val="009F0432"/>
    <w:rsid w:val="009F0C9A"/>
    <w:rsid w:val="009F3940"/>
    <w:rsid w:val="009F3EB2"/>
    <w:rsid w:val="009F6BB0"/>
    <w:rsid w:val="009F6EB1"/>
    <w:rsid w:val="00A11D05"/>
    <w:rsid w:val="00A13162"/>
    <w:rsid w:val="00A15EA6"/>
    <w:rsid w:val="00A17126"/>
    <w:rsid w:val="00A20267"/>
    <w:rsid w:val="00A2347F"/>
    <w:rsid w:val="00A3158C"/>
    <w:rsid w:val="00A32DF3"/>
    <w:rsid w:val="00A332A9"/>
    <w:rsid w:val="00A337FF"/>
    <w:rsid w:val="00A33E32"/>
    <w:rsid w:val="00A35E20"/>
    <w:rsid w:val="00A36F6D"/>
    <w:rsid w:val="00A50CA0"/>
    <w:rsid w:val="00A525CC"/>
    <w:rsid w:val="00A52CC2"/>
    <w:rsid w:val="00A53E7C"/>
    <w:rsid w:val="00A60087"/>
    <w:rsid w:val="00A63683"/>
    <w:rsid w:val="00A63B06"/>
    <w:rsid w:val="00A705E8"/>
    <w:rsid w:val="00A70C24"/>
    <w:rsid w:val="00A721F4"/>
    <w:rsid w:val="00A725BB"/>
    <w:rsid w:val="00A73DCA"/>
    <w:rsid w:val="00A8624E"/>
    <w:rsid w:val="00A8762A"/>
    <w:rsid w:val="00A90CD4"/>
    <w:rsid w:val="00A9392C"/>
    <w:rsid w:val="00A9462B"/>
    <w:rsid w:val="00A97D59"/>
    <w:rsid w:val="00AA087E"/>
    <w:rsid w:val="00AA3E09"/>
    <w:rsid w:val="00AA4BEF"/>
    <w:rsid w:val="00AB110C"/>
    <w:rsid w:val="00AB1659"/>
    <w:rsid w:val="00AB2EF7"/>
    <w:rsid w:val="00AB4962"/>
    <w:rsid w:val="00AB50E5"/>
    <w:rsid w:val="00AB734E"/>
    <w:rsid w:val="00AB740F"/>
    <w:rsid w:val="00AB75A8"/>
    <w:rsid w:val="00AC140E"/>
    <w:rsid w:val="00AC6F14"/>
    <w:rsid w:val="00AC7221"/>
    <w:rsid w:val="00AC7B28"/>
    <w:rsid w:val="00AD5AD9"/>
    <w:rsid w:val="00AE5961"/>
    <w:rsid w:val="00AF0745"/>
    <w:rsid w:val="00AF4971"/>
    <w:rsid w:val="00AF5276"/>
    <w:rsid w:val="00AF7C86"/>
    <w:rsid w:val="00B01046"/>
    <w:rsid w:val="00B06E96"/>
    <w:rsid w:val="00B1209F"/>
    <w:rsid w:val="00B15F49"/>
    <w:rsid w:val="00B310F9"/>
    <w:rsid w:val="00B3217B"/>
    <w:rsid w:val="00B37866"/>
    <w:rsid w:val="00B40124"/>
    <w:rsid w:val="00B412FB"/>
    <w:rsid w:val="00B41EFD"/>
    <w:rsid w:val="00B4576B"/>
    <w:rsid w:val="00B46350"/>
    <w:rsid w:val="00B46658"/>
    <w:rsid w:val="00B46DF3"/>
    <w:rsid w:val="00B656E3"/>
    <w:rsid w:val="00B66E8F"/>
    <w:rsid w:val="00B71BD6"/>
    <w:rsid w:val="00B74046"/>
    <w:rsid w:val="00B80157"/>
    <w:rsid w:val="00B82549"/>
    <w:rsid w:val="00B83D5E"/>
    <w:rsid w:val="00B8460A"/>
    <w:rsid w:val="00B8650D"/>
    <w:rsid w:val="00B879B4"/>
    <w:rsid w:val="00B87CBC"/>
    <w:rsid w:val="00B90F07"/>
    <w:rsid w:val="00B9379C"/>
    <w:rsid w:val="00B96075"/>
    <w:rsid w:val="00B97BB9"/>
    <w:rsid w:val="00BA0009"/>
    <w:rsid w:val="00BB1863"/>
    <w:rsid w:val="00BB25EE"/>
    <w:rsid w:val="00BB363A"/>
    <w:rsid w:val="00BB6F2E"/>
    <w:rsid w:val="00BB6F91"/>
    <w:rsid w:val="00BC10A0"/>
    <w:rsid w:val="00BC7BA2"/>
    <w:rsid w:val="00BD426B"/>
    <w:rsid w:val="00BD79F0"/>
    <w:rsid w:val="00BE2B4D"/>
    <w:rsid w:val="00BE3CB7"/>
    <w:rsid w:val="00BF2904"/>
    <w:rsid w:val="00BF3814"/>
    <w:rsid w:val="00BF3DB6"/>
    <w:rsid w:val="00BF459F"/>
    <w:rsid w:val="00C015F8"/>
    <w:rsid w:val="00C0513F"/>
    <w:rsid w:val="00C07E26"/>
    <w:rsid w:val="00C1011C"/>
    <w:rsid w:val="00C12F94"/>
    <w:rsid w:val="00C14D60"/>
    <w:rsid w:val="00C177C5"/>
    <w:rsid w:val="00C27B9A"/>
    <w:rsid w:val="00C34EC3"/>
    <w:rsid w:val="00C40286"/>
    <w:rsid w:val="00C4038C"/>
    <w:rsid w:val="00C41670"/>
    <w:rsid w:val="00C42722"/>
    <w:rsid w:val="00C42BA2"/>
    <w:rsid w:val="00C436F2"/>
    <w:rsid w:val="00C43AB4"/>
    <w:rsid w:val="00C44066"/>
    <w:rsid w:val="00C44E13"/>
    <w:rsid w:val="00C45DA7"/>
    <w:rsid w:val="00C47975"/>
    <w:rsid w:val="00C60A41"/>
    <w:rsid w:val="00C62DE8"/>
    <w:rsid w:val="00C62DFB"/>
    <w:rsid w:val="00C630E6"/>
    <w:rsid w:val="00C63812"/>
    <w:rsid w:val="00C64AF3"/>
    <w:rsid w:val="00C66F4D"/>
    <w:rsid w:val="00C67BB5"/>
    <w:rsid w:val="00C703DA"/>
    <w:rsid w:val="00C72713"/>
    <w:rsid w:val="00C848EF"/>
    <w:rsid w:val="00C86600"/>
    <w:rsid w:val="00C87BCA"/>
    <w:rsid w:val="00C87EED"/>
    <w:rsid w:val="00C94506"/>
    <w:rsid w:val="00C954BC"/>
    <w:rsid w:val="00CA151B"/>
    <w:rsid w:val="00CA1DFB"/>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26D8"/>
    <w:rsid w:val="00D040F7"/>
    <w:rsid w:val="00D04A76"/>
    <w:rsid w:val="00D10FC7"/>
    <w:rsid w:val="00D1438F"/>
    <w:rsid w:val="00D1519F"/>
    <w:rsid w:val="00D154AC"/>
    <w:rsid w:val="00D16E54"/>
    <w:rsid w:val="00D20099"/>
    <w:rsid w:val="00D20E99"/>
    <w:rsid w:val="00D21C83"/>
    <w:rsid w:val="00D223D9"/>
    <w:rsid w:val="00D35BDD"/>
    <w:rsid w:val="00D43CFA"/>
    <w:rsid w:val="00D51CD4"/>
    <w:rsid w:val="00D51E28"/>
    <w:rsid w:val="00D56E1C"/>
    <w:rsid w:val="00D57DDE"/>
    <w:rsid w:val="00D63006"/>
    <w:rsid w:val="00D72301"/>
    <w:rsid w:val="00D911DE"/>
    <w:rsid w:val="00D91B97"/>
    <w:rsid w:val="00D93ACC"/>
    <w:rsid w:val="00D93C08"/>
    <w:rsid w:val="00D95DAC"/>
    <w:rsid w:val="00DA0B53"/>
    <w:rsid w:val="00DA4974"/>
    <w:rsid w:val="00DB1171"/>
    <w:rsid w:val="00DB12F2"/>
    <w:rsid w:val="00DB1519"/>
    <w:rsid w:val="00DB2840"/>
    <w:rsid w:val="00DC1BD3"/>
    <w:rsid w:val="00DC2C1A"/>
    <w:rsid w:val="00DC64A3"/>
    <w:rsid w:val="00DD2728"/>
    <w:rsid w:val="00DD5488"/>
    <w:rsid w:val="00DD6396"/>
    <w:rsid w:val="00DD66B4"/>
    <w:rsid w:val="00DE1972"/>
    <w:rsid w:val="00DE27AB"/>
    <w:rsid w:val="00DE2E8F"/>
    <w:rsid w:val="00DF2AB3"/>
    <w:rsid w:val="00DF7250"/>
    <w:rsid w:val="00E00CAA"/>
    <w:rsid w:val="00E03EBF"/>
    <w:rsid w:val="00E05209"/>
    <w:rsid w:val="00E07CAE"/>
    <w:rsid w:val="00E1023F"/>
    <w:rsid w:val="00E11BCF"/>
    <w:rsid w:val="00E13FA5"/>
    <w:rsid w:val="00E169CC"/>
    <w:rsid w:val="00E1767E"/>
    <w:rsid w:val="00E17C52"/>
    <w:rsid w:val="00E2258E"/>
    <w:rsid w:val="00E236BE"/>
    <w:rsid w:val="00E23DC6"/>
    <w:rsid w:val="00E24326"/>
    <w:rsid w:val="00E260C2"/>
    <w:rsid w:val="00E32596"/>
    <w:rsid w:val="00E368F7"/>
    <w:rsid w:val="00E36EB8"/>
    <w:rsid w:val="00E37FB8"/>
    <w:rsid w:val="00E40B07"/>
    <w:rsid w:val="00E42326"/>
    <w:rsid w:val="00E43544"/>
    <w:rsid w:val="00E44D89"/>
    <w:rsid w:val="00E477EA"/>
    <w:rsid w:val="00E54AF4"/>
    <w:rsid w:val="00E55807"/>
    <w:rsid w:val="00E63B14"/>
    <w:rsid w:val="00E65CA0"/>
    <w:rsid w:val="00E707E7"/>
    <w:rsid w:val="00E70D9F"/>
    <w:rsid w:val="00E76BD0"/>
    <w:rsid w:val="00E76DD9"/>
    <w:rsid w:val="00E82E73"/>
    <w:rsid w:val="00E83810"/>
    <w:rsid w:val="00E86933"/>
    <w:rsid w:val="00E9605B"/>
    <w:rsid w:val="00E97298"/>
    <w:rsid w:val="00E97753"/>
    <w:rsid w:val="00EA4D3B"/>
    <w:rsid w:val="00EA7DE7"/>
    <w:rsid w:val="00EB7A8A"/>
    <w:rsid w:val="00EB7E82"/>
    <w:rsid w:val="00EC454C"/>
    <w:rsid w:val="00EE3A64"/>
    <w:rsid w:val="00EE50E5"/>
    <w:rsid w:val="00EF01CF"/>
    <w:rsid w:val="00EF6CE5"/>
    <w:rsid w:val="00F02830"/>
    <w:rsid w:val="00F03590"/>
    <w:rsid w:val="00F03622"/>
    <w:rsid w:val="00F077FD"/>
    <w:rsid w:val="00F11BBE"/>
    <w:rsid w:val="00F124FF"/>
    <w:rsid w:val="00F1606A"/>
    <w:rsid w:val="00F204F3"/>
    <w:rsid w:val="00F218AB"/>
    <w:rsid w:val="00F238B3"/>
    <w:rsid w:val="00F23FAD"/>
    <w:rsid w:val="00F24FED"/>
    <w:rsid w:val="00F25586"/>
    <w:rsid w:val="00F2651D"/>
    <w:rsid w:val="00F27362"/>
    <w:rsid w:val="00F31498"/>
    <w:rsid w:val="00F31908"/>
    <w:rsid w:val="00F324BC"/>
    <w:rsid w:val="00F32FEF"/>
    <w:rsid w:val="00F41B1C"/>
    <w:rsid w:val="00F42E13"/>
    <w:rsid w:val="00F42F1C"/>
    <w:rsid w:val="00F43B44"/>
    <w:rsid w:val="00F440E5"/>
    <w:rsid w:val="00F448F6"/>
    <w:rsid w:val="00F52741"/>
    <w:rsid w:val="00F539D2"/>
    <w:rsid w:val="00F53D8A"/>
    <w:rsid w:val="00F54239"/>
    <w:rsid w:val="00F60DAC"/>
    <w:rsid w:val="00F626F7"/>
    <w:rsid w:val="00F736F9"/>
    <w:rsid w:val="00F73833"/>
    <w:rsid w:val="00F9211C"/>
    <w:rsid w:val="00F9290F"/>
    <w:rsid w:val="00FA095D"/>
    <w:rsid w:val="00FA6C8B"/>
    <w:rsid w:val="00FA6CDA"/>
    <w:rsid w:val="00FA7C89"/>
    <w:rsid w:val="00FB0CFA"/>
    <w:rsid w:val="00FB4139"/>
    <w:rsid w:val="00FB476E"/>
    <w:rsid w:val="00FC0D90"/>
    <w:rsid w:val="00FC428A"/>
    <w:rsid w:val="00FC4480"/>
    <w:rsid w:val="00FC7D8C"/>
    <w:rsid w:val="00FD3980"/>
    <w:rsid w:val="00FD431E"/>
    <w:rsid w:val="00FD5A2C"/>
    <w:rsid w:val="00FE0D47"/>
    <w:rsid w:val="00FE1D5C"/>
    <w:rsid w:val="00FE2F8B"/>
    <w:rsid w:val="00FE3669"/>
    <w:rsid w:val="00FE3E11"/>
    <w:rsid w:val="00FE5204"/>
    <w:rsid w:val="00FF287F"/>
    <w:rsid w:val="00FF4DC0"/>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5856BB"/>
  <w15:docId w15:val="{B99F619B-35DE-4B9F-8B84-828AF294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uiPriority w:val="99"/>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uiPriority w:val="99"/>
    <w:rsid w:val="00B37866"/>
  </w:style>
  <w:style w:type="paragraph" w:customStyle="1" w:styleId="Resref">
    <w:name w:val="Res_ref"/>
    <w:basedOn w:val="Recref"/>
    <w:next w:val="Resdate"/>
    <w:qFormat/>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656673"/>
    <w:rPr>
      <w:color w:val="605E5C"/>
      <w:shd w:val="clear" w:color="auto" w:fill="E1DFDD"/>
    </w:rPr>
  </w:style>
  <w:style w:type="character" w:customStyle="1" w:styleId="ResNoChar">
    <w:name w:val="Res_No Char"/>
    <w:link w:val="ResNo"/>
    <w:locked/>
    <w:rsid w:val="00EB7E82"/>
    <w:rPr>
      <w:rFonts w:asciiTheme="minorHAnsi" w:hAnsiTheme="minorHAnsi"/>
      <w:caps/>
      <w:sz w:val="28"/>
      <w:lang w:val="en-GB" w:eastAsia="en-US"/>
    </w:rPr>
  </w:style>
  <w:style w:type="character" w:customStyle="1" w:styleId="RestitleChar">
    <w:name w:val="Res_title Char"/>
    <w:link w:val="Restitle"/>
    <w:uiPriority w:val="99"/>
    <w:locked/>
    <w:rsid w:val="00EB7E82"/>
    <w:rPr>
      <w:rFonts w:asciiTheme="minorHAnsi" w:hAnsiTheme="minorHAnsi"/>
      <w:b/>
      <w:sz w:val="28"/>
      <w:lang w:val="en-GB" w:eastAsia="en-US"/>
    </w:rPr>
  </w:style>
  <w:style w:type="character" w:customStyle="1" w:styleId="href">
    <w:name w:val="href"/>
    <w:basedOn w:val="DefaultParagraphFont"/>
    <w:rsid w:val="00EB7E82"/>
  </w:style>
  <w:style w:type="character" w:customStyle="1" w:styleId="CallChar">
    <w:name w:val="Call Char"/>
    <w:link w:val="Call"/>
    <w:uiPriority w:val="99"/>
    <w:locked/>
    <w:rsid w:val="00B46658"/>
    <w:rPr>
      <w:rFonts w:asciiTheme="minorHAnsi" w:hAnsiTheme="minorHAnsi"/>
      <w:i/>
      <w:sz w:val="24"/>
      <w:lang w:val="en-GB" w:eastAsia="en-US"/>
    </w:rPr>
  </w:style>
  <w:style w:type="character" w:customStyle="1" w:styleId="tlid-translation">
    <w:name w:val="tlid-translation"/>
    <w:basedOn w:val="DefaultParagraphFont"/>
    <w:rsid w:val="00B46658"/>
  </w:style>
  <w:style w:type="paragraph" w:styleId="BalloonText">
    <w:name w:val="Balloon Text"/>
    <w:basedOn w:val="Normal"/>
    <w:link w:val="BalloonTextChar"/>
    <w:semiHidden/>
    <w:unhideWhenUsed/>
    <w:rsid w:val="00E76DD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6DD9"/>
    <w:rPr>
      <w:rFonts w:ascii="Segoe UI" w:hAnsi="Segoe UI" w:cs="Segoe UI"/>
      <w:sz w:val="18"/>
      <w:szCs w:val="18"/>
      <w:lang w:val="en-GB" w:eastAsia="en-US"/>
    </w:rPr>
  </w:style>
  <w:style w:type="character" w:styleId="FollowedHyperlink">
    <w:name w:val="FollowedHyperlink"/>
    <w:basedOn w:val="DefaultParagraphFont"/>
    <w:semiHidden/>
    <w:unhideWhenUsed/>
    <w:rsid w:val="00A52CC2"/>
    <w:rPr>
      <w:color w:val="800080" w:themeColor="followedHyperlink"/>
      <w:u w:val="single"/>
    </w:rPr>
  </w:style>
  <w:style w:type="character" w:customStyle="1" w:styleId="UnresolvedMention">
    <w:name w:val="Unresolved Mention"/>
    <w:basedOn w:val="DefaultParagraphFont"/>
    <w:uiPriority w:val="99"/>
    <w:semiHidden/>
    <w:unhideWhenUsed/>
    <w:rsid w:val="00A52CC2"/>
    <w:rPr>
      <w:color w:val="605E5C"/>
      <w:shd w:val="clear" w:color="auto" w:fill="E1DFDD"/>
    </w:rPr>
  </w:style>
  <w:style w:type="character" w:styleId="CommentReference">
    <w:name w:val="annotation reference"/>
    <w:basedOn w:val="DefaultParagraphFont"/>
    <w:semiHidden/>
    <w:unhideWhenUsed/>
    <w:rsid w:val="005B7E12"/>
    <w:rPr>
      <w:sz w:val="16"/>
      <w:szCs w:val="16"/>
    </w:rPr>
  </w:style>
  <w:style w:type="paragraph" w:styleId="CommentText">
    <w:name w:val="annotation text"/>
    <w:basedOn w:val="Normal"/>
    <w:link w:val="CommentTextChar"/>
    <w:semiHidden/>
    <w:unhideWhenUsed/>
    <w:rsid w:val="005B7E12"/>
    <w:rPr>
      <w:sz w:val="20"/>
    </w:rPr>
  </w:style>
  <w:style w:type="character" w:customStyle="1" w:styleId="CommentTextChar">
    <w:name w:val="Comment Text Char"/>
    <w:basedOn w:val="DefaultParagraphFont"/>
    <w:link w:val="CommentText"/>
    <w:semiHidden/>
    <w:rsid w:val="005B7E1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B7E12"/>
    <w:rPr>
      <w:b/>
      <w:bCs/>
    </w:rPr>
  </w:style>
  <w:style w:type="character" w:customStyle="1" w:styleId="CommentSubjectChar">
    <w:name w:val="Comment Subject Char"/>
    <w:basedOn w:val="CommentTextChar"/>
    <w:link w:val="CommentSubject"/>
    <w:semiHidden/>
    <w:rsid w:val="005B7E12"/>
    <w:rPr>
      <w:rFonts w:asciiTheme="minorHAnsi" w:hAnsiTheme="minorHAnsi"/>
      <w:b/>
      <w:bCs/>
      <w:lang w:val="en-GB" w:eastAsia="en-US"/>
    </w:rPr>
  </w:style>
  <w:style w:type="paragraph" w:styleId="Revision">
    <w:name w:val="Revision"/>
    <w:hidden/>
    <w:uiPriority w:val="99"/>
    <w:semiHidden/>
    <w:rsid w:val="005161C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5095">
      <w:bodyDiv w:val="1"/>
      <w:marLeft w:val="0"/>
      <w:marRight w:val="0"/>
      <w:marTop w:val="0"/>
      <w:marBottom w:val="0"/>
      <w:divBdr>
        <w:top w:val="none" w:sz="0" w:space="0" w:color="auto"/>
        <w:left w:val="none" w:sz="0" w:space="0" w:color="auto"/>
        <w:bottom w:val="none" w:sz="0" w:space="0" w:color="auto"/>
        <w:right w:val="none" w:sz="0" w:space="0" w:color="auto"/>
      </w:divBdr>
    </w:div>
    <w:div w:id="245920571">
      <w:bodyDiv w:val="1"/>
      <w:marLeft w:val="0"/>
      <w:marRight w:val="0"/>
      <w:marTop w:val="0"/>
      <w:marBottom w:val="0"/>
      <w:divBdr>
        <w:top w:val="none" w:sz="0" w:space="0" w:color="auto"/>
        <w:left w:val="none" w:sz="0" w:space="0" w:color="auto"/>
        <w:bottom w:val="none" w:sz="0" w:space="0" w:color="auto"/>
        <w:right w:val="none" w:sz="0" w:space="0" w:color="auto"/>
      </w:divBdr>
    </w:div>
    <w:div w:id="693114596">
      <w:bodyDiv w:val="1"/>
      <w:marLeft w:val="0"/>
      <w:marRight w:val="0"/>
      <w:marTop w:val="0"/>
      <w:marBottom w:val="0"/>
      <w:divBdr>
        <w:top w:val="none" w:sz="0" w:space="0" w:color="auto"/>
        <w:left w:val="none" w:sz="0" w:space="0" w:color="auto"/>
        <w:bottom w:val="none" w:sz="0" w:space="0" w:color="auto"/>
        <w:right w:val="none" w:sz="0" w:space="0" w:color="auto"/>
      </w:divBdr>
    </w:div>
    <w:div w:id="1177423083">
      <w:bodyDiv w:val="1"/>
      <w:marLeft w:val="0"/>
      <w:marRight w:val="0"/>
      <w:marTop w:val="0"/>
      <w:marBottom w:val="0"/>
      <w:divBdr>
        <w:top w:val="none" w:sz="0" w:space="0" w:color="auto"/>
        <w:left w:val="none" w:sz="0" w:space="0" w:color="auto"/>
        <w:bottom w:val="none" w:sz="0" w:space="0" w:color="auto"/>
        <w:right w:val="none" w:sz="0" w:space="0" w:color="auto"/>
      </w:divBdr>
    </w:div>
    <w:div w:id="1660881732">
      <w:bodyDiv w:val="1"/>
      <w:marLeft w:val="0"/>
      <w:marRight w:val="0"/>
      <w:marTop w:val="0"/>
      <w:marBottom w:val="0"/>
      <w:divBdr>
        <w:top w:val="none" w:sz="0" w:space="0" w:color="auto"/>
        <w:left w:val="none" w:sz="0" w:space="0" w:color="auto"/>
        <w:bottom w:val="none" w:sz="0" w:space="0" w:color="auto"/>
        <w:right w:val="none" w:sz="0" w:space="0" w:color="auto"/>
      </w:divBdr>
    </w:div>
    <w:div w:id="1678574640">
      <w:bodyDiv w:val="1"/>
      <w:marLeft w:val="0"/>
      <w:marRight w:val="0"/>
      <w:marTop w:val="0"/>
      <w:marBottom w:val="0"/>
      <w:divBdr>
        <w:top w:val="none" w:sz="0" w:space="0" w:color="auto"/>
        <w:left w:val="none" w:sz="0" w:space="0" w:color="auto"/>
        <w:bottom w:val="none" w:sz="0" w:space="0" w:color="auto"/>
        <w:right w:val="none" w:sz="0" w:space="0" w:color="auto"/>
      </w:divBdr>
    </w:div>
    <w:div w:id="1889955884">
      <w:bodyDiv w:val="1"/>
      <w:marLeft w:val="0"/>
      <w:marRight w:val="0"/>
      <w:marTop w:val="0"/>
      <w:marBottom w:val="0"/>
      <w:divBdr>
        <w:top w:val="none" w:sz="0" w:space="0" w:color="auto"/>
        <w:left w:val="none" w:sz="0" w:space="0" w:color="auto"/>
        <w:bottom w:val="none" w:sz="0" w:space="0" w:color="auto"/>
        <w:right w:val="none" w:sz="0" w:space="0" w:color="auto"/>
      </w:divBdr>
    </w:div>
    <w:div w:id="19829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Conferences/TDAG/Pages/TDAG25/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18-TDAG26-200616-TD-0003/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D/Conferences/TDAG/Documents/2020%20TDAG/SUMMARY-RECORD-WEB-DIALOGUE-FOUR-SESSIONS-12MAY.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onferences/TDAG/Documents/2020%20TDAG/DRAFTSUMMARY-RECORD-WTDC-WEB-DIALOGUErev_clean_in%20template_final_v2.doc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4FDCB33711000439A31C76832679C61" ma:contentTypeVersion="21" ma:contentTypeDescription="Create a new document." ma:contentTypeScope="" ma:versionID="996023f1ca85f7dc9e745de0227a5b40">
  <xsd:schema xmlns:xsd="http://www.w3.org/2001/XMLSchema" xmlns:xs="http://www.w3.org/2001/XMLSchema" xmlns:p="http://schemas.microsoft.com/office/2006/metadata/properties" xmlns:ns2="10bb021d-947f-43a0-81ba-2a21b0d60df9" xmlns:ns3="b2d63141-8658-4a05-bf8b-b68f43f2c15a" xmlns:ns4="117000de-26cc-44b9-a624-eac198371aac" targetNamespace="http://schemas.microsoft.com/office/2006/metadata/properties" ma:root="true" ma:fieldsID="5aff128c656605c3025cd19464402081" ns2:_="" ns3:_="" ns4:_="">
    <xsd:import namespace="10bb021d-947f-43a0-81ba-2a21b0d60df9"/>
    <xsd:import namespace="b2d63141-8658-4a05-bf8b-b68f43f2c15a"/>
    <xsd:import namespace="117000de-26cc-44b9-a624-eac198371aac"/>
    <xsd:element name="properties">
      <xsd:complexType>
        <xsd:sequence>
          <xsd:element name="documentManagement">
            <xsd:complexType>
              <xsd:all>
                <xsd:element ref="ns2:_dlc_DocId" minOccurs="0"/>
                <xsd:element ref="ns2:_dlc_DocIdUrl" minOccurs="0"/>
                <xsd:element ref="ns2:_dlc_DocIdPersistId" minOccurs="0"/>
                <xsd:element ref="ns3:Document_x0020_No_x002e_"/>
                <xsd:element ref="ns2:SharedWithUsers" minOccurs="0"/>
                <xsd:element ref="ns3:Focal_x0020_point_x0020_BN_x002f_Author" minOccurs="0"/>
                <xsd:element ref="ns3:Responsible_x0020_person_x002f_Presenter" minOccurs="0"/>
                <xsd:element ref="ns3:Responsible_x0020_person_x002f_Presenter_x003a_Full_x0020_Name_x0020__x0028_linked_x0020_to_x0020_item_x0029_" minOccurs="0"/>
                <xsd:element ref="ns3:Title_x0020_of_x0020_document" minOccurs="0"/>
                <xsd:element ref="ns3:Title_x0020_of_x0020_document_x003a_Doc_x0020_Title_x0020__x0028_linked_x0020_to_x0020_item_x0029_" minOccurs="0"/>
                <xsd:element ref="ns3:On_x0020_web_x003f_" minOccurs="0"/>
                <xsd:element ref="ns3:Document_x0020_sourc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d63141-8658-4a05-bf8b-b68f43f2c15a" elementFormDefault="qualified">
    <xsd:import namespace="http://schemas.microsoft.com/office/2006/documentManagement/types"/>
    <xsd:import namespace="http://schemas.microsoft.com/office/infopath/2007/PartnerControls"/>
    <xsd:element name="Document_x0020_No_x002e_" ma:index="11" ma:displayName="Document No." ma:list="{e3c2e1f5-a5ed-45e8-95f9-3a185a6f108c}" ma:internalName="Document_x0020_No_x002e_" ma:showField="Doc_x0020_No">
      <xsd:simpleType>
        <xsd:restriction base="dms:Lookup"/>
      </xsd:simpleType>
    </xsd:element>
    <xsd:element name="Focal_x0020_point_x0020_BN_x002f_Author" ma:index="13" nillable="true" ma:displayName="Author/Focal Point for BN" ma:list="{3f8e40b1-18bb-45e7-8386-31f8a5e05efc}" ma:internalName="Focal_x0020_point_x0020_BN_x002f_Author"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Responsible_x0020_person_x002f_Presenter" ma:index="14" nillable="true" ma:displayName="Responsible person/Presenter" ma:list="{3f8e40b1-18bb-45e7-8386-31f8a5e05efc}" ma:internalName="Responsible_x0020_person_x002f_Presenter" ma:showField="Title">
      <xsd:simpleType>
        <xsd:restriction base="dms:Lookup"/>
      </xsd:simpleType>
    </xsd:element>
    <xsd:element name="Responsible_x0020_person_x002f_Presenter_x003a_Full_x0020_Name_x0020__x0028_linked_x0020_to_x0020_item_x0029_" ma:index="15" nillable="true" ma:displayName="Responsible person/Presenter:Full Name (linked to item)" ma:list="{3f8e40b1-18bb-45e7-8386-31f8a5e05efc}" ma:internalName="Responsible_x0020_person_x002f_Presenter_x003a_Full_x0020_Name_x0020__x0028_linked_x0020_to_x0020_item_x0029_" ma:readOnly="true" ma:showField="LinkTitleNoMenu" ma:web="117000de-26cc-44b9-a624-eac198371aac">
      <xsd:simpleType>
        <xsd:restriction base="dms:Lookup"/>
      </xsd:simpleType>
    </xsd:element>
    <xsd:element name="Title_x0020_of_x0020_document" ma:index="16" nillable="true" ma:displayName="Title of document" ma:list="{e3c2e1f5-a5ed-45e8-95f9-3a185a6f108c}" ma:internalName="Title_x0020_of_x0020_document" ma:showField="Title">
      <xsd:simpleType>
        <xsd:restriction base="dms:Lookup"/>
      </xsd:simpleType>
    </xsd:element>
    <xsd:element name="Title_x0020_of_x0020_document_x003a_Doc_x0020_Title_x0020__x0028_linked_x0020_to_x0020_item_x0029_" ma:index="17" nillable="true" ma:displayName="Title of document:Doc Title (linked to item)" ma:list="{e3c2e1f5-a5ed-45e8-95f9-3a185a6f108c}" ma:internalName="Title_x0020_of_x0020_document_x003a_Doc_x0020_Title_x0020__x0028_linked_x0020_to_x0020_item_x0029_" ma:readOnly="true" ma:showField="LinkTitleNoMenu" ma:web="117000de-26cc-44b9-a624-eac198371aac">
      <xsd:simpleType>
        <xsd:restriction base="dms:Lookup"/>
      </xsd:simpleType>
    </xsd:element>
    <xsd:element name="On_x0020_web_x003f_" ma:index="18" nillable="true" ma:displayName="On web?" ma:default="0" ma:internalName="On_x0020_web_x003f_">
      <xsd:simpleType>
        <xsd:restriction base="dms:Boolean"/>
      </xsd:simpleType>
    </xsd:element>
    <xsd:element name="Document_x0020_source" ma:index="19" nillable="true" ma:displayName="Document source" ma:list="{e3c2e1f5-a5ed-45e8-95f9-3a185a6f108c}" ma:internalName="Document_x0020_source" ma:showField="Doc_x0020_Sourc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17000de-26cc-44b9-a624-eac198371aac"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ponsible_x0020_person_x002f_Presenter xmlns="b2d63141-8658-4a05-bf8b-b68f43f2c15a" xsi:nil="true"/>
    <Title_x0020_of_x0020_document xmlns="b2d63141-8658-4a05-bf8b-b68f43f2c15a">81</Title_x0020_of_x0020_document>
    <Document_x0020_No_x002e_ xmlns="b2d63141-8658-4a05-bf8b-b68f43f2c15a">81</Document_x0020_No_x002e_>
    <On_x0020_web_x003f_ xmlns="b2d63141-8658-4a05-bf8b-b68f43f2c15a">true</On_x0020_web_x003f_>
    <Document_x0020_source xmlns="b2d63141-8658-4a05-bf8b-b68f43f2c15a">8</Document_x0020_source>
    <Focal_x0020_point_x0020_BN_x002f_Author xmlns="b2d63141-8658-4a05-bf8b-b68f43f2c15a">
      <Value>17</Value>
    </Focal_x0020_point_x0020_BN_x002f_Author>
    <_dlc_DocId xmlns="10bb021d-947f-43a0-81ba-2a21b0d60df9">XMDQHHHA4CRK-1548652305-121</_dlc_DocId>
    <_dlc_DocIdUrl xmlns="10bb021d-947f-43a0-81ba-2a21b0d60df9">
      <Url>https://intranet.itu.int/sites/ITU-D/tdag/_layouts/15/DocIdRedir.aspx?ID=XMDQHHHA4CRK-1548652305-121</Url>
      <Description>XMDQHHHA4CRK-1548652305-121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2B1E-EAEC-46B1-B57E-83718DF41CC9}">
  <ds:schemaRefs>
    <ds:schemaRef ds:uri="http://schemas.microsoft.com/sharepoint/events"/>
  </ds:schemaRefs>
</ds:datastoreItem>
</file>

<file path=customXml/itemProps2.xml><?xml version="1.0" encoding="utf-8"?>
<ds:datastoreItem xmlns:ds="http://schemas.openxmlformats.org/officeDocument/2006/customXml" ds:itemID="{985D9C4C-B7FF-4F9E-A3C0-4E5C0416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2d63141-8658-4a05-bf8b-b68f43f2c15a"/>
    <ds:schemaRef ds:uri="117000de-26cc-44b9-a624-eac198371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C9446-C4CB-4820-9905-B5530A667DCB}">
  <ds:schemaRefs>
    <ds:schemaRef ds:uri="http://schemas.microsoft.com/sharepoint/v3/contenttype/forms"/>
  </ds:schemaRefs>
</ds:datastoreItem>
</file>

<file path=customXml/itemProps4.xml><?xml version="1.0" encoding="utf-8"?>
<ds:datastoreItem xmlns:ds="http://schemas.openxmlformats.org/officeDocument/2006/customXml" ds:itemID="{1E6DCBE5-1EF9-483C-A2E1-A4EFDBBF015C}">
  <ds:schemaRefs>
    <ds:schemaRef ds:uri="http://purl.org/dc/terms/"/>
    <ds:schemaRef ds:uri="117000de-26cc-44b9-a624-eac198371aac"/>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10bb021d-947f-43a0-81ba-2a21b0d60df9"/>
    <ds:schemaRef ds:uri="b2d63141-8658-4a05-bf8b-b68f43f2c15a"/>
    <ds:schemaRef ds:uri="http://schemas.microsoft.com/office/2006/metadata/properties"/>
  </ds:schemaRefs>
</ds:datastoreItem>
</file>

<file path=customXml/itemProps5.xml><?xml version="1.0" encoding="utf-8"?>
<ds:datastoreItem xmlns:ds="http://schemas.openxmlformats.org/officeDocument/2006/customXml" ds:itemID="{F2D5DD47-0CCC-426B-AF57-48A70468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889</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Web Dialogues on WTDC reform</vt:lpstr>
    </vt:vector>
  </TitlesOfParts>
  <Manager>General Secretariat - Pool</Manager>
  <Company>International Telecommunication Union (ITU)</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Dialogues on WTDC reform</dc:title>
  <dc:creator>BDT</dc:creator>
  <cp:lastModifiedBy>Comas Barnes, Maite</cp:lastModifiedBy>
  <cp:revision>3</cp:revision>
  <cp:lastPrinted>2014-11-04T09:22:00Z</cp:lastPrinted>
  <dcterms:created xsi:type="dcterms:W3CDTF">2020-07-15T11:39:00Z</dcterms:created>
  <dcterms:modified xsi:type="dcterms:W3CDTF">2020-07-15T11:40:00Z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0x01010034FDCB33711000439A31C76832679C61</vt:lpwstr>
  </property>
  <property fmtid="{D5CDD505-2E9C-101B-9397-08002B2CF9AE}" pid="9" name="_dlc_DocIdItemGuid">
    <vt:lpwstr>d9ae974b-4ade-4d49-8a0c-ae190ba60d27</vt:lpwstr>
  </property>
</Properties>
</file>