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3"/>
        <w:gridCol w:w="408"/>
        <w:gridCol w:w="418"/>
      </w:tblGrid>
      <w:tr w:rsidR="00FD53AE" w14:paraId="1CCB2C31" w14:textId="77777777" w:rsidTr="001444B3">
        <w:tc>
          <w:tcPr>
            <w:tcW w:w="9221" w:type="dxa"/>
            <w:gridSpan w:val="2"/>
          </w:tcPr>
          <w:p w14:paraId="13C79216" w14:textId="095C2336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افتتاح الاجتماع وكلمات الترحيب</w:t>
            </w:r>
          </w:p>
        </w:tc>
        <w:tc>
          <w:tcPr>
            <w:tcW w:w="418" w:type="dxa"/>
          </w:tcPr>
          <w:p w14:paraId="6A3C0CFD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.1.</w:t>
            </w:r>
          </w:p>
        </w:tc>
      </w:tr>
      <w:tr w:rsidR="00FD53AE" w14:paraId="65AEDC02" w14:textId="77777777" w:rsidTr="001444B3">
        <w:tc>
          <w:tcPr>
            <w:tcW w:w="9221" w:type="dxa"/>
            <w:gridSpan w:val="2"/>
          </w:tcPr>
          <w:p w14:paraId="396B04F4" w14:textId="5F8E0303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إقرار جدول الأعمال</w:t>
            </w:r>
          </w:p>
        </w:tc>
        <w:tc>
          <w:tcPr>
            <w:tcW w:w="418" w:type="dxa"/>
          </w:tcPr>
          <w:p w14:paraId="59A9E479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.2</w:t>
            </w:r>
          </w:p>
        </w:tc>
      </w:tr>
      <w:tr w:rsidR="00FD53AE" w14:paraId="53A9BBA3" w14:textId="77777777" w:rsidTr="001444B3">
        <w:tc>
          <w:tcPr>
            <w:tcW w:w="9221" w:type="dxa"/>
            <w:gridSpan w:val="2"/>
          </w:tcPr>
          <w:p w14:paraId="003B21B5" w14:textId="44063E40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أساليب العمل</w:t>
            </w:r>
          </w:p>
        </w:tc>
        <w:tc>
          <w:tcPr>
            <w:tcW w:w="418" w:type="dxa"/>
          </w:tcPr>
          <w:p w14:paraId="7788BC39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.3</w:t>
            </w:r>
          </w:p>
        </w:tc>
      </w:tr>
      <w:tr w:rsidR="00FD53AE" w14:paraId="7CEABEBD" w14:textId="77777777" w:rsidTr="001444B3">
        <w:tc>
          <w:tcPr>
            <w:tcW w:w="8813" w:type="dxa"/>
          </w:tcPr>
          <w:p w14:paraId="319037DA" w14:textId="7544C981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اجتماعات افتراضية مع/بدون الترجمة الشفوية</w:t>
            </w:r>
          </w:p>
        </w:tc>
        <w:tc>
          <w:tcPr>
            <w:tcW w:w="408" w:type="dxa"/>
          </w:tcPr>
          <w:p w14:paraId="04BB85A8" w14:textId="77777777" w:rsidR="00FD53AE" w:rsidRPr="0075064C" w:rsidRDefault="00FD53AE" w:rsidP="001444B3">
            <w:pPr>
              <w:spacing w:before="0"/>
              <w:rPr>
                <w:rFonts w:ascii="Dubai" w:hAnsi="Dubai" w:cs="Dubai"/>
                <w:b/>
                <w:bCs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.a</w:t>
            </w:r>
          </w:p>
        </w:tc>
        <w:tc>
          <w:tcPr>
            <w:tcW w:w="418" w:type="dxa"/>
          </w:tcPr>
          <w:p w14:paraId="2903413E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D53AE" w14:paraId="28318E9A" w14:textId="77777777" w:rsidTr="001444B3">
        <w:tc>
          <w:tcPr>
            <w:tcW w:w="8813" w:type="dxa"/>
          </w:tcPr>
          <w:p w14:paraId="54A442FC" w14:textId="2BE348C8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تقديم الوثائق ونشرها بالإنكليزية</w:t>
            </w:r>
          </w:p>
        </w:tc>
        <w:tc>
          <w:tcPr>
            <w:tcW w:w="408" w:type="dxa"/>
          </w:tcPr>
          <w:p w14:paraId="3CAA8DCC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.b</w:t>
            </w:r>
          </w:p>
        </w:tc>
        <w:tc>
          <w:tcPr>
            <w:tcW w:w="418" w:type="dxa"/>
          </w:tcPr>
          <w:p w14:paraId="760E9330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D53AE" w14:paraId="36D77D59" w14:textId="77777777" w:rsidTr="001444B3">
        <w:tc>
          <w:tcPr>
            <w:tcW w:w="8813" w:type="dxa"/>
          </w:tcPr>
          <w:p w14:paraId="10386EA8" w14:textId="71BD4382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لغة الوثائق: الإنكليزية – لا تترجم إلا التقارير</w:t>
            </w:r>
          </w:p>
        </w:tc>
        <w:tc>
          <w:tcPr>
            <w:tcW w:w="408" w:type="dxa"/>
          </w:tcPr>
          <w:p w14:paraId="5FF9EC29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.c</w:t>
            </w:r>
          </w:p>
        </w:tc>
        <w:tc>
          <w:tcPr>
            <w:tcW w:w="418" w:type="dxa"/>
          </w:tcPr>
          <w:p w14:paraId="11E5C587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D53AE" w14:paraId="05798795" w14:textId="77777777" w:rsidTr="001444B3">
        <w:tc>
          <w:tcPr>
            <w:tcW w:w="8813" w:type="dxa"/>
          </w:tcPr>
          <w:p w14:paraId="03F086BE" w14:textId="74A8B932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المراسلات عبر البريد الإلكتروني/القائمة البريدية/موقع التبادل الإلكتروني</w:t>
            </w:r>
          </w:p>
        </w:tc>
        <w:tc>
          <w:tcPr>
            <w:tcW w:w="408" w:type="dxa"/>
          </w:tcPr>
          <w:p w14:paraId="3D6DDE79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.d</w:t>
            </w:r>
          </w:p>
        </w:tc>
        <w:tc>
          <w:tcPr>
            <w:tcW w:w="418" w:type="dxa"/>
          </w:tcPr>
          <w:p w14:paraId="3AFC8B51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D53AE" w14:paraId="6CE126EE" w14:textId="77777777" w:rsidTr="001444B3">
        <w:tc>
          <w:tcPr>
            <w:tcW w:w="8813" w:type="dxa"/>
          </w:tcPr>
          <w:p w14:paraId="22531AD9" w14:textId="1A616AB2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توصية للمنظمات الإقليمية للاتصالات لتعيين جهات اتصال للتنسيق الإقليمي</w:t>
            </w:r>
          </w:p>
        </w:tc>
        <w:tc>
          <w:tcPr>
            <w:tcW w:w="408" w:type="dxa"/>
          </w:tcPr>
          <w:p w14:paraId="6939C7C1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.e</w:t>
            </w:r>
          </w:p>
        </w:tc>
        <w:tc>
          <w:tcPr>
            <w:tcW w:w="418" w:type="dxa"/>
          </w:tcPr>
          <w:p w14:paraId="68B1178B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D53AE" w14:paraId="16823A3F" w14:textId="77777777" w:rsidTr="001444B3">
        <w:tc>
          <w:tcPr>
            <w:tcW w:w="9221" w:type="dxa"/>
            <w:gridSpan w:val="2"/>
          </w:tcPr>
          <w:p w14:paraId="149F66D5" w14:textId="2F7FBF99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خطة العمل</w:t>
            </w:r>
          </w:p>
        </w:tc>
        <w:tc>
          <w:tcPr>
            <w:tcW w:w="418" w:type="dxa"/>
          </w:tcPr>
          <w:p w14:paraId="4238C249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.4</w:t>
            </w:r>
          </w:p>
        </w:tc>
      </w:tr>
      <w:tr w:rsidR="00FD53AE" w14:paraId="44DD8EFE" w14:textId="77777777" w:rsidTr="001444B3">
        <w:tc>
          <w:tcPr>
            <w:tcW w:w="8813" w:type="dxa"/>
          </w:tcPr>
          <w:p w14:paraId="1D01408E" w14:textId="3F219BA4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موعد تقديم التقرير إلى الفريق الاستشاري لتنمية الاتصالات</w:t>
            </w:r>
          </w:p>
        </w:tc>
        <w:tc>
          <w:tcPr>
            <w:tcW w:w="408" w:type="dxa"/>
          </w:tcPr>
          <w:p w14:paraId="54164DDE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.a</w:t>
            </w:r>
          </w:p>
        </w:tc>
        <w:tc>
          <w:tcPr>
            <w:tcW w:w="418" w:type="dxa"/>
          </w:tcPr>
          <w:p w14:paraId="76B62605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D53AE" w14:paraId="0EA44A95" w14:textId="77777777" w:rsidTr="001444B3">
        <w:tc>
          <w:tcPr>
            <w:tcW w:w="8813" w:type="dxa"/>
          </w:tcPr>
          <w:p w14:paraId="02C385D0" w14:textId="7608D873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موعد إتاحة مشروع التقرير للتعليق عليه</w:t>
            </w:r>
          </w:p>
        </w:tc>
        <w:tc>
          <w:tcPr>
            <w:tcW w:w="408" w:type="dxa"/>
          </w:tcPr>
          <w:p w14:paraId="21F12061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.b</w:t>
            </w:r>
          </w:p>
        </w:tc>
        <w:tc>
          <w:tcPr>
            <w:tcW w:w="418" w:type="dxa"/>
          </w:tcPr>
          <w:p w14:paraId="3A73FC56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D53AE" w14:paraId="578C3F39" w14:textId="77777777" w:rsidTr="001444B3">
        <w:tc>
          <w:tcPr>
            <w:tcW w:w="8813" w:type="dxa"/>
          </w:tcPr>
          <w:p w14:paraId="4FCDF9B7" w14:textId="15D280A9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مواعيد الاجتماعات</w:t>
            </w:r>
          </w:p>
        </w:tc>
        <w:tc>
          <w:tcPr>
            <w:tcW w:w="408" w:type="dxa"/>
          </w:tcPr>
          <w:p w14:paraId="2BF1B52D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.c</w:t>
            </w:r>
          </w:p>
        </w:tc>
        <w:tc>
          <w:tcPr>
            <w:tcW w:w="418" w:type="dxa"/>
          </w:tcPr>
          <w:p w14:paraId="72C05510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D53AE" w14:paraId="1EE1B6CB" w14:textId="77777777" w:rsidTr="001444B3">
        <w:tc>
          <w:tcPr>
            <w:tcW w:w="8813" w:type="dxa"/>
          </w:tcPr>
          <w:p w14:paraId="3A6243A7" w14:textId="32D659C6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المواعيد النهائية لتقديم المساهمات المكتوبة</w:t>
            </w:r>
          </w:p>
        </w:tc>
        <w:tc>
          <w:tcPr>
            <w:tcW w:w="408" w:type="dxa"/>
          </w:tcPr>
          <w:p w14:paraId="66CA1E41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.d</w:t>
            </w:r>
          </w:p>
        </w:tc>
        <w:tc>
          <w:tcPr>
            <w:tcW w:w="418" w:type="dxa"/>
          </w:tcPr>
          <w:p w14:paraId="72F7937A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D53AE" w14:paraId="7512BCE2" w14:textId="77777777" w:rsidTr="001444B3">
        <w:tc>
          <w:tcPr>
            <w:tcW w:w="9221" w:type="dxa"/>
            <w:gridSpan w:val="2"/>
          </w:tcPr>
          <w:p w14:paraId="542E4CCE" w14:textId="73957EC1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الخلاصة</w:t>
            </w:r>
          </w:p>
        </w:tc>
        <w:tc>
          <w:tcPr>
            <w:tcW w:w="418" w:type="dxa"/>
          </w:tcPr>
          <w:p w14:paraId="0F456A7B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.5</w:t>
            </w:r>
          </w:p>
        </w:tc>
      </w:tr>
      <w:tr w:rsidR="00FD53AE" w14:paraId="29F4DB64" w14:textId="77777777" w:rsidTr="001444B3">
        <w:tc>
          <w:tcPr>
            <w:tcW w:w="9221" w:type="dxa"/>
            <w:gridSpan w:val="2"/>
          </w:tcPr>
          <w:p w14:paraId="6AE51FE3" w14:textId="02848DAA" w:rsidR="00FD53AE" w:rsidRDefault="009501D2" w:rsidP="001444B3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9501D2">
              <w:rPr>
                <w:rFonts w:ascii="Dubai" w:hAnsi="Dubai" w:cs="Dubai"/>
                <w:sz w:val="22"/>
                <w:szCs w:val="22"/>
              </w:rPr>
              <w:t>ما يستجد من أعمال</w:t>
            </w:r>
          </w:p>
        </w:tc>
        <w:tc>
          <w:tcPr>
            <w:tcW w:w="418" w:type="dxa"/>
          </w:tcPr>
          <w:p w14:paraId="730535FB" w14:textId="77777777" w:rsidR="00FD53AE" w:rsidRDefault="00FD53AE" w:rsidP="001444B3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.6</w:t>
            </w:r>
          </w:p>
        </w:tc>
      </w:tr>
    </w:tbl>
    <w:p w14:paraId="1B0DFEC0" w14:textId="77777777" w:rsidR="00A52ABB" w:rsidRDefault="00A52ABB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3402"/>
        <w:gridCol w:w="5103"/>
        <w:gridCol w:w="1383"/>
      </w:tblGrid>
      <w:tr w:rsidR="001E6E89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4EE5D3E1" w14:textId="77777777" w:rsidR="001E6E89" w:rsidRPr="00DA3B7A" w:rsidRDefault="001E6E89" w:rsidP="001E6E89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jc w:val="right"/>
              <w:rPr>
                <w:rFonts w:ascii="Dubai" w:hAnsi="Dubai" w:cs="Dubai"/>
                <w:b/>
                <w:bCs/>
                <w:sz w:val="32"/>
                <w:szCs w:val="32"/>
              </w:rPr>
            </w:pPr>
            <w:r w:rsidRPr="00DA3B7A">
              <w:rPr>
                <w:rFonts w:ascii="Dubai" w:hAnsi="Dubai" w:cs="Dubai"/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396375D" wp14:editId="64D6D1F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3B7A">
              <w:rPr>
                <w:rFonts w:ascii="Dubai" w:hAnsi="Dubai" w:cs="Dubai"/>
                <w:b/>
                <w:bCs/>
                <w:sz w:val="32"/>
                <w:szCs w:val="32"/>
              </w:rPr>
              <w:t>فريق العمل التابع للفريق الاستشاري لتنمية الاتصالات والمعني بالأعمال التحضيرية للمؤتمر العالمي لتنمية الاتصالات</w:t>
            </w:r>
          </w:p>
          <w:p w14:paraId="61FE4B28" w14:textId="77777777" w:rsidR="001E6E89" w:rsidRPr="00DA3B7A" w:rsidRDefault="001E6E89" w:rsidP="001E6E89">
            <w:pPr>
              <w:ind w:right="142"/>
              <w:jc w:val="right"/>
              <w:rPr>
                <w:rFonts w:ascii="Dubai" w:hAnsi="Dubai" w:cs="Dubai"/>
                <w:b/>
                <w:bCs/>
                <w:sz w:val="26"/>
                <w:szCs w:val="26"/>
              </w:rPr>
            </w:pPr>
            <w:r w:rsidRPr="00DA3B7A">
              <w:rPr>
                <w:rFonts w:ascii="Dubai" w:hAnsi="Dubai" w:cs="Dubai"/>
                <w:b/>
                <w:bCs/>
                <w:sz w:val="26"/>
                <w:szCs w:val="26"/>
              </w:rPr>
              <w:t>ياجتماع افتراضي ,2020 يوليو 16</w:t>
            </w:r>
          </w:p>
          <w:p w14:paraId="49124C96" w14:textId="703D83F3" w:rsidR="001E6E89" w:rsidRPr="00F45B51" w:rsidRDefault="001E6E89" w:rsidP="001E6E89">
            <w:pPr>
              <w:ind w:right="142"/>
              <w:jc w:val="right"/>
              <w:rPr>
                <w:sz w:val="26"/>
                <w:szCs w:val="26"/>
              </w:rPr>
            </w:pPr>
          </w:p>
        </w:tc>
      </w:tr>
      <w:tr w:rsidR="001E6E89" w:rsidRPr="00997358" w14:paraId="48B980A4" w14:textId="77777777" w:rsidTr="00062DC6">
        <w:trPr>
          <w:cantSplit/>
        </w:trPr>
        <w:tc>
          <w:tcPr>
            <w:tcW w:w="3402" w:type="dxa"/>
            <w:tcBorders>
              <w:top w:val="single" w:sz="2" w:space="0" w:color="00B0F0"/>
            </w:tcBorders>
          </w:tcPr>
          <w:p w14:paraId="418C6355" w14:textId="256ED66E" w:rsidR="001E6E89" w:rsidRPr="00997358" w:rsidRDefault="001E6E89" w:rsidP="001E6E89">
            <w:pPr>
              <w:spacing w:before="0"/>
              <w:jc w:val="right"/>
              <w:rPr>
                <w:b/>
                <w:bCs/>
                <w:sz w:val="20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TDAG-WG-</w:t>
            </w:r>
            <w:r>
              <w:rPr>
                <w:rFonts w:ascii="Dubai" w:hAnsi="Dubai" w:cs="Dubai"/>
                <w:b/>
                <w:bCs/>
                <w:sz w:val="22"/>
                <w:szCs w:val="22"/>
              </w:rPr>
              <w:t>RDTP</w:t>
            </w: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/1-A الوثيقة</w:t>
            </w:r>
          </w:p>
        </w:tc>
        <w:tc>
          <w:tcPr>
            <w:tcW w:w="6486" w:type="dxa"/>
            <w:gridSpan w:val="2"/>
            <w:tcBorders>
              <w:top w:val="single" w:sz="2" w:space="0" w:color="00B0F0"/>
            </w:tcBorders>
          </w:tcPr>
          <w:p w14:paraId="49A48CC7" w14:textId="2824F2C2" w:rsidR="001E6E89" w:rsidRPr="000E0704" w:rsidRDefault="001E6E89" w:rsidP="001E6E89">
            <w:pPr>
              <w:rPr>
                <w:b/>
                <w:bCs/>
                <w:szCs w:val="24"/>
              </w:rPr>
            </w:pPr>
          </w:p>
        </w:tc>
      </w:tr>
      <w:tr w:rsidR="001E6E89" w:rsidRPr="00997358" w14:paraId="7302F6BC" w14:textId="77777777" w:rsidTr="00062DC6">
        <w:trPr>
          <w:cantSplit/>
        </w:trPr>
        <w:tc>
          <w:tcPr>
            <w:tcW w:w="3402" w:type="dxa"/>
          </w:tcPr>
          <w:p w14:paraId="1F9741FC" w14:textId="5FE94535" w:rsidR="001E6E89" w:rsidRPr="00997358" w:rsidRDefault="001E6E89" w:rsidP="001E6E89">
            <w:pPr>
              <w:spacing w:before="0"/>
              <w:jc w:val="right"/>
              <w:rPr>
                <w:b/>
                <w:bCs/>
                <w:sz w:val="20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13 يوليو</w:t>
            </w: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ab/>
              <w:t xml:space="preserve"> 2020</w:t>
            </w:r>
          </w:p>
        </w:tc>
        <w:tc>
          <w:tcPr>
            <w:tcW w:w="6486" w:type="dxa"/>
            <w:gridSpan w:val="2"/>
          </w:tcPr>
          <w:p w14:paraId="65511797" w14:textId="2C81CA2E" w:rsidR="001E6E89" w:rsidRPr="000E0704" w:rsidRDefault="001E6E89" w:rsidP="001E6E89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E6E89" w:rsidRPr="00997358" w14:paraId="769980A4" w14:textId="77777777" w:rsidTr="00062DC6">
        <w:trPr>
          <w:cantSplit/>
        </w:trPr>
        <w:tc>
          <w:tcPr>
            <w:tcW w:w="3402" w:type="dxa"/>
          </w:tcPr>
          <w:p w14:paraId="4DFD97DF" w14:textId="08821A46" w:rsidR="001E6E89" w:rsidRPr="00997358" w:rsidRDefault="001E6E89" w:rsidP="001E6E89">
            <w:pPr>
              <w:spacing w:before="0"/>
              <w:jc w:val="right"/>
              <w:rPr>
                <w:b/>
                <w:bCs/>
                <w:sz w:val="20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الأصل: بالإنكليزية</w:t>
            </w:r>
          </w:p>
        </w:tc>
        <w:tc>
          <w:tcPr>
            <w:tcW w:w="6486" w:type="dxa"/>
            <w:gridSpan w:val="2"/>
          </w:tcPr>
          <w:p w14:paraId="14B81F67" w14:textId="0A36080D" w:rsidR="001E6E89" w:rsidRPr="000E0704" w:rsidRDefault="001E6E89" w:rsidP="001E6E89">
            <w:pPr>
              <w:spacing w:before="0" w:after="120"/>
              <w:rPr>
                <w:b/>
                <w:bCs/>
                <w:szCs w:val="24"/>
              </w:rPr>
            </w:pPr>
          </w:p>
        </w:tc>
      </w:tr>
      <w:tr w:rsidR="001E6E89" w:rsidRPr="00002716" w14:paraId="10DE2C82" w14:textId="77777777" w:rsidTr="00062DC6">
        <w:trPr>
          <w:cantSplit/>
          <w:trHeight w:val="408"/>
        </w:trPr>
        <w:tc>
          <w:tcPr>
            <w:tcW w:w="8505" w:type="dxa"/>
            <w:gridSpan w:val="2"/>
          </w:tcPr>
          <w:p w14:paraId="46B4A90F" w14:textId="5AF4BC43" w:rsidR="001E6E89" w:rsidRPr="00194F24" w:rsidRDefault="001E6E89" w:rsidP="001E6E89">
            <w:pPr>
              <w:spacing w:before="80" w:after="80"/>
              <w:jc w:val="right"/>
              <w:rPr>
                <w:b/>
                <w:szCs w:val="24"/>
                <w:lang w:val="en-US"/>
              </w:rPr>
            </w:pPr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مديرة مكتب تنمية الاتصالات</w:t>
            </w:r>
          </w:p>
        </w:tc>
        <w:tc>
          <w:tcPr>
            <w:tcW w:w="1383" w:type="dxa"/>
          </w:tcPr>
          <w:p w14:paraId="0F88DEF6" w14:textId="5E6446EB" w:rsidR="001E6E89" w:rsidRPr="008905BB" w:rsidRDefault="001E6E89" w:rsidP="001E6E89">
            <w:pPr>
              <w:tabs>
                <w:tab w:val="clear" w:pos="1191"/>
                <w:tab w:val="center" w:pos="584"/>
                <w:tab w:val="right" w:pos="1169"/>
              </w:tabs>
              <w:spacing w:before="80" w:after="80"/>
              <w:jc w:val="right"/>
              <w:rPr>
                <w:bCs/>
                <w:szCs w:val="24"/>
                <w:lang w:val="en-US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  <w:lang w:val="en-US"/>
              </w:rPr>
              <w:t>:المصدر</w:t>
            </w:r>
          </w:p>
        </w:tc>
      </w:tr>
      <w:tr w:rsidR="001E6E89" w:rsidRPr="00002716" w14:paraId="29E95131" w14:textId="77777777" w:rsidTr="00062DC6">
        <w:trPr>
          <w:cantSplit/>
          <w:trHeight w:val="407"/>
        </w:trPr>
        <w:tc>
          <w:tcPr>
            <w:tcW w:w="8505" w:type="dxa"/>
            <w:gridSpan w:val="2"/>
            <w:tcBorders>
              <w:bottom w:val="single" w:sz="4" w:space="0" w:color="00B0F0"/>
            </w:tcBorders>
          </w:tcPr>
          <w:p w14:paraId="0B4CC4A0" w14:textId="34E289E0" w:rsidR="001E6E89" w:rsidRDefault="001E6E89" w:rsidP="001E6E89">
            <w:pPr>
              <w:spacing w:before="80" w:after="80"/>
              <w:jc w:val="right"/>
              <w:rPr>
                <w:b/>
                <w:bCs/>
                <w:lang w:val="en-US"/>
              </w:rPr>
            </w:pPr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مشروع جدول الأعمال</w:t>
            </w:r>
          </w:p>
        </w:tc>
        <w:tc>
          <w:tcPr>
            <w:tcW w:w="1383" w:type="dxa"/>
            <w:tcBorders>
              <w:bottom w:val="single" w:sz="4" w:space="0" w:color="00B0F0"/>
            </w:tcBorders>
          </w:tcPr>
          <w:p w14:paraId="5DF56324" w14:textId="7DD01CE5" w:rsidR="001E6E89" w:rsidRPr="008905BB" w:rsidRDefault="001E6E89" w:rsidP="001E6E89">
            <w:pPr>
              <w:spacing w:before="80" w:after="80"/>
              <w:jc w:val="right"/>
              <w:rPr>
                <w:bCs/>
                <w:lang w:val="en-US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  <w:lang w:val="en-US"/>
              </w:rPr>
              <w:t>:العنوان</w:t>
            </w:r>
          </w:p>
        </w:tc>
      </w:tr>
    </w:tbl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Start w:id="1" w:name="_GoBack"/>
      <w:bookmarkEnd w:id="0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844D91" w:rsidRPr="00176512" w14:paraId="6FE384F6" w14:textId="77777777" w:rsidTr="00844D91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64A0C5C" w14:textId="77777777" w:rsidR="00844D91" w:rsidRPr="00176512" w:rsidRDefault="00844D91" w:rsidP="00844D91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1C8E1AB" w14:textId="77777777" w:rsidR="00844D91" w:rsidRPr="00176512" w:rsidRDefault="00844D91" w:rsidP="00844D91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F45DC81" w14:textId="14AECF01" w:rsidR="00844D91" w:rsidRPr="00176512" w:rsidRDefault="00844D91" w:rsidP="00844D91">
          <w:pPr>
            <w:spacing w:before="60" w:after="60" w:line="260" w:lineRule="exact"/>
            <w:jc w:val="right"/>
            <w:rPr>
              <w:rFonts w:hint="cs"/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السيدة دورين بوغدان-مارتن، مديرة مكتب تنمية الاتصالات</w:t>
          </w:r>
        </w:p>
      </w:tc>
    </w:tr>
    <w:tr w:rsidR="00844D91" w:rsidRPr="00176512" w14:paraId="6FFE8B60" w14:textId="77777777" w:rsidTr="00844D91">
      <w:tc>
        <w:tcPr>
          <w:tcW w:w="1298" w:type="dxa"/>
        </w:tcPr>
        <w:p w14:paraId="0670CC41" w14:textId="77777777" w:rsidR="00844D91" w:rsidRPr="00176512" w:rsidRDefault="00844D91" w:rsidP="00844D91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30589FF9" w14:textId="77777777" w:rsidR="00844D91" w:rsidRPr="00176512" w:rsidRDefault="00844D91" w:rsidP="00844D91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BDF2307" w14:textId="1148215F" w:rsidR="00844D91" w:rsidRPr="00176512" w:rsidRDefault="00844D91" w:rsidP="00844D91">
          <w:pPr>
            <w:spacing w:before="60" w:after="60" w:line="260" w:lineRule="exact"/>
            <w:jc w:val="right"/>
            <w:rPr>
              <w:rFonts w:hint="cs"/>
              <w:sz w:val="18"/>
              <w:szCs w:val="18"/>
              <w:rtl/>
              <w:lang w:val="fr-FR" w:bidi="ar-EG"/>
            </w:rPr>
          </w:pPr>
          <w:r w:rsidRPr="0061661B">
            <w:rPr>
              <w:position w:val="2"/>
              <w:sz w:val="18"/>
              <w:szCs w:val="18"/>
              <w:lang w:bidi="ar-EG"/>
            </w:rPr>
            <w:t>+41 22 730 5533</w:t>
          </w:r>
        </w:p>
      </w:tc>
    </w:tr>
    <w:tr w:rsidR="00844D91" w:rsidRPr="00176512" w14:paraId="207BA66B" w14:textId="77777777" w:rsidTr="00844D91">
      <w:tc>
        <w:tcPr>
          <w:tcW w:w="1298" w:type="dxa"/>
        </w:tcPr>
        <w:p w14:paraId="1335E826" w14:textId="77777777" w:rsidR="00844D91" w:rsidRPr="00176512" w:rsidRDefault="00844D91" w:rsidP="00844D91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1617C077" w14:textId="77777777" w:rsidR="00844D91" w:rsidRPr="00176512" w:rsidRDefault="00844D91" w:rsidP="00844D91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BEDE36C" w14:textId="17350258" w:rsidR="00844D91" w:rsidRPr="00176512" w:rsidRDefault="00844D91" w:rsidP="00844D91">
          <w:pPr>
            <w:spacing w:before="60" w:after="60" w:line="260" w:lineRule="exact"/>
            <w:jc w:val="right"/>
            <w:rPr>
              <w:rFonts w:hint="cs"/>
              <w:sz w:val="18"/>
              <w:szCs w:val="18"/>
              <w:rtl/>
              <w:lang w:val="fr-FR" w:bidi="ar-EG"/>
            </w:rPr>
          </w:pPr>
          <w:hyperlink r:id="rId1" w:history="1">
            <w:r w:rsidRPr="0061661B">
              <w:rPr>
                <w:rStyle w:val="Hyperlink"/>
                <w:sz w:val="18"/>
                <w:szCs w:val="18"/>
              </w:rPr>
              <w:t>bdtdirector@itu.int</w:t>
            </w:r>
          </w:hyperlink>
          <w:hyperlink r:id="rId2" w:history="1"/>
        </w:p>
      </w:tc>
    </w:tr>
  </w:tbl>
  <w:p w14:paraId="03C3F5D9" w14:textId="1B40CBFB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3" w:history="1">
      <w:r w:rsidR="00BB270E" w:rsidRPr="00BE53BF">
        <w:rPr>
          <w:rStyle w:val="Hyperlink"/>
          <w:sz w:val="18"/>
          <w:szCs w:val="18"/>
        </w:rPr>
        <w:t>TDAG-WG-</w:t>
      </w:r>
      <w:r w:rsidR="00B464D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584404FD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A47389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F331E4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ctiveWritingStyle w:appName="MSWord" w:lang="ar-EG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2DC6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E6E89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D59A1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4D91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0B53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01D2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1378F"/>
    <w:rsid w:val="00A20267"/>
    <w:rsid w:val="00A3158C"/>
    <w:rsid w:val="00A32DF3"/>
    <w:rsid w:val="00A33E32"/>
    <w:rsid w:val="00A35E20"/>
    <w:rsid w:val="00A36F6D"/>
    <w:rsid w:val="00A47389"/>
    <w:rsid w:val="00A50CA0"/>
    <w:rsid w:val="00A525CC"/>
    <w:rsid w:val="00A52ABB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4DC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1E4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7A4D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3A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2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TDAG/Pages/TDAG_WG_WTDC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5FF9-88CD-4C9E-B2F0-C273FDF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27</cp:revision>
  <cp:lastPrinted>2014-11-04T09:22:00Z</cp:lastPrinted>
  <dcterms:created xsi:type="dcterms:W3CDTF">2020-03-16T11:43:00Z</dcterms:created>
  <dcterms:modified xsi:type="dcterms:W3CDTF">2020-07-13T14:01:00Z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