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53"/>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663"/>
        <w:gridCol w:w="3225"/>
      </w:tblGrid>
      <w:tr w:rsidR="00D372A5" w:rsidRPr="00DD77A3" w14:paraId="1B2B55A5" w14:textId="77777777" w:rsidTr="00D92762">
        <w:trPr>
          <w:cantSplit/>
          <w:trHeight w:val="1134"/>
        </w:trPr>
        <w:tc>
          <w:tcPr>
            <w:tcW w:w="6663" w:type="dxa"/>
            <w:tcBorders>
              <w:bottom w:val="single" w:sz="12" w:space="0" w:color="auto"/>
            </w:tcBorders>
          </w:tcPr>
          <w:p w14:paraId="50D6EBB0" w14:textId="77777777" w:rsidR="00D372A5" w:rsidRPr="00DD77A3" w:rsidRDefault="00D372A5" w:rsidP="00BC7208">
            <w:pPr>
              <w:rPr>
                <w:b/>
                <w:bCs/>
                <w:sz w:val="32"/>
                <w:szCs w:val="32"/>
                <w:lang w:val="es-ES_tradnl"/>
              </w:rPr>
            </w:pPr>
            <w:r w:rsidRPr="00DD77A3">
              <w:rPr>
                <w:rFonts w:cstheme="minorHAnsi"/>
                <w:b/>
                <w:bCs/>
                <w:sz w:val="32"/>
                <w:szCs w:val="32"/>
                <w:lang w:val="es-ES_tradnl"/>
              </w:rPr>
              <w:t>Grupo Asesor de Desarrollo de las Telecomunicaciones (GADT</w:t>
            </w:r>
            <w:r w:rsidRPr="00DD77A3">
              <w:rPr>
                <w:b/>
                <w:bCs/>
                <w:sz w:val="32"/>
                <w:szCs w:val="32"/>
                <w:lang w:val="es-ES_tradnl"/>
              </w:rPr>
              <w:t>)</w:t>
            </w:r>
          </w:p>
          <w:p w14:paraId="601C9C7C" w14:textId="57F8602C" w:rsidR="00D372A5" w:rsidRPr="00DD77A3" w:rsidRDefault="004E7861" w:rsidP="00AA076A">
            <w:pPr>
              <w:spacing w:before="100" w:after="120"/>
              <w:rPr>
                <w:rFonts w:ascii="Verdana" w:hAnsi="Verdana"/>
                <w:sz w:val="28"/>
                <w:szCs w:val="28"/>
                <w:lang w:val="es-ES_tradnl"/>
              </w:rPr>
            </w:pPr>
            <w:r w:rsidRPr="00DD77A3">
              <w:rPr>
                <w:b/>
                <w:bCs/>
                <w:sz w:val="26"/>
                <w:szCs w:val="26"/>
                <w:lang w:val="es-ES_tradnl"/>
              </w:rPr>
              <w:t>2</w:t>
            </w:r>
            <w:r w:rsidR="00B256D2" w:rsidRPr="00DD77A3">
              <w:rPr>
                <w:b/>
                <w:bCs/>
                <w:sz w:val="26"/>
                <w:szCs w:val="26"/>
                <w:lang w:val="es-ES_tradnl"/>
              </w:rPr>
              <w:t>5</w:t>
            </w:r>
            <w:r w:rsidRPr="00DD77A3">
              <w:rPr>
                <w:b/>
                <w:bCs/>
                <w:sz w:val="26"/>
                <w:szCs w:val="26"/>
                <w:lang w:val="es-ES_tradnl"/>
              </w:rPr>
              <w:t xml:space="preserve">ª reunión, Ginebra, </w:t>
            </w:r>
            <w:r w:rsidR="00AA076A" w:rsidRPr="00DD77A3">
              <w:rPr>
                <w:b/>
                <w:bCs/>
                <w:sz w:val="26"/>
                <w:szCs w:val="26"/>
                <w:lang w:val="es-ES_tradnl"/>
              </w:rPr>
              <w:t>24</w:t>
            </w:r>
            <w:r w:rsidRPr="00DD77A3">
              <w:rPr>
                <w:b/>
                <w:bCs/>
                <w:sz w:val="26"/>
                <w:szCs w:val="26"/>
                <w:lang w:val="es-ES_tradnl"/>
              </w:rPr>
              <w:t>-</w:t>
            </w:r>
            <w:r w:rsidR="00AA076A" w:rsidRPr="00DD77A3">
              <w:rPr>
                <w:b/>
                <w:bCs/>
                <w:sz w:val="26"/>
                <w:szCs w:val="26"/>
                <w:lang w:val="es-ES_tradnl"/>
              </w:rPr>
              <w:t>27</w:t>
            </w:r>
            <w:r w:rsidRPr="00DD77A3">
              <w:rPr>
                <w:b/>
                <w:bCs/>
                <w:sz w:val="26"/>
                <w:szCs w:val="26"/>
                <w:lang w:val="es-ES_tradnl"/>
              </w:rPr>
              <w:t xml:space="preserve"> de </w:t>
            </w:r>
            <w:r w:rsidR="00AA076A" w:rsidRPr="00DD77A3">
              <w:rPr>
                <w:b/>
                <w:bCs/>
                <w:sz w:val="26"/>
                <w:szCs w:val="26"/>
                <w:lang w:val="es-ES_tradnl"/>
              </w:rPr>
              <w:t>marzo</w:t>
            </w:r>
            <w:r w:rsidRPr="00DD77A3">
              <w:rPr>
                <w:b/>
                <w:bCs/>
                <w:sz w:val="26"/>
                <w:szCs w:val="26"/>
                <w:lang w:val="es-ES_tradnl"/>
              </w:rPr>
              <w:t xml:space="preserve"> de 20</w:t>
            </w:r>
            <w:r w:rsidR="00B256D2" w:rsidRPr="00DD77A3">
              <w:rPr>
                <w:b/>
                <w:bCs/>
                <w:sz w:val="26"/>
                <w:szCs w:val="26"/>
                <w:lang w:val="es-ES_tradnl"/>
              </w:rPr>
              <w:t>20</w:t>
            </w:r>
          </w:p>
        </w:tc>
        <w:tc>
          <w:tcPr>
            <w:tcW w:w="3225" w:type="dxa"/>
            <w:tcBorders>
              <w:bottom w:val="single" w:sz="12" w:space="0" w:color="auto"/>
            </w:tcBorders>
          </w:tcPr>
          <w:p w14:paraId="44AC259A" w14:textId="77777777" w:rsidR="00D372A5" w:rsidRPr="00DD77A3" w:rsidRDefault="004E7861" w:rsidP="004E7861">
            <w:pPr>
              <w:spacing w:before="40" w:after="80"/>
              <w:ind w:right="142"/>
              <w:jc w:val="right"/>
              <w:rPr>
                <w:lang w:val="es-ES_tradnl"/>
              </w:rPr>
            </w:pPr>
            <w:r w:rsidRPr="00DD77A3">
              <w:rPr>
                <w:noProof/>
                <w:color w:val="3399FF"/>
                <w:lang w:val="es-ES_tradnl" w:eastAsia="en-GB"/>
              </w:rPr>
              <w:drawing>
                <wp:inline distT="0" distB="0" distL="0" distR="0" wp14:anchorId="406B2385" wp14:editId="693E8F0A">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4B7893" w:rsidRPr="00DD77A3" w14:paraId="395FE4CA" w14:textId="77777777" w:rsidTr="004B7893">
        <w:trPr>
          <w:cantSplit/>
        </w:trPr>
        <w:tc>
          <w:tcPr>
            <w:tcW w:w="6663" w:type="dxa"/>
            <w:tcBorders>
              <w:top w:val="single" w:sz="12" w:space="0" w:color="auto"/>
            </w:tcBorders>
          </w:tcPr>
          <w:p w14:paraId="68816678" w14:textId="77777777" w:rsidR="004B7893" w:rsidRPr="00DD77A3" w:rsidRDefault="004B7893" w:rsidP="004B7893">
            <w:pPr>
              <w:spacing w:before="0"/>
              <w:rPr>
                <w:rFonts w:cs="Arial"/>
                <w:b/>
                <w:bCs/>
                <w:sz w:val="20"/>
                <w:lang w:val="es-ES_tradnl"/>
              </w:rPr>
            </w:pPr>
          </w:p>
        </w:tc>
        <w:tc>
          <w:tcPr>
            <w:tcW w:w="3225" w:type="dxa"/>
            <w:tcBorders>
              <w:top w:val="single" w:sz="12" w:space="0" w:color="auto"/>
            </w:tcBorders>
          </w:tcPr>
          <w:p w14:paraId="4744E707" w14:textId="77777777" w:rsidR="004B7893" w:rsidRPr="00DD77A3" w:rsidRDefault="004B7893" w:rsidP="004B7893">
            <w:pPr>
              <w:spacing w:before="0"/>
              <w:rPr>
                <w:b/>
                <w:bCs/>
                <w:sz w:val="20"/>
                <w:lang w:val="es-ES_tradnl"/>
              </w:rPr>
            </w:pPr>
          </w:p>
        </w:tc>
      </w:tr>
      <w:tr w:rsidR="004B7893" w:rsidRPr="00DD77A3" w14:paraId="529C0708" w14:textId="77777777" w:rsidTr="004B7893">
        <w:trPr>
          <w:cantSplit/>
        </w:trPr>
        <w:tc>
          <w:tcPr>
            <w:tcW w:w="6663" w:type="dxa"/>
          </w:tcPr>
          <w:p w14:paraId="2ED8ECC8" w14:textId="77777777" w:rsidR="004B7893" w:rsidRPr="00DD77A3" w:rsidRDefault="004B7893" w:rsidP="004B7893">
            <w:pPr>
              <w:pStyle w:val="Committee"/>
              <w:spacing w:before="0"/>
              <w:rPr>
                <w:b w:val="0"/>
                <w:lang w:val="es-ES_tradnl"/>
              </w:rPr>
            </w:pPr>
          </w:p>
        </w:tc>
        <w:tc>
          <w:tcPr>
            <w:tcW w:w="3225" w:type="dxa"/>
          </w:tcPr>
          <w:p w14:paraId="53006E80" w14:textId="2D9EEE9C" w:rsidR="004B7893" w:rsidRPr="00DD77A3" w:rsidRDefault="005637B9" w:rsidP="00AA076A">
            <w:pPr>
              <w:spacing w:before="0"/>
              <w:rPr>
                <w:bCs/>
                <w:lang w:val="es-ES_tradnl"/>
              </w:rPr>
            </w:pPr>
            <w:r w:rsidRPr="00DD77A3">
              <w:rPr>
                <w:b/>
                <w:bCs/>
                <w:lang w:val="es-ES_tradnl"/>
              </w:rPr>
              <w:t xml:space="preserve">Documento </w:t>
            </w:r>
            <w:bookmarkStart w:id="0" w:name="DocRef1"/>
            <w:bookmarkEnd w:id="0"/>
            <w:r w:rsidRPr="00DD77A3">
              <w:rPr>
                <w:b/>
                <w:bCs/>
                <w:lang w:val="es-ES_tradnl"/>
              </w:rPr>
              <w:t>TDAG</w:t>
            </w:r>
            <w:r w:rsidR="00602B27" w:rsidRPr="00DD77A3">
              <w:rPr>
                <w:b/>
                <w:bCs/>
                <w:lang w:val="es-ES_tradnl"/>
              </w:rPr>
              <w:t>-</w:t>
            </w:r>
            <w:r w:rsidR="00AA076A" w:rsidRPr="00DD77A3">
              <w:rPr>
                <w:b/>
                <w:bCs/>
                <w:lang w:val="es-ES_tradnl"/>
              </w:rPr>
              <w:t>20</w:t>
            </w:r>
            <w:r w:rsidRPr="00DD77A3">
              <w:rPr>
                <w:b/>
                <w:bCs/>
                <w:lang w:val="es-ES_tradnl"/>
              </w:rPr>
              <w:t>/</w:t>
            </w:r>
            <w:bookmarkStart w:id="1" w:name="DocNo1"/>
            <w:bookmarkEnd w:id="1"/>
            <w:r w:rsidR="00B256D2" w:rsidRPr="00DD77A3">
              <w:rPr>
                <w:b/>
                <w:bCs/>
                <w:lang w:val="es-ES_tradnl"/>
              </w:rPr>
              <w:t>10</w:t>
            </w:r>
            <w:r w:rsidRPr="00DD77A3">
              <w:rPr>
                <w:b/>
                <w:bCs/>
                <w:lang w:val="es-ES_tradnl"/>
              </w:rPr>
              <w:t>-S</w:t>
            </w:r>
          </w:p>
        </w:tc>
      </w:tr>
      <w:tr w:rsidR="004B7893" w:rsidRPr="00DD77A3" w14:paraId="063682D3" w14:textId="77777777" w:rsidTr="004B7893">
        <w:trPr>
          <w:cantSplit/>
        </w:trPr>
        <w:tc>
          <w:tcPr>
            <w:tcW w:w="6663" w:type="dxa"/>
          </w:tcPr>
          <w:p w14:paraId="46C69247" w14:textId="77777777" w:rsidR="004B7893" w:rsidRPr="00DD77A3" w:rsidRDefault="004B7893" w:rsidP="004B7893">
            <w:pPr>
              <w:spacing w:before="0"/>
              <w:rPr>
                <w:b/>
                <w:bCs/>
                <w:smallCaps/>
                <w:lang w:val="es-ES_tradnl"/>
              </w:rPr>
            </w:pPr>
          </w:p>
        </w:tc>
        <w:tc>
          <w:tcPr>
            <w:tcW w:w="3225" w:type="dxa"/>
          </w:tcPr>
          <w:p w14:paraId="4AE67580" w14:textId="59A32C6B" w:rsidR="004B7893" w:rsidRPr="00DD77A3" w:rsidRDefault="00B256D2" w:rsidP="00AA076A">
            <w:pPr>
              <w:spacing w:before="0"/>
              <w:rPr>
                <w:b/>
                <w:lang w:val="es-ES_tradnl"/>
              </w:rPr>
            </w:pPr>
            <w:bookmarkStart w:id="2" w:name="CreationDate"/>
            <w:bookmarkEnd w:id="2"/>
            <w:r w:rsidRPr="00DD77A3">
              <w:rPr>
                <w:b/>
                <w:bCs/>
                <w:szCs w:val="28"/>
                <w:lang w:val="es-ES_tradnl"/>
              </w:rPr>
              <w:t xml:space="preserve">4 de febrero de </w:t>
            </w:r>
            <w:r w:rsidR="00BC7208" w:rsidRPr="00DD77A3">
              <w:rPr>
                <w:b/>
                <w:bCs/>
                <w:szCs w:val="28"/>
                <w:lang w:val="es-ES_tradnl"/>
              </w:rPr>
              <w:t>20</w:t>
            </w:r>
            <w:r w:rsidR="00AA076A" w:rsidRPr="00DD77A3">
              <w:rPr>
                <w:b/>
                <w:bCs/>
                <w:szCs w:val="28"/>
                <w:lang w:val="es-ES_tradnl"/>
              </w:rPr>
              <w:t>20</w:t>
            </w:r>
          </w:p>
        </w:tc>
      </w:tr>
      <w:tr w:rsidR="004B7893" w:rsidRPr="00DD77A3" w14:paraId="384FA0CF" w14:textId="77777777" w:rsidTr="004B7893">
        <w:trPr>
          <w:cantSplit/>
        </w:trPr>
        <w:tc>
          <w:tcPr>
            <w:tcW w:w="6663" w:type="dxa"/>
          </w:tcPr>
          <w:p w14:paraId="74458B87" w14:textId="77777777" w:rsidR="004B7893" w:rsidRPr="00DD77A3" w:rsidRDefault="004B7893" w:rsidP="004B7893">
            <w:pPr>
              <w:spacing w:before="0"/>
              <w:rPr>
                <w:b/>
                <w:bCs/>
                <w:smallCaps/>
                <w:lang w:val="es-ES_tradnl"/>
              </w:rPr>
            </w:pPr>
          </w:p>
        </w:tc>
        <w:tc>
          <w:tcPr>
            <w:tcW w:w="3225" w:type="dxa"/>
          </w:tcPr>
          <w:p w14:paraId="2B06A0B2" w14:textId="171E2A21" w:rsidR="004B7893" w:rsidRPr="00DD77A3" w:rsidRDefault="005637B9" w:rsidP="004B7893">
            <w:pPr>
              <w:spacing w:before="0"/>
              <w:rPr>
                <w:szCs w:val="24"/>
                <w:lang w:val="es-ES_tradnl"/>
              </w:rPr>
            </w:pPr>
            <w:r w:rsidRPr="00DD77A3">
              <w:rPr>
                <w:b/>
                <w:lang w:val="es-ES_tradnl"/>
              </w:rPr>
              <w:t>Original:</w:t>
            </w:r>
            <w:bookmarkStart w:id="3" w:name="Original"/>
            <w:bookmarkEnd w:id="3"/>
            <w:r w:rsidRPr="00DD77A3">
              <w:rPr>
                <w:b/>
                <w:lang w:val="es-ES_tradnl"/>
              </w:rPr>
              <w:t xml:space="preserve"> </w:t>
            </w:r>
            <w:r w:rsidR="0078073C">
              <w:rPr>
                <w:b/>
                <w:lang w:val="es-ES_tradnl"/>
              </w:rPr>
              <w:t>inglés</w:t>
            </w:r>
          </w:p>
        </w:tc>
      </w:tr>
      <w:tr w:rsidR="004B7893" w:rsidRPr="0078073C" w14:paraId="5CA31578" w14:textId="77777777" w:rsidTr="004B7893">
        <w:trPr>
          <w:cantSplit/>
          <w:trHeight w:val="852"/>
        </w:trPr>
        <w:tc>
          <w:tcPr>
            <w:tcW w:w="9888" w:type="dxa"/>
            <w:gridSpan w:val="2"/>
          </w:tcPr>
          <w:p w14:paraId="61D8FE5D" w14:textId="7F976F69" w:rsidR="004B7893" w:rsidRPr="00DD77A3" w:rsidRDefault="00B256D2" w:rsidP="004B7893">
            <w:pPr>
              <w:pStyle w:val="Source"/>
              <w:rPr>
                <w:szCs w:val="28"/>
                <w:lang w:val="es-ES_tradnl"/>
              </w:rPr>
            </w:pPr>
            <w:bookmarkStart w:id="4" w:name="Source"/>
            <w:bookmarkEnd w:id="4"/>
            <w:r w:rsidRPr="00DD77A3">
              <w:rPr>
                <w:lang w:val="es-ES_tradnl"/>
              </w:rPr>
              <w:t>Directora de la Oficina de Desarrollo de las Telecomunicaciones</w:t>
            </w:r>
          </w:p>
        </w:tc>
      </w:tr>
      <w:tr w:rsidR="004B7893" w:rsidRPr="00DD77A3" w14:paraId="563934F8" w14:textId="77777777" w:rsidTr="004B7893">
        <w:trPr>
          <w:cantSplit/>
        </w:trPr>
        <w:tc>
          <w:tcPr>
            <w:tcW w:w="9888" w:type="dxa"/>
            <w:gridSpan w:val="2"/>
          </w:tcPr>
          <w:p w14:paraId="777B74B5" w14:textId="49FBFDAD" w:rsidR="004B7893" w:rsidRPr="00DD77A3" w:rsidRDefault="00B256D2" w:rsidP="004B7893">
            <w:pPr>
              <w:pStyle w:val="Title1"/>
              <w:rPr>
                <w:bCs/>
                <w:szCs w:val="28"/>
                <w:lang w:val="es-ES_tradnl"/>
              </w:rPr>
            </w:pPr>
            <w:bookmarkStart w:id="5" w:name="Title"/>
            <w:bookmarkEnd w:id="5"/>
            <w:r w:rsidRPr="00DD77A3">
              <w:rPr>
                <w:lang w:val="es-ES_tradnl"/>
              </w:rPr>
              <w:t>PROYECTOS DEL UIT-D</w:t>
            </w:r>
          </w:p>
        </w:tc>
      </w:tr>
      <w:tr w:rsidR="004B7893" w:rsidRPr="00DD77A3" w14:paraId="25C1EEFA" w14:textId="77777777" w:rsidTr="004B7893">
        <w:trPr>
          <w:cantSplit/>
        </w:trPr>
        <w:tc>
          <w:tcPr>
            <w:tcW w:w="9888" w:type="dxa"/>
            <w:gridSpan w:val="2"/>
            <w:tcBorders>
              <w:bottom w:val="single" w:sz="4" w:space="0" w:color="auto"/>
            </w:tcBorders>
          </w:tcPr>
          <w:p w14:paraId="6BB1F99D" w14:textId="77777777" w:rsidR="004B7893" w:rsidRPr="00DD77A3" w:rsidRDefault="004B7893" w:rsidP="00BC7208">
            <w:pPr>
              <w:rPr>
                <w:lang w:val="es-ES_tradnl"/>
              </w:rPr>
            </w:pPr>
          </w:p>
        </w:tc>
      </w:tr>
      <w:tr w:rsidR="004B7893" w:rsidRPr="0078073C" w14:paraId="4383A254" w14:textId="77777777" w:rsidTr="004B7893">
        <w:trPr>
          <w:cantSplit/>
          <w:trHeight w:val="703"/>
        </w:trPr>
        <w:tc>
          <w:tcPr>
            <w:tcW w:w="9888" w:type="dxa"/>
            <w:gridSpan w:val="2"/>
            <w:tcBorders>
              <w:top w:val="single" w:sz="4" w:space="0" w:color="auto"/>
              <w:left w:val="single" w:sz="4" w:space="0" w:color="auto"/>
              <w:bottom w:val="single" w:sz="4" w:space="0" w:color="auto"/>
              <w:right w:val="single" w:sz="4" w:space="0" w:color="auto"/>
            </w:tcBorders>
          </w:tcPr>
          <w:p w14:paraId="1BF9B8E0" w14:textId="77777777" w:rsidR="004B7893" w:rsidRPr="00DD77A3" w:rsidRDefault="004B7893" w:rsidP="004B7893">
            <w:pPr>
              <w:spacing w:before="240"/>
              <w:rPr>
                <w:b/>
                <w:bCs/>
                <w:lang w:val="es-ES_tradnl"/>
              </w:rPr>
            </w:pPr>
            <w:r w:rsidRPr="00DD77A3">
              <w:rPr>
                <w:b/>
                <w:bCs/>
                <w:lang w:val="es-ES_tradnl"/>
              </w:rPr>
              <w:t>Resumen:</w:t>
            </w:r>
          </w:p>
          <w:p w14:paraId="518EF1E3" w14:textId="77777777" w:rsidR="00B256D2" w:rsidRPr="00DD77A3" w:rsidRDefault="00B256D2" w:rsidP="00B256D2">
            <w:pPr>
              <w:rPr>
                <w:lang w:val="es-ES_tradnl"/>
              </w:rPr>
            </w:pPr>
            <w:r w:rsidRPr="00DD77A3">
              <w:rPr>
                <w:lang w:val="es-ES_tradnl"/>
              </w:rPr>
              <w:t>Según lo estipulado en la Constitución de la UIT, una función clave del Sector de Desarrollo de las Telecomunicaciones de la UIT es cumplir los objetivos del doble cometido que incumbe a la Unión como organismo especializado de las Naciones Unidas y como organismo ejecutor de proyectos. El Sector de Desarrollo de las Telecomunicaciones (UIT-D), en cumplimiento de esos objetivos, tiene la función clave de ejecutar proyectos dentro del sistema de desarrollo de las Naciones Unidas y otros acuerdos de financiación para facilitar y potenciar el desarrollo de las telecomunicaciones ofreciendo, organizando y coordinando actividades de cooperación y asistencia técnicas.</w:t>
            </w:r>
          </w:p>
          <w:p w14:paraId="56362ADC" w14:textId="73E25F76" w:rsidR="004B7893" w:rsidRPr="00DD77A3" w:rsidRDefault="00B256D2" w:rsidP="00B256D2">
            <w:pPr>
              <w:rPr>
                <w:b/>
                <w:bCs/>
                <w:lang w:val="es-ES_tradnl"/>
              </w:rPr>
            </w:pPr>
            <w:r w:rsidRPr="00DD77A3">
              <w:rPr>
                <w:lang w:val="es-ES_tradnl"/>
              </w:rPr>
              <w:t>En este documento, se presenta una visión global de los trabajos emprendidos por la Oficina de Desarrollo de las Telecomunicaciones relacionados con la preparación e implementación de proyectos en las seis regiones del UIT-D, a saber, África, las Américas, los Estados Árabes, Asia y el Pacífico, la Comunidad de Estados Independientes (CEI) y Europa, así como a nivel mundial.</w:t>
            </w:r>
          </w:p>
          <w:p w14:paraId="771730AE" w14:textId="1ED55F14" w:rsidR="004B7893" w:rsidRPr="00DD77A3" w:rsidRDefault="004B7893" w:rsidP="004B7893">
            <w:pPr>
              <w:rPr>
                <w:b/>
                <w:bCs/>
                <w:lang w:val="es-ES_tradnl"/>
              </w:rPr>
            </w:pPr>
            <w:r w:rsidRPr="00DD77A3">
              <w:rPr>
                <w:b/>
                <w:bCs/>
                <w:lang w:val="es-ES_tradnl"/>
              </w:rPr>
              <w:t>Acción solicitada:</w:t>
            </w:r>
          </w:p>
          <w:p w14:paraId="4FB37F97" w14:textId="0D9EC417" w:rsidR="004B7893" w:rsidRPr="00DD77A3" w:rsidRDefault="00B256D2" w:rsidP="004B7893">
            <w:pPr>
              <w:rPr>
                <w:b/>
                <w:bCs/>
                <w:lang w:val="es-ES_tradnl"/>
              </w:rPr>
            </w:pPr>
            <w:r w:rsidRPr="00DD77A3">
              <w:rPr>
                <w:lang w:val="es-ES_tradnl"/>
              </w:rPr>
              <w:t>Se invita al GADT a tomar nota del presente documento y facilitar las orientaciones que estime oportunas.</w:t>
            </w:r>
          </w:p>
          <w:p w14:paraId="3432B1C7" w14:textId="77777777" w:rsidR="004B7893" w:rsidRPr="00DD77A3" w:rsidRDefault="004B7893" w:rsidP="004B7893">
            <w:pPr>
              <w:rPr>
                <w:b/>
                <w:bCs/>
                <w:lang w:val="es-ES_tradnl"/>
              </w:rPr>
            </w:pPr>
            <w:r w:rsidRPr="00DD77A3">
              <w:rPr>
                <w:b/>
                <w:bCs/>
                <w:lang w:val="es-ES_tradnl"/>
              </w:rPr>
              <w:t>Referencias:</w:t>
            </w:r>
          </w:p>
          <w:p w14:paraId="17DAE4AE" w14:textId="2B2BD149" w:rsidR="004B7893" w:rsidRPr="00DD77A3" w:rsidRDefault="00B256D2" w:rsidP="00B256D2">
            <w:pPr>
              <w:spacing w:after="120"/>
              <w:rPr>
                <w:b/>
                <w:bCs/>
                <w:lang w:val="es-ES_tradnl"/>
              </w:rPr>
            </w:pPr>
            <w:r w:rsidRPr="00DD77A3">
              <w:rPr>
                <w:lang w:val="es-ES_tradnl"/>
              </w:rPr>
              <w:t>Resoluciones 17 y 52 (Rev. Buenos Aires, 2017) de la Conferencia Mundial de Desarrollo de las Telecomunicaciones (CMDT) y Resolución 157 (Rev. Dubái, 2018) de la Conferencia de Plenipotenciarios.</w:t>
            </w:r>
          </w:p>
        </w:tc>
      </w:tr>
    </w:tbl>
    <w:p w14:paraId="2BF7566B" w14:textId="77777777" w:rsidR="00835A77" w:rsidRPr="00DD77A3" w:rsidRDefault="00835A77" w:rsidP="00BC7208">
      <w:pPr>
        <w:rPr>
          <w:lang w:val="es-ES_tradnl"/>
        </w:rPr>
      </w:pPr>
    </w:p>
    <w:p w14:paraId="302A1266" w14:textId="77777777" w:rsidR="00AA076A" w:rsidRPr="00DD77A3" w:rsidRDefault="00AA076A" w:rsidP="00991B13">
      <w:pPr>
        <w:rPr>
          <w:lang w:val="es-ES_tradnl"/>
        </w:rPr>
      </w:pPr>
    </w:p>
    <w:p w14:paraId="5910B330" w14:textId="77777777" w:rsidR="00AA076A" w:rsidRPr="00DD77A3" w:rsidRDefault="00AA076A">
      <w:pPr>
        <w:tabs>
          <w:tab w:val="clear" w:pos="794"/>
          <w:tab w:val="clear" w:pos="1191"/>
          <w:tab w:val="clear" w:pos="1588"/>
          <w:tab w:val="clear" w:pos="1985"/>
        </w:tabs>
        <w:overflowPunct/>
        <w:autoSpaceDE/>
        <w:autoSpaceDN/>
        <w:adjustRightInd/>
        <w:spacing w:before="0" w:after="200" w:line="276" w:lineRule="auto"/>
        <w:textAlignment w:val="auto"/>
        <w:rPr>
          <w:lang w:val="es-ES_tradnl"/>
        </w:rPr>
      </w:pPr>
      <w:r w:rsidRPr="00DD77A3">
        <w:rPr>
          <w:lang w:val="es-ES_tradnl"/>
        </w:rPr>
        <w:br w:type="page"/>
      </w:r>
    </w:p>
    <w:p w14:paraId="763D363C" w14:textId="33F76549" w:rsidR="00B256D2" w:rsidRPr="00DD77A3" w:rsidRDefault="00B256D2" w:rsidP="009708A8">
      <w:pPr>
        <w:pStyle w:val="Heading1"/>
        <w:rPr>
          <w:lang w:val="es-ES_tradnl"/>
        </w:rPr>
      </w:pPr>
      <w:r w:rsidRPr="00DD77A3">
        <w:rPr>
          <w:lang w:val="es-ES_tradnl"/>
        </w:rPr>
        <w:lastRenderedPageBreak/>
        <w:t>1</w:t>
      </w:r>
      <w:r w:rsidRPr="00DD77A3">
        <w:rPr>
          <w:lang w:val="es-ES_tradnl"/>
        </w:rPr>
        <w:tab/>
        <w:t>Introducción</w:t>
      </w:r>
    </w:p>
    <w:p w14:paraId="2556A598" w14:textId="77777777" w:rsidR="00B256D2" w:rsidRPr="00DD77A3" w:rsidRDefault="00B256D2" w:rsidP="00B256D2">
      <w:pPr>
        <w:rPr>
          <w:lang w:val="es-ES_tradnl"/>
        </w:rPr>
      </w:pPr>
      <w:r w:rsidRPr="00DD77A3">
        <w:rPr>
          <w:lang w:val="es-ES_tradnl"/>
        </w:rPr>
        <w:t>De conformidad con las Resoluciones 17 y 52 (Rev. Buenos Aires, 2017) de la Conferencia Mundial de Desarrollo de las Telecomunicaciones (CMDT) y la Resolución 157 (Rev. Dubái, 2018) de la Conferencia de Plenipotenciarios, la BDT ha seguido fortaleciendo el papel del Sector de Desarrollo de las Telecomunicaciones como organismo ejecutor de proyectos e implementando iniciativas aprobadas por las regiones a escala nacional, regional, interregional y mundial. Los proyectos de la BDT responden a la demanda y se centran en la población y el desarrollo sostenible.</w:t>
      </w:r>
    </w:p>
    <w:p w14:paraId="081B6D32" w14:textId="09C598E2" w:rsidR="00B256D2" w:rsidRPr="00DD77A3" w:rsidRDefault="00B256D2" w:rsidP="00B256D2">
      <w:pPr>
        <w:rPr>
          <w:lang w:val="es-ES_tradnl"/>
        </w:rPr>
      </w:pPr>
      <w:r w:rsidRPr="00DD77A3">
        <w:rPr>
          <w:lang w:val="es-ES_tradnl"/>
        </w:rPr>
        <w:t>La inversión de la BDT se ha dedicado en prioridad a las herramientas, metodologías, directrices, plantillas, normas, creación de bases de datos, formación relacionada con los proyectos y la gestión de proyectos. De acuerdo con la gestión basada en resultados y los principios de transparencia, se ha mejorado el sitio web de proyectos de la UIT (</w:t>
      </w:r>
      <w:hyperlink r:id="rId8" w:history="1">
        <w:r w:rsidR="00846988" w:rsidRPr="00846988">
          <w:rPr>
            <w:rStyle w:val="Hyperlink"/>
            <w:lang w:val="es-ES_tradnl"/>
          </w:rPr>
          <w:t>www.itu</w:t>
        </w:r>
        <w:r w:rsidR="00846988" w:rsidRPr="00846988">
          <w:rPr>
            <w:rStyle w:val="Hyperlink"/>
            <w:lang w:val="es-ES_tradnl"/>
          </w:rPr>
          <w:t>.</w:t>
        </w:r>
        <w:r w:rsidR="00846988" w:rsidRPr="00846988">
          <w:rPr>
            <w:rStyle w:val="Hyperlink"/>
            <w:lang w:val="es-ES_tradnl"/>
          </w:rPr>
          <w:t>in</w:t>
        </w:r>
        <w:r w:rsidR="00846988" w:rsidRPr="00846988">
          <w:rPr>
            <w:rStyle w:val="Hyperlink"/>
            <w:lang w:val="es-ES_tradnl"/>
          </w:rPr>
          <w:t>t</w:t>
        </w:r>
        <w:r w:rsidR="00846988" w:rsidRPr="00846988">
          <w:rPr>
            <w:rStyle w:val="Hyperlink"/>
            <w:lang w:val="es-ES_tradnl"/>
          </w:rPr>
          <w:t>/es/ITU-D/Projects/</w:t>
        </w:r>
      </w:hyperlink>
      <w:r w:rsidRPr="00DD77A3">
        <w:rPr>
          <w:lang w:val="es-ES_tradnl"/>
        </w:rPr>
        <w:t>) para mostrar la situación global actualizada en que se encuentran cada uno de los proyectos de la BDT en cada momento. Además, se han preparado estudios de caso de proyectos e informes y vídeos de evaluación posteriores a la ejecución para aumentar la compartición de experiencias y lecciones extraídas.</w:t>
      </w:r>
    </w:p>
    <w:p w14:paraId="1F38DAC0" w14:textId="77777777" w:rsidR="00B256D2" w:rsidRPr="00DD77A3" w:rsidRDefault="00B256D2" w:rsidP="009708A8">
      <w:pPr>
        <w:pStyle w:val="Heading1"/>
        <w:rPr>
          <w:lang w:val="es-ES_tradnl"/>
        </w:rPr>
      </w:pPr>
      <w:r w:rsidRPr="00DD77A3">
        <w:rPr>
          <w:lang w:val="es-ES_tradnl"/>
        </w:rPr>
        <w:t>2</w:t>
      </w:r>
      <w:r w:rsidRPr="00DD77A3">
        <w:rPr>
          <w:lang w:val="es-ES_tradnl"/>
        </w:rPr>
        <w:tab/>
        <w:t>Ejecución global de los proyectos</w:t>
      </w:r>
    </w:p>
    <w:p w14:paraId="632CCB71" w14:textId="77777777" w:rsidR="00B256D2" w:rsidRPr="00DD77A3" w:rsidRDefault="00B256D2" w:rsidP="00B256D2">
      <w:pPr>
        <w:rPr>
          <w:lang w:val="es-ES_tradnl"/>
        </w:rPr>
      </w:pPr>
      <w:r w:rsidRPr="00DD77A3">
        <w:rPr>
          <w:lang w:val="es-ES_tradnl"/>
        </w:rPr>
        <w:t>Desde 2007, la BDT ha ejecutado en total 256 proyectos de pequeña, mediana y gran envergadura en los planos nacional, regional, interregional y mundial en beneficio de 150 países en desarrollo y países menos adelantados.</w:t>
      </w:r>
    </w:p>
    <w:p w14:paraId="4885AA22" w14:textId="77777777" w:rsidR="00B256D2" w:rsidRPr="00DD77A3" w:rsidRDefault="00B256D2" w:rsidP="009708A8">
      <w:pPr>
        <w:pStyle w:val="Heading1"/>
        <w:rPr>
          <w:lang w:val="es-ES_tradnl"/>
        </w:rPr>
      </w:pPr>
      <w:r w:rsidRPr="00DD77A3">
        <w:rPr>
          <w:lang w:val="es-ES_tradnl"/>
        </w:rPr>
        <w:t>3</w:t>
      </w:r>
      <w:r w:rsidRPr="00DD77A3">
        <w:rPr>
          <w:lang w:val="es-ES_tradnl"/>
        </w:rPr>
        <w:tab/>
        <w:t>Cartera de proyectos</w:t>
      </w:r>
    </w:p>
    <w:p w14:paraId="4ADCAC66" w14:textId="77777777" w:rsidR="00B256D2" w:rsidRPr="00DD77A3" w:rsidRDefault="00B256D2" w:rsidP="00B256D2">
      <w:pPr>
        <w:rPr>
          <w:lang w:val="es-ES_tradnl"/>
        </w:rPr>
      </w:pPr>
      <w:r w:rsidRPr="00DD77A3">
        <w:rPr>
          <w:lang w:val="es-ES_tradnl"/>
        </w:rPr>
        <w:t>Al 31 de diciembre de 2019, la cartera de proyectos de la UIT cuenta con 69 proyectos en curso, valorados en 76 504 000 CHF</w:t>
      </w:r>
      <w:r w:rsidRPr="00DD77A3">
        <w:rPr>
          <w:position w:val="6"/>
          <w:sz w:val="18"/>
          <w:lang w:val="es-ES_tradnl"/>
        </w:rPr>
        <w:footnoteReference w:id="1"/>
      </w:r>
      <w:r w:rsidRPr="00DD77A3">
        <w:rPr>
          <w:lang w:val="es-ES_tradnl"/>
        </w:rPr>
        <w:t>. En 2018 se elaboraron y firmaron 20 nuevos proyectos valorados en unos 11 millones CHF.</w:t>
      </w:r>
    </w:p>
    <w:p w14:paraId="0ECE9AED" w14:textId="77777777" w:rsidR="00B256D2" w:rsidRPr="00DD77A3" w:rsidRDefault="00B256D2" w:rsidP="009708A8">
      <w:pPr>
        <w:pStyle w:val="Heading1"/>
        <w:rPr>
          <w:lang w:val="es-ES_tradnl"/>
        </w:rPr>
      </w:pPr>
      <w:r w:rsidRPr="00DD77A3">
        <w:rPr>
          <w:lang w:val="es-ES_tradnl"/>
        </w:rPr>
        <w:t>4</w:t>
      </w:r>
      <w:r w:rsidRPr="00DD77A3">
        <w:rPr>
          <w:lang w:val="es-ES_tradnl"/>
        </w:rPr>
        <w:tab/>
        <w:t>Proyectos en curso, por región</w:t>
      </w:r>
    </w:p>
    <w:p w14:paraId="3E581DDC" w14:textId="435837EA" w:rsidR="005B3CC5" w:rsidRPr="005B3CC5" w:rsidRDefault="00B256D2" w:rsidP="005B3CC5">
      <w:pPr>
        <w:rPr>
          <w:lang w:val="es-ES_tradnl"/>
        </w:rPr>
      </w:pPr>
      <w:r w:rsidRPr="00DD77A3">
        <w:rPr>
          <w:lang w:val="es-ES_tradnl"/>
        </w:rPr>
        <w:t xml:space="preserve">A </w:t>
      </w:r>
      <w:r w:rsidR="00893778" w:rsidRPr="00DD77A3">
        <w:rPr>
          <w:lang w:val="es-ES_tradnl"/>
        </w:rPr>
        <w:t>continuación,</w:t>
      </w:r>
      <w:r w:rsidRPr="00DD77A3">
        <w:rPr>
          <w:lang w:val="es-ES_tradnl"/>
        </w:rPr>
        <w:t xml:space="preserve"> se presenta la distribución de los 69 proyectos en curso a finales de 2019: África (14), Américas (10), Estados Árabes (14), Asia-Pacífico (8), CEI (2) y Europa (1). Además de los proyectos regionales, hay 20 proyectos mundiales.</w:t>
      </w:r>
    </w:p>
    <w:p w14:paraId="557E5C1C" w14:textId="77777777" w:rsidR="005B3CC5" w:rsidRPr="005B3CC5" w:rsidRDefault="005B3CC5" w:rsidP="005B3CC5">
      <w:pPr>
        <w:spacing w:after="480"/>
        <w:jc w:val="center"/>
        <w:rPr>
          <w:rFonts w:ascii="Calibri" w:hAnsi="Calibri"/>
        </w:rPr>
      </w:pPr>
      <w:r w:rsidRPr="005B3CC5">
        <w:rPr>
          <w:rFonts w:ascii="Calibri" w:hAnsi="Calibri"/>
          <w:noProof/>
          <w:lang w:eastAsia="zh-CN"/>
        </w:rPr>
        <w:lastRenderedPageBreak/>
        <mc:AlternateContent>
          <mc:Choice Requires="wps">
            <w:drawing>
              <wp:anchor distT="0" distB="0" distL="114300" distR="114300" simplePos="0" relativeHeight="251661312" behindDoc="0" locked="0" layoutInCell="1" allowOverlap="1" wp14:anchorId="6BA07A2E" wp14:editId="067C3904">
                <wp:simplePos x="0" y="0"/>
                <wp:positionH relativeFrom="margin">
                  <wp:posOffset>441960</wp:posOffset>
                </wp:positionH>
                <wp:positionV relativeFrom="paragraph">
                  <wp:posOffset>2938145</wp:posOffset>
                </wp:positionV>
                <wp:extent cx="5429250" cy="3714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429250" cy="371475"/>
                        </a:xfrm>
                        <a:prstGeom prst="rect">
                          <a:avLst/>
                        </a:prstGeom>
                        <a:solidFill>
                          <a:sysClr val="window" lastClr="FFFFFF"/>
                        </a:solidFill>
                        <a:ln w="6350">
                          <a:noFill/>
                        </a:ln>
                      </wps:spPr>
                      <wps:txbx>
                        <w:txbxContent>
                          <w:p w14:paraId="799E4B29" w14:textId="218514F8" w:rsidR="005B3CC5" w:rsidRPr="005B3CC5" w:rsidRDefault="005B3CC5" w:rsidP="005B3CC5">
                            <w:pPr>
                              <w:tabs>
                                <w:tab w:val="clear" w:pos="794"/>
                                <w:tab w:val="clear" w:pos="1191"/>
                                <w:tab w:val="clear" w:pos="1588"/>
                                <w:tab w:val="clear" w:pos="1985"/>
                                <w:tab w:val="center" w:pos="2268"/>
                              </w:tabs>
                              <w:spacing w:before="0"/>
                              <w:rPr>
                                <w:sz w:val="18"/>
                                <w:szCs w:val="18"/>
                                <w:lang w:val="es-ES"/>
                              </w:rPr>
                            </w:pPr>
                            <w:r w:rsidRPr="005B3CC5">
                              <w:rPr>
                                <w:sz w:val="18"/>
                                <w:szCs w:val="18"/>
                                <w:lang w:val="es-ES"/>
                              </w:rPr>
                              <w:t xml:space="preserve">     </w:t>
                            </w:r>
                            <w:r w:rsidRPr="005B3CC5">
                              <w:rPr>
                                <w:sz w:val="18"/>
                                <w:szCs w:val="18"/>
                                <w:lang w:val="es-ES"/>
                              </w:rPr>
                              <w:t>África</w:t>
                            </w:r>
                            <w:r w:rsidRPr="005B3CC5">
                              <w:rPr>
                                <w:sz w:val="18"/>
                                <w:szCs w:val="18"/>
                                <w:lang w:val="es-ES"/>
                              </w:rPr>
                              <w:t xml:space="preserve">   </w:t>
                            </w:r>
                            <w:r w:rsidRPr="005B3CC5">
                              <w:rPr>
                                <w:sz w:val="18"/>
                                <w:szCs w:val="18"/>
                                <w:lang w:val="es-ES"/>
                              </w:rPr>
                              <w:t xml:space="preserve">      </w:t>
                            </w:r>
                            <w:r w:rsidRPr="005B3CC5">
                              <w:rPr>
                                <w:sz w:val="18"/>
                                <w:szCs w:val="18"/>
                                <w:lang w:val="es-ES"/>
                              </w:rPr>
                              <w:t xml:space="preserve">          </w:t>
                            </w:r>
                            <w:r w:rsidRPr="005B3CC5">
                              <w:rPr>
                                <w:sz w:val="18"/>
                                <w:szCs w:val="18"/>
                                <w:lang w:val="es-ES"/>
                              </w:rPr>
                              <w:t>Américas</w:t>
                            </w:r>
                            <w:r w:rsidRPr="005B3CC5">
                              <w:rPr>
                                <w:sz w:val="18"/>
                                <w:szCs w:val="18"/>
                                <w:lang w:val="es-ES"/>
                              </w:rPr>
                              <w:t xml:space="preserve">                 </w:t>
                            </w:r>
                            <w:r w:rsidRPr="005B3CC5">
                              <w:rPr>
                                <w:sz w:val="18"/>
                                <w:szCs w:val="18"/>
                                <w:lang w:val="es-ES"/>
                              </w:rPr>
                              <w:t>Es</w:t>
                            </w:r>
                            <w:r>
                              <w:rPr>
                                <w:sz w:val="18"/>
                                <w:szCs w:val="18"/>
                                <w:lang w:val="es-ES"/>
                              </w:rPr>
                              <w:t>tados</w:t>
                            </w:r>
                            <w:r w:rsidRPr="005B3CC5">
                              <w:rPr>
                                <w:sz w:val="18"/>
                                <w:szCs w:val="18"/>
                                <w:lang w:val="es-ES"/>
                              </w:rPr>
                              <w:t xml:space="preserve">                </w:t>
                            </w:r>
                            <w:r>
                              <w:rPr>
                                <w:sz w:val="18"/>
                                <w:szCs w:val="18"/>
                                <w:lang w:val="es-ES"/>
                              </w:rPr>
                              <w:t>Asia-</w:t>
                            </w:r>
                            <w:r w:rsidRPr="005B3CC5">
                              <w:rPr>
                                <w:sz w:val="18"/>
                                <w:szCs w:val="18"/>
                                <w:lang w:val="es-ES"/>
                              </w:rPr>
                              <w:t xml:space="preserve">                      CEI                     </w:t>
                            </w:r>
                            <w:proofErr w:type="spellStart"/>
                            <w:r>
                              <w:rPr>
                                <w:sz w:val="18"/>
                                <w:szCs w:val="18"/>
                                <w:lang w:val="es-ES"/>
                              </w:rPr>
                              <w:t>Europa</w:t>
                            </w:r>
                            <w:proofErr w:type="spellEnd"/>
                            <w:r w:rsidRPr="005B3CC5">
                              <w:rPr>
                                <w:sz w:val="18"/>
                                <w:szCs w:val="18"/>
                                <w:lang w:val="es-ES"/>
                              </w:rPr>
                              <w:t xml:space="preserve">               </w:t>
                            </w:r>
                            <w:r>
                              <w:rPr>
                                <w:sz w:val="18"/>
                                <w:szCs w:val="18"/>
                                <w:lang w:val="es-ES"/>
                              </w:rPr>
                              <w:t xml:space="preserve">  </w:t>
                            </w:r>
                            <w:r w:rsidRPr="005B3CC5">
                              <w:rPr>
                                <w:sz w:val="18"/>
                                <w:szCs w:val="18"/>
                                <w:lang w:val="es-ES"/>
                              </w:rPr>
                              <w:t xml:space="preserve"> </w:t>
                            </w:r>
                            <w:r>
                              <w:rPr>
                                <w:sz w:val="18"/>
                                <w:szCs w:val="18"/>
                                <w:lang w:val="es-ES"/>
                              </w:rPr>
                              <w:t>Mundial</w:t>
                            </w:r>
                          </w:p>
                          <w:p w14:paraId="48B67003" w14:textId="437C5F68" w:rsidR="005B3CC5" w:rsidRDefault="005B3CC5" w:rsidP="005B3CC5">
                            <w:pPr>
                              <w:tabs>
                                <w:tab w:val="clear" w:pos="794"/>
                                <w:tab w:val="clear" w:pos="1191"/>
                                <w:tab w:val="clear" w:pos="1588"/>
                                <w:tab w:val="clear" w:pos="1985"/>
                                <w:tab w:val="center" w:pos="2268"/>
                              </w:tabs>
                              <w:spacing w:before="0"/>
                            </w:pPr>
                            <w:r w:rsidRPr="005B3CC5">
                              <w:rPr>
                                <w:sz w:val="18"/>
                                <w:szCs w:val="18"/>
                                <w:lang w:val="es-ES"/>
                              </w:rPr>
                              <w:t xml:space="preserve">                                                              </w:t>
                            </w:r>
                            <w:r>
                              <w:rPr>
                                <w:sz w:val="18"/>
                                <w:szCs w:val="18"/>
                                <w:lang w:val="es-ES"/>
                              </w:rPr>
                              <w:t xml:space="preserve"> </w:t>
                            </w:r>
                            <w:r w:rsidRPr="005B3CC5">
                              <w:rPr>
                                <w:sz w:val="18"/>
                                <w:szCs w:val="18"/>
                                <w:lang w:val="es-ES"/>
                              </w:rPr>
                              <w:t xml:space="preserve">    </w:t>
                            </w:r>
                            <w:r>
                              <w:rPr>
                                <w:sz w:val="18"/>
                                <w:szCs w:val="18"/>
                                <w:lang w:val="es-ES"/>
                              </w:rPr>
                              <w:t xml:space="preserve"> </w:t>
                            </w:r>
                            <w:proofErr w:type="spellStart"/>
                            <w:proofErr w:type="gramStart"/>
                            <w:r>
                              <w:rPr>
                                <w:sz w:val="18"/>
                                <w:szCs w:val="18"/>
                              </w:rPr>
                              <w:t>árabes</w:t>
                            </w:r>
                            <w:proofErr w:type="spellEnd"/>
                            <w:proofErr w:type="gramEnd"/>
                            <w:r w:rsidRPr="000545B1">
                              <w:rPr>
                                <w:sz w:val="18"/>
                                <w:szCs w:val="18"/>
                              </w:rPr>
                              <w:t xml:space="preserve">      </w:t>
                            </w:r>
                            <w:r>
                              <w:rPr>
                                <w:sz w:val="18"/>
                                <w:szCs w:val="18"/>
                              </w:rPr>
                              <w:t xml:space="preserve">       </w:t>
                            </w:r>
                            <w:r w:rsidRPr="000545B1">
                              <w:rPr>
                                <w:sz w:val="18"/>
                                <w:szCs w:val="18"/>
                              </w:rPr>
                              <w:t xml:space="preserve">  </w:t>
                            </w:r>
                            <w:proofErr w:type="spellStart"/>
                            <w:r w:rsidR="00204CA1">
                              <w:rPr>
                                <w:sz w:val="18"/>
                                <w:szCs w:val="18"/>
                              </w:rPr>
                              <w:t>Pacífico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07A2E" id="_x0000_t202" coordsize="21600,21600" o:spt="202" path="m,l,21600r21600,l21600,xe">
                <v:stroke joinstyle="miter"/>
                <v:path gradientshapeok="t" o:connecttype="rect"/>
              </v:shapetype>
              <v:shape id="Text Box 2" o:spid="_x0000_s1026" type="#_x0000_t202" style="position:absolute;left:0;text-align:left;margin-left:34.8pt;margin-top:231.35pt;width:427.5pt;height:2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9eTAIAAJEEAAAOAAAAZHJzL2Uyb0RvYy54bWysVN9v2jAQfp+0/8Hy+wik0K6ooWKtmCah&#10;thKd+mwcp0RyfJ5tSNhfv88OUNbtaVoenPPd5X58311ubrtGs51yviZT8NFgyJkyksravBb8+/Pi&#10;02fOfBCmFJqMKvheeX47+/jhprVTldOGdKkcQxDjp60t+CYEO80yLzeqEX5AVhkYK3KNCLi616x0&#10;okX0Rmf5cHiZteRK60gq76G97418luJXlZLhsaq8CkwXHLWFdLp0ruOZzW7E9NUJu6nloQzxD1U0&#10;ojZIegp1L4JgW1f/EaqppSNPVRhIajKqqlqq1AO6GQ3fdbPaCKtSLwDH2xNM/v+FlQ+7J8fqsuA5&#10;Z0Y0oOhZdYF9oY7lEZ3W+imcVhZuoYMaLB/1HsrYdFe5Jr7RDoMdOO9P2MZgEsrJOL/OJzBJ2C6u&#10;RuOrSQyTvX1tnQ9fFTUsCgV34C5BKnZLH3rXo0tM5knX5aLWOl32/k47thOgGdNRUsuZFj5AWfBF&#10;eg7ZfvtMG9YW/PICdcUohmK8PpU2KC423zcZpdCtuwTVCYA1lXvg4qifK2/lokbxS2R+Eg6DhH6x&#10;HOERR6UJueggcbYh9/Nv+ugPfmHlrMVgFtz/2Aqn0NA3A+avR+NxnOR0GU+uclzcuWV9bjHb5o4A&#10;yghraGUSo3/QR7Fy1Lxgh+YxK0zCSOQueDiKd6FfF+ygVPN5csLsWhGWZmVlDB2xi9Q8dy/C2QN/&#10;Acw/0HGExfQdjb1vj/p8G6iqE8cR5x7VA/yY+zQlhx2Ni3V+T15vf5LZLwAAAP//AwBQSwMEFAAG&#10;AAgAAAAhAFADZc7iAAAACgEAAA8AAABkcnMvZG93bnJldi54bWxMj8FOwzAMhu9IvENkJG4sXTQK&#10;K00nhEAwadWgIHHNGtMWGqdKsrXs6QknONr+9Pv789VkenZA5ztLEuazBBhSbXVHjYS314eLa2A+&#10;KNKqt4QSvtHDqjg9yVWm7UgveKhCw2II+UxJaEMYMs593aJRfmYHpHj7sM6oEEfXcO3UGMNNz0WS&#10;pNyojuKHVg1412L9Ve2NhPexenTb9frzeXgqj9tjVW7wvpTy/Gy6vQEWcAp/MPzqR3UootPO7kl7&#10;1ktIl2kkJSxScQUsAkuxiJudhEsxF8CLnP+vUPwAAAD//wMAUEsBAi0AFAAGAAgAAAAhALaDOJL+&#10;AAAA4QEAABMAAAAAAAAAAAAAAAAAAAAAAFtDb250ZW50X1R5cGVzXS54bWxQSwECLQAUAAYACAAA&#10;ACEAOP0h/9YAAACUAQAACwAAAAAAAAAAAAAAAAAvAQAAX3JlbHMvLnJlbHNQSwECLQAUAAYACAAA&#10;ACEAZM9/XkwCAACRBAAADgAAAAAAAAAAAAAAAAAuAgAAZHJzL2Uyb0RvYy54bWxQSwECLQAUAAYA&#10;CAAAACEAUANlzuIAAAAKAQAADwAAAAAAAAAAAAAAAACmBAAAZHJzL2Rvd25yZXYueG1sUEsFBgAA&#10;AAAEAAQA8wAAALUFAAAAAA==&#10;" fillcolor="window" stroked="f" strokeweight=".5pt">
                <v:textbox>
                  <w:txbxContent>
                    <w:p w14:paraId="799E4B29" w14:textId="218514F8" w:rsidR="005B3CC5" w:rsidRPr="005B3CC5" w:rsidRDefault="005B3CC5" w:rsidP="005B3CC5">
                      <w:pPr>
                        <w:tabs>
                          <w:tab w:val="clear" w:pos="794"/>
                          <w:tab w:val="clear" w:pos="1191"/>
                          <w:tab w:val="clear" w:pos="1588"/>
                          <w:tab w:val="clear" w:pos="1985"/>
                          <w:tab w:val="center" w:pos="2268"/>
                        </w:tabs>
                        <w:spacing w:before="0"/>
                        <w:rPr>
                          <w:sz w:val="18"/>
                          <w:szCs w:val="18"/>
                          <w:lang w:val="es-ES"/>
                        </w:rPr>
                      </w:pPr>
                      <w:r w:rsidRPr="005B3CC5">
                        <w:rPr>
                          <w:sz w:val="18"/>
                          <w:szCs w:val="18"/>
                          <w:lang w:val="es-ES"/>
                        </w:rPr>
                        <w:t xml:space="preserve">     </w:t>
                      </w:r>
                      <w:r w:rsidRPr="005B3CC5">
                        <w:rPr>
                          <w:sz w:val="18"/>
                          <w:szCs w:val="18"/>
                          <w:lang w:val="es-ES"/>
                        </w:rPr>
                        <w:t>África</w:t>
                      </w:r>
                      <w:r w:rsidRPr="005B3CC5">
                        <w:rPr>
                          <w:sz w:val="18"/>
                          <w:szCs w:val="18"/>
                          <w:lang w:val="es-ES"/>
                        </w:rPr>
                        <w:t xml:space="preserve">   </w:t>
                      </w:r>
                      <w:r w:rsidRPr="005B3CC5">
                        <w:rPr>
                          <w:sz w:val="18"/>
                          <w:szCs w:val="18"/>
                          <w:lang w:val="es-ES"/>
                        </w:rPr>
                        <w:t xml:space="preserve">      </w:t>
                      </w:r>
                      <w:r w:rsidRPr="005B3CC5">
                        <w:rPr>
                          <w:sz w:val="18"/>
                          <w:szCs w:val="18"/>
                          <w:lang w:val="es-ES"/>
                        </w:rPr>
                        <w:t xml:space="preserve">          </w:t>
                      </w:r>
                      <w:r w:rsidRPr="005B3CC5">
                        <w:rPr>
                          <w:sz w:val="18"/>
                          <w:szCs w:val="18"/>
                          <w:lang w:val="es-ES"/>
                        </w:rPr>
                        <w:t>Américas</w:t>
                      </w:r>
                      <w:r w:rsidRPr="005B3CC5">
                        <w:rPr>
                          <w:sz w:val="18"/>
                          <w:szCs w:val="18"/>
                          <w:lang w:val="es-ES"/>
                        </w:rPr>
                        <w:t xml:space="preserve">                 </w:t>
                      </w:r>
                      <w:r w:rsidRPr="005B3CC5">
                        <w:rPr>
                          <w:sz w:val="18"/>
                          <w:szCs w:val="18"/>
                          <w:lang w:val="es-ES"/>
                        </w:rPr>
                        <w:t>Es</w:t>
                      </w:r>
                      <w:r>
                        <w:rPr>
                          <w:sz w:val="18"/>
                          <w:szCs w:val="18"/>
                          <w:lang w:val="es-ES"/>
                        </w:rPr>
                        <w:t>tados</w:t>
                      </w:r>
                      <w:r w:rsidRPr="005B3CC5">
                        <w:rPr>
                          <w:sz w:val="18"/>
                          <w:szCs w:val="18"/>
                          <w:lang w:val="es-ES"/>
                        </w:rPr>
                        <w:t xml:space="preserve">                </w:t>
                      </w:r>
                      <w:r>
                        <w:rPr>
                          <w:sz w:val="18"/>
                          <w:szCs w:val="18"/>
                          <w:lang w:val="es-ES"/>
                        </w:rPr>
                        <w:t>Asia-</w:t>
                      </w:r>
                      <w:r w:rsidRPr="005B3CC5">
                        <w:rPr>
                          <w:sz w:val="18"/>
                          <w:szCs w:val="18"/>
                          <w:lang w:val="es-ES"/>
                        </w:rPr>
                        <w:t xml:space="preserve">                      CEI                     </w:t>
                      </w:r>
                      <w:proofErr w:type="spellStart"/>
                      <w:r>
                        <w:rPr>
                          <w:sz w:val="18"/>
                          <w:szCs w:val="18"/>
                          <w:lang w:val="es-ES"/>
                        </w:rPr>
                        <w:t>Europa</w:t>
                      </w:r>
                      <w:proofErr w:type="spellEnd"/>
                      <w:r w:rsidRPr="005B3CC5">
                        <w:rPr>
                          <w:sz w:val="18"/>
                          <w:szCs w:val="18"/>
                          <w:lang w:val="es-ES"/>
                        </w:rPr>
                        <w:t xml:space="preserve">               </w:t>
                      </w:r>
                      <w:r>
                        <w:rPr>
                          <w:sz w:val="18"/>
                          <w:szCs w:val="18"/>
                          <w:lang w:val="es-ES"/>
                        </w:rPr>
                        <w:t xml:space="preserve">  </w:t>
                      </w:r>
                      <w:r w:rsidRPr="005B3CC5">
                        <w:rPr>
                          <w:sz w:val="18"/>
                          <w:szCs w:val="18"/>
                          <w:lang w:val="es-ES"/>
                        </w:rPr>
                        <w:t xml:space="preserve"> </w:t>
                      </w:r>
                      <w:r>
                        <w:rPr>
                          <w:sz w:val="18"/>
                          <w:szCs w:val="18"/>
                          <w:lang w:val="es-ES"/>
                        </w:rPr>
                        <w:t>Mundial</w:t>
                      </w:r>
                    </w:p>
                    <w:p w14:paraId="48B67003" w14:textId="437C5F68" w:rsidR="005B3CC5" w:rsidRDefault="005B3CC5" w:rsidP="005B3CC5">
                      <w:pPr>
                        <w:tabs>
                          <w:tab w:val="clear" w:pos="794"/>
                          <w:tab w:val="clear" w:pos="1191"/>
                          <w:tab w:val="clear" w:pos="1588"/>
                          <w:tab w:val="clear" w:pos="1985"/>
                          <w:tab w:val="center" w:pos="2268"/>
                        </w:tabs>
                        <w:spacing w:before="0"/>
                      </w:pPr>
                      <w:r w:rsidRPr="005B3CC5">
                        <w:rPr>
                          <w:sz w:val="18"/>
                          <w:szCs w:val="18"/>
                          <w:lang w:val="es-ES"/>
                        </w:rPr>
                        <w:t xml:space="preserve">                                                              </w:t>
                      </w:r>
                      <w:r>
                        <w:rPr>
                          <w:sz w:val="18"/>
                          <w:szCs w:val="18"/>
                          <w:lang w:val="es-ES"/>
                        </w:rPr>
                        <w:t xml:space="preserve"> </w:t>
                      </w:r>
                      <w:r w:rsidRPr="005B3CC5">
                        <w:rPr>
                          <w:sz w:val="18"/>
                          <w:szCs w:val="18"/>
                          <w:lang w:val="es-ES"/>
                        </w:rPr>
                        <w:t xml:space="preserve">    </w:t>
                      </w:r>
                      <w:r>
                        <w:rPr>
                          <w:sz w:val="18"/>
                          <w:szCs w:val="18"/>
                          <w:lang w:val="es-ES"/>
                        </w:rPr>
                        <w:t xml:space="preserve"> </w:t>
                      </w:r>
                      <w:proofErr w:type="spellStart"/>
                      <w:proofErr w:type="gramStart"/>
                      <w:r>
                        <w:rPr>
                          <w:sz w:val="18"/>
                          <w:szCs w:val="18"/>
                        </w:rPr>
                        <w:t>árabes</w:t>
                      </w:r>
                      <w:proofErr w:type="spellEnd"/>
                      <w:proofErr w:type="gramEnd"/>
                      <w:r w:rsidRPr="000545B1">
                        <w:rPr>
                          <w:sz w:val="18"/>
                          <w:szCs w:val="18"/>
                        </w:rPr>
                        <w:t xml:space="preserve">      </w:t>
                      </w:r>
                      <w:r>
                        <w:rPr>
                          <w:sz w:val="18"/>
                          <w:szCs w:val="18"/>
                        </w:rPr>
                        <w:t xml:space="preserve">       </w:t>
                      </w:r>
                      <w:r w:rsidRPr="000545B1">
                        <w:rPr>
                          <w:sz w:val="18"/>
                          <w:szCs w:val="18"/>
                        </w:rPr>
                        <w:t xml:space="preserve">  </w:t>
                      </w:r>
                      <w:proofErr w:type="spellStart"/>
                      <w:r w:rsidR="00204CA1">
                        <w:rPr>
                          <w:sz w:val="18"/>
                          <w:szCs w:val="18"/>
                        </w:rPr>
                        <w:t>Pacífico</w:t>
                      </w:r>
                      <w:proofErr w:type="spellEnd"/>
                    </w:p>
                  </w:txbxContent>
                </v:textbox>
                <w10:wrap anchorx="margin"/>
              </v:shape>
            </w:pict>
          </mc:Fallback>
        </mc:AlternateContent>
      </w:r>
      <w:r w:rsidRPr="005B3CC5">
        <w:rPr>
          <w:rFonts w:ascii="Calibri" w:hAnsi="Calibri"/>
          <w:noProof/>
          <w:lang w:eastAsia="zh-CN"/>
        </w:rPr>
        <w:t xml:space="preserve"> </w:t>
      </w:r>
      <w:r w:rsidRPr="005B3CC5">
        <w:rPr>
          <w:rFonts w:ascii="Calibri" w:hAnsi="Calibri"/>
          <w:noProof/>
          <w:lang w:eastAsia="zh-CN"/>
        </w:rPr>
        <w:drawing>
          <wp:inline distT="0" distB="0" distL="0" distR="0" wp14:anchorId="66A3FD22" wp14:editId="1260CBC8">
            <wp:extent cx="5848350" cy="31527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C6FC43" w14:textId="24C8634B" w:rsidR="005B3CC5" w:rsidRDefault="005B3CC5" w:rsidP="00D026E9">
      <w:pPr>
        <w:rPr>
          <w:lang w:val="es-ES_tradnl"/>
        </w:rPr>
      </w:pPr>
    </w:p>
    <w:p w14:paraId="68C40C55" w14:textId="77777777" w:rsidR="00260EDA" w:rsidRPr="00260EDA" w:rsidRDefault="00260EDA" w:rsidP="00260EDA">
      <w:pPr>
        <w:jc w:val="center"/>
        <w:rPr>
          <w:rFonts w:ascii="Calibri" w:hAnsi="Calibri"/>
          <w:noProof/>
          <w:lang w:val="es-ES_tradnl" w:eastAsia="zh-CN"/>
        </w:rPr>
      </w:pPr>
      <w:r w:rsidRPr="00260EDA">
        <w:rPr>
          <w:rFonts w:ascii="Calibri" w:hAnsi="Calibri"/>
          <w:noProof/>
          <w:lang w:val="es-ES_tradnl" w:eastAsia="zh-CN"/>
        </w:rPr>
        <w:drawing>
          <wp:inline distT="0" distB="0" distL="0" distR="0" wp14:anchorId="76DABC8E" wp14:editId="67041D7E">
            <wp:extent cx="5819775" cy="3522345"/>
            <wp:effectExtent l="0" t="0" r="9525" b="19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CF60F7" w14:textId="77777777" w:rsidR="00B256D2" w:rsidRPr="00DD77A3" w:rsidRDefault="00B256D2" w:rsidP="009708A8">
      <w:pPr>
        <w:pStyle w:val="Heading1"/>
        <w:rPr>
          <w:lang w:val="es-ES_tradnl" w:eastAsia="zh-CN"/>
        </w:rPr>
      </w:pPr>
      <w:r w:rsidRPr="00DD77A3">
        <w:rPr>
          <w:lang w:val="es-ES_tradnl" w:eastAsia="zh-CN"/>
        </w:rPr>
        <w:t>5</w:t>
      </w:r>
      <w:r w:rsidRPr="00DD77A3">
        <w:rPr>
          <w:lang w:val="es-ES_tradnl" w:eastAsia="zh-CN"/>
        </w:rPr>
        <w:tab/>
      </w:r>
      <w:r w:rsidRPr="00DD77A3">
        <w:rPr>
          <w:lang w:val="es-ES_tradnl"/>
        </w:rPr>
        <w:t>Proyectos en curso, por ámbitos de acción</w:t>
      </w:r>
    </w:p>
    <w:p w14:paraId="0F926647" w14:textId="206FDBEA" w:rsidR="006C49BE" w:rsidRPr="00DD77A3" w:rsidRDefault="00B256D2" w:rsidP="00D1456E">
      <w:pPr>
        <w:rPr>
          <w:lang w:val="es-ES_tradnl"/>
        </w:rPr>
      </w:pPr>
      <w:r w:rsidRPr="00DD77A3">
        <w:rPr>
          <w:lang w:val="es-ES_tradnl"/>
        </w:rPr>
        <w:t xml:space="preserve">A </w:t>
      </w:r>
      <w:r w:rsidR="006C49BE" w:rsidRPr="00DD77A3">
        <w:rPr>
          <w:lang w:val="es-ES_tradnl"/>
        </w:rPr>
        <w:t>continuación,</w:t>
      </w:r>
      <w:r w:rsidRPr="00DD77A3">
        <w:rPr>
          <w:lang w:val="es-ES_tradnl"/>
        </w:rPr>
        <w:t xml:space="preserve"> se presenta la distribución de los 69 proyectos en curso. La clasificación por prioridad temática demuestra claramente que la mayoría de </w:t>
      </w:r>
      <w:proofErr w:type="gramStart"/>
      <w:r w:rsidRPr="00DD77A3">
        <w:rPr>
          <w:lang w:val="es-ES_tradnl"/>
        </w:rPr>
        <w:t>proyectos</w:t>
      </w:r>
      <w:proofErr w:type="gramEnd"/>
      <w:r w:rsidRPr="00DD77A3">
        <w:rPr>
          <w:lang w:val="es-ES_tradnl"/>
        </w:rPr>
        <w:t xml:space="preserve"> se enmarcan en los ámbitos de infraestructura digital y de redes, servicios y aplicaciones digitales, y capacitación</w:t>
      </w:r>
      <w:r w:rsidRPr="00DD77A3">
        <w:rPr>
          <w:rStyle w:val="FootnoteReference"/>
          <w:lang w:val="es-ES_tradnl"/>
        </w:rPr>
        <w:footnoteReference w:id="2"/>
      </w:r>
      <w:r w:rsidRPr="00DD77A3">
        <w:rPr>
          <w:lang w:val="es-ES_tradnl"/>
        </w:rPr>
        <w:t>.</w:t>
      </w:r>
    </w:p>
    <w:p w14:paraId="55E95523" w14:textId="22808FDF" w:rsidR="006C49BE" w:rsidRPr="00DD77A3" w:rsidRDefault="006C49BE" w:rsidP="00D1456E">
      <w:pPr>
        <w:rPr>
          <w:lang w:val="es-ES_tradnl"/>
        </w:rPr>
      </w:pPr>
      <w:r w:rsidRPr="00DD77A3">
        <w:rPr>
          <w:noProof/>
          <w:lang w:val="es-ES_tradnl" w:eastAsia="zh-CN"/>
        </w:rPr>
        <w:lastRenderedPageBreak/>
        <w:drawing>
          <wp:inline distT="0" distB="0" distL="0" distR="0" wp14:anchorId="391C2CE9" wp14:editId="00001B9E">
            <wp:extent cx="5920740" cy="3259455"/>
            <wp:effectExtent l="0" t="0" r="3810" b="1714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6F572A" w14:textId="77777777" w:rsidR="00B256D2" w:rsidRPr="00DD77A3" w:rsidRDefault="00B256D2" w:rsidP="009708A8">
      <w:pPr>
        <w:pStyle w:val="Heading1"/>
        <w:rPr>
          <w:lang w:val="es-ES_tradnl"/>
        </w:rPr>
      </w:pPr>
      <w:r w:rsidRPr="00DD77A3">
        <w:rPr>
          <w:lang w:val="es-ES_tradnl"/>
        </w:rPr>
        <w:t>6</w:t>
      </w:r>
      <w:r w:rsidRPr="00DD77A3">
        <w:rPr>
          <w:lang w:val="es-ES_tradnl"/>
        </w:rPr>
        <w:tab/>
        <w:t>Proyectos en desarrollo pendientes de firma</w:t>
      </w:r>
    </w:p>
    <w:p w14:paraId="276F8D4C" w14:textId="77777777" w:rsidR="00B256D2" w:rsidRPr="00DD77A3" w:rsidRDefault="00B256D2" w:rsidP="006E32C5">
      <w:pPr>
        <w:spacing w:after="120"/>
        <w:rPr>
          <w:lang w:val="es-ES_tradnl"/>
        </w:rPr>
      </w:pPr>
      <w:r w:rsidRPr="00DD77A3">
        <w:rPr>
          <w:lang w:val="es-ES_tradnl"/>
        </w:rPr>
        <w:t>Varios proyectos se encuentran en fase de desarrollo y su firma está prevista para el segundo trimestre de 2020. Entre ellos, cabe citar los siguientes:</w:t>
      </w:r>
    </w:p>
    <w:p w14:paraId="7D8C686F" w14:textId="7BDEA022" w:rsidR="00B256D2" w:rsidRPr="00DD77A3" w:rsidRDefault="00B256D2" w:rsidP="0084464B">
      <w:pPr>
        <w:pStyle w:val="enumlev1"/>
        <w:rPr>
          <w:lang w:val="es-ES_tradnl"/>
        </w:rPr>
      </w:pPr>
      <w:r w:rsidRPr="00DD77A3">
        <w:rPr>
          <w:lang w:val="es-ES_tradnl"/>
        </w:rPr>
        <w:t>1)</w:t>
      </w:r>
      <w:r w:rsidRPr="00DD77A3">
        <w:rPr>
          <w:lang w:val="es-ES_tradnl"/>
        </w:rPr>
        <w:tab/>
      </w:r>
      <w:r w:rsidR="00833CCD">
        <w:rPr>
          <w:lang w:val="es-ES_tradnl"/>
        </w:rPr>
        <w:t>A</w:t>
      </w:r>
      <w:r w:rsidRPr="00DD77A3">
        <w:rPr>
          <w:lang w:val="es-ES_tradnl"/>
        </w:rPr>
        <w:t>ctualizar el marco reglamentario del sector de las telecomunicaciones en la República de Panamá</w:t>
      </w:r>
      <w:r w:rsidR="00833CCD">
        <w:rPr>
          <w:lang w:val="es-ES_tradnl"/>
        </w:rPr>
        <w:t>.</w:t>
      </w:r>
    </w:p>
    <w:p w14:paraId="0E8F6F23" w14:textId="1A819BC1" w:rsidR="00B256D2" w:rsidRPr="00DD77A3" w:rsidRDefault="00B256D2" w:rsidP="009708A8">
      <w:pPr>
        <w:pStyle w:val="enumlev1"/>
        <w:rPr>
          <w:lang w:val="es-ES_tradnl"/>
        </w:rPr>
      </w:pPr>
      <w:r w:rsidRPr="00DD77A3">
        <w:rPr>
          <w:lang w:val="es-ES_tradnl"/>
        </w:rPr>
        <w:t>2)</w:t>
      </w:r>
      <w:r w:rsidRPr="00DD77A3">
        <w:rPr>
          <w:lang w:val="es-ES_tradnl"/>
        </w:rPr>
        <w:tab/>
        <w:t>Asesoría especializada en la valoración de las bandas de 700 MHz y 2,5 GHz para el servicio móvil avanzado en el marco de su asignación o la renovación de licencias en Ecuador</w:t>
      </w:r>
      <w:r w:rsidR="00833CCD">
        <w:rPr>
          <w:lang w:val="es-ES_tradnl"/>
        </w:rPr>
        <w:t>.</w:t>
      </w:r>
    </w:p>
    <w:p w14:paraId="2FA756E0" w14:textId="4D60EDC2" w:rsidR="00B256D2" w:rsidRPr="00DD77A3" w:rsidRDefault="00B256D2" w:rsidP="009708A8">
      <w:pPr>
        <w:pStyle w:val="enumlev1"/>
        <w:rPr>
          <w:lang w:val="es-ES_tradnl"/>
        </w:rPr>
      </w:pPr>
      <w:r w:rsidRPr="00DD77A3">
        <w:rPr>
          <w:lang w:val="es-ES_tradnl"/>
        </w:rPr>
        <w:t>3)</w:t>
      </w:r>
      <w:r w:rsidRPr="00DD77A3">
        <w:rPr>
          <w:lang w:val="es-ES_tradnl"/>
        </w:rPr>
        <w:tab/>
        <w:t>Asesoría y apoyo a las administraciones en la utilización de frecuencias del dividendo digital y la gestión del espectro</w:t>
      </w:r>
      <w:r w:rsidR="00833CCD">
        <w:rPr>
          <w:lang w:val="es-ES_tradnl"/>
        </w:rPr>
        <w:t>.</w:t>
      </w:r>
    </w:p>
    <w:p w14:paraId="41BC9BF4" w14:textId="5D4E24A2" w:rsidR="00B256D2" w:rsidRPr="00DD77A3" w:rsidRDefault="00B256D2" w:rsidP="009708A8">
      <w:pPr>
        <w:pStyle w:val="enumlev1"/>
        <w:rPr>
          <w:lang w:val="es-ES_tradnl"/>
        </w:rPr>
      </w:pPr>
      <w:r w:rsidRPr="00DD77A3">
        <w:rPr>
          <w:lang w:val="es-ES_tradnl"/>
        </w:rPr>
        <w:t>4)</w:t>
      </w:r>
      <w:r w:rsidRPr="00DD77A3">
        <w:rPr>
          <w:lang w:val="es-ES_tradnl"/>
        </w:rPr>
        <w:tab/>
        <w:t>Despliegue de la infraestructura de banda ancha, especialmente en zonas rurales y desatendidas, y fortalecimiento del acceso a servicios y aplicaciones de banda ancha</w:t>
      </w:r>
      <w:r w:rsidR="00833CCD">
        <w:rPr>
          <w:lang w:val="es-ES_tradnl"/>
        </w:rPr>
        <w:t>.</w:t>
      </w:r>
    </w:p>
    <w:p w14:paraId="7BB7AB8A" w14:textId="54049664" w:rsidR="00B256D2" w:rsidRPr="00DD77A3" w:rsidRDefault="00B256D2" w:rsidP="009708A8">
      <w:pPr>
        <w:pStyle w:val="enumlev1"/>
        <w:rPr>
          <w:lang w:val="es-ES_tradnl"/>
        </w:rPr>
      </w:pPr>
      <w:r w:rsidRPr="00DD77A3">
        <w:rPr>
          <w:lang w:val="es-ES_tradnl"/>
        </w:rPr>
        <w:t>5)</w:t>
      </w:r>
      <w:r w:rsidRPr="00DD77A3">
        <w:rPr>
          <w:lang w:val="es-ES_tradnl"/>
        </w:rPr>
        <w:tab/>
        <w:t>Comparación de las TIC en la subregión del África Central</w:t>
      </w:r>
      <w:r w:rsidR="00833CCD">
        <w:rPr>
          <w:lang w:val="es-ES_tradnl"/>
        </w:rPr>
        <w:t>.</w:t>
      </w:r>
    </w:p>
    <w:p w14:paraId="503CCD69" w14:textId="43560515" w:rsidR="00B256D2" w:rsidRPr="00DD77A3" w:rsidRDefault="00B256D2" w:rsidP="009708A8">
      <w:pPr>
        <w:pStyle w:val="enumlev1"/>
        <w:rPr>
          <w:lang w:val="es-ES_tradnl"/>
        </w:rPr>
      </w:pPr>
      <w:r w:rsidRPr="00DD77A3">
        <w:rPr>
          <w:lang w:val="es-ES_tradnl"/>
        </w:rPr>
        <w:t>6)</w:t>
      </w:r>
      <w:r w:rsidRPr="00DD77A3">
        <w:rPr>
          <w:lang w:val="es-ES_tradnl"/>
        </w:rPr>
        <w:tab/>
      </w:r>
      <w:r w:rsidR="00833CCD">
        <w:rPr>
          <w:lang w:val="es-ES_tradnl"/>
        </w:rPr>
        <w:t>F</w:t>
      </w:r>
      <w:r w:rsidRPr="00DD77A3">
        <w:rPr>
          <w:lang w:val="es-ES_tradnl"/>
        </w:rPr>
        <w:t>omento del trabajo decente y mejora de las capacidades de los jóvenes en la economía digital africana</w:t>
      </w:r>
      <w:r w:rsidR="00833CCD">
        <w:rPr>
          <w:lang w:val="es-ES_tradnl"/>
        </w:rPr>
        <w:t>.</w:t>
      </w:r>
    </w:p>
    <w:p w14:paraId="47A10DC9" w14:textId="12AB6154" w:rsidR="00B256D2" w:rsidRPr="00DD77A3" w:rsidRDefault="00B256D2" w:rsidP="009708A8">
      <w:pPr>
        <w:pStyle w:val="enumlev1"/>
        <w:rPr>
          <w:lang w:val="es-ES_tradnl"/>
        </w:rPr>
      </w:pPr>
      <w:r w:rsidRPr="00DD77A3">
        <w:rPr>
          <w:lang w:val="es-ES_tradnl"/>
        </w:rPr>
        <w:t>7)</w:t>
      </w:r>
      <w:r w:rsidRPr="00DD77A3">
        <w:rPr>
          <w:lang w:val="es-ES_tradnl"/>
        </w:rPr>
        <w:tab/>
      </w:r>
      <w:r w:rsidR="00833CCD">
        <w:rPr>
          <w:lang w:val="es-ES_tradnl"/>
        </w:rPr>
        <w:t>D</w:t>
      </w:r>
      <w:r w:rsidRPr="00DD77A3">
        <w:rPr>
          <w:lang w:val="es-ES_tradnl"/>
        </w:rPr>
        <w:t>etección automática de la retinopatía diabética en Senegal</w:t>
      </w:r>
      <w:r w:rsidR="00833CCD">
        <w:rPr>
          <w:lang w:val="es-ES_tradnl"/>
        </w:rPr>
        <w:t>.</w:t>
      </w:r>
    </w:p>
    <w:p w14:paraId="089AAD4B" w14:textId="0B037FBE" w:rsidR="00B256D2" w:rsidRPr="00DD77A3" w:rsidRDefault="00B256D2" w:rsidP="0084464B">
      <w:pPr>
        <w:pStyle w:val="enumlev1"/>
        <w:rPr>
          <w:lang w:val="es-ES_tradnl"/>
        </w:rPr>
      </w:pPr>
      <w:r w:rsidRPr="00DD77A3">
        <w:rPr>
          <w:lang w:val="es-ES_tradnl"/>
        </w:rPr>
        <w:t>8)</w:t>
      </w:r>
      <w:r w:rsidRPr="00DD77A3">
        <w:rPr>
          <w:lang w:val="es-ES_tradnl"/>
        </w:rPr>
        <w:tab/>
        <w:t>Apoyo a las iniciativas regionales en Asia-Pacífico</w:t>
      </w:r>
      <w:r w:rsidR="00833CCD">
        <w:rPr>
          <w:lang w:val="es-ES_tradnl"/>
        </w:rPr>
        <w:t>.</w:t>
      </w:r>
    </w:p>
    <w:p w14:paraId="30F6BE7C" w14:textId="4BBBD60C" w:rsidR="00B256D2" w:rsidRPr="00DD77A3" w:rsidRDefault="00B256D2" w:rsidP="0084464B">
      <w:pPr>
        <w:pStyle w:val="enumlev1"/>
        <w:rPr>
          <w:lang w:val="es-ES_tradnl" w:eastAsia="zh-CN"/>
        </w:rPr>
      </w:pPr>
      <w:r w:rsidRPr="00DD77A3">
        <w:rPr>
          <w:lang w:val="es-ES_tradnl"/>
        </w:rPr>
        <w:t>9)</w:t>
      </w:r>
      <w:r w:rsidRPr="00DD77A3">
        <w:rPr>
          <w:lang w:val="es-ES_tradnl"/>
        </w:rPr>
        <w:tab/>
      </w:r>
      <w:r w:rsidRPr="00DD77A3">
        <w:rPr>
          <w:lang w:val="es-ES_tradnl" w:eastAsia="zh-CN"/>
        </w:rPr>
        <w:t xml:space="preserve">Centro Internacional de Investigación, Desarrollo y Prueba de nuevos equipos, tecnologías y </w:t>
      </w:r>
      <w:r w:rsidRPr="00DD77A3">
        <w:rPr>
          <w:lang w:val="es-ES_tradnl"/>
        </w:rPr>
        <w:t>servicios</w:t>
      </w:r>
      <w:r w:rsidRPr="00DD77A3">
        <w:rPr>
          <w:lang w:val="es-ES_tradnl" w:eastAsia="zh-CN"/>
        </w:rPr>
        <w:t xml:space="preserve"> (CIIDP) </w:t>
      </w:r>
      <w:r w:rsidR="0084464B" w:rsidRPr="0084464B">
        <w:rPr>
          <w:lang w:val="es-ES_tradnl" w:eastAsia="zh-CN"/>
        </w:rPr>
        <w:t>–</w:t>
      </w:r>
      <w:r w:rsidRPr="00DD77A3">
        <w:rPr>
          <w:lang w:val="es-ES_tradnl" w:eastAsia="zh-CN"/>
        </w:rPr>
        <w:t xml:space="preserve"> Fase 2 – región de la CEI</w:t>
      </w:r>
      <w:r w:rsidR="00833CCD">
        <w:rPr>
          <w:lang w:val="es-ES_tradnl" w:eastAsia="zh-CN"/>
        </w:rPr>
        <w:t>.</w:t>
      </w:r>
    </w:p>
    <w:p w14:paraId="04F66348" w14:textId="6ACF9F97" w:rsidR="00B256D2" w:rsidRPr="00DD77A3" w:rsidRDefault="00B256D2" w:rsidP="0084464B">
      <w:pPr>
        <w:pStyle w:val="enumlev1"/>
        <w:rPr>
          <w:lang w:val="es-ES_tradnl" w:eastAsia="zh-CN"/>
        </w:rPr>
      </w:pPr>
      <w:r w:rsidRPr="00DD77A3">
        <w:rPr>
          <w:lang w:val="es-ES_tradnl" w:eastAsia="zh-CN"/>
        </w:rPr>
        <w:t>10)</w:t>
      </w:r>
      <w:r w:rsidRPr="00DD77A3">
        <w:rPr>
          <w:lang w:val="es-ES_tradnl" w:eastAsia="zh-CN"/>
        </w:rPr>
        <w:tab/>
      </w:r>
      <w:r w:rsidRPr="00DD77A3">
        <w:rPr>
          <w:lang w:val="es-ES_tradnl"/>
        </w:rPr>
        <w:t>Creación</w:t>
      </w:r>
      <w:r w:rsidRPr="00DD77A3">
        <w:rPr>
          <w:lang w:val="es-ES_tradnl" w:eastAsia="zh-CN"/>
        </w:rPr>
        <w:t xml:space="preserve"> de </w:t>
      </w:r>
      <w:r w:rsidR="00DD77A3">
        <w:rPr>
          <w:lang w:val="es-ES_tradnl" w:eastAsia="zh-CN"/>
        </w:rPr>
        <w:t>"</w:t>
      </w:r>
      <w:r w:rsidRPr="00DD77A3">
        <w:rPr>
          <w:lang w:val="es-ES_tradnl" w:eastAsia="zh-CN"/>
        </w:rPr>
        <w:t>Laboratorio de IA y robótica</w:t>
      </w:r>
      <w:r w:rsidR="00DD77A3">
        <w:rPr>
          <w:lang w:val="es-ES_tradnl" w:eastAsia="zh-CN"/>
        </w:rPr>
        <w:t>"</w:t>
      </w:r>
      <w:r w:rsidRPr="00DD77A3">
        <w:rPr>
          <w:lang w:val="es-ES_tradnl" w:eastAsia="zh-CN"/>
        </w:rPr>
        <w:t xml:space="preserve"> en Uzbekistán</w:t>
      </w:r>
      <w:r w:rsidR="00833CCD">
        <w:rPr>
          <w:lang w:val="es-ES_tradnl" w:eastAsia="zh-CN"/>
        </w:rPr>
        <w:t>.</w:t>
      </w:r>
    </w:p>
    <w:p w14:paraId="7B4B7886" w14:textId="3A2A6110" w:rsidR="00B256D2" w:rsidRPr="00DD77A3" w:rsidRDefault="00B256D2" w:rsidP="0084464B">
      <w:pPr>
        <w:pStyle w:val="enumlev1"/>
        <w:rPr>
          <w:lang w:val="es-ES_tradnl" w:eastAsia="zh-CN"/>
        </w:rPr>
      </w:pPr>
      <w:r w:rsidRPr="00DD77A3">
        <w:rPr>
          <w:lang w:val="es-ES_tradnl" w:eastAsia="zh-CN"/>
        </w:rPr>
        <w:t>11)</w:t>
      </w:r>
      <w:r w:rsidRPr="00DD77A3">
        <w:rPr>
          <w:lang w:val="es-ES_tradnl" w:eastAsia="zh-CN"/>
        </w:rPr>
        <w:tab/>
      </w:r>
      <w:r w:rsidRPr="00DD77A3">
        <w:rPr>
          <w:lang w:val="es-ES_tradnl"/>
        </w:rPr>
        <w:t>Cartografiado</w:t>
      </w:r>
      <w:r w:rsidRPr="00DD77A3">
        <w:rPr>
          <w:lang w:val="es-ES_tradnl" w:eastAsia="zh-CN"/>
        </w:rPr>
        <w:t xml:space="preserve"> de sistemas de banda ancha de Europa Meridional y Oriental</w:t>
      </w:r>
      <w:r w:rsidR="00833CCD">
        <w:rPr>
          <w:lang w:val="es-ES_tradnl" w:eastAsia="zh-CN"/>
        </w:rPr>
        <w:t>.</w:t>
      </w:r>
    </w:p>
    <w:p w14:paraId="195BB5CD" w14:textId="06DA6A5F" w:rsidR="00B256D2" w:rsidRPr="00DD77A3" w:rsidRDefault="00B256D2" w:rsidP="0084464B">
      <w:pPr>
        <w:pStyle w:val="enumlev1"/>
        <w:rPr>
          <w:lang w:val="es-ES_tradnl" w:eastAsia="zh-CN"/>
        </w:rPr>
      </w:pPr>
      <w:r w:rsidRPr="00DD77A3">
        <w:rPr>
          <w:lang w:val="es-ES_tradnl" w:eastAsia="zh-CN"/>
        </w:rPr>
        <w:t>12)</w:t>
      </w:r>
      <w:r w:rsidRPr="00DD77A3">
        <w:rPr>
          <w:lang w:val="es-ES_tradnl" w:eastAsia="zh-CN"/>
        </w:rPr>
        <w:tab/>
      </w:r>
      <w:r w:rsidRPr="00DD77A3">
        <w:rPr>
          <w:lang w:val="es-ES_tradnl"/>
        </w:rPr>
        <w:t>Protección</w:t>
      </w:r>
      <w:r w:rsidRPr="00DD77A3">
        <w:rPr>
          <w:lang w:val="es-ES_tradnl" w:eastAsia="zh-CN"/>
        </w:rPr>
        <w:t xml:space="preserve"> de la Infancia en Línea en Asia-Pacífico</w:t>
      </w:r>
      <w:r w:rsidR="00833CCD">
        <w:rPr>
          <w:lang w:val="es-ES_tradnl" w:eastAsia="zh-CN"/>
        </w:rPr>
        <w:t>.</w:t>
      </w:r>
    </w:p>
    <w:p w14:paraId="2C27AF34" w14:textId="0227A0E5" w:rsidR="00720235" w:rsidRPr="00720235" w:rsidRDefault="00B256D2" w:rsidP="005E0A4B">
      <w:pPr>
        <w:pStyle w:val="enumlev1"/>
        <w:rPr>
          <w:lang w:val="es-ES_tradnl"/>
        </w:rPr>
      </w:pPr>
      <w:r w:rsidRPr="00DD77A3">
        <w:rPr>
          <w:lang w:val="es-ES_tradnl" w:eastAsia="zh-CN"/>
        </w:rPr>
        <w:t>13)</w:t>
      </w:r>
      <w:r w:rsidRPr="00DD77A3">
        <w:rPr>
          <w:lang w:val="es-ES_tradnl" w:eastAsia="zh-CN"/>
        </w:rPr>
        <w:tab/>
        <w:t>Mejora del ecosistema digital y de las capacidades digitales para el empoderamiento económico de las mujeres en los PMA</w:t>
      </w:r>
      <w:r w:rsidRPr="00DD77A3">
        <w:rPr>
          <w:lang w:val="es-ES_tradnl"/>
        </w:rPr>
        <w:t>.</w:t>
      </w:r>
    </w:p>
    <w:p w14:paraId="0979231E" w14:textId="77777777" w:rsidR="00720235" w:rsidRPr="00720235" w:rsidRDefault="00720235" w:rsidP="00720235">
      <w:pPr>
        <w:spacing w:before="0"/>
        <w:jc w:val="center"/>
        <w:rPr>
          <w:rFonts w:ascii="Calibri" w:hAnsi="Calibri"/>
          <w:lang w:val="es-ES_tradnl"/>
        </w:rPr>
      </w:pPr>
      <w:r w:rsidRPr="00720235">
        <w:rPr>
          <w:rFonts w:ascii="Calibri" w:hAnsi="Calibri"/>
          <w:noProof/>
          <w:lang w:val="es-ES_tradnl" w:eastAsia="zh-CN"/>
        </w:rPr>
        <w:lastRenderedPageBreak/>
        <w:drawing>
          <wp:inline distT="0" distB="0" distL="0" distR="0" wp14:anchorId="0744FA33" wp14:editId="20F371AE">
            <wp:extent cx="5219065" cy="3331210"/>
            <wp:effectExtent l="0" t="0" r="635" b="25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544812" w14:textId="77777777" w:rsidR="00B256D2" w:rsidRPr="00DD77A3" w:rsidRDefault="00B256D2" w:rsidP="009708A8">
      <w:pPr>
        <w:pStyle w:val="Heading1"/>
        <w:rPr>
          <w:lang w:val="es-ES_tradnl" w:eastAsia="zh-CN"/>
        </w:rPr>
      </w:pPr>
      <w:r w:rsidRPr="00DD77A3">
        <w:rPr>
          <w:lang w:val="es-ES_tradnl" w:eastAsia="zh-CN"/>
        </w:rPr>
        <w:t>7</w:t>
      </w:r>
      <w:r w:rsidRPr="00DD77A3">
        <w:rPr>
          <w:lang w:val="es-ES_tradnl" w:eastAsia="zh-CN"/>
        </w:rPr>
        <w:tab/>
      </w:r>
      <w:r w:rsidRPr="00DD77A3">
        <w:rPr>
          <w:lang w:val="es-ES_tradnl"/>
        </w:rPr>
        <w:t>Fuentes de financiación para los proyectos</w:t>
      </w:r>
    </w:p>
    <w:p w14:paraId="0F5DDE44" w14:textId="77777777" w:rsidR="00B256D2" w:rsidRPr="00DD77A3" w:rsidRDefault="00B256D2" w:rsidP="009708A8">
      <w:pPr>
        <w:rPr>
          <w:lang w:val="es-ES_tradnl"/>
        </w:rPr>
      </w:pPr>
      <w:r w:rsidRPr="00DD77A3">
        <w:rPr>
          <w:lang w:val="es-ES_tradnl"/>
        </w:rPr>
        <w:t>Los proyectos de la UIT se financian principalmente a través de recursos extrapresupuestarios. Existen cuatro fuentes de financiación para los proyectos: fondos fiduciarios, fondo de desarrollo de las TIC (FD-TIC), contribuciones voluntarias y presupuesto ordinario de la UIT.</w:t>
      </w:r>
    </w:p>
    <w:p w14:paraId="1F2496C5" w14:textId="55774B18" w:rsidR="00B256D2" w:rsidRPr="00DD77A3" w:rsidRDefault="00B256D2" w:rsidP="009708A8">
      <w:pPr>
        <w:rPr>
          <w:lang w:val="es-ES_tradnl"/>
        </w:rPr>
      </w:pPr>
      <w:r w:rsidRPr="00DD77A3">
        <w:rPr>
          <w:lang w:val="es-ES_tradnl"/>
        </w:rPr>
        <w:t>A 30 de septiembre de 2019, sobre la base del presupuesto en vigor para la ejecución de proyectos, el 87</w:t>
      </w:r>
      <w:r w:rsidR="00DF6099">
        <w:rPr>
          <w:lang w:val="es-ES_tradnl"/>
        </w:rPr>
        <w:t>%</w:t>
      </w:r>
      <w:r w:rsidRPr="00DD77A3">
        <w:rPr>
          <w:lang w:val="es-ES_tradnl"/>
        </w:rPr>
        <w:t xml:space="preserve"> corresponde a fondos fiduciarios, el 9</w:t>
      </w:r>
      <w:r w:rsidR="00DF6099">
        <w:rPr>
          <w:lang w:val="es-ES_tradnl"/>
        </w:rPr>
        <w:t>%</w:t>
      </w:r>
      <w:r w:rsidRPr="00DD77A3">
        <w:rPr>
          <w:lang w:val="es-ES_tradnl"/>
        </w:rPr>
        <w:t xml:space="preserve"> al FD-TIC y el 4</w:t>
      </w:r>
      <w:r w:rsidR="00DF6099">
        <w:rPr>
          <w:lang w:val="es-ES_tradnl"/>
        </w:rPr>
        <w:t>%</w:t>
      </w:r>
      <w:r w:rsidRPr="00DD77A3">
        <w:rPr>
          <w:lang w:val="es-ES_tradnl"/>
        </w:rPr>
        <w:t xml:space="preserve"> al Plan Operacional de la BDT.</w:t>
      </w:r>
    </w:p>
    <w:p w14:paraId="59B8C2A8" w14:textId="7A355D82" w:rsidR="00B256D2" w:rsidRPr="00DD77A3" w:rsidRDefault="00B256D2" w:rsidP="009708A8">
      <w:pPr>
        <w:rPr>
          <w:lang w:val="es-ES_tradnl"/>
        </w:rPr>
      </w:pPr>
      <w:r w:rsidRPr="00DD77A3">
        <w:rPr>
          <w:lang w:val="es-ES_tradnl"/>
        </w:rPr>
        <w:t>En principio, los recursos del FD-TIC se otorgan como recursos iniciales y suelen representar el</w:t>
      </w:r>
      <w:r w:rsidR="005B7D52">
        <w:rPr>
          <w:lang w:val="es-ES_tradnl"/>
        </w:rPr>
        <w:t> </w:t>
      </w:r>
      <w:r w:rsidRPr="00DD77A3">
        <w:rPr>
          <w:lang w:val="es-ES_tradnl"/>
        </w:rPr>
        <w:t>25</w:t>
      </w:r>
      <w:r w:rsidR="00DF6099">
        <w:rPr>
          <w:lang w:val="es-ES_tradnl"/>
        </w:rPr>
        <w:t>%</w:t>
      </w:r>
      <w:r w:rsidR="005B7D52">
        <w:rPr>
          <w:lang w:val="es-ES_tradnl"/>
        </w:rPr>
        <w:t> </w:t>
      </w:r>
      <w:r w:rsidRPr="00DD77A3">
        <w:rPr>
          <w:lang w:val="es-ES_tradnl"/>
        </w:rPr>
        <w:t>del costo total de un proyecto de desarrollo. Esta financiación inicial está destinada a atraer contribuciones extrapresupuestarias en efectivo para los proyectos mediante la movilización de recursos. Entre los criterios que se utilizan para la selección y la determinación de la elegibilidad, el</w:t>
      </w:r>
      <w:r w:rsidR="00D026E9">
        <w:rPr>
          <w:lang w:val="es-ES_tradnl"/>
        </w:rPr>
        <w:t> </w:t>
      </w:r>
      <w:r w:rsidRPr="00DD77A3">
        <w:rPr>
          <w:lang w:val="es-ES_tradnl"/>
        </w:rPr>
        <w:t>FD-TIC da prioridad a proyectos entre cuyos beneficiarios se cuentan uno o más países menos adelantados (PMA), pequeños Estados insulares en desarrollo (PEID), países en desarrollo sin litoral (PDSL), países con economías de transición y países con necesidades especiales.</w:t>
      </w:r>
    </w:p>
    <w:p w14:paraId="20107EA0" w14:textId="1CE24276" w:rsidR="00B256D2" w:rsidRPr="00DD77A3" w:rsidRDefault="00B256D2" w:rsidP="00CB13A7">
      <w:pPr>
        <w:rPr>
          <w:lang w:val="es-ES_tradnl"/>
        </w:rPr>
      </w:pPr>
      <w:r w:rsidRPr="00DD77A3">
        <w:rPr>
          <w:lang w:val="es-ES_tradnl"/>
        </w:rPr>
        <w:t>Para la financiación de proyectos destinados a la puesta en marcha de las iniciativas regionales de la CMDT-17, el Consejo de la UIT de 2018 decidió asignar 2 millones CHF para el periodo</w:t>
      </w:r>
      <w:r w:rsidR="00720235" w:rsidRPr="00DD77A3">
        <w:rPr>
          <w:lang w:val="es-ES_tradnl"/>
        </w:rPr>
        <w:t> </w:t>
      </w:r>
      <w:r w:rsidRPr="00DD77A3">
        <w:rPr>
          <w:lang w:val="es-ES_tradnl"/>
        </w:rPr>
        <w:t>2018</w:t>
      </w:r>
      <w:r w:rsidRPr="00DD77A3">
        <w:rPr>
          <w:lang w:val="es-ES_tradnl"/>
        </w:rPr>
        <w:noBreakHyphen/>
        <w:t>2019 con cargo al Plan Operacional de 2017 e incluir 3 millones CHF para 2020-2021 en el Plan Financiero 2020-2023. Estos fondos se asignaron como fondos iniciales para atraer fondos de asociados potenciales en pro de la ejecución de las iniciativas regionales.</w:t>
      </w:r>
    </w:p>
    <w:p w14:paraId="33D68090" w14:textId="77777777" w:rsidR="00B256D2" w:rsidRPr="00DD77A3" w:rsidRDefault="00B256D2" w:rsidP="009708A8">
      <w:pPr>
        <w:pStyle w:val="Heading1"/>
        <w:rPr>
          <w:lang w:val="es-ES_tradnl"/>
        </w:rPr>
      </w:pPr>
      <w:r w:rsidRPr="00DD77A3">
        <w:rPr>
          <w:lang w:val="es-ES_tradnl"/>
        </w:rPr>
        <w:t>8</w:t>
      </w:r>
      <w:r w:rsidRPr="00DD77A3">
        <w:rPr>
          <w:lang w:val="es-ES_tradnl"/>
        </w:rPr>
        <w:tab/>
        <w:t>Esfuerzos realizados para reforzar la función de ejecución de proyectos</w:t>
      </w:r>
    </w:p>
    <w:p w14:paraId="470EF63E" w14:textId="77777777" w:rsidR="00B256D2" w:rsidRPr="00DD77A3" w:rsidRDefault="00B256D2" w:rsidP="00720235">
      <w:pPr>
        <w:rPr>
          <w:lang w:val="es-ES_tradnl"/>
        </w:rPr>
      </w:pPr>
      <w:r w:rsidRPr="00DD77A3">
        <w:rPr>
          <w:lang w:val="es-ES_tradnl"/>
        </w:rPr>
        <w:t>Se han lanzado varias iniciativas para reforzar la función de ejecución de proyectos de la BDT que van más allá de la elaboración y el perfeccionamiento de las herramientas, metodologías, directrices, plantillas, normas y bases de datos en relación con los proyectos y la gestión de proyectos. Entre esas iniciativas se cuentan las siguientes:</w:t>
      </w:r>
    </w:p>
    <w:p w14:paraId="240991E0" w14:textId="47D048A4" w:rsidR="00B256D2" w:rsidRPr="00DD77A3" w:rsidRDefault="00DD77A3" w:rsidP="009708A8">
      <w:pPr>
        <w:pStyle w:val="enumlev1"/>
        <w:rPr>
          <w:lang w:val="es-ES_tradnl"/>
        </w:rPr>
      </w:pPr>
      <w:r w:rsidRPr="00DD77A3">
        <w:rPr>
          <w:bCs/>
          <w:lang w:val="es-ES_tradnl"/>
        </w:rPr>
        <w:lastRenderedPageBreak/>
        <w:t>–</w:t>
      </w:r>
      <w:r w:rsidR="00B256D2" w:rsidRPr="00DD77A3">
        <w:rPr>
          <w:b/>
          <w:lang w:val="es-ES_tradnl"/>
        </w:rPr>
        <w:tab/>
        <w:t>Evaluaciones posteriores a la ejecución de los proyectos</w:t>
      </w:r>
      <w:r w:rsidR="00B256D2" w:rsidRPr="00DD77A3">
        <w:rPr>
          <w:bCs/>
          <w:lang w:val="es-ES_tradnl"/>
        </w:rPr>
        <w:t xml:space="preserve">: </w:t>
      </w:r>
      <w:r w:rsidR="00B256D2" w:rsidRPr="00DD77A3">
        <w:rPr>
          <w:lang w:val="es-ES_tradnl"/>
        </w:rPr>
        <w:t xml:space="preserve">la BDT ha realizado evaluaciones posteriores a la ejecución de varios proyectos de la UIT. Estas evaluaciones tienen por objeto examinar los indicadores fundamentales de rendimiento establecidos para evaluar los resultados, la eficiencia y la eficacia de la ejecución del proyecto en cuestión, así como la repercusión de los resultados obtenidos, centrados en los principios de la gestión basada en los resultados. Las conclusiones del examen se basan en un análisis objetivo de los resultados obtenidos y de las experiencias adquiridas que pueden contribuir a mejorar la concepción y ejecución de futuros proyectos de la UIT. Los resultados se recogen en los Informes de Evaluación, algunos de los cuales se publican en el sitio </w:t>
      </w:r>
      <w:hyperlink r:id="rId13" w:history="1">
        <w:r w:rsidR="00B256D2" w:rsidRPr="00DD77A3">
          <w:rPr>
            <w:rStyle w:val="Hyperlink"/>
            <w:lang w:val="es-ES_tradnl"/>
          </w:rPr>
          <w:t xml:space="preserve">BDT </w:t>
        </w:r>
        <w:proofErr w:type="spellStart"/>
        <w:r w:rsidR="00B256D2" w:rsidRPr="00DD77A3">
          <w:rPr>
            <w:rStyle w:val="Hyperlink"/>
            <w:lang w:val="es-ES_tradnl"/>
          </w:rPr>
          <w:t>Pr</w:t>
        </w:r>
        <w:r w:rsidR="00B256D2" w:rsidRPr="00DD77A3">
          <w:rPr>
            <w:rStyle w:val="Hyperlink"/>
            <w:lang w:val="es-ES_tradnl"/>
          </w:rPr>
          <w:t>o</w:t>
        </w:r>
        <w:r w:rsidR="00B256D2" w:rsidRPr="00DD77A3">
          <w:rPr>
            <w:rStyle w:val="Hyperlink"/>
            <w:lang w:val="es-ES_tradnl"/>
          </w:rPr>
          <w:t>jects</w:t>
        </w:r>
        <w:proofErr w:type="spellEnd"/>
        <w:r w:rsidR="00B256D2" w:rsidRPr="00DD77A3">
          <w:rPr>
            <w:rStyle w:val="Hyperlink"/>
            <w:lang w:val="es-ES_tradnl"/>
          </w:rPr>
          <w:t xml:space="preserve"> </w:t>
        </w:r>
        <w:proofErr w:type="spellStart"/>
        <w:r w:rsidR="00B256D2" w:rsidRPr="00DD77A3">
          <w:rPr>
            <w:rStyle w:val="Hyperlink"/>
            <w:lang w:val="es-ES_tradnl"/>
          </w:rPr>
          <w:t>website</w:t>
        </w:r>
        <w:proofErr w:type="spellEnd"/>
      </w:hyperlink>
      <w:r w:rsidR="00B256D2" w:rsidRPr="00DD77A3">
        <w:rPr>
          <w:lang w:val="es-ES_tradnl"/>
        </w:rPr>
        <w:t>.</w:t>
      </w:r>
    </w:p>
    <w:p w14:paraId="1E2E00B0" w14:textId="654C1EC6" w:rsidR="00B256D2" w:rsidRPr="00DD77A3" w:rsidRDefault="00DD77A3" w:rsidP="009708A8">
      <w:pPr>
        <w:pStyle w:val="enumlev1"/>
        <w:rPr>
          <w:lang w:val="es-ES_tradnl"/>
        </w:rPr>
      </w:pPr>
      <w:r w:rsidRPr="00DD77A3">
        <w:rPr>
          <w:bCs/>
          <w:lang w:val="es-ES_tradnl"/>
        </w:rPr>
        <w:t>–</w:t>
      </w:r>
      <w:r w:rsidR="00B256D2" w:rsidRPr="00DD77A3">
        <w:rPr>
          <w:b/>
          <w:lang w:val="es-ES_tradnl"/>
        </w:rPr>
        <w:tab/>
        <w:t>Vídeos de los proyectos</w:t>
      </w:r>
      <w:r w:rsidR="00B256D2" w:rsidRPr="00DD77A3">
        <w:rPr>
          <w:bCs/>
          <w:lang w:val="es-ES_tradnl"/>
        </w:rPr>
        <w:t xml:space="preserve">: </w:t>
      </w:r>
      <w:r w:rsidR="00B256D2" w:rsidRPr="00DD77A3">
        <w:rPr>
          <w:lang w:val="es-ES_tradnl"/>
        </w:rPr>
        <w:t xml:space="preserve">Los vídeos de los proyectos son una herramienta fundamental para la promoción de los proyectos de la UIT. Las imágenes pertinentes y las entrevistas con las diferentes partes interesadas recopiladas durante las misiones de evaluación posteriores a la ejecución se utilizan para producir vídeos cortos que ponen de manifiesto la pertinencia, los resultados y los logros del proyecto. Estos vídeos también se utilizan para compartir experiencias entre los Miembros de la UIT. Algunos de los vídeos del proyecto están disponibles en sitio </w:t>
      </w:r>
      <w:hyperlink r:id="rId14" w:history="1">
        <w:r w:rsidR="00B256D2" w:rsidRPr="00DD77A3">
          <w:rPr>
            <w:rStyle w:val="Hyperlink"/>
            <w:lang w:val="es-ES_tradnl"/>
          </w:rPr>
          <w:t xml:space="preserve">BDT </w:t>
        </w:r>
        <w:proofErr w:type="spellStart"/>
        <w:r w:rsidR="00B256D2" w:rsidRPr="00DD77A3">
          <w:rPr>
            <w:rStyle w:val="Hyperlink"/>
            <w:lang w:val="es-ES_tradnl"/>
          </w:rPr>
          <w:t>Project</w:t>
        </w:r>
        <w:r w:rsidR="00B256D2" w:rsidRPr="00DD77A3">
          <w:rPr>
            <w:rStyle w:val="Hyperlink"/>
            <w:lang w:val="es-ES_tradnl"/>
          </w:rPr>
          <w:t>s</w:t>
        </w:r>
        <w:proofErr w:type="spellEnd"/>
        <w:r w:rsidR="00B256D2" w:rsidRPr="00DD77A3">
          <w:rPr>
            <w:rStyle w:val="Hyperlink"/>
            <w:lang w:val="es-ES_tradnl"/>
          </w:rPr>
          <w:t xml:space="preserve"> </w:t>
        </w:r>
        <w:proofErr w:type="spellStart"/>
        <w:r w:rsidR="00B256D2" w:rsidRPr="00DD77A3">
          <w:rPr>
            <w:rStyle w:val="Hyperlink"/>
            <w:lang w:val="es-ES_tradnl"/>
          </w:rPr>
          <w:t>website</w:t>
        </w:r>
        <w:proofErr w:type="spellEnd"/>
      </w:hyperlink>
      <w:r w:rsidR="00B256D2" w:rsidRPr="00DD77A3">
        <w:rPr>
          <w:lang w:val="es-ES_tradnl"/>
        </w:rPr>
        <w:t>.</w:t>
      </w:r>
    </w:p>
    <w:p w14:paraId="65DD3042" w14:textId="599DFFD5" w:rsidR="00B256D2" w:rsidRPr="00DD77A3" w:rsidRDefault="00DD77A3" w:rsidP="009708A8">
      <w:pPr>
        <w:pStyle w:val="enumlev1"/>
        <w:rPr>
          <w:lang w:val="es-ES_tradnl"/>
        </w:rPr>
      </w:pPr>
      <w:r w:rsidRPr="00DD77A3">
        <w:rPr>
          <w:bCs/>
          <w:lang w:val="es-ES_tradnl"/>
        </w:rPr>
        <w:t>–</w:t>
      </w:r>
      <w:r w:rsidR="00B256D2" w:rsidRPr="00DD77A3">
        <w:rPr>
          <w:b/>
          <w:lang w:val="es-ES_tradnl"/>
        </w:rPr>
        <w:tab/>
        <w:t>Estudios de caso relativos a los proyectos</w:t>
      </w:r>
      <w:r w:rsidR="00B256D2" w:rsidRPr="00DD77A3">
        <w:rPr>
          <w:bCs/>
          <w:lang w:val="es-ES_tradnl"/>
        </w:rPr>
        <w:t xml:space="preserve">: </w:t>
      </w:r>
      <w:r w:rsidR="00B256D2" w:rsidRPr="00DD77A3">
        <w:rPr>
          <w:lang w:val="es-ES_tradnl"/>
        </w:rPr>
        <w:t>La BDT ha elaborado una serie de estudios de casos basados en proyectos llevados a cabo por la UIT. Los estudios de caso se resumen en documentos breves que ofrecen información esencial en un formato de fácil lectura. Los estudios de caso tienen por finalidad ofrecer información acerca de diferentes proyectos de la UIT y de las actividades realizadas, los resultados obtenidos, las enseñanzas extraídas y las conclusiones y las recomendaciones derivadas de ellos. Los estudios de caso relativos a proyectos de la UIT son recursos de los que las partes interesadas y los Miembros de la</w:t>
      </w:r>
      <w:r w:rsidR="00113324">
        <w:rPr>
          <w:lang w:val="es-ES_tradnl"/>
        </w:rPr>
        <w:t> </w:t>
      </w:r>
      <w:r w:rsidR="00B256D2" w:rsidRPr="00DD77A3">
        <w:rPr>
          <w:lang w:val="es-ES_tradnl"/>
        </w:rPr>
        <w:t xml:space="preserve">UIT pueden valerse para compartir experiencias y reproducir prácticas idóneas. Algunos de estos estudios de caso se publican en el sitio </w:t>
      </w:r>
      <w:hyperlink r:id="rId15" w:history="1">
        <w:r w:rsidR="00F41A1C" w:rsidRPr="00F41A1C">
          <w:rPr>
            <w:rStyle w:val="Hyperlink"/>
            <w:lang w:val="es-ES_tradnl"/>
          </w:rPr>
          <w:t xml:space="preserve">BDT </w:t>
        </w:r>
        <w:proofErr w:type="spellStart"/>
        <w:r w:rsidR="00F41A1C" w:rsidRPr="00F41A1C">
          <w:rPr>
            <w:rStyle w:val="Hyperlink"/>
            <w:lang w:val="es-ES_tradnl"/>
          </w:rPr>
          <w:t>Projec</w:t>
        </w:r>
        <w:r w:rsidR="00F41A1C" w:rsidRPr="00F41A1C">
          <w:rPr>
            <w:rStyle w:val="Hyperlink"/>
            <w:lang w:val="es-ES_tradnl"/>
          </w:rPr>
          <w:t>t</w:t>
        </w:r>
        <w:r w:rsidR="00F41A1C" w:rsidRPr="00F41A1C">
          <w:rPr>
            <w:rStyle w:val="Hyperlink"/>
            <w:lang w:val="es-ES_tradnl"/>
          </w:rPr>
          <w:t>s</w:t>
        </w:r>
        <w:proofErr w:type="spellEnd"/>
        <w:r w:rsidR="00F41A1C" w:rsidRPr="00F41A1C">
          <w:rPr>
            <w:rStyle w:val="Hyperlink"/>
            <w:lang w:val="es-ES_tradnl"/>
          </w:rPr>
          <w:t xml:space="preserve"> </w:t>
        </w:r>
        <w:proofErr w:type="spellStart"/>
        <w:r w:rsidR="00F41A1C" w:rsidRPr="00F41A1C">
          <w:rPr>
            <w:rStyle w:val="Hyperlink"/>
            <w:lang w:val="es-ES_tradnl"/>
          </w:rPr>
          <w:t>w</w:t>
        </w:r>
        <w:r w:rsidR="00F41A1C" w:rsidRPr="00F41A1C">
          <w:rPr>
            <w:rStyle w:val="Hyperlink"/>
            <w:lang w:val="es-ES_tradnl"/>
          </w:rPr>
          <w:t>ebsite</w:t>
        </w:r>
        <w:proofErr w:type="spellEnd"/>
      </w:hyperlink>
      <w:r w:rsidR="00F41A1C" w:rsidRPr="005B3CC5">
        <w:rPr>
          <w:lang w:val="es-ES"/>
        </w:rPr>
        <w:t>.</w:t>
      </w:r>
      <w:bookmarkStart w:id="6" w:name="_GoBack"/>
      <w:bookmarkEnd w:id="6"/>
    </w:p>
    <w:p w14:paraId="71914963" w14:textId="18F15468" w:rsidR="00B256D2" w:rsidRPr="00DD77A3" w:rsidRDefault="00DD77A3" w:rsidP="009708A8">
      <w:pPr>
        <w:pStyle w:val="enumlev1"/>
        <w:rPr>
          <w:lang w:val="es-ES_tradnl"/>
        </w:rPr>
      </w:pPr>
      <w:r w:rsidRPr="00DD77A3">
        <w:rPr>
          <w:bCs/>
          <w:lang w:val="es-ES_tradnl"/>
        </w:rPr>
        <w:t>–</w:t>
      </w:r>
      <w:r w:rsidR="00B256D2" w:rsidRPr="00DD77A3">
        <w:rPr>
          <w:lang w:val="es-ES_tradnl"/>
        </w:rPr>
        <w:tab/>
      </w:r>
      <w:r w:rsidR="00B256D2" w:rsidRPr="00DD77A3">
        <w:rPr>
          <w:b/>
          <w:bCs/>
          <w:lang w:val="es-ES_tradnl"/>
        </w:rPr>
        <w:t xml:space="preserve">Capacitación del personal: </w:t>
      </w:r>
      <w:r w:rsidR="00B256D2" w:rsidRPr="00DD77A3">
        <w:rPr>
          <w:lang w:val="es-ES_tradnl"/>
        </w:rPr>
        <w:t xml:space="preserve">Dada la constante evolución de las prácticas de gestión de proyectos, es evidente que es preciso fortalecer la capacidad interna de forma continua. Con ese fin, se impartieron cursos de formación dirigidos al personal de la BDT encaminados a mejorar sus competencias. Los cursos incluían al personal de la Sede y a los funcionarios de las Oficinas Regionales y zonales. La BDT llevó a cabo una formación sobre gestión de proyectos del 18 al 22 de noviembre de 2019. 39 funcionarios se presentaron al examen y poseen hoy la certificación de Profesionales en Gestión de Proyectos para el Desarrollo – Nivel 1 (PMD </w:t>
      </w:r>
      <w:proofErr w:type="gramStart"/>
      <w:r w:rsidR="00B256D2" w:rsidRPr="00DD77A3">
        <w:rPr>
          <w:lang w:val="es-ES_tradnl"/>
        </w:rPr>
        <w:t>Pro 1</w:t>
      </w:r>
      <w:proofErr w:type="gramEnd"/>
      <w:r w:rsidR="00B256D2" w:rsidRPr="00DD77A3">
        <w:rPr>
          <w:lang w:val="es-ES_tradnl"/>
        </w:rPr>
        <w:t>). Se prevé formar y certificar en gestión de proyectos a más funcionarios de la UIT a lo largo de 2020.</w:t>
      </w:r>
    </w:p>
    <w:p w14:paraId="6DB94D01" w14:textId="0EF14B18" w:rsidR="00B256D2" w:rsidRPr="00DD77A3" w:rsidRDefault="00DD77A3" w:rsidP="009708A8">
      <w:pPr>
        <w:pStyle w:val="enumlev1"/>
        <w:rPr>
          <w:bCs/>
          <w:lang w:val="es-ES_tradnl"/>
        </w:rPr>
      </w:pPr>
      <w:r w:rsidRPr="00DD77A3">
        <w:rPr>
          <w:bCs/>
          <w:lang w:val="es-ES_tradnl"/>
        </w:rPr>
        <w:t>–</w:t>
      </w:r>
      <w:r w:rsidR="00B256D2" w:rsidRPr="00DD77A3">
        <w:rPr>
          <w:b/>
          <w:lang w:val="es-ES_tradnl"/>
        </w:rPr>
        <w:tab/>
        <w:t>Directrices para la Gestión de Proyectos de la BDT</w:t>
      </w:r>
      <w:r w:rsidR="00B256D2" w:rsidRPr="00DD77A3">
        <w:rPr>
          <w:bCs/>
          <w:lang w:val="es-ES_tradnl"/>
        </w:rPr>
        <w:t>: Está en curso la actualización para mejorar las directrices, plantillas y herramientas, e incluir además elementos de PMD Pro. Se celebró un primer taller del 27 al 29 de enero de 2020, durante el cual un equipo de funcionarios de la UIT con la certificación PMD Pro revisaron Directrices de Gestión de Proyectos de la BDT.</w:t>
      </w:r>
    </w:p>
    <w:p w14:paraId="78CC0AE2" w14:textId="77777777" w:rsidR="00B256D2" w:rsidRPr="00DD77A3" w:rsidRDefault="00B256D2" w:rsidP="00603C52">
      <w:pPr>
        <w:pStyle w:val="Headingb"/>
        <w:rPr>
          <w:lang w:val="es-ES_tradnl"/>
        </w:rPr>
      </w:pPr>
      <w:r w:rsidRPr="00DD77A3">
        <w:rPr>
          <w:lang w:val="es-ES_tradnl"/>
        </w:rPr>
        <w:lastRenderedPageBreak/>
        <w:t>Conclusiones</w:t>
      </w:r>
    </w:p>
    <w:p w14:paraId="5FAF18D8" w14:textId="2224CFF5" w:rsidR="00B256D2" w:rsidRPr="00DD77A3" w:rsidRDefault="00720235" w:rsidP="00603C52">
      <w:pPr>
        <w:pStyle w:val="enumlev1"/>
        <w:keepNext/>
        <w:keepLines/>
        <w:rPr>
          <w:lang w:val="es-ES_tradnl"/>
        </w:rPr>
      </w:pPr>
      <w:r w:rsidRPr="00DD77A3">
        <w:rPr>
          <w:lang w:val="es-ES_tradnl"/>
        </w:rPr>
        <w:t>1)</w:t>
      </w:r>
      <w:r w:rsidRPr="00DD77A3">
        <w:rPr>
          <w:lang w:val="es-ES_tradnl"/>
        </w:rPr>
        <w:tab/>
      </w:r>
      <w:r w:rsidR="00B256D2" w:rsidRPr="00DD77A3">
        <w:rPr>
          <w:lang w:val="es-ES_tradnl"/>
        </w:rPr>
        <w:t>La BDT acumula muchos años de experiencia demostrada en la ejecución de proyectos en beneficio de los países en desarrollo. Sin embargo, la BDT evoluciona al tiempo que lo hace el sector de las TIC y se compromete a adaptar sus procesos, explotar nuevas oportunidades y responder adecuadamente a los retos que supone crear, ejecutar, supervisar y evaluar los proyectos.</w:t>
      </w:r>
    </w:p>
    <w:p w14:paraId="5B58F33B" w14:textId="14BEB173" w:rsidR="00B256D2" w:rsidRPr="00DD77A3" w:rsidRDefault="00720235" w:rsidP="00720235">
      <w:pPr>
        <w:pStyle w:val="enumlev1"/>
        <w:rPr>
          <w:lang w:val="es-ES_tradnl"/>
        </w:rPr>
      </w:pPr>
      <w:r w:rsidRPr="00DD77A3">
        <w:rPr>
          <w:lang w:val="es-ES_tradnl"/>
        </w:rPr>
        <w:t>2)</w:t>
      </w:r>
      <w:r w:rsidRPr="00DD77A3">
        <w:rPr>
          <w:lang w:val="es-ES_tradnl"/>
        </w:rPr>
        <w:tab/>
      </w:r>
      <w:r w:rsidR="00B256D2" w:rsidRPr="00DD77A3">
        <w:rPr>
          <w:lang w:val="es-ES_tradnl"/>
        </w:rPr>
        <w:t>Se ha podido constatar que la ejecución de proyectos es una forma eficaz de atender las necesidades específicas de los Estados Miembros de la UIT y constituye un excelente mecanismo para tener una influencia relevante.</w:t>
      </w:r>
    </w:p>
    <w:p w14:paraId="7E77F353" w14:textId="34517A99" w:rsidR="00B256D2" w:rsidRPr="00DD77A3" w:rsidRDefault="00720235" w:rsidP="00720235">
      <w:pPr>
        <w:pStyle w:val="enumlev1"/>
        <w:rPr>
          <w:lang w:val="es-ES_tradnl"/>
        </w:rPr>
      </w:pPr>
      <w:r w:rsidRPr="00DD77A3">
        <w:rPr>
          <w:lang w:val="es-ES_tradnl"/>
        </w:rPr>
        <w:t>3)</w:t>
      </w:r>
      <w:r w:rsidRPr="00DD77A3">
        <w:rPr>
          <w:lang w:val="es-ES_tradnl"/>
        </w:rPr>
        <w:tab/>
      </w:r>
      <w:r w:rsidR="00B256D2" w:rsidRPr="00DD77A3">
        <w:rPr>
          <w:lang w:val="es-ES_tradnl"/>
        </w:rPr>
        <w:t xml:space="preserve">Los proyectos de la BDT son también un medio eficaz para poner en marcha las iniciativas regionales definidas por los Estados Miembros como ámbitos prioritarios en los que se ha de concentrar la BDT, en general en beneficio </w:t>
      </w:r>
      <w:r w:rsidRPr="00DD77A3">
        <w:rPr>
          <w:lang w:val="es-ES_tradnl"/>
        </w:rPr>
        <w:t>de más</w:t>
      </w:r>
      <w:r w:rsidR="00B256D2" w:rsidRPr="00DD77A3">
        <w:rPr>
          <w:lang w:val="es-ES_tradnl"/>
        </w:rPr>
        <w:t xml:space="preserve"> de un país en cada región.</w:t>
      </w:r>
    </w:p>
    <w:p w14:paraId="5ABEAFA3" w14:textId="5396F690" w:rsidR="00B256D2" w:rsidRPr="00DD77A3" w:rsidRDefault="00720235" w:rsidP="00720235">
      <w:pPr>
        <w:pStyle w:val="enumlev1"/>
        <w:rPr>
          <w:lang w:val="es-ES_tradnl"/>
        </w:rPr>
      </w:pPr>
      <w:r w:rsidRPr="00DD77A3">
        <w:rPr>
          <w:lang w:val="es-ES_tradnl"/>
        </w:rPr>
        <w:t>4)</w:t>
      </w:r>
      <w:r w:rsidRPr="00DD77A3">
        <w:rPr>
          <w:lang w:val="es-ES_tradnl"/>
        </w:rPr>
        <w:tab/>
      </w:r>
      <w:r w:rsidR="00B256D2" w:rsidRPr="00DD77A3">
        <w:rPr>
          <w:lang w:val="es-ES_tradnl"/>
        </w:rPr>
        <w:t>La BDT innova constantemente para aprovechar las oportunidades y responder a los desafíos que plantean los proyectos, mejorando su función de ejecución de proyectos, los procesos y la presentación de la información, a fin de reforzar la rendición de cuentas, la eficacia y eficiencia en la ejecución de los proyectos.</w:t>
      </w:r>
    </w:p>
    <w:p w14:paraId="6064DD0D" w14:textId="563F5D10" w:rsidR="00B256D2" w:rsidRPr="00DD77A3" w:rsidRDefault="00720235" w:rsidP="00E85AA2">
      <w:pPr>
        <w:pStyle w:val="enumlev1"/>
        <w:rPr>
          <w:lang w:val="es-ES_tradnl"/>
        </w:rPr>
      </w:pPr>
      <w:r w:rsidRPr="00DD77A3">
        <w:rPr>
          <w:lang w:val="es-ES_tradnl"/>
        </w:rPr>
        <w:t>5)</w:t>
      </w:r>
      <w:r w:rsidRPr="00DD77A3">
        <w:rPr>
          <w:lang w:val="es-ES_tradnl"/>
        </w:rPr>
        <w:tab/>
      </w:r>
      <w:r w:rsidR="00B256D2" w:rsidRPr="00DD77A3">
        <w:rPr>
          <w:lang w:val="es-ES_tradnl"/>
        </w:rPr>
        <w:t>Las evaluaciones posteriores a la ejecución siguen siendo importantes, en particular para potenciar el intercambio de información, de experiencias y de las enseñanzas extraídas entre los Estados Miembros.</w:t>
      </w:r>
    </w:p>
    <w:p w14:paraId="18811796" w14:textId="20B74673" w:rsidR="00B256D2" w:rsidRPr="00DD77A3" w:rsidRDefault="00720235" w:rsidP="00E85AA2">
      <w:pPr>
        <w:pStyle w:val="enumlev1"/>
        <w:rPr>
          <w:lang w:val="es-ES_tradnl"/>
        </w:rPr>
      </w:pPr>
      <w:r w:rsidRPr="00DD77A3">
        <w:rPr>
          <w:lang w:val="es-ES_tradnl"/>
        </w:rPr>
        <w:t>6)</w:t>
      </w:r>
      <w:r w:rsidRPr="00DD77A3">
        <w:rPr>
          <w:lang w:val="es-ES_tradnl"/>
        </w:rPr>
        <w:tab/>
      </w:r>
      <w:r w:rsidR="00B256D2" w:rsidRPr="00DD77A3">
        <w:rPr>
          <w:lang w:val="es-ES_tradnl"/>
        </w:rPr>
        <w:t>Habida cuenta del número total de proyectos en curso y de los recursos limitados, la BDT seguirá evaluando los proyectos de manera selectiva, asignando prioridad a los proyectos complejos y de gran alcance.</w:t>
      </w:r>
    </w:p>
    <w:p w14:paraId="67F6F5FB" w14:textId="0ACFCF99" w:rsidR="00B256D2" w:rsidRPr="00DD77A3" w:rsidRDefault="00DD77A3" w:rsidP="00DD77A3">
      <w:pPr>
        <w:pStyle w:val="enumlev1"/>
        <w:rPr>
          <w:lang w:val="es-ES_tradnl"/>
        </w:rPr>
      </w:pPr>
      <w:r w:rsidRPr="00DD77A3">
        <w:rPr>
          <w:lang w:val="es-ES_tradnl"/>
        </w:rPr>
        <w:t>7)</w:t>
      </w:r>
      <w:r w:rsidRPr="00DD77A3">
        <w:rPr>
          <w:lang w:val="es-ES_tradnl"/>
        </w:rPr>
        <w:tab/>
      </w:r>
      <w:r w:rsidR="00B256D2" w:rsidRPr="00DD77A3">
        <w:rPr>
          <w:lang w:val="es-ES_tradnl"/>
        </w:rPr>
        <w:t>Factores externos como los conflictos políticos y civiles, las dificultades económicas a que se enfrentan algunos de los países beneficiarios y las interrupciones en la ejecución de los proyectos debidas a catástrofes naturales, siguen retrasando la ejecución oportuna de los proyectos.</w:t>
      </w:r>
    </w:p>
    <w:p w14:paraId="0F3EA00F" w14:textId="6D96961E" w:rsidR="001C5CE4" w:rsidRDefault="00B256D2" w:rsidP="00DD77A3">
      <w:pPr>
        <w:rPr>
          <w:lang w:val="es-ES_tradnl"/>
        </w:rPr>
      </w:pPr>
      <w:r w:rsidRPr="00DD77A3">
        <w:rPr>
          <w:lang w:val="es-ES_tradnl"/>
        </w:rPr>
        <w:t xml:space="preserve">Se puede obtener más información acerca de los proyectos ejecutados por la UIT en la página: </w:t>
      </w:r>
      <w:r w:rsidR="001C5CE4">
        <w:rPr>
          <w:lang w:val="es-ES_tradnl"/>
        </w:rPr>
        <w:br/>
      </w:r>
      <w:hyperlink r:id="rId16" w:history="1">
        <w:r w:rsidR="001C5CE4" w:rsidRPr="001C5CE4">
          <w:rPr>
            <w:rStyle w:val="Hyperlink"/>
            <w:lang w:val="es-ES_tradnl"/>
          </w:rPr>
          <w:t>http://www.itu.int</w:t>
        </w:r>
        <w:r w:rsidR="001C5CE4" w:rsidRPr="001C5CE4">
          <w:rPr>
            <w:rStyle w:val="Hyperlink"/>
            <w:lang w:val="es-ES_tradnl"/>
          </w:rPr>
          <w:t>/</w:t>
        </w:r>
        <w:r w:rsidR="001C5CE4" w:rsidRPr="001C5CE4">
          <w:rPr>
            <w:rStyle w:val="Hyperlink"/>
            <w:lang w:val="es-ES_tradnl"/>
          </w:rPr>
          <w:t>es/ITU-D/Projects/</w:t>
        </w:r>
      </w:hyperlink>
    </w:p>
    <w:p w14:paraId="615BCDD6" w14:textId="77777777" w:rsidR="00DD77A3" w:rsidRPr="00DD77A3" w:rsidRDefault="00DD77A3" w:rsidP="00411C49">
      <w:pPr>
        <w:pStyle w:val="Reasons"/>
        <w:rPr>
          <w:lang w:val="es-ES_tradnl"/>
        </w:rPr>
      </w:pPr>
    </w:p>
    <w:p w14:paraId="19F47FDC" w14:textId="77777777" w:rsidR="00DD77A3" w:rsidRPr="00DD77A3" w:rsidRDefault="00DD77A3">
      <w:pPr>
        <w:jc w:val="center"/>
        <w:rPr>
          <w:lang w:val="es-ES_tradnl"/>
        </w:rPr>
      </w:pPr>
      <w:r w:rsidRPr="00DD77A3">
        <w:rPr>
          <w:lang w:val="es-ES_tradnl"/>
        </w:rPr>
        <w:t>______________</w:t>
      </w:r>
    </w:p>
    <w:sectPr w:rsidR="00DD77A3" w:rsidRPr="00DD77A3" w:rsidSect="004B7893">
      <w:headerReference w:type="default" r:id="rId17"/>
      <w:footerReference w:type="default" r:id="rId18"/>
      <w:footerReference w:type="first" r:id="rId19"/>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513E6" w14:textId="77777777" w:rsidR="00B256D2" w:rsidRDefault="00B256D2" w:rsidP="0088106F">
      <w:r>
        <w:separator/>
      </w:r>
    </w:p>
  </w:endnote>
  <w:endnote w:type="continuationSeparator" w:id="0">
    <w:p w14:paraId="1378C9B9" w14:textId="77777777" w:rsidR="00B256D2" w:rsidRDefault="00B256D2" w:rsidP="008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4E14" w14:textId="24448B0A" w:rsidR="0088106F" w:rsidRPr="009A6FC4" w:rsidRDefault="00113324" w:rsidP="00893778">
    <w:pPr>
      <w:pStyle w:val="Footer"/>
    </w:pPr>
    <w:r>
      <w:fldChar w:fldCharType="begin"/>
    </w:r>
    <w:r>
      <w:instrText xml:space="preserve"> FILENAME \p  \* MERGEFORMAT </w:instrText>
    </w:r>
    <w:r>
      <w:fldChar w:fldCharType="separate"/>
    </w:r>
    <w:r>
      <w:t>P:\ESP\ITU-D\CONF-D\TDAG20\000\010S.docx</w:t>
    </w:r>
    <w:r>
      <w:fldChar w:fldCharType="end"/>
    </w:r>
    <w:r w:rsidR="00893778">
      <w:t xml:space="preserve"> (465657)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134"/>
      <w:gridCol w:w="2552"/>
      <w:gridCol w:w="6237"/>
    </w:tblGrid>
    <w:tr w:rsidR="009D1BD4" w:rsidRPr="0078073C" w14:paraId="0885D4D2" w14:textId="77777777" w:rsidTr="004E3CF5">
      <w:tc>
        <w:tcPr>
          <w:tcW w:w="1134" w:type="dxa"/>
          <w:tcBorders>
            <w:top w:val="single" w:sz="4" w:space="0" w:color="000000"/>
          </w:tcBorders>
          <w:shd w:val="clear" w:color="auto" w:fill="auto"/>
        </w:tcPr>
        <w:p w14:paraId="371132FB" w14:textId="77777777" w:rsidR="009D1BD4" w:rsidRPr="00B256D2" w:rsidRDefault="009D1BD4" w:rsidP="009D1BD4">
          <w:pPr>
            <w:pStyle w:val="FirstFooter"/>
            <w:tabs>
              <w:tab w:val="left" w:pos="1559"/>
              <w:tab w:val="left" w:pos="3828"/>
            </w:tabs>
            <w:rPr>
              <w:sz w:val="18"/>
              <w:szCs w:val="18"/>
              <w:lang w:val="es-ES_tradnl"/>
            </w:rPr>
          </w:pPr>
          <w:r w:rsidRPr="00B256D2">
            <w:rPr>
              <w:sz w:val="18"/>
              <w:szCs w:val="18"/>
              <w:lang w:val="es-ES_tradnl"/>
            </w:rPr>
            <w:t>Contacto:</w:t>
          </w:r>
        </w:p>
      </w:tc>
      <w:tc>
        <w:tcPr>
          <w:tcW w:w="2552" w:type="dxa"/>
          <w:tcBorders>
            <w:top w:val="single" w:sz="4" w:space="0" w:color="000000"/>
          </w:tcBorders>
          <w:shd w:val="clear" w:color="auto" w:fill="auto"/>
        </w:tcPr>
        <w:p w14:paraId="29DD9CC1" w14:textId="77777777" w:rsidR="009D1BD4" w:rsidRPr="00B256D2" w:rsidRDefault="009D1BD4" w:rsidP="009D1BD4">
          <w:pPr>
            <w:pStyle w:val="FirstFooter"/>
            <w:tabs>
              <w:tab w:val="left" w:pos="2302"/>
            </w:tabs>
            <w:ind w:left="2302" w:hanging="2302"/>
            <w:rPr>
              <w:sz w:val="18"/>
              <w:szCs w:val="18"/>
              <w:lang w:val="es-ES_tradnl"/>
            </w:rPr>
          </w:pPr>
          <w:r w:rsidRPr="00B256D2">
            <w:rPr>
              <w:sz w:val="18"/>
              <w:szCs w:val="18"/>
              <w:lang w:val="es-ES_tradnl"/>
            </w:rPr>
            <w:t>Nombre/Organización/Entidad:</w:t>
          </w:r>
        </w:p>
      </w:tc>
      <w:tc>
        <w:tcPr>
          <w:tcW w:w="6237" w:type="dxa"/>
          <w:tcBorders>
            <w:top w:val="single" w:sz="4" w:space="0" w:color="000000"/>
          </w:tcBorders>
          <w:shd w:val="clear" w:color="auto" w:fill="auto"/>
        </w:tcPr>
        <w:p w14:paraId="35D35C39" w14:textId="1DF24E62" w:rsidR="009D1BD4" w:rsidRPr="00B256D2" w:rsidRDefault="00B256D2" w:rsidP="00B256D2">
          <w:pPr>
            <w:pStyle w:val="FirstFooter"/>
            <w:rPr>
              <w:sz w:val="18"/>
              <w:szCs w:val="18"/>
              <w:lang w:val="es-ES"/>
            </w:rPr>
          </w:pPr>
          <w:bookmarkStart w:id="7" w:name="OrgName"/>
          <w:bookmarkEnd w:id="7"/>
          <w:r w:rsidRPr="00BD6F5E">
            <w:rPr>
              <w:sz w:val="18"/>
              <w:szCs w:val="18"/>
              <w:lang w:val="es-ES"/>
            </w:rPr>
            <w:t xml:space="preserve">Sr. </w:t>
          </w:r>
          <w:proofErr w:type="spellStart"/>
          <w:r w:rsidRPr="00BD6F5E">
            <w:rPr>
              <w:sz w:val="18"/>
              <w:szCs w:val="18"/>
              <w:lang w:val="es-ES"/>
            </w:rPr>
            <w:t>Cosmas</w:t>
          </w:r>
          <w:proofErr w:type="spellEnd"/>
          <w:r w:rsidRPr="00BD6F5E">
            <w:rPr>
              <w:sz w:val="18"/>
              <w:szCs w:val="18"/>
              <w:lang w:val="es-ES"/>
            </w:rPr>
            <w:t xml:space="preserve"> </w:t>
          </w:r>
          <w:proofErr w:type="spellStart"/>
          <w:r w:rsidRPr="00BD6F5E">
            <w:rPr>
              <w:sz w:val="18"/>
              <w:szCs w:val="18"/>
              <w:lang w:val="es-ES"/>
            </w:rPr>
            <w:t>Zavazava</w:t>
          </w:r>
          <w:proofErr w:type="spellEnd"/>
          <w:r w:rsidRPr="00BD6F5E">
            <w:rPr>
              <w:sz w:val="18"/>
              <w:szCs w:val="18"/>
              <w:lang w:val="es-ES"/>
            </w:rPr>
            <w:t xml:space="preserve">, Jefe </w:t>
          </w:r>
          <w:proofErr w:type="spellStart"/>
          <w:r>
            <w:rPr>
              <w:sz w:val="18"/>
              <w:szCs w:val="18"/>
              <w:lang w:val="es-ES"/>
            </w:rPr>
            <w:t>a.i.</w:t>
          </w:r>
          <w:proofErr w:type="spellEnd"/>
          <w:r>
            <w:rPr>
              <w:sz w:val="18"/>
              <w:szCs w:val="18"/>
              <w:lang w:val="es-ES"/>
            </w:rPr>
            <w:t xml:space="preserve"> del Departamento de Asociaciones para el Desarrollo Digital</w:t>
          </w:r>
          <w:r w:rsidRPr="00BD6F5E">
            <w:rPr>
              <w:sz w:val="18"/>
              <w:szCs w:val="18"/>
              <w:lang w:val="es-ES"/>
            </w:rPr>
            <w:t>,</w:t>
          </w:r>
          <w:r>
            <w:rPr>
              <w:sz w:val="18"/>
              <w:szCs w:val="18"/>
              <w:lang w:val="es-ES"/>
            </w:rPr>
            <w:t xml:space="preserve"> </w:t>
          </w:r>
          <w:r w:rsidRPr="00BD6F5E">
            <w:rPr>
              <w:sz w:val="18"/>
              <w:szCs w:val="18"/>
              <w:lang w:val="es-ES"/>
            </w:rPr>
            <w:t>Oficina de Desarrollo de las Telecomunicaciones</w:t>
          </w:r>
        </w:p>
      </w:tc>
    </w:tr>
    <w:tr w:rsidR="00B256D2" w:rsidRPr="004D495C" w14:paraId="5DCBD907" w14:textId="77777777" w:rsidTr="004E3CF5">
      <w:tc>
        <w:tcPr>
          <w:tcW w:w="1134" w:type="dxa"/>
          <w:shd w:val="clear" w:color="auto" w:fill="auto"/>
        </w:tcPr>
        <w:p w14:paraId="1142352A" w14:textId="77777777" w:rsidR="00B256D2" w:rsidRPr="00B256D2" w:rsidRDefault="00B256D2" w:rsidP="00B256D2">
          <w:pPr>
            <w:pStyle w:val="FirstFooter"/>
            <w:tabs>
              <w:tab w:val="left" w:pos="1559"/>
              <w:tab w:val="left" w:pos="3828"/>
            </w:tabs>
            <w:rPr>
              <w:sz w:val="20"/>
              <w:lang w:val="es-ES_tradnl"/>
            </w:rPr>
          </w:pPr>
        </w:p>
      </w:tc>
      <w:tc>
        <w:tcPr>
          <w:tcW w:w="2552" w:type="dxa"/>
          <w:shd w:val="clear" w:color="auto" w:fill="auto"/>
        </w:tcPr>
        <w:p w14:paraId="33FE3A91" w14:textId="77777777" w:rsidR="00B256D2" w:rsidRPr="00B256D2" w:rsidRDefault="00B256D2" w:rsidP="00B256D2">
          <w:pPr>
            <w:pStyle w:val="FirstFooter"/>
            <w:tabs>
              <w:tab w:val="left" w:pos="2302"/>
            </w:tabs>
            <w:rPr>
              <w:sz w:val="18"/>
              <w:szCs w:val="18"/>
              <w:lang w:val="es-ES_tradnl"/>
            </w:rPr>
          </w:pPr>
          <w:r w:rsidRPr="00B256D2">
            <w:rPr>
              <w:sz w:val="18"/>
              <w:szCs w:val="18"/>
              <w:lang w:val="es-ES_tradnl"/>
            </w:rPr>
            <w:t>Teléfono:</w:t>
          </w:r>
        </w:p>
      </w:tc>
      <w:tc>
        <w:tcPr>
          <w:tcW w:w="6237" w:type="dxa"/>
          <w:shd w:val="clear" w:color="auto" w:fill="auto"/>
        </w:tcPr>
        <w:p w14:paraId="3B1989E5" w14:textId="035B2DF3" w:rsidR="00B256D2" w:rsidRPr="00050E06" w:rsidRDefault="00B256D2" w:rsidP="00B256D2">
          <w:pPr>
            <w:pStyle w:val="FirstFooter"/>
            <w:tabs>
              <w:tab w:val="left" w:pos="2302"/>
            </w:tabs>
            <w:rPr>
              <w:sz w:val="18"/>
              <w:szCs w:val="18"/>
              <w:lang w:val="en-US"/>
            </w:rPr>
          </w:pPr>
          <w:bookmarkStart w:id="8" w:name="PhoneNo"/>
          <w:bookmarkEnd w:id="8"/>
          <w:r w:rsidRPr="006F6E5C">
            <w:rPr>
              <w:sz w:val="18"/>
              <w:szCs w:val="18"/>
              <w:lang w:val="en-US"/>
            </w:rPr>
            <w:t>+41 22 7305447</w:t>
          </w:r>
        </w:p>
      </w:tc>
    </w:tr>
    <w:tr w:rsidR="00B256D2" w:rsidRPr="004D495C" w14:paraId="1389F6B1" w14:textId="77777777" w:rsidTr="004E3CF5">
      <w:tc>
        <w:tcPr>
          <w:tcW w:w="1134" w:type="dxa"/>
          <w:shd w:val="clear" w:color="auto" w:fill="auto"/>
        </w:tcPr>
        <w:p w14:paraId="7051BC47" w14:textId="77777777" w:rsidR="00B256D2" w:rsidRPr="00B256D2" w:rsidRDefault="00B256D2" w:rsidP="00B256D2">
          <w:pPr>
            <w:pStyle w:val="FirstFooter"/>
            <w:tabs>
              <w:tab w:val="left" w:pos="1559"/>
              <w:tab w:val="left" w:pos="3828"/>
            </w:tabs>
            <w:rPr>
              <w:sz w:val="20"/>
              <w:lang w:val="es-ES_tradnl"/>
            </w:rPr>
          </w:pPr>
        </w:p>
      </w:tc>
      <w:tc>
        <w:tcPr>
          <w:tcW w:w="2552" w:type="dxa"/>
          <w:shd w:val="clear" w:color="auto" w:fill="auto"/>
        </w:tcPr>
        <w:p w14:paraId="0AB0EEBA" w14:textId="77777777" w:rsidR="00B256D2" w:rsidRPr="00B256D2" w:rsidRDefault="00B256D2" w:rsidP="00B256D2">
          <w:pPr>
            <w:pStyle w:val="FirstFooter"/>
            <w:tabs>
              <w:tab w:val="left" w:pos="2302"/>
            </w:tabs>
            <w:rPr>
              <w:sz w:val="18"/>
              <w:szCs w:val="18"/>
              <w:lang w:val="es-ES_tradnl"/>
            </w:rPr>
          </w:pPr>
          <w:r w:rsidRPr="00B256D2">
            <w:rPr>
              <w:sz w:val="18"/>
              <w:szCs w:val="18"/>
              <w:lang w:val="es-ES_tradnl"/>
            </w:rPr>
            <w:t>Correo-e:</w:t>
          </w:r>
        </w:p>
      </w:tc>
      <w:bookmarkStart w:id="9" w:name="Email"/>
      <w:bookmarkEnd w:id="9"/>
      <w:tc>
        <w:tcPr>
          <w:tcW w:w="6237" w:type="dxa"/>
          <w:shd w:val="clear" w:color="auto" w:fill="auto"/>
        </w:tcPr>
        <w:p w14:paraId="40C2FDA8" w14:textId="5BFE7A33" w:rsidR="00B256D2" w:rsidRPr="00050E06" w:rsidRDefault="00B256D2" w:rsidP="00B256D2">
          <w:pPr>
            <w:pStyle w:val="FirstFooter"/>
            <w:tabs>
              <w:tab w:val="left" w:pos="2302"/>
            </w:tabs>
            <w:rPr>
              <w:sz w:val="18"/>
              <w:szCs w:val="18"/>
              <w:lang w:val="en-US"/>
            </w:rPr>
          </w:pPr>
          <w:r>
            <w:rPr>
              <w:rStyle w:val="Hyperlink"/>
              <w:sz w:val="18"/>
              <w:szCs w:val="18"/>
              <w:lang w:val="en-US"/>
            </w:rPr>
            <w:fldChar w:fldCharType="begin"/>
          </w:r>
          <w:r>
            <w:rPr>
              <w:rStyle w:val="Hyperlink"/>
              <w:sz w:val="18"/>
              <w:szCs w:val="18"/>
              <w:lang w:val="en-US"/>
            </w:rPr>
            <w:instrText xml:space="preserve"> HYPERLINK "mailto:cosmas.zavazava@itu.int" </w:instrText>
          </w:r>
          <w:r>
            <w:rPr>
              <w:rStyle w:val="Hyperlink"/>
              <w:sz w:val="18"/>
              <w:szCs w:val="18"/>
              <w:lang w:val="en-US"/>
            </w:rPr>
            <w:fldChar w:fldCharType="separate"/>
          </w:r>
          <w:r w:rsidRPr="00C77B30">
            <w:rPr>
              <w:rStyle w:val="Hyperlink"/>
              <w:sz w:val="18"/>
              <w:szCs w:val="18"/>
              <w:lang w:val="en-US"/>
            </w:rPr>
            <w:t>cosmas.zavazava@itu.int</w:t>
          </w:r>
          <w:r>
            <w:rPr>
              <w:rStyle w:val="Hyperlink"/>
              <w:sz w:val="18"/>
              <w:szCs w:val="18"/>
              <w:lang w:val="en-US"/>
            </w:rPr>
            <w:fldChar w:fldCharType="end"/>
          </w:r>
        </w:p>
      </w:tc>
    </w:tr>
  </w:tbl>
  <w:p w14:paraId="2EC9A3EB" w14:textId="77777777" w:rsidR="009D1BD4" w:rsidRDefault="009D1BD4" w:rsidP="006E4AB3">
    <w:pPr>
      <w:tabs>
        <w:tab w:val="clear" w:pos="794"/>
        <w:tab w:val="clear" w:pos="1191"/>
        <w:tab w:val="clear" w:pos="1588"/>
        <w:tab w:val="clear" w:pos="1985"/>
        <w:tab w:val="left" w:pos="5954"/>
        <w:tab w:val="right" w:pos="9639"/>
      </w:tabs>
      <w:spacing w:before="0"/>
      <w:jc w:val="center"/>
    </w:pPr>
  </w:p>
  <w:p w14:paraId="08A22A05" w14:textId="77777777" w:rsidR="006E4AB3" w:rsidRPr="006E4AB3" w:rsidRDefault="00113324" w:rsidP="006E4AB3">
    <w:pPr>
      <w:tabs>
        <w:tab w:val="clear" w:pos="794"/>
        <w:tab w:val="clear" w:pos="1191"/>
        <w:tab w:val="clear" w:pos="1588"/>
        <w:tab w:val="clear" w:pos="1985"/>
        <w:tab w:val="left" w:pos="5954"/>
        <w:tab w:val="right" w:pos="9639"/>
      </w:tabs>
      <w:spacing w:before="0"/>
      <w:jc w:val="center"/>
      <w:rPr>
        <w:rFonts w:ascii="Calibri" w:hAnsi="Calibri"/>
        <w:caps/>
        <w:noProof/>
        <w:sz w:val="16"/>
      </w:rPr>
    </w:pPr>
    <w:hyperlink r:id="rId1" w:history="1">
      <w:r w:rsidR="00225D2E">
        <w:rPr>
          <w:rFonts w:ascii="Calibri" w:hAnsi="Calibri"/>
          <w:color w:val="0000FF"/>
          <w:sz w:val="18"/>
          <w:szCs w:val="18"/>
          <w:u w:val="single"/>
        </w:rPr>
        <w:t>GADT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E9C1B" w14:textId="77777777" w:rsidR="00B256D2" w:rsidRDefault="00B256D2" w:rsidP="0088106F">
      <w:r>
        <w:separator/>
      </w:r>
    </w:p>
  </w:footnote>
  <w:footnote w:type="continuationSeparator" w:id="0">
    <w:p w14:paraId="67B59094" w14:textId="77777777" w:rsidR="00B256D2" w:rsidRDefault="00B256D2" w:rsidP="0088106F">
      <w:r>
        <w:continuationSeparator/>
      </w:r>
    </w:p>
  </w:footnote>
  <w:footnote w:id="1">
    <w:p w14:paraId="6EF512FF" w14:textId="77777777" w:rsidR="00B256D2" w:rsidRPr="00526F28" w:rsidRDefault="00B256D2" w:rsidP="006D7E66">
      <w:pPr>
        <w:pStyle w:val="FootnoteText"/>
        <w:tabs>
          <w:tab w:val="clear" w:pos="255"/>
          <w:tab w:val="left" w:pos="0"/>
        </w:tabs>
        <w:spacing w:before="0"/>
        <w:rPr>
          <w:sz w:val="20"/>
          <w:lang w:val="es-ES"/>
        </w:rPr>
      </w:pPr>
      <w:r w:rsidRPr="00411FE5">
        <w:rPr>
          <w:rStyle w:val="FootnoteReference"/>
          <w:sz w:val="20"/>
        </w:rPr>
        <w:footnoteRef/>
      </w:r>
      <w:r>
        <w:rPr>
          <w:sz w:val="20"/>
          <w:lang w:val="es-ES"/>
        </w:rPr>
        <w:tab/>
      </w:r>
      <w:r w:rsidRPr="00B256D2">
        <w:rPr>
          <w:lang w:val="es-ES"/>
        </w:rPr>
        <w:t>A efectos del presente informe, todas las cifras financieras se han convertido a CHF utilizando el tipo de cambio contable de la UIT de diciembre de 2019. Cabe señalar que esta cifra podrá variar ligeramente al cierre de las cuentas.</w:t>
      </w:r>
    </w:p>
  </w:footnote>
  <w:footnote w:id="2">
    <w:p w14:paraId="4AE6A5B7" w14:textId="77777777" w:rsidR="00B256D2" w:rsidRPr="00062BE3" w:rsidRDefault="00B256D2" w:rsidP="00DC2016">
      <w:pPr>
        <w:pStyle w:val="FootnoteText"/>
        <w:spacing w:before="0"/>
        <w:rPr>
          <w:sz w:val="20"/>
          <w:lang w:val="es-ES"/>
        </w:rPr>
      </w:pPr>
      <w:r w:rsidRPr="00411FE5">
        <w:rPr>
          <w:rStyle w:val="FootnoteReference"/>
          <w:sz w:val="20"/>
        </w:rPr>
        <w:footnoteRef/>
      </w:r>
      <w:r>
        <w:rPr>
          <w:sz w:val="20"/>
          <w:lang w:val="es-ES"/>
        </w:rPr>
        <w:tab/>
      </w:r>
      <w:r w:rsidRPr="00203E25">
        <w:rPr>
          <w:lang w:val="es-ES"/>
        </w:rPr>
        <w:t>Téngase en cuenta que algunos proyectos pueden clasificarse en más de un ámbito de acción.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E370C" w14:textId="5EA3EFEE" w:rsidR="009A6FC4" w:rsidRPr="00B256D2" w:rsidRDefault="009A6FC4" w:rsidP="00B256D2">
    <w:pPr>
      <w:tabs>
        <w:tab w:val="clear" w:pos="794"/>
        <w:tab w:val="clear" w:pos="1191"/>
        <w:tab w:val="clear" w:pos="1588"/>
        <w:tab w:val="clear" w:pos="1985"/>
        <w:tab w:val="center" w:pos="4536"/>
        <w:tab w:val="right" w:pos="9639"/>
      </w:tabs>
      <w:ind w:right="1"/>
      <w:rPr>
        <w:smallCaps/>
        <w:spacing w:val="24"/>
        <w:sz w:val="22"/>
        <w:szCs w:val="22"/>
        <w:lang w:val="en-US"/>
      </w:rPr>
    </w:pPr>
    <w:r w:rsidRPr="00972BCD">
      <w:rPr>
        <w:sz w:val="22"/>
        <w:szCs w:val="22"/>
      </w:rPr>
      <w:tab/>
    </w:r>
    <w:r w:rsidRPr="003D4CFB">
      <w:rPr>
        <w:sz w:val="22"/>
        <w:szCs w:val="22"/>
        <w:lang w:val="en-US"/>
      </w:rPr>
      <w:t>TDAG</w:t>
    </w:r>
    <w:r w:rsidR="00602B27">
      <w:rPr>
        <w:sz w:val="22"/>
        <w:szCs w:val="22"/>
        <w:lang w:val="en-US"/>
      </w:rPr>
      <w:t>-</w:t>
    </w:r>
    <w:r w:rsidR="00AA076A">
      <w:rPr>
        <w:sz w:val="22"/>
        <w:szCs w:val="22"/>
        <w:lang w:val="en-US"/>
      </w:rPr>
      <w:t>20</w:t>
    </w:r>
    <w:r w:rsidRPr="003D4CFB">
      <w:rPr>
        <w:sz w:val="22"/>
        <w:szCs w:val="22"/>
        <w:lang w:val="en-US"/>
      </w:rPr>
      <w:t>/</w:t>
    </w:r>
    <w:r w:rsidR="00B256D2">
      <w:rPr>
        <w:sz w:val="22"/>
        <w:szCs w:val="22"/>
        <w:lang w:val="en-US"/>
      </w:rPr>
      <w:t>10</w:t>
    </w:r>
    <w:r w:rsidRPr="003D4CFB">
      <w:rPr>
        <w:sz w:val="22"/>
        <w:szCs w:val="22"/>
        <w:lang w:val="en-US"/>
      </w:rPr>
      <w:t>-S</w:t>
    </w:r>
    <w:r w:rsidRPr="009A6FC4">
      <w:rPr>
        <w:sz w:val="22"/>
        <w:szCs w:val="22"/>
        <w:lang w:val="en-US"/>
      </w:rPr>
      <w:tab/>
    </w:r>
    <w:r w:rsidRPr="00877904">
      <w:rPr>
        <w:rStyle w:val="PageNumber"/>
        <w:sz w:val="22"/>
        <w:szCs w:val="22"/>
        <w:lang w:val="es-ES_tradnl"/>
      </w:rPr>
      <w:t>Página</w:t>
    </w:r>
    <w:r w:rsidRPr="009A6FC4">
      <w:rPr>
        <w:sz w:val="22"/>
        <w:szCs w:val="22"/>
        <w:lang w:val="en-US"/>
      </w:rPr>
      <w:t xml:space="preserve"> </w:t>
    </w:r>
    <w:r w:rsidRPr="00972BCD">
      <w:rPr>
        <w:sz w:val="22"/>
        <w:szCs w:val="22"/>
      </w:rPr>
      <w:fldChar w:fldCharType="begin"/>
    </w:r>
    <w:r w:rsidRPr="009A6FC4">
      <w:rPr>
        <w:sz w:val="22"/>
        <w:szCs w:val="22"/>
        <w:lang w:val="en-US"/>
      </w:rPr>
      <w:instrText xml:space="preserve"> PAGE </w:instrText>
    </w:r>
    <w:r w:rsidRPr="00972BCD">
      <w:rPr>
        <w:sz w:val="22"/>
        <w:szCs w:val="22"/>
      </w:rPr>
      <w:fldChar w:fldCharType="separate"/>
    </w:r>
    <w:r w:rsidR="0086435F">
      <w:rPr>
        <w:noProof/>
        <w:sz w:val="22"/>
        <w:szCs w:val="22"/>
        <w:lang w:val="en-US"/>
      </w:rPr>
      <w:t>2</w:t>
    </w:r>
    <w:r w:rsidRPr="00972BCD">
      <w:rPr>
        <w:sz w:val="22"/>
        <w:szCs w:val="2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D2"/>
    <w:rsid w:val="000135AE"/>
    <w:rsid w:val="00033D49"/>
    <w:rsid w:val="000725A1"/>
    <w:rsid w:val="000C0AA7"/>
    <w:rsid w:val="000E7A0A"/>
    <w:rsid w:val="00107AC6"/>
    <w:rsid w:val="00113324"/>
    <w:rsid w:val="00194CB2"/>
    <w:rsid w:val="001C02BF"/>
    <w:rsid w:val="001C5CE4"/>
    <w:rsid w:val="001F0709"/>
    <w:rsid w:val="00204CA1"/>
    <w:rsid w:val="00213302"/>
    <w:rsid w:val="00221C14"/>
    <w:rsid w:val="00225D2E"/>
    <w:rsid w:val="00241CB9"/>
    <w:rsid w:val="00260EDA"/>
    <w:rsid w:val="002A7FAB"/>
    <w:rsid w:val="002D4BE6"/>
    <w:rsid w:val="002D6772"/>
    <w:rsid w:val="00302736"/>
    <w:rsid w:val="0033649F"/>
    <w:rsid w:val="003406B3"/>
    <w:rsid w:val="00360762"/>
    <w:rsid w:val="00390391"/>
    <w:rsid w:val="003D4CFB"/>
    <w:rsid w:val="004040DE"/>
    <w:rsid w:val="00482632"/>
    <w:rsid w:val="004B7893"/>
    <w:rsid w:val="004E7861"/>
    <w:rsid w:val="00535C50"/>
    <w:rsid w:val="005557A3"/>
    <w:rsid w:val="005637B9"/>
    <w:rsid w:val="005643DC"/>
    <w:rsid w:val="005B3CC5"/>
    <w:rsid w:val="005B7D52"/>
    <w:rsid w:val="005E0A4B"/>
    <w:rsid w:val="00601573"/>
    <w:rsid w:val="00602B27"/>
    <w:rsid w:val="00603C52"/>
    <w:rsid w:val="006339E7"/>
    <w:rsid w:val="00635A62"/>
    <w:rsid w:val="006C49BE"/>
    <w:rsid w:val="006E4AB3"/>
    <w:rsid w:val="006F39EB"/>
    <w:rsid w:val="00720235"/>
    <w:rsid w:val="0078073C"/>
    <w:rsid w:val="007A6C7E"/>
    <w:rsid w:val="007C3061"/>
    <w:rsid w:val="007E471D"/>
    <w:rsid w:val="00833CCD"/>
    <w:rsid w:val="00835A77"/>
    <w:rsid w:val="0084464B"/>
    <w:rsid w:val="00846988"/>
    <w:rsid w:val="0086435F"/>
    <w:rsid w:val="0088106F"/>
    <w:rsid w:val="00893778"/>
    <w:rsid w:val="008C1852"/>
    <w:rsid w:val="008C2F65"/>
    <w:rsid w:val="008D26E7"/>
    <w:rsid w:val="008D789A"/>
    <w:rsid w:val="00917B12"/>
    <w:rsid w:val="009752D2"/>
    <w:rsid w:val="00991B13"/>
    <w:rsid w:val="009952F6"/>
    <w:rsid w:val="009A6FC4"/>
    <w:rsid w:val="009D1BD4"/>
    <w:rsid w:val="00A33516"/>
    <w:rsid w:val="00A87DD9"/>
    <w:rsid w:val="00AA076A"/>
    <w:rsid w:val="00AE1BA7"/>
    <w:rsid w:val="00AF563E"/>
    <w:rsid w:val="00B256D2"/>
    <w:rsid w:val="00BC7208"/>
    <w:rsid w:val="00C44E88"/>
    <w:rsid w:val="00C532A4"/>
    <w:rsid w:val="00CB5A14"/>
    <w:rsid w:val="00CE62ED"/>
    <w:rsid w:val="00D026E9"/>
    <w:rsid w:val="00D03AE7"/>
    <w:rsid w:val="00D16175"/>
    <w:rsid w:val="00D30C2A"/>
    <w:rsid w:val="00D372A5"/>
    <w:rsid w:val="00DC4D47"/>
    <w:rsid w:val="00DD77A3"/>
    <w:rsid w:val="00DF6099"/>
    <w:rsid w:val="00DF6AB4"/>
    <w:rsid w:val="00E17138"/>
    <w:rsid w:val="00E204A0"/>
    <w:rsid w:val="00E26D23"/>
    <w:rsid w:val="00E3519F"/>
    <w:rsid w:val="00E51C72"/>
    <w:rsid w:val="00E60506"/>
    <w:rsid w:val="00E827C2"/>
    <w:rsid w:val="00EB6D19"/>
    <w:rsid w:val="00ED2681"/>
    <w:rsid w:val="00F01E28"/>
    <w:rsid w:val="00F12690"/>
    <w:rsid w:val="00F41A1C"/>
    <w:rsid w:val="00FA67A2"/>
    <w:rsid w:val="00FD3A2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BF314"/>
  <w15:docId w15:val="{C467A294-62D6-4263-AEB8-444D51EAB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302"/>
    <w:pPr>
      <w:tabs>
        <w:tab w:val="left" w:pos="794"/>
        <w:tab w:val="left" w:pos="1191"/>
        <w:tab w:val="left" w:pos="1588"/>
        <w:tab w:val="left" w:pos="1985"/>
      </w:tabs>
      <w:overflowPunct w:val="0"/>
      <w:autoSpaceDE w:val="0"/>
      <w:autoSpaceDN w:val="0"/>
      <w:adjustRightInd w:val="0"/>
      <w:spacing w:before="120" w:after="0" w:line="240" w:lineRule="auto"/>
      <w:textAlignment w:val="baseline"/>
    </w:pPr>
    <w:rPr>
      <w:rFonts w:eastAsia="Times New Roman" w:cs="Times New Roman"/>
      <w:sz w:val="24"/>
      <w:szCs w:val="20"/>
      <w:lang w:eastAsia="en-US"/>
    </w:rPr>
  </w:style>
  <w:style w:type="paragraph" w:styleId="Heading1">
    <w:name w:val="heading 1"/>
    <w:basedOn w:val="Normal"/>
    <w:next w:val="Normal"/>
    <w:link w:val="Heading1Char"/>
    <w:qFormat/>
    <w:rsid w:val="006F39EB"/>
    <w:pPr>
      <w:keepNext/>
      <w:keepLines/>
      <w:spacing w:before="280"/>
      <w:ind w:left="794" w:hanging="794"/>
      <w:outlineLvl w:val="0"/>
    </w:pPr>
    <w:rPr>
      <w:b/>
      <w:sz w:val="28"/>
    </w:rPr>
  </w:style>
  <w:style w:type="paragraph" w:styleId="Heading2">
    <w:name w:val="heading 2"/>
    <w:basedOn w:val="Heading1"/>
    <w:next w:val="Normal"/>
    <w:link w:val="Heading2Char"/>
    <w:qFormat/>
    <w:rsid w:val="006F39EB"/>
    <w:pPr>
      <w:spacing w:before="200"/>
      <w:outlineLvl w:val="1"/>
    </w:pPr>
    <w:rPr>
      <w:sz w:val="24"/>
    </w:rPr>
  </w:style>
  <w:style w:type="paragraph" w:styleId="Heading3">
    <w:name w:val="heading 3"/>
    <w:basedOn w:val="Heading1"/>
    <w:next w:val="Normal"/>
    <w:link w:val="Heading3Char"/>
    <w:qFormat/>
    <w:rsid w:val="006F39EB"/>
    <w:pPr>
      <w:spacing w:before="200"/>
      <w:outlineLvl w:val="2"/>
    </w:pPr>
    <w:rPr>
      <w:sz w:val="24"/>
    </w:rPr>
  </w:style>
  <w:style w:type="paragraph" w:styleId="Heading4">
    <w:name w:val="heading 4"/>
    <w:basedOn w:val="Heading3"/>
    <w:next w:val="Normal"/>
    <w:link w:val="Heading4Char"/>
    <w:qFormat/>
    <w:rsid w:val="006F39EB"/>
    <w:pPr>
      <w:tabs>
        <w:tab w:val="clear" w:pos="794"/>
        <w:tab w:val="left" w:pos="992"/>
      </w:tabs>
      <w:ind w:left="992" w:hanging="992"/>
      <w:outlineLvl w:val="3"/>
    </w:pPr>
  </w:style>
  <w:style w:type="paragraph" w:styleId="Heading5">
    <w:name w:val="heading 5"/>
    <w:basedOn w:val="Heading4"/>
    <w:next w:val="Normal"/>
    <w:link w:val="Heading5Char"/>
    <w:qFormat/>
    <w:rsid w:val="006F39EB"/>
    <w:pPr>
      <w:outlineLvl w:val="4"/>
    </w:pPr>
  </w:style>
  <w:style w:type="paragraph" w:styleId="Heading6">
    <w:name w:val="heading 6"/>
    <w:basedOn w:val="Heading4"/>
    <w:next w:val="Normal"/>
    <w:link w:val="Heading6Char"/>
    <w:qFormat/>
    <w:rsid w:val="006F39EB"/>
    <w:pPr>
      <w:tabs>
        <w:tab w:val="clear" w:pos="992"/>
        <w:tab w:val="clear" w:pos="1191"/>
      </w:tabs>
      <w:ind w:left="1588" w:hanging="1588"/>
      <w:outlineLvl w:val="5"/>
    </w:pPr>
  </w:style>
  <w:style w:type="paragraph" w:styleId="Heading7">
    <w:name w:val="heading 7"/>
    <w:basedOn w:val="Heading6"/>
    <w:next w:val="Normal"/>
    <w:link w:val="Heading7Char"/>
    <w:qFormat/>
    <w:rsid w:val="006F39EB"/>
    <w:pPr>
      <w:outlineLvl w:val="6"/>
    </w:pPr>
  </w:style>
  <w:style w:type="paragraph" w:styleId="Heading8">
    <w:name w:val="heading 8"/>
    <w:basedOn w:val="Heading6"/>
    <w:next w:val="Normal"/>
    <w:link w:val="Heading8Char"/>
    <w:qFormat/>
    <w:rsid w:val="006F39EB"/>
    <w:pPr>
      <w:outlineLvl w:val="7"/>
    </w:pPr>
  </w:style>
  <w:style w:type="paragraph" w:styleId="Heading9">
    <w:name w:val="heading 9"/>
    <w:basedOn w:val="Heading6"/>
    <w:next w:val="Normal"/>
    <w:link w:val="Heading9Char"/>
    <w:qFormat/>
    <w:rsid w:val="006F39E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39E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uiPriority w:val="99"/>
    <w:rsid w:val="006F39EB"/>
    <w:rPr>
      <w:rFonts w:eastAsia="Times New Roman" w:cs="Times New Roman"/>
      <w:sz w:val="18"/>
      <w:szCs w:val="20"/>
      <w:lang w:eastAsia="en-US"/>
    </w:rPr>
  </w:style>
  <w:style w:type="paragraph" w:styleId="Footer">
    <w:name w:val="footer"/>
    <w:basedOn w:val="Normal"/>
    <w:link w:val="FooterChar"/>
    <w:rsid w:val="006F39E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rsid w:val="006F39EB"/>
    <w:rPr>
      <w:rFonts w:eastAsia="Times New Roman" w:cs="Times New Roman"/>
      <w:caps/>
      <w:noProof/>
      <w:sz w:val="16"/>
      <w:szCs w:val="20"/>
      <w:lang w:eastAsia="en-US"/>
    </w:rPr>
  </w:style>
  <w:style w:type="character" w:styleId="Hyperlink">
    <w:name w:val="Hyperlink"/>
    <w:aliases w:val="CEO_Hyperlink,超级链接,Style 58,超?级链,超????,하이퍼링크2"/>
    <w:basedOn w:val="DefaultParagraphFont"/>
    <w:unhideWhenUsed/>
    <w:qFormat/>
    <w:rsid w:val="0088106F"/>
    <w:rPr>
      <w:color w:val="0000FF" w:themeColor="hyperlink"/>
      <w:u w:val="single"/>
    </w:rPr>
  </w:style>
  <w:style w:type="paragraph" w:customStyle="1" w:styleId="FirstFooter">
    <w:name w:val="FirstFooter"/>
    <w:basedOn w:val="Footer"/>
    <w:rsid w:val="006F39EB"/>
    <w:pPr>
      <w:tabs>
        <w:tab w:val="clear" w:pos="5954"/>
        <w:tab w:val="clear" w:pos="9639"/>
      </w:tabs>
      <w:overflowPunct/>
      <w:autoSpaceDE/>
      <w:autoSpaceDN/>
      <w:adjustRightInd/>
      <w:spacing w:before="40"/>
      <w:textAlignment w:val="auto"/>
    </w:pPr>
    <w:rPr>
      <w:caps w:val="0"/>
      <w:noProof w:val="0"/>
    </w:rPr>
  </w:style>
  <w:style w:type="table" w:styleId="TableGrid">
    <w:name w:val="Table Grid"/>
    <w:basedOn w:val="TableNormal"/>
    <w:rsid w:val="006F39EB"/>
    <w:pPr>
      <w:spacing w:after="0" w:line="240" w:lineRule="auto"/>
    </w:pPr>
    <w:rPr>
      <w:rFonts w:ascii="CG Times" w:eastAsia="Times New Roman" w:hAnsi="CG Time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nnexNo">
    <w:name w:val="Annex_No"/>
    <w:basedOn w:val="Normal"/>
    <w:next w:val="Normal"/>
    <w:rsid w:val="006F39EB"/>
    <w:pPr>
      <w:keepNext/>
      <w:keepLines/>
      <w:spacing w:before="480" w:after="80"/>
      <w:jc w:val="center"/>
    </w:pPr>
    <w:rPr>
      <w:caps/>
      <w:sz w:val="28"/>
    </w:rPr>
  </w:style>
  <w:style w:type="paragraph" w:customStyle="1" w:styleId="Annexref">
    <w:name w:val="Annex_ref"/>
    <w:basedOn w:val="Normal"/>
    <w:next w:val="Normal"/>
    <w:rsid w:val="006F39EB"/>
    <w:pPr>
      <w:keepNext/>
      <w:keepLines/>
      <w:spacing w:after="280"/>
      <w:jc w:val="center"/>
    </w:pPr>
  </w:style>
  <w:style w:type="paragraph" w:customStyle="1" w:styleId="Annextitle">
    <w:name w:val="Annex_title"/>
    <w:basedOn w:val="Normal"/>
    <w:next w:val="Normal"/>
    <w:rsid w:val="006F39EB"/>
    <w:pPr>
      <w:keepNext/>
      <w:keepLines/>
      <w:spacing w:before="240" w:after="280"/>
      <w:jc w:val="center"/>
    </w:pPr>
    <w:rPr>
      <w:b/>
      <w:sz w:val="28"/>
    </w:rPr>
  </w:style>
  <w:style w:type="character" w:customStyle="1" w:styleId="Appdef">
    <w:name w:val="App_def"/>
    <w:basedOn w:val="DefaultParagraphFont"/>
    <w:rsid w:val="006F39EB"/>
    <w:rPr>
      <w:rFonts w:asciiTheme="minorHAnsi" w:hAnsiTheme="minorHAnsi"/>
      <w:b/>
    </w:rPr>
  </w:style>
  <w:style w:type="character" w:customStyle="1" w:styleId="Appref">
    <w:name w:val="App_ref"/>
    <w:basedOn w:val="DefaultParagraphFont"/>
    <w:rsid w:val="006F39EB"/>
    <w:rPr>
      <w:rFonts w:asciiTheme="minorHAnsi" w:hAnsiTheme="minorHAnsi"/>
    </w:rPr>
  </w:style>
  <w:style w:type="paragraph" w:customStyle="1" w:styleId="AppendixNo">
    <w:name w:val="Appendix_No"/>
    <w:basedOn w:val="AnnexNo"/>
    <w:next w:val="Annexref"/>
    <w:rsid w:val="006F39EB"/>
  </w:style>
  <w:style w:type="paragraph" w:customStyle="1" w:styleId="Appendixref">
    <w:name w:val="Appendix_ref"/>
    <w:basedOn w:val="Annexref"/>
    <w:next w:val="Annextitle"/>
    <w:rsid w:val="006F39EB"/>
  </w:style>
  <w:style w:type="paragraph" w:customStyle="1" w:styleId="Appendixtitle">
    <w:name w:val="Appendix_title"/>
    <w:basedOn w:val="Annextitle"/>
    <w:next w:val="Normal"/>
    <w:rsid w:val="006F39EB"/>
  </w:style>
  <w:style w:type="character" w:customStyle="1" w:styleId="Artdef">
    <w:name w:val="Art_def"/>
    <w:basedOn w:val="DefaultParagraphFont"/>
    <w:rsid w:val="006F39EB"/>
    <w:rPr>
      <w:rFonts w:asciiTheme="minorHAnsi" w:hAnsiTheme="minorHAnsi"/>
      <w:b/>
    </w:rPr>
  </w:style>
  <w:style w:type="paragraph" w:customStyle="1" w:styleId="Artheading">
    <w:name w:val="Art_heading"/>
    <w:basedOn w:val="Normal"/>
    <w:next w:val="Normal"/>
    <w:rsid w:val="006F39EB"/>
    <w:pPr>
      <w:spacing w:before="480"/>
      <w:jc w:val="center"/>
    </w:pPr>
    <w:rPr>
      <w:b/>
      <w:sz w:val="28"/>
    </w:rPr>
  </w:style>
  <w:style w:type="paragraph" w:customStyle="1" w:styleId="ArtNo">
    <w:name w:val="Art_No"/>
    <w:basedOn w:val="Normal"/>
    <w:next w:val="Normal"/>
    <w:rsid w:val="006F39EB"/>
    <w:pPr>
      <w:keepNext/>
      <w:keepLines/>
      <w:spacing w:before="480"/>
      <w:jc w:val="center"/>
    </w:pPr>
    <w:rPr>
      <w:caps/>
      <w:sz w:val="28"/>
    </w:rPr>
  </w:style>
  <w:style w:type="character" w:customStyle="1" w:styleId="Artref">
    <w:name w:val="Art_ref"/>
    <w:basedOn w:val="DefaultParagraphFont"/>
    <w:rsid w:val="006F39EB"/>
    <w:rPr>
      <w:rFonts w:asciiTheme="minorHAnsi" w:hAnsiTheme="minorHAnsi"/>
    </w:rPr>
  </w:style>
  <w:style w:type="paragraph" w:customStyle="1" w:styleId="Arttitle">
    <w:name w:val="Art_title"/>
    <w:basedOn w:val="Normal"/>
    <w:next w:val="Normal"/>
    <w:rsid w:val="006F39EB"/>
    <w:pPr>
      <w:keepNext/>
      <w:keepLines/>
      <w:spacing w:before="240"/>
      <w:jc w:val="center"/>
    </w:pPr>
    <w:rPr>
      <w:b/>
      <w:sz w:val="28"/>
    </w:rPr>
  </w:style>
  <w:style w:type="paragraph" w:customStyle="1" w:styleId="ASN1">
    <w:name w:val="ASN.1"/>
    <w:basedOn w:val="Normal"/>
    <w:rsid w:val="006F39E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6F39EB"/>
    <w:pPr>
      <w:keepNext/>
      <w:keepLines/>
      <w:spacing w:before="160"/>
      <w:ind w:left="794"/>
    </w:pPr>
    <w:rPr>
      <w:i/>
    </w:rPr>
  </w:style>
  <w:style w:type="paragraph" w:customStyle="1" w:styleId="ChapNo">
    <w:name w:val="Chap_No"/>
    <w:basedOn w:val="ArtNo"/>
    <w:next w:val="Normal"/>
    <w:rsid w:val="006F39EB"/>
    <w:rPr>
      <w:b/>
    </w:rPr>
  </w:style>
  <w:style w:type="paragraph" w:customStyle="1" w:styleId="Chaptitle">
    <w:name w:val="Chap_title"/>
    <w:basedOn w:val="Arttitle"/>
    <w:next w:val="Normal"/>
    <w:rsid w:val="006F39EB"/>
  </w:style>
  <w:style w:type="paragraph" w:customStyle="1" w:styleId="Committee">
    <w:name w:val="Committee"/>
    <w:basedOn w:val="Normal"/>
    <w:qFormat/>
    <w:rsid w:val="006F39EB"/>
    <w:rPr>
      <w:rFonts w:cs="Times New Roman Bold"/>
      <w:b/>
      <w:caps/>
    </w:rPr>
  </w:style>
  <w:style w:type="paragraph" w:customStyle="1" w:styleId="ddate">
    <w:name w:val="ddate"/>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6F39EB"/>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6F39EB"/>
    <w:rPr>
      <w:vertAlign w:val="superscript"/>
    </w:rPr>
  </w:style>
  <w:style w:type="paragraph" w:customStyle="1" w:styleId="enumlev1">
    <w:name w:val="enumlev1"/>
    <w:basedOn w:val="Normal"/>
    <w:rsid w:val="006F39EB"/>
    <w:pPr>
      <w:spacing w:before="80"/>
      <w:ind w:left="794" w:hanging="794"/>
    </w:pPr>
  </w:style>
  <w:style w:type="paragraph" w:customStyle="1" w:styleId="enumlev2">
    <w:name w:val="enumlev2"/>
    <w:basedOn w:val="enumlev1"/>
    <w:rsid w:val="006F39EB"/>
    <w:pPr>
      <w:ind w:left="1191" w:hanging="397"/>
    </w:pPr>
  </w:style>
  <w:style w:type="paragraph" w:customStyle="1" w:styleId="enumlev3">
    <w:name w:val="enumlev3"/>
    <w:basedOn w:val="enumlev2"/>
    <w:rsid w:val="006F39EB"/>
    <w:pPr>
      <w:ind w:left="1588"/>
    </w:pPr>
  </w:style>
  <w:style w:type="paragraph" w:customStyle="1" w:styleId="Equation">
    <w:name w:val="Equation"/>
    <w:basedOn w:val="Normal"/>
    <w:rsid w:val="006F39EB"/>
    <w:pPr>
      <w:tabs>
        <w:tab w:val="clear" w:pos="1191"/>
        <w:tab w:val="clear" w:pos="1588"/>
        <w:tab w:val="clear" w:pos="1985"/>
        <w:tab w:val="center" w:pos="4820"/>
        <w:tab w:val="right" w:pos="9639"/>
      </w:tabs>
    </w:pPr>
  </w:style>
  <w:style w:type="paragraph" w:customStyle="1" w:styleId="Equationlegend">
    <w:name w:val="Equation_legend"/>
    <w:basedOn w:val="Normal"/>
    <w:rsid w:val="006F39EB"/>
    <w:pPr>
      <w:tabs>
        <w:tab w:val="clear" w:pos="794"/>
        <w:tab w:val="clear" w:pos="1191"/>
        <w:tab w:val="clear" w:pos="1588"/>
        <w:tab w:val="clear" w:pos="1985"/>
        <w:tab w:val="right" w:pos="1531"/>
        <w:tab w:val="left" w:pos="1701"/>
      </w:tabs>
      <w:spacing w:before="80"/>
      <w:ind w:left="1701" w:hanging="1701"/>
    </w:pPr>
    <w:rPr>
      <w:lang w:val="en-GB"/>
    </w:rPr>
  </w:style>
  <w:style w:type="paragraph" w:customStyle="1" w:styleId="Figurelegend">
    <w:name w:val="Figure_legend"/>
    <w:basedOn w:val="Normal"/>
    <w:rsid w:val="006F39E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Normal"/>
    <w:rsid w:val="006F39EB"/>
    <w:pPr>
      <w:keepNext/>
      <w:keepLines/>
      <w:spacing w:before="480" w:after="120"/>
      <w:jc w:val="center"/>
    </w:pPr>
    <w:rPr>
      <w:caps/>
      <w:lang w:val="en-GB"/>
    </w:rPr>
  </w:style>
  <w:style w:type="paragraph" w:customStyle="1" w:styleId="Tabletitle">
    <w:name w:val="Table_title"/>
    <w:basedOn w:val="Normal"/>
    <w:next w:val="Normal"/>
    <w:rsid w:val="006F39EB"/>
    <w:pPr>
      <w:keepNext/>
      <w:keepLines/>
      <w:spacing w:before="0" w:after="120"/>
      <w:jc w:val="center"/>
    </w:pPr>
    <w:rPr>
      <w:b/>
      <w:lang w:val="en-GB"/>
    </w:rPr>
  </w:style>
  <w:style w:type="paragraph" w:customStyle="1" w:styleId="Figuretitle">
    <w:name w:val="Figure_title"/>
    <w:basedOn w:val="Tabletitle"/>
    <w:next w:val="Normal"/>
    <w:rsid w:val="006F39EB"/>
    <w:pPr>
      <w:keepNext w:val="0"/>
      <w:spacing w:after="480"/>
    </w:pPr>
  </w:style>
  <w:style w:type="paragraph" w:customStyle="1" w:styleId="Figurewithouttitle">
    <w:name w:val="Figure_without_title"/>
    <w:basedOn w:val="FigureNo"/>
    <w:next w:val="Normal"/>
    <w:rsid w:val="006F39EB"/>
    <w:pPr>
      <w:keepNext w:val="0"/>
    </w:p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6F39EB"/>
    <w:rPr>
      <w:rFonts w:asciiTheme="minorHAnsi" w:hAnsiTheme="minorHAnsi"/>
      <w:position w:val="6"/>
      <w:sz w:val="18"/>
    </w:rPr>
  </w:style>
  <w:style w:type="paragraph" w:styleId="FootnoteText">
    <w:name w:val="footnote text"/>
    <w:aliases w:val="ACMA 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6F39EB"/>
    <w:pPr>
      <w:keepLines/>
      <w:tabs>
        <w:tab w:val="left" w:pos="255"/>
      </w:tabs>
      <w:ind w:left="255" w:hanging="255"/>
    </w:pPr>
  </w:style>
  <w:style w:type="character" w:customStyle="1" w:styleId="FootnoteTextChar">
    <w:name w:val="Footnote Text Char"/>
    <w:aliases w:val="ACMA 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6F39EB"/>
    <w:rPr>
      <w:rFonts w:eastAsia="Times New Roman" w:cs="Times New Roman"/>
      <w:sz w:val="24"/>
      <w:szCs w:val="20"/>
      <w:lang w:eastAsia="en-US"/>
    </w:rPr>
  </w:style>
  <w:style w:type="character" w:customStyle="1" w:styleId="Heading1Char">
    <w:name w:val="Heading 1 Char"/>
    <w:basedOn w:val="DefaultParagraphFont"/>
    <w:link w:val="Heading1"/>
    <w:rsid w:val="006F39EB"/>
    <w:rPr>
      <w:rFonts w:eastAsia="Times New Roman" w:cs="Times New Roman"/>
      <w:b/>
      <w:sz w:val="28"/>
      <w:szCs w:val="20"/>
      <w:lang w:eastAsia="en-US"/>
    </w:rPr>
  </w:style>
  <w:style w:type="character" w:customStyle="1" w:styleId="Heading2Char">
    <w:name w:val="Heading 2 Char"/>
    <w:basedOn w:val="DefaultParagraphFont"/>
    <w:link w:val="Heading2"/>
    <w:rsid w:val="006F39EB"/>
    <w:rPr>
      <w:rFonts w:eastAsia="Times New Roman" w:cs="Times New Roman"/>
      <w:b/>
      <w:sz w:val="24"/>
      <w:szCs w:val="20"/>
      <w:lang w:eastAsia="en-US"/>
    </w:rPr>
  </w:style>
  <w:style w:type="character" w:customStyle="1" w:styleId="Heading3Char">
    <w:name w:val="Heading 3 Char"/>
    <w:basedOn w:val="DefaultParagraphFont"/>
    <w:link w:val="Heading3"/>
    <w:rsid w:val="006F39EB"/>
    <w:rPr>
      <w:rFonts w:eastAsia="Times New Roman" w:cs="Times New Roman"/>
      <w:b/>
      <w:sz w:val="24"/>
      <w:szCs w:val="20"/>
      <w:lang w:eastAsia="en-US"/>
    </w:rPr>
  </w:style>
  <w:style w:type="character" w:customStyle="1" w:styleId="Heading4Char">
    <w:name w:val="Heading 4 Char"/>
    <w:basedOn w:val="DefaultParagraphFont"/>
    <w:link w:val="Heading4"/>
    <w:rsid w:val="006F39EB"/>
    <w:rPr>
      <w:rFonts w:eastAsia="Times New Roman" w:cs="Times New Roman"/>
      <w:b/>
      <w:sz w:val="24"/>
      <w:szCs w:val="20"/>
      <w:lang w:eastAsia="en-US"/>
    </w:rPr>
  </w:style>
  <w:style w:type="character" w:customStyle="1" w:styleId="Heading5Char">
    <w:name w:val="Heading 5 Char"/>
    <w:basedOn w:val="DefaultParagraphFont"/>
    <w:link w:val="Heading5"/>
    <w:rsid w:val="006F39EB"/>
    <w:rPr>
      <w:rFonts w:eastAsia="Times New Roman" w:cs="Times New Roman"/>
      <w:b/>
      <w:sz w:val="24"/>
      <w:szCs w:val="20"/>
      <w:lang w:eastAsia="en-US"/>
    </w:rPr>
  </w:style>
  <w:style w:type="character" w:customStyle="1" w:styleId="Heading6Char">
    <w:name w:val="Heading 6 Char"/>
    <w:basedOn w:val="DefaultParagraphFont"/>
    <w:link w:val="Heading6"/>
    <w:rsid w:val="006F39EB"/>
    <w:rPr>
      <w:rFonts w:eastAsia="Times New Roman" w:cs="Times New Roman"/>
      <w:b/>
      <w:sz w:val="24"/>
      <w:szCs w:val="20"/>
      <w:lang w:eastAsia="en-US"/>
    </w:rPr>
  </w:style>
  <w:style w:type="character" w:customStyle="1" w:styleId="Heading7Char">
    <w:name w:val="Heading 7 Char"/>
    <w:basedOn w:val="DefaultParagraphFont"/>
    <w:link w:val="Heading7"/>
    <w:rsid w:val="006F39EB"/>
    <w:rPr>
      <w:rFonts w:eastAsia="Times New Roman" w:cs="Times New Roman"/>
      <w:b/>
      <w:sz w:val="24"/>
      <w:szCs w:val="20"/>
      <w:lang w:eastAsia="en-US"/>
    </w:rPr>
  </w:style>
  <w:style w:type="character" w:customStyle="1" w:styleId="Heading8Char">
    <w:name w:val="Heading 8 Char"/>
    <w:basedOn w:val="DefaultParagraphFont"/>
    <w:link w:val="Heading8"/>
    <w:rsid w:val="006F39EB"/>
    <w:rPr>
      <w:rFonts w:eastAsia="Times New Roman" w:cs="Times New Roman"/>
      <w:b/>
      <w:sz w:val="24"/>
      <w:szCs w:val="20"/>
      <w:lang w:eastAsia="en-US"/>
    </w:rPr>
  </w:style>
  <w:style w:type="character" w:customStyle="1" w:styleId="Heading9Char">
    <w:name w:val="Heading 9 Char"/>
    <w:basedOn w:val="DefaultParagraphFont"/>
    <w:link w:val="Heading9"/>
    <w:rsid w:val="006F39EB"/>
    <w:rPr>
      <w:rFonts w:eastAsia="Times New Roman" w:cs="Times New Roman"/>
      <w:b/>
      <w:sz w:val="24"/>
      <w:szCs w:val="20"/>
      <w:lang w:eastAsia="en-US"/>
    </w:rPr>
  </w:style>
  <w:style w:type="paragraph" w:customStyle="1" w:styleId="Headingb">
    <w:name w:val="Heading_b"/>
    <w:basedOn w:val="Normal"/>
    <w:next w:val="Normal"/>
    <w:rsid w:val="006F39EB"/>
    <w:pPr>
      <w:keepNext/>
      <w:spacing w:before="160"/>
    </w:pPr>
    <w:rPr>
      <w:b/>
    </w:rPr>
  </w:style>
  <w:style w:type="paragraph" w:customStyle="1" w:styleId="Headingi">
    <w:name w:val="Heading_i"/>
    <w:basedOn w:val="Normal"/>
    <w:next w:val="Normal"/>
    <w:rsid w:val="006F39EB"/>
    <w:pPr>
      <w:keepNext/>
      <w:spacing w:before="160"/>
    </w:pPr>
    <w:rPr>
      <w:i/>
    </w:rPr>
  </w:style>
  <w:style w:type="paragraph" w:styleId="Index1">
    <w:name w:val="index 1"/>
    <w:basedOn w:val="Normal"/>
    <w:next w:val="Normal"/>
    <w:semiHidden/>
    <w:rsid w:val="006F39EB"/>
  </w:style>
  <w:style w:type="paragraph" w:styleId="Index2">
    <w:name w:val="index 2"/>
    <w:basedOn w:val="Normal"/>
    <w:next w:val="Normal"/>
    <w:semiHidden/>
    <w:rsid w:val="006F39EB"/>
    <w:pPr>
      <w:ind w:left="283"/>
    </w:pPr>
  </w:style>
  <w:style w:type="paragraph" w:styleId="Index3">
    <w:name w:val="index 3"/>
    <w:basedOn w:val="Normal"/>
    <w:next w:val="Normal"/>
    <w:semiHidden/>
    <w:rsid w:val="006F39EB"/>
    <w:pPr>
      <w:ind w:left="566"/>
    </w:pPr>
  </w:style>
  <w:style w:type="paragraph" w:styleId="Index4">
    <w:name w:val="index 4"/>
    <w:basedOn w:val="Normal"/>
    <w:next w:val="Normal"/>
    <w:semiHidden/>
    <w:rsid w:val="006F39EB"/>
    <w:pPr>
      <w:ind w:left="849"/>
    </w:pPr>
  </w:style>
  <w:style w:type="paragraph" w:styleId="Index5">
    <w:name w:val="index 5"/>
    <w:basedOn w:val="Normal"/>
    <w:next w:val="Normal"/>
    <w:semiHidden/>
    <w:rsid w:val="006F39EB"/>
    <w:pPr>
      <w:ind w:left="1132"/>
    </w:pPr>
  </w:style>
  <w:style w:type="paragraph" w:styleId="Index6">
    <w:name w:val="index 6"/>
    <w:basedOn w:val="Normal"/>
    <w:next w:val="Normal"/>
    <w:semiHidden/>
    <w:rsid w:val="006F39EB"/>
    <w:pPr>
      <w:ind w:left="1415"/>
    </w:pPr>
  </w:style>
  <w:style w:type="paragraph" w:styleId="Index7">
    <w:name w:val="index 7"/>
    <w:basedOn w:val="Normal"/>
    <w:next w:val="Normal"/>
    <w:semiHidden/>
    <w:rsid w:val="006F39EB"/>
    <w:pPr>
      <w:ind w:left="1698"/>
    </w:pPr>
  </w:style>
  <w:style w:type="paragraph" w:styleId="IndexHeading">
    <w:name w:val="index heading"/>
    <w:basedOn w:val="Normal"/>
    <w:next w:val="Index1"/>
    <w:semiHidden/>
    <w:rsid w:val="006F39EB"/>
  </w:style>
  <w:style w:type="character" w:styleId="LineNumber">
    <w:name w:val="line number"/>
    <w:rsid w:val="006F39EB"/>
    <w:rPr>
      <w:rFonts w:asciiTheme="minorHAnsi" w:hAnsiTheme="minorHAnsi"/>
    </w:rPr>
  </w:style>
  <w:style w:type="paragraph" w:customStyle="1" w:styleId="Normalaftertitle">
    <w:name w:val="Normal after title"/>
    <w:basedOn w:val="Normal"/>
    <w:next w:val="Normal"/>
    <w:rsid w:val="00E51C72"/>
    <w:pPr>
      <w:spacing w:before="280"/>
    </w:pPr>
  </w:style>
  <w:style w:type="paragraph" w:styleId="NormalIndent">
    <w:name w:val="Normal Indent"/>
    <w:basedOn w:val="Normal"/>
    <w:rsid w:val="006F39EB"/>
    <w:pPr>
      <w:ind w:left="794"/>
    </w:pPr>
  </w:style>
  <w:style w:type="paragraph" w:customStyle="1" w:styleId="Note">
    <w:name w:val="Note"/>
    <w:basedOn w:val="Normal"/>
    <w:rsid w:val="006F39EB"/>
    <w:pPr>
      <w:spacing w:before="80"/>
    </w:pPr>
  </w:style>
  <w:style w:type="character" w:styleId="PageNumber">
    <w:name w:val="page number"/>
    <w:basedOn w:val="DefaultParagraphFont"/>
    <w:rsid w:val="006F39EB"/>
    <w:rPr>
      <w:rFonts w:asciiTheme="minorHAnsi" w:hAnsiTheme="minorHAnsi"/>
    </w:rPr>
  </w:style>
  <w:style w:type="paragraph" w:customStyle="1" w:styleId="PartNo">
    <w:name w:val="Part_No"/>
    <w:basedOn w:val="AnnexNo"/>
    <w:next w:val="Normal"/>
    <w:rsid w:val="006F39EB"/>
  </w:style>
  <w:style w:type="paragraph" w:customStyle="1" w:styleId="Partref">
    <w:name w:val="Part_ref"/>
    <w:basedOn w:val="Annexref"/>
    <w:next w:val="Normal"/>
    <w:rsid w:val="006F39EB"/>
  </w:style>
  <w:style w:type="paragraph" w:customStyle="1" w:styleId="Parttitle">
    <w:name w:val="Part_title"/>
    <w:basedOn w:val="Annextitle"/>
    <w:next w:val="Normalaftertitle"/>
    <w:rsid w:val="006F39EB"/>
  </w:style>
  <w:style w:type="paragraph" w:customStyle="1" w:styleId="RecNo">
    <w:name w:val="Rec_No"/>
    <w:basedOn w:val="Normal"/>
    <w:next w:val="Normal"/>
    <w:rsid w:val="006F39EB"/>
    <w:pPr>
      <w:keepNext/>
      <w:keepLines/>
      <w:spacing w:before="480"/>
      <w:jc w:val="center"/>
    </w:pPr>
    <w:rPr>
      <w:caps/>
      <w:sz w:val="28"/>
    </w:rPr>
  </w:style>
  <w:style w:type="paragraph" w:customStyle="1" w:styleId="Rectitle">
    <w:name w:val="Rec_title"/>
    <w:basedOn w:val="RecNo"/>
    <w:next w:val="Normal"/>
    <w:rsid w:val="006F39EB"/>
    <w:pPr>
      <w:spacing w:before="240"/>
    </w:pPr>
    <w:rPr>
      <w:b/>
      <w:caps w:val="0"/>
    </w:rPr>
  </w:style>
  <w:style w:type="paragraph" w:customStyle="1" w:styleId="Recref">
    <w:name w:val="Rec_ref"/>
    <w:basedOn w:val="Rectitle"/>
    <w:next w:val="Normal"/>
    <w:rsid w:val="006F39EB"/>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6F39EB"/>
    <w:pPr>
      <w:jc w:val="right"/>
    </w:pPr>
    <w:rPr>
      <w:sz w:val="22"/>
    </w:rPr>
  </w:style>
  <w:style w:type="paragraph" w:customStyle="1" w:styleId="Questiondate">
    <w:name w:val="Question_date"/>
    <w:basedOn w:val="Recdate"/>
    <w:next w:val="Normalaftertitle"/>
    <w:rsid w:val="006F39EB"/>
  </w:style>
  <w:style w:type="paragraph" w:customStyle="1" w:styleId="QuestionNo">
    <w:name w:val="Question_No"/>
    <w:basedOn w:val="RecNo"/>
    <w:next w:val="Normal"/>
    <w:rsid w:val="006F39EB"/>
  </w:style>
  <w:style w:type="paragraph" w:customStyle="1" w:styleId="Questionref">
    <w:name w:val="Question_ref"/>
    <w:basedOn w:val="Normal"/>
    <w:next w:val="Questiondate"/>
    <w:rsid w:val="006F39EB"/>
  </w:style>
  <w:style w:type="paragraph" w:customStyle="1" w:styleId="Questiontitle">
    <w:name w:val="Question_title"/>
    <w:basedOn w:val="Rectitle"/>
    <w:next w:val="Questionref"/>
    <w:rsid w:val="006F39EB"/>
  </w:style>
  <w:style w:type="character" w:customStyle="1" w:styleId="Recdef">
    <w:name w:val="Rec_def"/>
    <w:basedOn w:val="DefaultParagraphFont"/>
    <w:rsid w:val="006F39EB"/>
    <w:rPr>
      <w:rFonts w:asciiTheme="minorHAnsi" w:hAnsiTheme="minorHAnsi"/>
      <w:b/>
    </w:rPr>
  </w:style>
  <w:style w:type="paragraph" w:customStyle="1" w:styleId="Reftext">
    <w:name w:val="Ref_text"/>
    <w:basedOn w:val="Normal"/>
    <w:rsid w:val="006F39EB"/>
    <w:pPr>
      <w:ind w:left="794" w:hanging="794"/>
    </w:pPr>
  </w:style>
  <w:style w:type="paragraph" w:customStyle="1" w:styleId="Reftitle">
    <w:name w:val="Ref_title"/>
    <w:basedOn w:val="Normal"/>
    <w:next w:val="Reftext"/>
    <w:rsid w:val="006F39EB"/>
    <w:pPr>
      <w:spacing w:before="480"/>
      <w:jc w:val="center"/>
    </w:pPr>
    <w:rPr>
      <w:caps/>
    </w:rPr>
  </w:style>
  <w:style w:type="paragraph" w:customStyle="1" w:styleId="Repdate">
    <w:name w:val="Rep_date"/>
    <w:basedOn w:val="Recdate"/>
    <w:next w:val="Normalaftertitle"/>
    <w:rsid w:val="006F39EB"/>
  </w:style>
  <w:style w:type="paragraph" w:customStyle="1" w:styleId="RepNo">
    <w:name w:val="Rep_No"/>
    <w:basedOn w:val="RecNo"/>
    <w:next w:val="Normal"/>
    <w:rsid w:val="006F39EB"/>
  </w:style>
  <w:style w:type="paragraph" w:customStyle="1" w:styleId="Repref">
    <w:name w:val="Rep_ref"/>
    <w:basedOn w:val="Recref"/>
    <w:next w:val="Repdate"/>
    <w:rsid w:val="006F39EB"/>
  </w:style>
  <w:style w:type="paragraph" w:customStyle="1" w:styleId="Reptitle">
    <w:name w:val="Rep_title"/>
    <w:basedOn w:val="Rectitle"/>
    <w:next w:val="Repref"/>
    <w:rsid w:val="006F39EB"/>
  </w:style>
  <w:style w:type="paragraph" w:customStyle="1" w:styleId="Resdate">
    <w:name w:val="Res_date"/>
    <w:basedOn w:val="Recdate"/>
    <w:next w:val="Normalaftertitle"/>
    <w:rsid w:val="006F39EB"/>
  </w:style>
  <w:style w:type="character" w:customStyle="1" w:styleId="Resdef">
    <w:name w:val="Res_def"/>
    <w:basedOn w:val="DefaultParagraphFont"/>
    <w:rsid w:val="006F39EB"/>
    <w:rPr>
      <w:rFonts w:asciiTheme="minorHAnsi" w:hAnsiTheme="minorHAnsi"/>
      <w:b/>
    </w:rPr>
  </w:style>
  <w:style w:type="paragraph" w:customStyle="1" w:styleId="ResNo">
    <w:name w:val="Res_No"/>
    <w:basedOn w:val="RecNo"/>
    <w:next w:val="Normal"/>
    <w:rsid w:val="006F39EB"/>
  </w:style>
  <w:style w:type="paragraph" w:customStyle="1" w:styleId="Resref">
    <w:name w:val="Res_ref"/>
    <w:basedOn w:val="Recref"/>
    <w:next w:val="Resdate"/>
    <w:rsid w:val="006F39EB"/>
  </w:style>
  <w:style w:type="paragraph" w:customStyle="1" w:styleId="Restitle">
    <w:name w:val="Res_title"/>
    <w:basedOn w:val="Rectitle"/>
    <w:next w:val="Resref"/>
    <w:rsid w:val="006F39EB"/>
  </w:style>
  <w:style w:type="paragraph" w:customStyle="1" w:styleId="SectionNo">
    <w:name w:val="Section_No"/>
    <w:basedOn w:val="AnnexNo"/>
    <w:next w:val="Normal"/>
    <w:rsid w:val="006F39EB"/>
  </w:style>
  <w:style w:type="paragraph" w:customStyle="1" w:styleId="Sectiontitle">
    <w:name w:val="Section_title"/>
    <w:basedOn w:val="Annextitle"/>
    <w:next w:val="Normalaftertitle"/>
    <w:rsid w:val="006F39EB"/>
  </w:style>
  <w:style w:type="paragraph" w:customStyle="1" w:styleId="Source">
    <w:name w:val="Source"/>
    <w:basedOn w:val="Normal"/>
    <w:next w:val="Normalaftertitle"/>
    <w:rsid w:val="00991B13"/>
    <w:pPr>
      <w:spacing w:before="240" w:after="240"/>
      <w:jc w:val="center"/>
    </w:pPr>
    <w:rPr>
      <w:b/>
      <w:sz w:val="28"/>
    </w:rPr>
  </w:style>
  <w:style w:type="paragraph" w:customStyle="1" w:styleId="SpecialFooter">
    <w:name w:val="Special Footer"/>
    <w:basedOn w:val="Normal"/>
    <w:rsid w:val="006F39EB"/>
    <w:pPr>
      <w:tabs>
        <w:tab w:val="left" w:pos="567"/>
        <w:tab w:val="left" w:pos="1134"/>
        <w:tab w:val="left" w:pos="1701"/>
        <w:tab w:val="left" w:pos="2268"/>
        <w:tab w:val="left" w:pos="2835"/>
      </w:tabs>
      <w:jc w:val="both"/>
    </w:pPr>
    <w:rPr>
      <w:caps/>
    </w:rPr>
  </w:style>
  <w:style w:type="character" w:customStyle="1" w:styleId="Tablefreq">
    <w:name w:val="Table_freq"/>
    <w:basedOn w:val="DefaultParagraphFont"/>
    <w:rsid w:val="006F39EB"/>
    <w:rPr>
      <w:rFonts w:asciiTheme="minorHAnsi" w:hAnsiTheme="minorHAnsi"/>
      <w:b/>
      <w:color w:val="auto"/>
    </w:rPr>
  </w:style>
  <w:style w:type="paragraph" w:customStyle="1" w:styleId="Tabletext">
    <w:name w:val="Table_text"/>
    <w:basedOn w:val="Normal"/>
    <w:rsid w:val="006F39E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head">
    <w:name w:val="Table_head"/>
    <w:basedOn w:val="Tabletext"/>
    <w:next w:val="Tabletext"/>
    <w:rsid w:val="006F39EB"/>
    <w:pPr>
      <w:keepNext/>
      <w:spacing w:before="80" w:after="80"/>
      <w:jc w:val="center"/>
    </w:pPr>
    <w:rPr>
      <w:b/>
    </w:rPr>
  </w:style>
  <w:style w:type="paragraph" w:customStyle="1" w:styleId="Tablelegend">
    <w:name w:val="Table_legend"/>
    <w:basedOn w:val="Tabletext"/>
    <w:rsid w:val="006F39EB"/>
    <w:pPr>
      <w:spacing w:before="120"/>
    </w:pPr>
  </w:style>
  <w:style w:type="paragraph" w:customStyle="1" w:styleId="TableNo">
    <w:name w:val="Table_No"/>
    <w:basedOn w:val="Normal"/>
    <w:next w:val="Tabletitle"/>
    <w:rsid w:val="006F39EB"/>
    <w:pPr>
      <w:keepNext/>
      <w:spacing w:before="560" w:after="120"/>
      <w:jc w:val="center"/>
    </w:pPr>
    <w:rPr>
      <w:caps/>
      <w:lang w:val="en-GB"/>
    </w:rPr>
  </w:style>
  <w:style w:type="paragraph" w:customStyle="1" w:styleId="Tableref">
    <w:name w:val="Table_ref"/>
    <w:basedOn w:val="Normal"/>
    <w:next w:val="Tabletitle"/>
    <w:rsid w:val="006F39EB"/>
    <w:pPr>
      <w:keepNext/>
      <w:spacing w:before="0" w:after="120"/>
      <w:jc w:val="center"/>
    </w:pPr>
    <w:rPr>
      <w:lang w:val="en-GB"/>
    </w:rPr>
  </w:style>
  <w:style w:type="paragraph" w:customStyle="1" w:styleId="Title1">
    <w:name w:val="Title 1"/>
    <w:basedOn w:val="Source"/>
    <w:next w:val="Normal"/>
    <w:rsid w:val="00991B13"/>
    <w:pPr>
      <w:tabs>
        <w:tab w:val="clear" w:pos="794"/>
        <w:tab w:val="clear" w:pos="1191"/>
        <w:tab w:val="clear" w:pos="1588"/>
        <w:tab w:val="clear" w:pos="1985"/>
        <w:tab w:val="left" w:pos="567"/>
        <w:tab w:val="left" w:pos="1134"/>
        <w:tab w:val="left" w:pos="1701"/>
        <w:tab w:val="left" w:pos="2268"/>
        <w:tab w:val="left" w:pos="2835"/>
      </w:tabs>
      <w:spacing w:before="120" w:after="120"/>
    </w:pPr>
    <w:rPr>
      <w:b w:val="0"/>
      <w:caps/>
    </w:rPr>
  </w:style>
  <w:style w:type="paragraph" w:customStyle="1" w:styleId="Title2">
    <w:name w:val="Title 2"/>
    <w:basedOn w:val="Title1"/>
    <w:next w:val="Normal"/>
    <w:rsid w:val="006F39EB"/>
  </w:style>
  <w:style w:type="paragraph" w:customStyle="1" w:styleId="Title3">
    <w:name w:val="Title 3"/>
    <w:basedOn w:val="Title2"/>
    <w:next w:val="Normal"/>
    <w:rsid w:val="006F39EB"/>
    <w:rPr>
      <w:caps w:val="0"/>
    </w:rPr>
  </w:style>
  <w:style w:type="paragraph" w:customStyle="1" w:styleId="Title4">
    <w:name w:val="Title 4"/>
    <w:basedOn w:val="Title3"/>
    <w:next w:val="Heading1"/>
    <w:rsid w:val="006F39EB"/>
    <w:rPr>
      <w:b/>
    </w:rPr>
  </w:style>
  <w:style w:type="paragraph" w:customStyle="1" w:styleId="toc0">
    <w:name w:val="toc 0"/>
    <w:basedOn w:val="Normal"/>
    <w:next w:val="TOC1"/>
    <w:rsid w:val="006F39EB"/>
    <w:pPr>
      <w:tabs>
        <w:tab w:val="clear" w:pos="794"/>
        <w:tab w:val="clear" w:pos="1191"/>
        <w:tab w:val="clear" w:pos="1588"/>
        <w:tab w:val="clear" w:pos="1985"/>
        <w:tab w:val="right" w:pos="9781"/>
      </w:tabs>
    </w:pPr>
    <w:rPr>
      <w:b/>
    </w:rPr>
  </w:style>
  <w:style w:type="paragraph" w:styleId="TOC1">
    <w:name w:val="toc 1"/>
    <w:basedOn w:val="Normal"/>
    <w:rsid w:val="006F39EB"/>
    <w:pPr>
      <w:keepLines/>
      <w:tabs>
        <w:tab w:val="clear" w:pos="794"/>
        <w:tab w:val="clear" w:pos="1191"/>
        <w:tab w:val="clear" w:pos="1588"/>
        <w:tab w:val="clear" w:pos="1985"/>
        <w:tab w:val="left" w:pos="964"/>
        <w:tab w:val="left" w:leader="dot" w:pos="8647"/>
        <w:tab w:val="center" w:pos="9526"/>
      </w:tabs>
      <w:spacing w:before="240"/>
      <w:ind w:left="964" w:hanging="964"/>
    </w:pPr>
    <w:rPr>
      <w:lang w:val="en-GB"/>
    </w:rPr>
  </w:style>
  <w:style w:type="paragraph" w:styleId="TOC2">
    <w:name w:val="toc 2"/>
    <w:basedOn w:val="TOC1"/>
    <w:rsid w:val="006F39EB"/>
    <w:pPr>
      <w:spacing w:before="120"/>
    </w:pPr>
  </w:style>
  <w:style w:type="paragraph" w:styleId="TOC3">
    <w:name w:val="toc 3"/>
    <w:basedOn w:val="TOC2"/>
    <w:rsid w:val="006F39EB"/>
  </w:style>
  <w:style w:type="paragraph" w:styleId="TOC4">
    <w:name w:val="toc 4"/>
    <w:basedOn w:val="TOC3"/>
    <w:semiHidden/>
    <w:rsid w:val="006F39EB"/>
  </w:style>
  <w:style w:type="paragraph" w:styleId="TOC5">
    <w:name w:val="toc 5"/>
    <w:basedOn w:val="TOC4"/>
    <w:semiHidden/>
    <w:rsid w:val="006F39EB"/>
  </w:style>
  <w:style w:type="paragraph" w:styleId="TOC6">
    <w:name w:val="toc 6"/>
    <w:basedOn w:val="TOC4"/>
    <w:semiHidden/>
    <w:rsid w:val="006F39EB"/>
  </w:style>
  <w:style w:type="paragraph" w:styleId="TOC7">
    <w:name w:val="toc 7"/>
    <w:basedOn w:val="TOC4"/>
    <w:semiHidden/>
    <w:rsid w:val="006F39EB"/>
  </w:style>
  <w:style w:type="paragraph" w:styleId="TOC8">
    <w:name w:val="toc 8"/>
    <w:basedOn w:val="TOC4"/>
    <w:semiHidden/>
    <w:rsid w:val="006F39EB"/>
  </w:style>
  <w:style w:type="paragraph" w:styleId="TOC9">
    <w:name w:val="toc 9"/>
    <w:basedOn w:val="TOC3"/>
    <w:semiHidden/>
    <w:rsid w:val="006F39EB"/>
  </w:style>
  <w:style w:type="paragraph" w:customStyle="1" w:styleId="Reasons">
    <w:name w:val="Reasons"/>
    <w:basedOn w:val="Normal"/>
    <w:qFormat/>
    <w:rsid w:val="006E4AB3"/>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Volumetitle">
    <w:name w:val="Volume_title"/>
    <w:basedOn w:val="Normal"/>
    <w:qFormat/>
    <w:rsid w:val="005557A3"/>
    <w:pPr>
      <w:tabs>
        <w:tab w:val="clear" w:pos="794"/>
        <w:tab w:val="clear" w:pos="1191"/>
        <w:tab w:val="clear" w:pos="1588"/>
        <w:tab w:val="clear" w:pos="1985"/>
        <w:tab w:val="left" w:pos="1134"/>
        <w:tab w:val="left" w:pos="1871"/>
        <w:tab w:val="left" w:pos="2268"/>
      </w:tabs>
      <w:jc w:val="center"/>
    </w:pPr>
    <w:rPr>
      <w:rFonts w:ascii="Times New Roman" w:hAnsi="Times New Roman"/>
      <w:b/>
      <w:bCs/>
      <w:sz w:val="28"/>
      <w:szCs w:val="28"/>
      <w:lang w:val="en-GB"/>
    </w:rPr>
  </w:style>
  <w:style w:type="paragraph" w:customStyle="1" w:styleId="Proposal">
    <w:name w:val="Proposal"/>
    <w:basedOn w:val="Normal"/>
    <w:next w:val="Normal"/>
    <w:rsid w:val="006339E7"/>
    <w:pPr>
      <w:keepNext/>
      <w:tabs>
        <w:tab w:val="clear" w:pos="794"/>
        <w:tab w:val="clear" w:pos="1191"/>
        <w:tab w:val="clear" w:pos="1588"/>
        <w:tab w:val="clear" w:pos="1985"/>
        <w:tab w:val="left" w:pos="1134"/>
        <w:tab w:val="left" w:pos="1871"/>
        <w:tab w:val="left" w:pos="2268"/>
      </w:tabs>
      <w:spacing w:before="240"/>
    </w:pPr>
    <w:rPr>
      <w:rFonts w:hAnsi="Times New Roman Bold"/>
      <w:lang w:val="en-GB"/>
    </w:rPr>
  </w:style>
  <w:style w:type="paragraph" w:styleId="ListParagraph">
    <w:name w:val="List Paragraph"/>
    <w:aliases w:val="List Paragraph1,Recommendation,List Paragraph11"/>
    <w:basedOn w:val="Normal"/>
    <w:link w:val="ListParagraphChar"/>
    <w:uiPriority w:val="34"/>
    <w:qFormat/>
    <w:rsid w:val="00B256D2"/>
    <w:pPr>
      <w:tabs>
        <w:tab w:val="clear" w:pos="794"/>
        <w:tab w:val="clear" w:pos="1191"/>
        <w:tab w:val="clear" w:pos="1588"/>
        <w:tab w:val="clear" w:pos="1985"/>
        <w:tab w:val="left" w:pos="1134"/>
        <w:tab w:val="left" w:pos="1871"/>
        <w:tab w:val="left" w:pos="2268"/>
      </w:tabs>
      <w:ind w:left="720"/>
      <w:contextualSpacing/>
    </w:pPr>
    <w:rPr>
      <w:lang w:val="en-GB"/>
    </w:rPr>
  </w:style>
  <w:style w:type="character" w:customStyle="1" w:styleId="ListParagraphChar">
    <w:name w:val="List Paragraph Char"/>
    <w:aliases w:val="List Paragraph1 Char,Recommendation Char,List Paragraph11 Char"/>
    <w:basedOn w:val="DefaultParagraphFont"/>
    <w:link w:val="ListParagraph"/>
    <w:uiPriority w:val="34"/>
    <w:rsid w:val="00B256D2"/>
    <w:rPr>
      <w:rFonts w:eastAsia="Times New Roman" w:cs="Times New Roman"/>
      <w:sz w:val="24"/>
      <w:szCs w:val="20"/>
      <w:lang w:val="en-GB" w:eastAsia="en-US"/>
    </w:rPr>
  </w:style>
  <w:style w:type="character" w:styleId="FollowedHyperlink">
    <w:name w:val="FollowedHyperlink"/>
    <w:basedOn w:val="DefaultParagraphFont"/>
    <w:uiPriority w:val="99"/>
    <w:semiHidden/>
    <w:unhideWhenUsed/>
    <w:rsid w:val="00846988"/>
    <w:rPr>
      <w:color w:val="800080" w:themeColor="followedHyperlink"/>
      <w:u w:val="single"/>
    </w:rPr>
  </w:style>
  <w:style w:type="character" w:styleId="UnresolvedMention">
    <w:name w:val="Unresolved Mention"/>
    <w:basedOn w:val="DefaultParagraphFont"/>
    <w:uiPriority w:val="99"/>
    <w:semiHidden/>
    <w:unhideWhenUsed/>
    <w:rsid w:val="008469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es/ITU-D/Projects/Pages/default.aspx" TargetMode="External"/><Relationship Id="rId13" Type="http://schemas.openxmlformats.org/officeDocument/2006/relationships/hyperlink" Target="https://www.itu.int/en/ITU-D/Projects/Pages/Implementation-Reviews.asp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tu.int/es/ITU-D/Projects/Pages/defaul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yperlink" Target="https://www.itu.int/en/ITU-D/Projects/Pages/Case-Studies.aspx" TargetMode="Externa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www.itu.int/en/ITU-D/Projects/Pages/Implementation-Reviews.aspx"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www.itu.int/ITU-D/T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dozas\AppData\Roaming\Microsoft\Templates\POOL%20S%20-%20ITU\PS_TDAG20.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100" b="1"/>
              <a:t>Gráfico 1: </a:t>
            </a:r>
          </a:p>
          <a:p>
            <a:pPr>
              <a:defRPr/>
            </a:pPr>
            <a:r>
              <a:rPr lang="en-GB" sz="1100" b="1"/>
              <a:t>Distribución de los proyectos de la BDT</a:t>
            </a:r>
            <a:r>
              <a:rPr lang="en-GB" sz="1100" b="1" baseline="0"/>
              <a:t> en curso al 31 de diciembre 2019</a:t>
            </a:r>
            <a:endParaRPr lang="en-GB"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Sheet1!$A$13:$A$19</c:f>
              <c:strCache>
                <c:ptCount val="7"/>
                <c:pt idx="0">
                  <c:v> AFR </c:v>
                </c:pt>
                <c:pt idx="1">
                  <c:v> AMS </c:v>
                </c:pt>
                <c:pt idx="2">
                  <c:v> ARB </c:v>
                </c:pt>
                <c:pt idx="3">
                  <c:v> ASP </c:v>
                </c:pt>
                <c:pt idx="4">
                  <c:v> CIS </c:v>
                </c:pt>
                <c:pt idx="5">
                  <c:v> EUR </c:v>
                </c:pt>
                <c:pt idx="6">
                  <c:v> GLO </c:v>
                </c:pt>
              </c:strCache>
            </c:strRef>
          </c:cat>
          <c:val>
            <c:numRef>
              <c:f>Sheet1!$B$13:$B$19</c:f>
              <c:numCache>
                <c:formatCode>General</c:formatCode>
                <c:ptCount val="7"/>
                <c:pt idx="0">
                  <c:v>14</c:v>
                </c:pt>
                <c:pt idx="1">
                  <c:v>10</c:v>
                </c:pt>
                <c:pt idx="2">
                  <c:v>14</c:v>
                </c:pt>
                <c:pt idx="3">
                  <c:v>8</c:v>
                </c:pt>
                <c:pt idx="4">
                  <c:v>2</c:v>
                </c:pt>
                <c:pt idx="5">
                  <c:v>1</c:v>
                </c:pt>
                <c:pt idx="6">
                  <c:v>20</c:v>
                </c:pt>
              </c:numCache>
            </c:numRef>
          </c:val>
          <c:extLst>
            <c:ext xmlns:c16="http://schemas.microsoft.com/office/drawing/2014/chart" uri="{C3380CC4-5D6E-409C-BE32-E72D297353CC}">
              <c16:uniqueId val="{00000000-A2B6-4443-A47F-53EB6AFD07A6}"/>
            </c:ext>
          </c:extLst>
        </c:ser>
        <c:dLbls>
          <c:dLblPos val="outEnd"/>
          <c:showLegendKey val="0"/>
          <c:showVal val="1"/>
          <c:showCatName val="0"/>
          <c:showSerName val="0"/>
          <c:showPercent val="0"/>
          <c:showBubbleSize val="0"/>
        </c:dLbls>
        <c:gapWidth val="219"/>
        <c:overlap val="-27"/>
        <c:axId val="469605760"/>
        <c:axId val="469601840"/>
      </c:barChart>
      <c:catAx>
        <c:axId val="469605760"/>
        <c:scaling>
          <c:orientation val="minMax"/>
        </c:scaling>
        <c:delete val="0"/>
        <c:axPos val="b"/>
        <c:numFmt formatCode="General" sourceLinked="1"/>
        <c:majorTickMark val="out"/>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1840"/>
        <c:crosses val="autoZero"/>
        <c:auto val="1"/>
        <c:lblAlgn val="ctr"/>
        <c:lblOffset val="100"/>
        <c:noMultiLvlLbl val="0"/>
      </c:catAx>
      <c:valAx>
        <c:axId val="469601840"/>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5760"/>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spcBef>
          <a:spcPts val="600"/>
        </a:spcBef>
        <a:spcAft>
          <a:spcPts val="600"/>
        </a:spcAf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b="1" i="0" baseline="0">
                <a:effectLst/>
              </a:rPr>
              <a:t>Gráfico</a:t>
            </a:r>
            <a:r>
              <a:rPr lang="tr-TR" sz="1200" b="1" i="0" baseline="0">
                <a:effectLst/>
              </a:rPr>
              <a:t> 2: Val</a:t>
            </a:r>
            <a:r>
              <a:rPr lang="es-ES" sz="1200" b="1" i="0" baseline="0">
                <a:effectLst/>
              </a:rPr>
              <a:t>or de los proyectos en curso de la BDT y saldos restantes de los proyectos en curso, por Región, al 31 de diciembre de 2019</a:t>
            </a:r>
            <a:endParaRPr lang="en-US" sz="1200" b="1">
              <a:effectLst/>
            </a:endParaRP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Valor de los proyectos de la BDT en curso en 2018, por región</c:v>
                </c:pt>
              </c:strCache>
            </c:strRef>
          </c:tx>
          <c:invertIfNegative val="0"/>
          <c:dPt>
            <c:idx val="1"/>
            <c:invertIfNegative val="0"/>
            <c:bubble3D val="0"/>
            <c:extLst>
              <c:ext xmlns:c16="http://schemas.microsoft.com/office/drawing/2014/chart" uri="{C3380CC4-5D6E-409C-BE32-E72D297353CC}">
                <c16:uniqueId val="{00000000-367A-4130-869E-DE2DBD845E0A}"/>
              </c:ext>
            </c:extLst>
          </c:dPt>
          <c:dPt>
            <c:idx val="2"/>
            <c:invertIfNegative val="0"/>
            <c:bubble3D val="0"/>
            <c:extLst>
              <c:ext xmlns:c16="http://schemas.microsoft.com/office/drawing/2014/chart" uri="{C3380CC4-5D6E-409C-BE32-E72D297353CC}">
                <c16:uniqueId val="{00000001-367A-4130-869E-DE2DBD845E0A}"/>
              </c:ext>
            </c:extLst>
          </c:dPt>
          <c:dPt>
            <c:idx val="3"/>
            <c:invertIfNegative val="0"/>
            <c:bubble3D val="0"/>
            <c:extLst>
              <c:ext xmlns:c16="http://schemas.microsoft.com/office/drawing/2014/chart" uri="{C3380CC4-5D6E-409C-BE32-E72D297353CC}">
                <c16:uniqueId val="{00000002-367A-4130-869E-DE2DBD845E0A}"/>
              </c:ext>
            </c:extLst>
          </c:dPt>
          <c:dPt>
            <c:idx val="4"/>
            <c:invertIfNegative val="0"/>
            <c:bubble3D val="0"/>
            <c:extLst>
              <c:ext xmlns:c16="http://schemas.microsoft.com/office/drawing/2014/chart" uri="{C3380CC4-5D6E-409C-BE32-E72D297353CC}">
                <c16:uniqueId val="{00000003-367A-4130-869E-DE2DBD845E0A}"/>
              </c:ext>
            </c:extLst>
          </c:dPt>
          <c:dPt>
            <c:idx val="5"/>
            <c:invertIfNegative val="0"/>
            <c:bubble3D val="0"/>
            <c:extLst>
              <c:ext xmlns:c16="http://schemas.microsoft.com/office/drawing/2014/chart" uri="{C3380CC4-5D6E-409C-BE32-E72D297353CC}">
                <c16:uniqueId val="{00000004-367A-4130-869E-DE2DBD845E0A}"/>
              </c:ext>
            </c:extLst>
          </c:dPt>
          <c:dLbls>
            <c:dLbl>
              <c:idx val="0"/>
              <c:layout>
                <c:manualLayout>
                  <c:x val="1.1469515574055698E-3"/>
                  <c:y val="-0.15537972572249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67A-4130-869E-DE2DBD845E0A}"/>
                </c:ext>
              </c:extLst>
            </c:dLbl>
            <c:dLbl>
              <c:idx val="1"/>
              <c:layout>
                <c:manualLayout>
                  <c:x val="2.1822149481723948E-3"/>
                  <c:y val="-0.3211113618910130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67A-4130-869E-DE2DBD845E0A}"/>
                </c:ext>
              </c:extLst>
            </c:dLbl>
            <c:dLbl>
              <c:idx val="2"/>
              <c:layout>
                <c:manualLayout>
                  <c:x val="-2.1822149481723948E-3"/>
                  <c:y val="-0.35538994618641845"/>
                </c:manualLayout>
              </c:layout>
              <c:tx>
                <c:rich>
                  <a:bodyPr/>
                  <a:lstStyle/>
                  <a:p>
                    <a:fld id="{5C25DB1A-9A8C-4C0A-8B26-7476AE4F45C5}" type="VALUE">
                      <a:rPr lang="en-US">
                        <a:solidFill>
                          <a:sysClr val="windowText" lastClr="000000"/>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67A-4130-869E-DE2DBD845E0A}"/>
                </c:ext>
              </c:extLst>
            </c:dLbl>
            <c:dLbl>
              <c:idx val="4"/>
              <c:layout>
                <c:manualLayout>
                  <c:x val="9.1859221361650575E-4"/>
                  <c:y val="-0.345595902729573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67A-4130-869E-DE2DBD845E0A}"/>
                </c:ext>
              </c:extLst>
            </c:dLbl>
            <c:dLbl>
              <c:idx val="6"/>
              <c:layout>
                <c:manualLayout>
                  <c:x val="2.1822149481722348E-3"/>
                  <c:y val="-0.411032990805841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67A-4130-869E-DE2DBD845E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Asia y el pacífico</c:v>
                </c:pt>
                <c:pt idx="1">
                  <c:v>África</c:v>
                </c:pt>
                <c:pt idx="2">
                  <c:v>Mundial</c:v>
                </c:pt>
                <c:pt idx="3">
                  <c:v>Américas</c:v>
                </c:pt>
                <c:pt idx="4">
                  <c:v>Estados árabes</c:v>
                </c:pt>
                <c:pt idx="5">
                  <c:v>CEI</c:v>
                </c:pt>
                <c:pt idx="6">
                  <c:v>Europa</c:v>
                </c:pt>
              </c:strCache>
            </c:strRef>
          </c:cat>
          <c:val>
            <c:numRef>
              <c:f>Sheet1!$B$2:$B$8</c:f>
              <c:numCache>
                <c:formatCode>[$CHF-1407]\ #,##0</c:formatCode>
                <c:ptCount val="7"/>
                <c:pt idx="0">
                  <c:v>1741325</c:v>
                </c:pt>
                <c:pt idx="1">
                  <c:v>13094798</c:v>
                </c:pt>
                <c:pt idx="2">
                  <c:v>5714359</c:v>
                </c:pt>
                <c:pt idx="3">
                  <c:v>44471825</c:v>
                </c:pt>
                <c:pt idx="4">
                  <c:v>7947077</c:v>
                </c:pt>
                <c:pt idx="5">
                  <c:v>269130</c:v>
                </c:pt>
                <c:pt idx="6">
                  <c:v>3265487</c:v>
                </c:pt>
              </c:numCache>
            </c:numRef>
          </c:val>
          <c:extLst>
            <c:ext xmlns:c16="http://schemas.microsoft.com/office/drawing/2014/chart" uri="{C3380CC4-5D6E-409C-BE32-E72D297353CC}">
              <c16:uniqueId val="{00000007-367A-4130-869E-DE2DBD845E0A}"/>
            </c:ext>
          </c:extLst>
        </c:ser>
        <c:ser>
          <c:idx val="1"/>
          <c:order val="1"/>
          <c:tx>
            <c:strRef>
              <c:f>Sheet1!$C$1</c:f>
              <c:strCache>
                <c:ptCount val="1"/>
                <c:pt idx="0">
                  <c:v>Saldos pendientes de aplicación</c:v>
                </c:pt>
              </c:strCache>
            </c:strRef>
          </c:tx>
          <c:invertIfNegative val="0"/>
          <c:dLbls>
            <c:dLbl>
              <c:idx val="0"/>
              <c:layout>
                <c:manualLayout>
                  <c:x val="0"/>
                  <c:y val="-6.4899945916711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67A-4130-869E-DE2DBD845E0A}"/>
                </c:ext>
              </c:extLst>
            </c:dLbl>
            <c:dLbl>
              <c:idx val="1"/>
              <c:layout>
                <c:manualLayout>
                  <c:x val="0"/>
                  <c:y val="-0.15864431224085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67A-4130-869E-DE2DBD845E0A}"/>
                </c:ext>
              </c:extLst>
            </c:dLbl>
            <c:dLbl>
              <c:idx val="2"/>
              <c:layout>
                <c:manualLayout>
                  <c:x val="-2.1822149481723948E-3"/>
                  <c:y val="-0.100955471425996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67A-4130-869E-DE2DBD845E0A}"/>
                </c:ext>
              </c:extLst>
            </c:dLbl>
            <c:dLbl>
              <c:idx val="3"/>
              <c:layout>
                <c:manualLayout>
                  <c:x val="2.1822149481723948E-3"/>
                  <c:y val="-3.2449972958355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67A-4130-869E-DE2DBD845E0A}"/>
                </c:ext>
              </c:extLst>
            </c:dLbl>
            <c:dLbl>
              <c:idx val="4"/>
              <c:layout>
                <c:manualLayout>
                  <c:x val="2.182214948172475E-3"/>
                  <c:y val="-8.6533261222282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67A-4130-869E-DE2DBD845E0A}"/>
                </c:ext>
              </c:extLst>
            </c:dLbl>
            <c:dLbl>
              <c:idx val="5"/>
              <c:layout>
                <c:manualLayout>
                  <c:x val="0"/>
                  <c:y val="-5.0477735712998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67A-4130-869E-DE2DBD845E0A}"/>
                </c:ext>
              </c:extLst>
            </c:dLbl>
            <c:dLbl>
              <c:idx val="6"/>
              <c:layout>
                <c:manualLayout>
                  <c:x val="2.1822149481723948E-3"/>
                  <c:y val="-5.40832882639264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67A-4130-869E-DE2DBD845E0A}"/>
                </c:ext>
              </c:extLst>
            </c:dLbl>
            <c:spPr>
              <a:noFill/>
              <a:ln>
                <a:noFill/>
              </a:ln>
              <a:effectLst/>
            </c:spPr>
            <c:txPr>
              <a:bodyPr wrap="square" lIns="38100" tIns="19050" rIns="38100" bIns="19050" anchor="ctr">
                <a:spAutoFit/>
              </a:bodyPr>
              <a:lstStyle/>
              <a:p>
                <a:pPr>
                  <a:spcBef>
                    <a:spcPts val="600"/>
                  </a:spcBef>
                  <a:spcAft>
                    <a:spcPts val="600"/>
                  </a:spcAft>
                  <a:defRPr sz="900">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Asia y el pacífico</c:v>
                </c:pt>
                <c:pt idx="1">
                  <c:v>África</c:v>
                </c:pt>
                <c:pt idx="2">
                  <c:v>Mundial</c:v>
                </c:pt>
                <c:pt idx="3">
                  <c:v>Américas</c:v>
                </c:pt>
                <c:pt idx="4">
                  <c:v>Estados árabes</c:v>
                </c:pt>
                <c:pt idx="5">
                  <c:v>CEI</c:v>
                </c:pt>
                <c:pt idx="6">
                  <c:v>Europa</c:v>
                </c:pt>
              </c:strCache>
            </c:strRef>
          </c:cat>
          <c:val>
            <c:numRef>
              <c:f>Sheet1!$C$2:$C$8</c:f>
              <c:numCache>
                <c:formatCode>[$CHF-1407]\ #,##0</c:formatCode>
                <c:ptCount val="7"/>
                <c:pt idx="0">
                  <c:v>643113</c:v>
                </c:pt>
                <c:pt idx="1">
                  <c:v>7711246</c:v>
                </c:pt>
                <c:pt idx="2">
                  <c:v>3423913</c:v>
                </c:pt>
                <c:pt idx="3">
                  <c:v>11940530</c:v>
                </c:pt>
                <c:pt idx="4">
                  <c:v>2839359</c:v>
                </c:pt>
                <c:pt idx="5">
                  <c:v>30711</c:v>
                </c:pt>
                <c:pt idx="6">
                  <c:v>2068711</c:v>
                </c:pt>
              </c:numCache>
            </c:numRef>
          </c:val>
          <c:extLst>
            <c:ext xmlns:c16="http://schemas.microsoft.com/office/drawing/2014/chart" uri="{C3380CC4-5D6E-409C-BE32-E72D297353CC}">
              <c16:uniqueId val="{0000000F-367A-4130-869E-DE2DBD845E0A}"/>
            </c:ext>
          </c:extLst>
        </c:ser>
        <c:dLbls>
          <c:showLegendKey val="0"/>
          <c:showVal val="0"/>
          <c:showCatName val="0"/>
          <c:showSerName val="0"/>
          <c:showPercent val="0"/>
          <c:showBubbleSize val="0"/>
        </c:dLbls>
        <c:gapWidth val="219"/>
        <c:axId val="469606152"/>
        <c:axId val="469602624"/>
      </c:barChart>
      <c:catAx>
        <c:axId val="46960615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2624"/>
        <c:crosses val="autoZero"/>
        <c:auto val="1"/>
        <c:lblAlgn val="ctr"/>
        <c:lblOffset val="100"/>
        <c:noMultiLvlLbl val="0"/>
      </c:catAx>
      <c:valAx>
        <c:axId val="469602624"/>
        <c:scaling>
          <c:orientation val="minMax"/>
        </c:scaling>
        <c:delete val="0"/>
        <c:axPos val="l"/>
        <c:majorGridlines>
          <c:spPr>
            <a:ln w="9525">
              <a:solidFill>
                <a:schemeClr val="tx1">
                  <a:lumMod val="15000"/>
                  <a:lumOff val="85000"/>
                </a:schemeClr>
              </a:solidFill>
              <a:round/>
            </a:ln>
            <a:effectLst/>
          </c:spPr>
        </c:majorGridlines>
        <c:numFmt formatCode="[$CHF-1407]\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6152"/>
        <c:crosses val="autoZero"/>
        <c:crossBetween val="between"/>
      </c:valAx>
      <c:spPr>
        <a:noFill/>
        <a:ln>
          <a:noFill/>
        </a:ln>
        <a:effectLst/>
      </c:spPr>
    </c:plotArea>
    <c:legend>
      <c:legendPos val="b"/>
      <c:overlay val="0"/>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a:t>Gráfico</a:t>
            </a:r>
            <a:r>
              <a:rPr lang="tr-TR" sz="1200" baseline="0"/>
              <a:t> </a:t>
            </a:r>
            <a:r>
              <a:rPr lang="en-US" sz="1200" baseline="0"/>
              <a:t>3</a:t>
            </a:r>
            <a:r>
              <a:rPr lang="tr-TR" sz="1200" baseline="0"/>
              <a:t>: </a:t>
            </a:r>
            <a:r>
              <a:rPr lang="en-US" sz="1200"/>
              <a:t>Proyectos por áreas</a:t>
            </a:r>
            <a:r>
              <a:rPr lang="en-US" sz="1200" baseline="0"/>
              <a:t> temáticas*</a:t>
            </a:r>
            <a:endParaRPr lang="en-US" sz="1200"/>
          </a:p>
        </c:rich>
      </c:tx>
      <c:layout>
        <c:manualLayout>
          <c:xMode val="edge"/>
          <c:yMode val="edge"/>
          <c:x val="0.15966669706827188"/>
          <c:y val="4.2194241973623273E-2"/>
        </c:manualLayout>
      </c:layout>
      <c:overlay val="0"/>
      <c:spPr>
        <a:noFill/>
        <a:ln>
          <a:noFill/>
        </a:ln>
        <a:effectLst/>
      </c:spPr>
    </c:title>
    <c:autoTitleDeleted val="0"/>
    <c:plotArea>
      <c:layout/>
      <c:pieChart>
        <c:varyColors val="1"/>
        <c:ser>
          <c:idx val="0"/>
          <c:order val="0"/>
          <c:tx>
            <c:strRef>
              <c:f>Sheet1!$B$1</c:f>
              <c:strCache>
                <c:ptCount val="1"/>
                <c:pt idx="0">
                  <c:v>Gráfico 3: Proyectos por áreas temáticass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6B-44BB-A1F7-6AA6548392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6B-44BB-A1F7-6AA6548392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6B-44BB-A1F7-6AA6548392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6B-44BB-A1F7-6AA6548392E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6B-44BB-A1F7-6AA6548392E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26B-44BB-A1F7-6AA6548392E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26B-44BB-A1F7-6AA6548392E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326B-44BB-A1F7-6AA6548392E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326B-44BB-A1F7-6AA6548392E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326B-44BB-A1F7-6AA6548392E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326B-44BB-A1F7-6AA6548392EE}"/>
              </c:ext>
            </c:extLst>
          </c:dPt>
          <c:dPt>
            <c:idx val="11"/>
            <c:bubble3D val="0"/>
            <c:spPr>
              <a:solidFill>
                <a:schemeClr val="accent3">
                  <a:lumMod val="40000"/>
                  <a:lumOff val="60000"/>
                </a:schemeClr>
              </a:solidFill>
            </c:spPr>
            <c:extLst>
              <c:ext xmlns:c16="http://schemas.microsoft.com/office/drawing/2014/chart" uri="{C3380CC4-5D6E-409C-BE32-E72D297353CC}">
                <c16:uniqueId val="{00000017-326B-44BB-A1F7-6AA6548392EE}"/>
              </c:ext>
            </c:extLst>
          </c:dPt>
          <c:dLbls>
            <c:dLbl>
              <c:idx val="0"/>
              <c:layout>
                <c:manualLayout>
                  <c:x val="-1.1829264585170097E-2"/>
                  <c:y val="1.5418931766656103E-2"/>
                </c:manualLayout>
              </c:layout>
              <c:tx>
                <c:rich>
                  <a:bodyPr/>
                  <a:lstStyle/>
                  <a:p>
                    <a:r>
                      <a:rPr lang="en-US">
                        <a:solidFill>
                          <a:sysClr val="windowText" lastClr="000000"/>
                        </a:solidFill>
                      </a:rPr>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6B-44BB-A1F7-6AA6548392EE}"/>
                </c:ext>
              </c:extLst>
            </c:dLbl>
            <c:dLbl>
              <c:idx val="1"/>
              <c:layout>
                <c:manualLayout>
                  <c:x val="-1.6587453595327611E-3"/>
                  <c:y val="3.68754215320608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6B-44BB-A1F7-6AA6548392EE}"/>
                </c:ext>
              </c:extLst>
            </c:dLbl>
            <c:dLbl>
              <c:idx val="2"/>
              <c:layout>
                <c:manualLayout>
                  <c:x val="-6.7918875005489182E-3"/>
                  <c:y val="-1.9540076485179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26B-44BB-A1F7-6AA6548392EE}"/>
                </c:ext>
              </c:extLst>
            </c:dLbl>
            <c:dLbl>
              <c:idx val="3"/>
              <c:layout>
                <c:manualLayout>
                  <c:x val="-2.5402230126639574E-3"/>
                  <c:y val="-5.17011611938600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26B-44BB-A1F7-6AA6548392EE}"/>
                </c:ext>
              </c:extLst>
            </c:dLbl>
            <c:dLbl>
              <c:idx val="4"/>
              <c:layout>
                <c:manualLayout>
                  <c:x val="-1.6552660647148835E-2"/>
                  <c:y val="-1.8754621616570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26B-44BB-A1F7-6AA6548392EE}"/>
                </c:ext>
              </c:extLst>
            </c:dLbl>
            <c:dLbl>
              <c:idx val="5"/>
              <c:layout>
                <c:manualLayout>
                  <c:x val="1.3043302019679973E-2"/>
                  <c:y val="-1.54307143495607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26B-44BB-A1F7-6AA6548392EE}"/>
                </c:ext>
              </c:extLst>
            </c:dLbl>
            <c:dLbl>
              <c:idx val="6"/>
              <c:layout>
                <c:manualLayout>
                  <c:x val="2.5892033766049515E-4"/>
                  <c:y val="-1.8835474513054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26B-44BB-A1F7-6AA6548392EE}"/>
                </c:ext>
              </c:extLst>
            </c:dLbl>
            <c:dLbl>
              <c:idx val="7"/>
              <c:layout>
                <c:manualLayout>
                  <c:x val="5.3493313335833022E-3"/>
                  <c:y val="1.6889326589874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26B-44BB-A1F7-6AA6548392EE}"/>
                </c:ext>
              </c:extLst>
            </c:dLbl>
            <c:dLbl>
              <c:idx val="8"/>
              <c:layout>
                <c:manualLayout>
                  <c:x val="4.2310589554684043E-3"/>
                  <c:y val="3.87078163217213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26B-44BB-A1F7-6AA6548392EE}"/>
                </c:ext>
              </c:extLst>
            </c:dLbl>
            <c:dLbl>
              <c:idx val="9"/>
              <c:layout>
                <c:manualLayout>
                  <c:x val="-5.8219073967105467E-4"/>
                  <c:y val="-8.99336112397714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26B-44BB-A1F7-6AA6548392EE}"/>
                </c:ext>
              </c:extLst>
            </c:dLbl>
            <c:dLbl>
              <c:idx val="11"/>
              <c:layout>
                <c:manualLayout>
                  <c:x val="2.1368950502808769E-3"/>
                  <c:y val="1.54189317666561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26B-44BB-A1F7-6AA6548392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Sheet1!$A$2:$A$13</c:f>
              <c:strCache>
                <c:ptCount val="12"/>
                <c:pt idx="0">
                  <c:v>Capacitación</c:v>
                </c:pt>
                <c:pt idx="1">
                  <c:v>Ciberseguridad</c:v>
                </c:pt>
                <c:pt idx="2">
                  <c:v>Innovación</c:v>
                </c:pt>
                <c:pt idx="3">
                  <c:v>Entorno reglamentario y de mercado</c:v>
                </c:pt>
                <c:pt idx="4">
                  <c:v>Desarrollo de la tecnología y de las redes</c:v>
                </c:pt>
                <c:pt idx="5">
                  <c:v>Integración digital</c:v>
                </c:pt>
                <c:pt idx="6">
                  <c:v>Aplicaciones de TIC</c:v>
                </c:pt>
                <c:pt idx="7">
                  <c:v>Cambio climático</c:v>
                </c:pt>
                <c:pt idx="8">
                  <c:v>PMA y PEID</c:v>
                </c:pt>
                <c:pt idx="9">
                  <c:v>Telecomunicaciones de emergencia</c:v>
                </c:pt>
                <c:pt idx="10">
                  <c:v>Estadísticas e indicadores de las TIC</c:v>
                </c:pt>
                <c:pt idx="11">
                  <c:v>Gestión del espectro y radiodifusión digital</c:v>
                </c:pt>
              </c:strCache>
            </c:strRef>
          </c:cat>
          <c:val>
            <c:numRef>
              <c:f>Sheet1!$B$2:$B$13</c:f>
              <c:numCache>
                <c:formatCode>General</c:formatCode>
                <c:ptCount val="12"/>
                <c:pt idx="0">
                  <c:v>11</c:v>
                </c:pt>
                <c:pt idx="1">
                  <c:v>10</c:v>
                </c:pt>
                <c:pt idx="2">
                  <c:v>9</c:v>
                </c:pt>
                <c:pt idx="3">
                  <c:v>6</c:v>
                </c:pt>
                <c:pt idx="4">
                  <c:v>9</c:v>
                </c:pt>
                <c:pt idx="5">
                  <c:v>8</c:v>
                </c:pt>
                <c:pt idx="6">
                  <c:v>11</c:v>
                </c:pt>
                <c:pt idx="7">
                  <c:v>3</c:v>
                </c:pt>
                <c:pt idx="8">
                  <c:v>5</c:v>
                </c:pt>
                <c:pt idx="9">
                  <c:v>6</c:v>
                </c:pt>
                <c:pt idx="10">
                  <c:v>1</c:v>
                </c:pt>
                <c:pt idx="11">
                  <c:v>8</c:v>
                </c:pt>
              </c:numCache>
            </c:numRef>
          </c:val>
          <c:extLst>
            <c:ext xmlns:c16="http://schemas.microsoft.com/office/drawing/2014/chart" uri="{C3380CC4-5D6E-409C-BE32-E72D297353CC}">
              <c16:uniqueId val="{00000018-326B-44BB-A1F7-6AA6548392EE}"/>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6309278907704117"/>
          <c:y val="6.3171302503595733E-2"/>
          <c:w val="0.33374325605132693"/>
          <c:h val="0.917665291838520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a:solidFill>
        <a:schemeClr val="accent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a:solidFill>
                  <a:schemeClr val="bg2">
                    <a:lumMod val="10000"/>
                  </a:schemeClr>
                </a:solidFill>
              </a:rPr>
              <a:t>Gráfico</a:t>
            </a:r>
            <a:r>
              <a:rPr lang="tr-TR" sz="1200">
                <a:solidFill>
                  <a:schemeClr val="bg2">
                    <a:lumMod val="10000"/>
                  </a:schemeClr>
                </a:solidFill>
              </a:rPr>
              <a:t> </a:t>
            </a:r>
            <a:r>
              <a:rPr lang="en-US" sz="1200">
                <a:solidFill>
                  <a:schemeClr val="bg2">
                    <a:lumMod val="10000"/>
                  </a:schemeClr>
                </a:solidFill>
              </a:rPr>
              <a:t>4</a:t>
            </a:r>
            <a:r>
              <a:rPr lang="tr-TR" sz="1200">
                <a:solidFill>
                  <a:schemeClr val="bg2">
                    <a:lumMod val="10000"/>
                  </a:schemeClr>
                </a:solidFill>
              </a:rPr>
              <a:t>:</a:t>
            </a:r>
            <a:r>
              <a:rPr lang="tr-TR" sz="1200" baseline="0">
                <a:solidFill>
                  <a:schemeClr val="bg2">
                    <a:lumMod val="10000"/>
                  </a:schemeClr>
                </a:solidFill>
              </a:rPr>
              <a:t> </a:t>
            </a:r>
            <a:r>
              <a:rPr lang="fr-FR" sz="1200" baseline="0">
                <a:solidFill>
                  <a:schemeClr val="bg2">
                    <a:lumMod val="10000"/>
                  </a:schemeClr>
                </a:solidFill>
              </a:rPr>
              <a:t>Número de proyectos en desarrollo y pendientes de firma en el 2º trimestre de 2020</a:t>
            </a:r>
            <a:endParaRPr lang="en-US" sz="1200">
              <a:solidFill>
                <a:schemeClr val="bg2">
                  <a:lumMod val="10000"/>
                </a:schemeClr>
              </a:solidFill>
            </a:endParaRPr>
          </a:p>
        </c:rich>
      </c:tx>
      <c:layout>
        <c:manualLayout>
          <c:xMode val="edge"/>
          <c:yMode val="edge"/>
          <c:x val="0.15430214246475005"/>
          <c:y val="3.3472803347280332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Répartition des projets en cours du BDT</c:v>
                </c:pt>
              </c:strCache>
            </c:strRef>
          </c:tx>
          <c:spPr>
            <a:solidFill>
              <a:schemeClr val="accent1"/>
            </a:solidFill>
            <a:ln>
              <a:noFill/>
            </a:ln>
            <a:effectLst/>
          </c:spPr>
          <c:invertIfNegative val="0"/>
          <c:dPt>
            <c:idx val="1"/>
            <c:invertIfNegative val="0"/>
            <c:bubble3D val="0"/>
            <c:spPr>
              <a:solidFill>
                <a:srgbClr val="C00000"/>
              </a:solidFill>
              <a:ln>
                <a:noFill/>
              </a:ln>
              <a:effectLst/>
            </c:spPr>
            <c:extLst>
              <c:ext xmlns:c16="http://schemas.microsoft.com/office/drawing/2014/chart" uri="{C3380CC4-5D6E-409C-BE32-E72D297353CC}">
                <c16:uniqueId val="{00000001-813A-4709-88F2-B5CE8AF31ECB}"/>
              </c:ext>
            </c:extLst>
          </c:dPt>
          <c:dPt>
            <c:idx val="2"/>
            <c:invertIfNegative val="0"/>
            <c:bubble3D val="0"/>
            <c:spPr>
              <a:solidFill>
                <a:srgbClr val="00B050"/>
              </a:solidFill>
              <a:ln>
                <a:noFill/>
              </a:ln>
              <a:effectLst/>
            </c:spPr>
            <c:extLst>
              <c:ext xmlns:c16="http://schemas.microsoft.com/office/drawing/2014/chart" uri="{C3380CC4-5D6E-409C-BE32-E72D297353CC}">
                <c16:uniqueId val="{00000003-813A-4709-88F2-B5CE8AF31ECB}"/>
              </c:ext>
            </c:extLst>
          </c:dPt>
          <c:dPt>
            <c:idx val="3"/>
            <c:invertIfNegative val="0"/>
            <c:bubble3D val="0"/>
            <c:spPr>
              <a:solidFill>
                <a:srgbClr val="7030A0"/>
              </a:solidFill>
              <a:ln>
                <a:noFill/>
              </a:ln>
              <a:effectLst/>
            </c:spPr>
            <c:extLst>
              <c:ext xmlns:c16="http://schemas.microsoft.com/office/drawing/2014/chart" uri="{C3380CC4-5D6E-409C-BE32-E72D297353CC}">
                <c16:uniqueId val="{00000005-813A-4709-88F2-B5CE8AF31ECB}"/>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7-813A-4709-88F2-B5CE8AF31ECB}"/>
              </c:ext>
            </c:extLst>
          </c:dPt>
          <c:dPt>
            <c:idx val="5"/>
            <c:invertIfNegative val="0"/>
            <c:bubble3D val="0"/>
            <c:spPr>
              <a:solidFill>
                <a:schemeClr val="accent2">
                  <a:lumMod val="50000"/>
                </a:schemeClr>
              </a:solidFill>
              <a:ln>
                <a:noFill/>
              </a:ln>
              <a:effectLst/>
            </c:spPr>
            <c:extLst>
              <c:ext xmlns:c16="http://schemas.microsoft.com/office/drawing/2014/chart" uri="{C3380CC4-5D6E-409C-BE32-E72D297353CC}">
                <c16:uniqueId val="{00000009-813A-4709-88F2-B5CE8AF31E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Sheet1!$A$2:$A$8</c:f>
              <c:strCache>
                <c:ptCount val="7"/>
                <c:pt idx="0">
                  <c:v>Asia y el Pacífico</c:v>
                </c:pt>
                <c:pt idx="1">
                  <c:v>África</c:v>
                </c:pt>
                <c:pt idx="2">
                  <c:v>Mundial</c:v>
                </c:pt>
                <c:pt idx="3">
                  <c:v>Américas</c:v>
                </c:pt>
                <c:pt idx="4">
                  <c:v>Estados árabes</c:v>
                </c:pt>
                <c:pt idx="5">
                  <c:v>CEI</c:v>
                </c:pt>
                <c:pt idx="6">
                  <c:v>Europa</c:v>
                </c:pt>
              </c:strCache>
            </c:strRef>
          </c:cat>
          <c:val>
            <c:numRef>
              <c:f>Sheet1!$B$2:$B$8</c:f>
              <c:numCache>
                <c:formatCode>General</c:formatCode>
                <c:ptCount val="7"/>
                <c:pt idx="0">
                  <c:v>2</c:v>
                </c:pt>
                <c:pt idx="1">
                  <c:v>3</c:v>
                </c:pt>
                <c:pt idx="2">
                  <c:v>1</c:v>
                </c:pt>
                <c:pt idx="3">
                  <c:v>4</c:v>
                </c:pt>
                <c:pt idx="4">
                  <c:v>0</c:v>
                </c:pt>
                <c:pt idx="5">
                  <c:v>2</c:v>
                </c:pt>
                <c:pt idx="6">
                  <c:v>1</c:v>
                </c:pt>
              </c:numCache>
            </c:numRef>
          </c:val>
          <c:extLst>
            <c:ext xmlns:c16="http://schemas.microsoft.com/office/drawing/2014/chart" uri="{C3380CC4-5D6E-409C-BE32-E72D297353CC}">
              <c16:uniqueId val="{0000000A-813A-4709-88F2-B5CE8AF31ECB}"/>
            </c:ext>
          </c:extLst>
        </c:ser>
        <c:dLbls>
          <c:showLegendKey val="0"/>
          <c:showVal val="0"/>
          <c:showCatName val="0"/>
          <c:showSerName val="0"/>
          <c:showPercent val="0"/>
          <c:showBubbleSize val="0"/>
        </c:dLbls>
        <c:gapWidth val="219"/>
        <c:overlap val="-27"/>
        <c:axId val="469602232"/>
        <c:axId val="469606936"/>
      </c:barChart>
      <c:catAx>
        <c:axId val="4696022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6936"/>
        <c:crosses val="autoZero"/>
        <c:auto val="1"/>
        <c:lblAlgn val="ctr"/>
        <c:lblOffset val="100"/>
        <c:noMultiLvlLbl val="0"/>
      </c:catAx>
      <c:valAx>
        <c:axId val="46960693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602232"/>
        <c:crosses val="autoZero"/>
        <c:crossBetween val="between"/>
      </c:valAx>
      <c:spPr>
        <a:noFill/>
        <a:ln>
          <a:noFill/>
        </a:ln>
        <a:effectLst/>
      </c:spPr>
    </c:plotArea>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72F61-D624-4C38-9CA4-7D8475BB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PS_TDAG20.dotx</Template>
  <TotalTime>181</TotalTime>
  <Pages>7</Pages>
  <Words>1998</Words>
  <Characters>11394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TDAG17</vt:lpstr>
    </vt:vector>
  </TitlesOfParts>
  <Company>International Telecommunication Union (ITU)</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subject/>
  <dc:creator>Spanish1</dc:creator>
  <cp:keywords/>
  <dc:description/>
  <cp:lastModifiedBy>Spanish1</cp:lastModifiedBy>
  <cp:revision>29</cp:revision>
  <dcterms:created xsi:type="dcterms:W3CDTF">2020-02-24T14:25:00Z</dcterms:created>
  <dcterms:modified xsi:type="dcterms:W3CDTF">2020-02-26T19:14:00Z</dcterms:modified>
</cp:coreProperties>
</file>