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753"/>
        <w:tblW w:w="988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  <w:tblCaption w:val="Document metadata (Study Group, meeting, Question, source, title)"/>
        <w:tblDescription w:val="Document metadata (Study Group, meeting, document number, Question, source, title)"/>
      </w:tblPr>
      <w:tblGrid>
        <w:gridCol w:w="6663"/>
        <w:gridCol w:w="3225"/>
      </w:tblGrid>
      <w:tr w:rsidR="00D372A5" w:rsidRPr="004E7861" w14:paraId="394C9E6D" w14:textId="77777777" w:rsidTr="00D92762">
        <w:trPr>
          <w:cantSplit/>
          <w:trHeight w:val="1134"/>
        </w:trPr>
        <w:tc>
          <w:tcPr>
            <w:tcW w:w="6663" w:type="dxa"/>
            <w:tcBorders>
              <w:bottom w:val="single" w:sz="12" w:space="0" w:color="auto"/>
            </w:tcBorders>
          </w:tcPr>
          <w:p w14:paraId="2AA152FE" w14:textId="77777777" w:rsidR="00D372A5" w:rsidRDefault="00D372A5" w:rsidP="00BC7208">
            <w:pPr>
              <w:rPr>
                <w:b/>
                <w:bCs/>
                <w:sz w:val="32"/>
                <w:szCs w:val="32"/>
                <w:lang w:val="es-ES_tradnl"/>
              </w:rPr>
            </w:pPr>
            <w:r w:rsidRPr="00F12690">
              <w:rPr>
                <w:rFonts w:cstheme="minorHAnsi"/>
                <w:b/>
                <w:bCs/>
                <w:sz w:val="32"/>
                <w:szCs w:val="32"/>
                <w:lang w:val="es-ES_tradnl"/>
              </w:rPr>
              <w:t>Grupo Asesor de Desarrollo de las Telecomunicaciones (GADT</w:t>
            </w:r>
            <w:r w:rsidRPr="00F12690">
              <w:rPr>
                <w:b/>
                <w:bCs/>
                <w:sz w:val="32"/>
                <w:szCs w:val="32"/>
                <w:lang w:val="es-ES_tradnl"/>
              </w:rPr>
              <w:t>)</w:t>
            </w:r>
          </w:p>
          <w:p w14:paraId="09F9935F" w14:textId="6367FF39" w:rsidR="00D372A5" w:rsidRPr="00560C51" w:rsidRDefault="004E7861" w:rsidP="00AA076A">
            <w:pPr>
              <w:spacing w:before="100" w:after="120"/>
              <w:rPr>
                <w:rFonts w:ascii="Verdana" w:hAnsi="Verdana"/>
                <w:sz w:val="28"/>
                <w:szCs w:val="28"/>
                <w:lang w:val="es-ES_tradnl"/>
              </w:rPr>
            </w:pPr>
            <w:r w:rsidRPr="00656B29">
              <w:rPr>
                <w:b/>
                <w:bCs/>
                <w:sz w:val="26"/>
                <w:szCs w:val="26"/>
                <w:lang w:val="es-ES_tradnl"/>
              </w:rPr>
              <w:t>2</w:t>
            </w:r>
            <w:r w:rsidR="00152A04">
              <w:rPr>
                <w:b/>
                <w:bCs/>
                <w:sz w:val="26"/>
                <w:szCs w:val="26"/>
                <w:lang w:val="es-ES_tradnl"/>
              </w:rPr>
              <w:t>5</w:t>
            </w:r>
            <w:r w:rsidRPr="00656B29">
              <w:rPr>
                <w:b/>
                <w:bCs/>
                <w:sz w:val="26"/>
                <w:szCs w:val="26"/>
                <w:lang w:val="es-ES_tradnl"/>
              </w:rPr>
              <w:t xml:space="preserve">ª reunión, Ginebra, </w:t>
            </w:r>
            <w:r w:rsidR="00AA076A">
              <w:rPr>
                <w:b/>
                <w:bCs/>
                <w:sz w:val="26"/>
                <w:szCs w:val="26"/>
                <w:lang w:val="es-ES_tradnl"/>
              </w:rPr>
              <w:t>24</w:t>
            </w:r>
            <w:r w:rsidRPr="00656B29">
              <w:rPr>
                <w:b/>
                <w:bCs/>
                <w:sz w:val="26"/>
                <w:szCs w:val="26"/>
                <w:lang w:val="es-ES_tradnl"/>
              </w:rPr>
              <w:t>-</w:t>
            </w:r>
            <w:r w:rsidR="00AA076A">
              <w:rPr>
                <w:b/>
                <w:bCs/>
                <w:sz w:val="26"/>
                <w:szCs w:val="26"/>
                <w:lang w:val="es-ES_tradnl"/>
              </w:rPr>
              <w:t>27</w:t>
            </w:r>
            <w:r>
              <w:rPr>
                <w:b/>
                <w:bCs/>
                <w:sz w:val="26"/>
                <w:szCs w:val="26"/>
                <w:lang w:val="es-ES_tradnl"/>
              </w:rPr>
              <w:t xml:space="preserve"> de </w:t>
            </w:r>
            <w:r w:rsidR="00AA076A">
              <w:rPr>
                <w:b/>
                <w:bCs/>
                <w:sz w:val="26"/>
                <w:szCs w:val="26"/>
                <w:lang w:val="es-ES_tradnl"/>
              </w:rPr>
              <w:t>marzo</w:t>
            </w:r>
            <w:r>
              <w:rPr>
                <w:b/>
                <w:bCs/>
                <w:sz w:val="26"/>
                <w:szCs w:val="26"/>
                <w:lang w:val="es-ES_tradnl"/>
              </w:rPr>
              <w:t xml:space="preserve"> de 20</w:t>
            </w:r>
            <w:r w:rsidR="00152A04">
              <w:rPr>
                <w:b/>
                <w:bCs/>
                <w:sz w:val="26"/>
                <w:szCs w:val="26"/>
                <w:lang w:val="es-ES_tradnl"/>
              </w:rPr>
              <w:t>20</w:t>
            </w:r>
          </w:p>
        </w:tc>
        <w:tc>
          <w:tcPr>
            <w:tcW w:w="3225" w:type="dxa"/>
            <w:tcBorders>
              <w:bottom w:val="single" w:sz="12" w:space="0" w:color="auto"/>
            </w:tcBorders>
          </w:tcPr>
          <w:p w14:paraId="469766B9" w14:textId="77777777" w:rsidR="00D372A5" w:rsidRPr="00560C51" w:rsidRDefault="004E7861" w:rsidP="004E7861">
            <w:pPr>
              <w:spacing w:before="40" w:after="80"/>
              <w:ind w:right="142"/>
              <w:jc w:val="right"/>
              <w:rPr>
                <w:lang w:val="es-ES_tradnl"/>
              </w:rPr>
            </w:pPr>
            <w:r w:rsidRPr="008E52B1">
              <w:rPr>
                <w:noProof/>
                <w:color w:val="3399FF"/>
                <w:lang w:val="en-GB" w:eastAsia="en-GB"/>
              </w:rPr>
              <w:drawing>
                <wp:inline distT="0" distB="0" distL="0" distR="0" wp14:anchorId="6A443486" wp14:editId="559FEF37">
                  <wp:extent cx="838200" cy="838200"/>
                  <wp:effectExtent l="0" t="0" r="0" b="0"/>
                  <wp:docPr id="1" name="Picture 1" descr="C:\Users\comas\AppData\Local\Temp\Rar$DRa0.735\jpg\ITU official logo_blue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as\AppData\Local\Temp\Rar$DRa0.735\jpg\ITU official logo_blue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7893" w:rsidRPr="004E7861" w14:paraId="2BF2C9BD" w14:textId="77777777" w:rsidTr="004B7893">
        <w:trPr>
          <w:cantSplit/>
        </w:trPr>
        <w:tc>
          <w:tcPr>
            <w:tcW w:w="6663" w:type="dxa"/>
            <w:tcBorders>
              <w:top w:val="single" w:sz="12" w:space="0" w:color="auto"/>
            </w:tcBorders>
          </w:tcPr>
          <w:p w14:paraId="4B667F8F" w14:textId="77777777" w:rsidR="004B7893" w:rsidRPr="00560C51" w:rsidRDefault="004B7893" w:rsidP="004B7893">
            <w:pPr>
              <w:spacing w:before="0"/>
              <w:rPr>
                <w:rFonts w:cs="Arial"/>
                <w:b/>
                <w:bCs/>
                <w:sz w:val="20"/>
                <w:lang w:val="es-ES_tradnl"/>
              </w:rPr>
            </w:pPr>
          </w:p>
        </w:tc>
        <w:tc>
          <w:tcPr>
            <w:tcW w:w="3225" w:type="dxa"/>
            <w:tcBorders>
              <w:top w:val="single" w:sz="12" w:space="0" w:color="auto"/>
            </w:tcBorders>
          </w:tcPr>
          <w:p w14:paraId="36386120" w14:textId="77777777" w:rsidR="004B7893" w:rsidRPr="00560C51" w:rsidRDefault="004B7893" w:rsidP="004B7893">
            <w:pPr>
              <w:spacing w:before="0"/>
              <w:rPr>
                <w:b/>
                <w:bCs/>
                <w:sz w:val="20"/>
                <w:lang w:val="es-ES_tradnl"/>
              </w:rPr>
            </w:pPr>
          </w:p>
        </w:tc>
      </w:tr>
      <w:tr w:rsidR="004B7893" w:rsidRPr="00560C51" w14:paraId="6E8E3D02" w14:textId="77777777" w:rsidTr="004B7893">
        <w:trPr>
          <w:cantSplit/>
        </w:trPr>
        <w:tc>
          <w:tcPr>
            <w:tcW w:w="6663" w:type="dxa"/>
          </w:tcPr>
          <w:p w14:paraId="1C322B95" w14:textId="77777777" w:rsidR="004B7893" w:rsidRPr="00560C51" w:rsidRDefault="004B7893" w:rsidP="004B7893">
            <w:pPr>
              <w:pStyle w:val="Committee"/>
              <w:spacing w:before="0"/>
              <w:rPr>
                <w:b w:val="0"/>
                <w:lang w:val="es-ES_tradnl"/>
              </w:rPr>
            </w:pPr>
          </w:p>
        </w:tc>
        <w:tc>
          <w:tcPr>
            <w:tcW w:w="3225" w:type="dxa"/>
          </w:tcPr>
          <w:p w14:paraId="4BBEB763" w14:textId="74279362" w:rsidR="004B7893" w:rsidRPr="00560C51" w:rsidRDefault="005637B9" w:rsidP="00AA076A">
            <w:pPr>
              <w:spacing w:before="0"/>
              <w:rPr>
                <w:bCs/>
                <w:lang w:val="es-ES_tradnl"/>
              </w:rPr>
            </w:pPr>
            <w:r w:rsidRPr="00560C51">
              <w:rPr>
                <w:b/>
                <w:bCs/>
                <w:lang w:val="es-ES_tradnl"/>
              </w:rPr>
              <w:t xml:space="preserve">Documento </w:t>
            </w:r>
            <w:bookmarkStart w:id="0" w:name="DocRef1"/>
            <w:bookmarkEnd w:id="0"/>
            <w:r>
              <w:rPr>
                <w:b/>
                <w:bCs/>
                <w:lang w:val="es-ES_tradnl"/>
              </w:rPr>
              <w:t>TDAG</w:t>
            </w:r>
            <w:r w:rsidR="00602B27">
              <w:rPr>
                <w:b/>
                <w:bCs/>
                <w:lang w:val="es-ES_tradnl"/>
              </w:rPr>
              <w:t>-</w:t>
            </w:r>
            <w:r w:rsidR="00AA076A">
              <w:rPr>
                <w:b/>
                <w:bCs/>
                <w:lang w:val="es-ES_tradnl"/>
              </w:rPr>
              <w:t>20</w:t>
            </w:r>
            <w:r w:rsidRPr="00560C51">
              <w:rPr>
                <w:b/>
                <w:bCs/>
                <w:lang w:val="es-ES_tradnl"/>
              </w:rPr>
              <w:t>/</w:t>
            </w:r>
            <w:bookmarkStart w:id="1" w:name="DocNo1"/>
            <w:bookmarkEnd w:id="1"/>
            <w:r w:rsidR="00152A04">
              <w:rPr>
                <w:b/>
                <w:bCs/>
                <w:lang w:val="es-ES_tradnl"/>
              </w:rPr>
              <w:t>9</w:t>
            </w:r>
            <w:r>
              <w:rPr>
                <w:b/>
                <w:bCs/>
                <w:lang w:val="es-ES_tradnl"/>
              </w:rPr>
              <w:t>-S</w:t>
            </w:r>
          </w:p>
        </w:tc>
      </w:tr>
      <w:tr w:rsidR="004B7893" w:rsidRPr="00560C51" w14:paraId="21A202C5" w14:textId="77777777" w:rsidTr="004B7893">
        <w:trPr>
          <w:cantSplit/>
        </w:trPr>
        <w:tc>
          <w:tcPr>
            <w:tcW w:w="6663" w:type="dxa"/>
          </w:tcPr>
          <w:p w14:paraId="61C77314" w14:textId="77777777" w:rsidR="004B7893" w:rsidRPr="00560C51" w:rsidRDefault="004B7893" w:rsidP="004B7893">
            <w:pPr>
              <w:spacing w:before="0"/>
              <w:rPr>
                <w:b/>
                <w:bCs/>
                <w:smallCaps/>
                <w:lang w:val="es-ES_tradnl"/>
              </w:rPr>
            </w:pPr>
          </w:p>
        </w:tc>
        <w:tc>
          <w:tcPr>
            <w:tcW w:w="3225" w:type="dxa"/>
          </w:tcPr>
          <w:p w14:paraId="3B96C21F" w14:textId="104E472E" w:rsidR="004B7893" w:rsidRPr="00360762" w:rsidRDefault="00152A04" w:rsidP="00AA076A">
            <w:pPr>
              <w:spacing w:before="0"/>
              <w:rPr>
                <w:b/>
                <w:lang w:val="es-ES_tradnl"/>
              </w:rPr>
            </w:pPr>
            <w:bookmarkStart w:id="2" w:name="CreationDate"/>
            <w:bookmarkEnd w:id="2"/>
            <w:r>
              <w:rPr>
                <w:b/>
                <w:bCs/>
                <w:szCs w:val="28"/>
              </w:rPr>
              <w:t>13 de febrero de</w:t>
            </w:r>
            <w:r w:rsidR="00BC7208" w:rsidRPr="008F5D48">
              <w:rPr>
                <w:b/>
                <w:bCs/>
                <w:szCs w:val="28"/>
              </w:rPr>
              <w:t xml:space="preserve"> 20</w:t>
            </w:r>
            <w:r w:rsidR="00AA076A">
              <w:rPr>
                <w:b/>
                <w:bCs/>
                <w:szCs w:val="28"/>
              </w:rPr>
              <w:t>20</w:t>
            </w:r>
          </w:p>
        </w:tc>
      </w:tr>
      <w:tr w:rsidR="004B7893" w:rsidRPr="00560C51" w14:paraId="3AD5D344" w14:textId="77777777" w:rsidTr="004B7893">
        <w:trPr>
          <w:cantSplit/>
        </w:trPr>
        <w:tc>
          <w:tcPr>
            <w:tcW w:w="6663" w:type="dxa"/>
          </w:tcPr>
          <w:p w14:paraId="5F50FB6F" w14:textId="77777777" w:rsidR="004B7893" w:rsidRPr="00560C51" w:rsidRDefault="004B7893" w:rsidP="004B7893">
            <w:pPr>
              <w:spacing w:before="0"/>
              <w:rPr>
                <w:b/>
                <w:bCs/>
                <w:smallCaps/>
                <w:lang w:val="es-ES_tradnl"/>
              </w:rPr>
            </w:pPr>
          </w:p>
        </w:tc>
        <w:tc>
          <w:tcPr>
            <w:tcW w:w="3225" w:type="dxa"/>
          </w:tcPr>
          <w:p w14:paraId="40CAB02F" w14:textId="05A88A1F" w:rsidR="004B7893" w:rsidRPr="007F1CC7" w:rsidRDefault="005637B9" w:rsidP="004B7893">
            <w:pPr>
              <w:spacing w:before="0"/>
              <w:rPr>
                <w:szCs w:val="24"/>
              </w:rPr>
            </w:pPr>
            <w:r w:rsidRPr="00560C51">
              <w:rPr>
                <w:b/>
                <w:lang w:val="es-ES_tradnl"/>
              </w:rPr>
              <w:t>Original:</w:t>
            </w:r>
            <w:bookmarkStart w:id="3" w:name="Original"/>
            <w:bookmarkEnd w:id="3"/>
            <w:r>
              <w:rPr>
                <w:b/>
                <w:lang w:val="es-ES_tradnl"/>
              </w:rPr>
              <w:t xml:space="preserve"> </w:t>
            </w:r>
            <w:r w:rsidR="00152A04">
              <w:rPr>
                <w:b/>
                <w:lang w:val="es-ES_tradnl"/>
              </w:rPr>
              <w:t>inglés</w:t>
            </w:r>
          </w:p>
        </w:tc>
      </w:tr>
      <w:tr w:rsidR="004B7893" w:rsidRPr="00152A04" w14:paraId="58726101" w14:textId="77777777" w:rsidTr="004B7893">
        <w:trPr>
          <w:cantSplit/>
          <w:trHeight w:val="852"/>
        </w:trPr>
        <w:tc>
          <w:tcPr>
            <w:tcW w:w="9888" w:type="dxa"/>
            <w:gridSpan w:val="2"/>
          </w:tcPr>
          <w:p w14:paraId="3816A987" w14:textId="76FFC060" w:rsidR="004B7893" w:rsidRPr="00560C51" w:rsidRDefault="00152A04" w:rsidP="004B7893">
            <w:pPr>
              <w:pStyle w:val="Source"/>
              <w:rPr>
                <w:szCs w:val="28"/>
                <w:lang w:val="es-ES_tradnl"/>
              </w:rPr>
            </w:pPr>
            <w:bookmarkStart w:id="4" w:name="Source"/>
            <w:bookmarkEnd w:id="4"/>
            <w:r w:rsidRPr="00152A04">
              <w:rPr>
                <w:lang w:val="es-ES"/>
              </w:rPr>
              <w:t>Directora de la Oficina de Desarrollo de Telecomunicaciones</w:t>
            </w:r>
          </w:p>
        </w:tc>
      </w:tr>
      <w:tr w:rsidR="004B7893" w:rsidRPr="00152A04" w14:paraId="21FEC59F" w14:textId="77777777" w:rsidTr="004B7893">
        <w:trPr>
          <w:cantSplit/>
        </w:trPr>
        <w:tc>
          <w:tcPr>
            <w:tcW w:w="9888" w:type="dxa"/>
            <w:gridSpan w:val="2"/>
          </w:tcPr>
          <w:p w14:paraId="37004FB6" w14:textId="2E1F646D" w:rsidR="004B7893" w:rsidRPr="000135AE" w:rsidRDefault="00152A04" w:rsidP="004B7893">
            <w:pPr>
              <w:pStyle w:val="Title1"/>
              <w:rPr>
                <w:bCs/>
                <w:szCs w:val="28"/>
                <w:lang w:val="es-ES_tradnl"/>
              </w:rPr>
            </w:pPr>
            <w:bookmarkStart w:id="5" w:name="Title"/>
            <w:bookmarkEnd w:id="5"/>
            <w:r w:rsidRPr="00152A04">
              <w:rPr>
                <w:bCs/>
                <w:lang w:val="es-ES"/>
              </w:rPr>
              <w:t>Grupo de expertos sobre el Reglamento de las Telecomunicaciones Internacionales (GE-RTI): Informe sobre</w:t>
            </w:r>
            <w:r w:rsidRPr="00152A04">
              <w:rPr>
                <w:bCs/>
                <w:lang w:val="es-ES"/>
              </w:rPr>
              <w:br/>
              <w:t>la marcha de los trabajos al GADT</w:t>
            </w:r>
          </w:p>
        </w:tc>
      </w:tr>
      <w:tr w:rsidR="004B7893" w:rsidRPr="00152A04" w14:paraId="297C6FB3" w14:textId="77777777" w:rsidTr="004B7893">
        <w:trPr>
          <w:cantSplit/>
        </w:trPr>
        <w:tc>
          <w:tcPr>
            <w:tcW w:w="9888" w:type="dxa"/>
            <w:gridSpan w:val="2"/>
            <w:tcBorders>
              <w:bottom w:val="single" w:sz="4" w:space="0" w:color="auto"/>
            </w:tcBorders>
          </w:tcPr>
          <w:p w14:paraId="45F029B2" w14:textId="77777777" w:rsidR="004B7893" w:rsidRPr="00152A04" w:rsidRDefault="004B7893" w:rsidP="00BC7208">
            <w:pPr>
              <w:rPr>
                <w:lang w:val="es-ES"/>
              </w:rPr>
            </w:pPr>
          </w:p>
        </w:tc>
      </w:tr>
      <w:tr w:rsidR="004B7893" w:rsidRPr="00152A04" w14:paraId="7B3FA1AE" w14:textId="77777777" w:rsidTr="004B7893">
        <w:trPr>
          <w:cantSplit/>
          <w:trHeight w:val="703"/>
        </w:trPr>
        <w:tc>
          <w:tcPr>
            <w:tcW w:w="9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FE4B" w14:textId="77777777" w:rsidR="004B7893" w:rsidRPr="00152A04" w:rsidRDefault="004B7893" w:rsidP="004B7893">
            <w:pPr>
              <w:spacing w:before="240"/>
              <w:rPr>
                <w:b/>
                <w:bCs/>
                <w:lang w:val="es-ES"/>
              </w:rPr>
            </w:pPr>
            <w:r w:rsidRPr="00152A04">
              <w:rPr>
                <w:b/>
                <w:bCs/>
                <w:lang w:val="es-ES"/>
              </w:rPr>
              <w:t>Resumen:</w:t>
            </w:r>
          </w:p>
          <w:p w14:paraId="1D895C0A" w14:textId="3DD1B364" w:rsidR="004B7893" w:rsidRPr="00152A04" w:rsidRDefault="00152A04" w:rsidP="004B7893">
            <w:pPr>
              <w:rPr>
                <w:b/>
                <w:bCs/>
                <w:lang w:val="es-ES"/>
              </w:rPr>
            </w:pPr>
            <w:r w:rsidRPr="00E3047E">
              <w:rPr>
                <w:szCs w:val="24"/>
                <w:lang w:val="es-ES"/>
              </w:rPr>
              <w:t>E</w:t>
            </w:r>
            <w:r>
              <w:rPr>
                <w:szCs w:val="24"/>
                <w:lang w:val="es-ES"/>
              </w:rPr>
              <w:t>n el presente</w:t>
            </w:r>
            <w:r w:rsidRPr="00E3047E">
              <w:rPr>
                <w:szCs w:val="24"/>
                <w:lang w:val="es-ES"/>
              </w:rPr>
              <w:t xml:space="preserve"> informe sobre la marcha de los trabajos</w:t>
            </w:r>
            <w:r>
              <w:rPr>
                <w:szCs w:val="24"/>
                <w:lang w:val="es-ES"/>
              </w:rPr>
              <w:t xml:space="preserve"> se presenta</w:t>
            </w:r>
            <w:r w:rsidRPr="00E3047E">
              <w:rPr>
                <w:szCs w:val="24"/>
                <w:lang w:val="es-ES"/>
              </w:rPr>
              <w:t xml:space="preserve"> la labor del Grupo de Expertos sobre el Reglamento de las Telecomunicaciones Internacionales (GE-RTI)</w:t>
            </w:r>
            <w:r w:rsidRPr="00271180">
              <w:rPr>
                <w:rStyle w:val="FootnoteReference"/>
                <w:szCs w:val="24"/>
              </w:rPr>
              <w:footnoteReference w:id="1"/>
            </w:r>
            <w:r w:rsidRPr="00E3047E">
              <w:rPr>
                <w:szCs w:val="24"/>
                <w:lang w:val="es-ES"/>
              </w:rPr>
              <w:t>, destacando los resultados principales de</w:t>
            </w:r>
            <w:r>
              <w:rPr>
                <w:szCs w:val="24"/>
                <w:lang w:val="es-ES"/>
              </w:rPr>
              <w:t xml:space="preserve"> las</w:t>
            </w:r>
            <w:r w:rsidRPr="00E3047E">
              <w:rPr>
                <w:szCs w:val="24"/>
                <w:lang w:val="es-ES"/>
              </w:rPr>
              <w:t xml:space="preserve"> dos reuniones </w:t>
            </w:r>
            <w:r>
              <w:rPr>
                <w:szCs w:val="24"/>
                <w:lang w:val="es-ES"/>
              </w:rPr>
              <w:t>que ha celebrado</w:t>
            </w:r>
            <w:r w:rsidRPr="00E3047E">
              <w:rPr>
                <w:szCs w:val="24"/>
                <w:lang w:val="es-ES"/>
              </w:rPr>
              <w:t xml:space="preserve"> hasta la fecha.</w:t>
            </w:r>
          </w:p>
          <w:p w14:paraId="399CA87A" w14:textId="77777777" w:rsidR="004B7893" w:rsidRPr="00152A04" w:rsidRDefault="004B7893" w:rsidP="004B7893">
            <w:pPr>
              <w:rPr>
                <w:b/>
                <w:bCs/>
                <w:lang w:val="es-ES"/>
              </w:rPr>
            </w:pPr>
            <w:r w:rsidRPr="00152A04">
              <w:rPr>
                <w:b/>
                <w:bCs/>
                <w:lang w:val="es-ES"/>
              </w:rPr>
              <w:t xml:space="preserve">Acción solicitada: </w:t>
            </w:r>
          </w:p>
          <w:p w14:paraId="49F816AD" w14:textId="31009AA5" w:rsidR="004B7893" w:rsidRPr="00152A04" w:rsidRDefault="00152A04" w:rsidP="004B7893">
            <w:pPr>
              <w:rPr>
                <w:lang w:val="es-ES"/>
              </w:rPr>
            </w:pPr>
            <w:r w:rsidRPr="00152A04">
              <w:rPr>
                <w:lang w:val="es-ES"/>
              </w:rPr>
              <w:t>Se invita al GADT a tomar nota de este informe y a formular las observaciones que estime oportunas para contribuir a la labor del GE-RTI.</w:t>
            </w:r>
          </w:p>
          <w:p w14:paraId="4D8ADA31" w14:textId="77777777" w:rsidR="004B7893" w:rsidRPr="00152A04" w:rsidRDefault="004B7893" w:rsidP="004B7893">
            <w:pPr>
              <w:rPr>
                <w:b/>
                <w:bCs/>
                <w:lang w:val="es-ES"/>
              </w:rPr>
            </w:pPr>
            <w:r w:rsidRPr="00152A04">
              <w:rPr>
                <w:b/>
                <w:bCs/>
                <w:lang w:val="es-ES"/>
              </w:rPr>
              <w:t>Referencias:</w:t>
            </w:r>
          </w:p>
          <w:p w14:paraId="62E1607E" w14:textId="4A804CEE" w:rsidR="004B7893" w:rsidRPr="00152A04" w:rsidRDefault="00152A04" w:rsidP="004B7893">
            <w:pPr>
              <w:rPr>
                <w:lang w:val="es-ES"/>
              </w:rPr>
            </w:pPr>
            <w:r w:rsidRPr="00152A04">
              <w:rPr>
                <w:lang w:val="es-ES"/>
              </w:rPr>
              <w:t>Revisión 2 al Documento EG-ITRs-1/DL/3-E, Resolución 146 (Rev. Dubái, 2018) de la Conferencia de Plenipotenciarios y Resolución 1379 (modificada en 2019) del Consejo de la UIT.</w:t>
            </w:r>
          </w:p>
        </w:tc>
      </w:tr>
    </w:tbl>
    <w:p w14:paraId="532A7D3B" w14:textId="77777777" w:rsidR="00835A77" w:rsidRDefault="00835A77" w:rsidP="00BC7208">
      <w:pPr>
        <w:rPr>
          <w:lang w:val="es-ES_tradnl"/>
        </w:rPr>
      </w:pPr>
    </w:p>
    <w:p w14:paraId="3AE3CCFA" w14:textId="77777777" w:rsidR="00AA076A" w:rsidRDefault="00AA076A" w:rsidP="00991B13">
      <w:pPr>
        <w:rPr>
          <w:lang w:val="es-ES_tradnl"/>
        </w:rPr>
      </w:pPr>
    </w:p>
    <w:p w14:paraId="503B6E75" w14:textId="77777777" w:rsidR="00AA076A" w:rsidRDefault="00AA076A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 w:line="276" w:lineRule="auto"/>
        <w:textAlignment w:val="auto"/>
        <w:rPr>
          <w:lang w:val="es-ES_tradnl"/>
        </w:rPr>
      </w:pPr>
      <w:r>
        <w:rPr>
          <w:lang w:val="es-ES_tradnl"/>
        </w:rPr>
        <w:br w:type="page"/>
      </w:r>
      <w:bookmarkStart w:id="6" w:name="_GoBack"/>
      <w:bookmarkEnd w:id="6"/>
    </w:p>
    <w:p w14:paraId="3308E6B1" w14:textId="77777777" w:rsidR="00152A04" w:rsidRPr="00545029" w:rsidRDefault="00152A04" w:rsidP="00152A04">
      <w:pPr>
        <w:pStyle w:val="Headingb"/>
        <w:jc w:val="center"/>
        <w:rPr>
          <w:lang w:val="es-ES_tradnl"/>
        </w:rPr>
      </w:pPr>
      <w:r w:rsidRPr="00545029">
        <w:rPr>
          <w:lang w:val="es-ES_tradnl"/>
        </w:rPr>
        <w:lastRenderedPageBreak/>
        <w:t xml:space="preserve">Grupo de Expertos sobre el Reglamento de las Telecomunicaciones Internacionales (GE-RTI) </w:t>
      </w:r>
      <w:r w:rsidRPr="00545029">
        <w:rPr>
          <w:lang w:val="es-ES_tradnl"/>
        </w:rPr>
        <w:br/>
        <w:t>Informe sobre la marcha de los trabajos al GADT</w:t>
      </w:r>
    </w:p>
    <w:p w14:paraId="7786E4B2" w14:textId="77777777" w:rsidR="00152A04" w:rsidRPr="00F70E59" w:rsidRDefault="00152A04" w:rsidP="00152A04">
      <w:pPr>
        <w:pStyle w:val="Heading1"/>
        <w:rPr>
          <w:sz w:val="24"/>
          <w:szCs w:val="24"/>
          <w:lang w:val="es-ES_tradnl"/>
        </w:rPr>
      </w:pPr>
      <w:r w:rsidRPr="00F70E59">
        <w:rPr>
          <w:sz w:val="24"/>
          <w:szCs w:val="24"/>
          <w:lang w:val="es-ES_tradnl"/>
        </w:rPr>
        <w:t>1</w:t>
      </w:r>
      <w:r w:rsidRPr="00F70E59">
        <w:rPr>
          <w:sz w:val="24"/>
          <w:szCs w:val="24"/>
          <w:lang w:val="es-ES_tradnl"/>
        </w:rPr>
        <w:tab/>
        <w:t>Antecedentes</w:t>
      </w:r>
    </w:p>
    <w:p w14:paraId="0D007D0C" w14:textId="77777777" w:rsidR="00152A04" w:rsidRPr="00545029" w:rsidRDefault="00152A04" w:rsidP="00152A04">
      <w:pPr>
        <w:rPr>
          <w:bdr w:val="none" w:sz="0" w:space="0" w:color="auto" w:frame="1"/>
          <w:lang w:val="es-ES_tradnl" w:eastAsia="en-GB"/>
        </w:rPr>
      </w:pPr>
      <w:r w:rsidRPr="00545029">
        <w:rPr>
          <w:bdr w:val="none" w:sz="0" w:space="0" w:color="auto" w:frame="1"/>
          <w:lang w:val="es-ES_tradnl" w:eastAsia="en-GB"/>
        </w:rPr>
        <w:t xml:space="preserve">En la Resolución 146 (Rev. Dubái, 2018) de la Conferencia de Plenipotenciarios, relativa al examen periódico y la revisión del Reglamento de las Telecomunicaciones Internacionales, se encargó al Secretario General </w:t>
      </w:r>
      <w:r w:rsidRPr="00545029">
        <w:rPr>
          <w:lang w:val="es-ES_tradnl"/>
        </w:rPr>
        <w:t>que volviera a convocar un GE-RTI abierto a la participación de los Estados Miembros y Miembros de Sector de la UIT, cuyo mandato y métodos de trabajo establecería el Consejo de la UIT, para efectuar el examen de dicho Reglamento</w:t>
      </w:r>
      <w:r w:rsidRPr="00545029">
        <w:rPr>
          <w:bdr w:val="none" w:sz="0" w:space="0" w:color="auto" w:frame="1"/>
          <w:lang w:val="es-ES_tradnl" w:eastAsia="en-GB"/>
        </w:rPr>
        <w:t>.</w:t>
      </w:r>
    </w:p>
    <w:p w14:paraId="66C9FCEA" w14:textId="77777777" w:rsidR="00152A04" w:rsidRPr="00545029" w:rsidRDefault="00152A04" w:rsidP="00152A04">
      <w:pPr>
        <w:outlineLvl w:val="1"/>
        <w:rPr>
          <w:b/>
          <w:bCs/>
          <w:szCs w:val="24"/>
          <w:lang w:val="es-ES_tradnl"/>
        </w:rPr>
      </w:pPr>
      <w:r w:rsidRPr="00545029">
        <w:rPr>
          <w:lang w:val="es-ES_tradnl"/>
        </w:rPr>
        <w:t xml:space="preserve">En su reunión de junio de 2019, el Consejo examinó y modificó su Resolución 1379, relativa al Grupo de Expertos sobre el Reglamento de las Telecomunicaciones Internacionales, y aprobó el mandato de dicho Grupo, que puede consultarse en el siguiente enlace: </w:t>
      </w:r>
      <w:hyperlink r:id="rId8" w:history="1">
        <w:r w:rsidRPr="00545029">
          <w:rPr>
            <w:rStyle w:val="Hyperlink"/>
            <w:lang w:val="es-ES_tradnl"/>
          </w:rPr>
          <w:t>https://www.itu.int/en/council/Pages/eg-itrs.aspx</w:t>
        </w:r>
      </w:hyperlink>
      <w:r w:rsidRPr="00545029">
        <w:rPr>
          <w:lang w:val="es-ES_tradnl"/>
        </w:rPr>
        <w:t>.</w:t>
      </w:r>
    </w:p>
    <w:p w14:paraId="6DF888C1" w14:textId="77777777" w:rsidR="00152A04" w:rsidRPr="00F70E59" w:rsidRDefault="00152A04" w:rsidP="00152A04">
      <w:pPr>
        <w:pStyle w:val="Heading1"/>
        <w:rPr>
          <w:sz w:val="24"/>
          <w:szCs w:val="24"/>
          <w:lang w:val="es-ES_tradnl"/>
        </w:rPr>
      </w:pPr>
      <w:r w:rsidRPr="00F70E59">
        <w:rPr>
          <w:sz w:val="24"/>
          <w:szCs w:val="24"/>
          <w:lang w:val="es-ES_tradnl"/>
        </w:rPr>
        <w:t>2</w:t>
      </w:r>
      <w:r w:rsidRPr="00F70E59">
        <w:rPr>
          <w:sz w:val="24"/>
          <w:szCs w:val="24"/>
          <w:lang w:val="es-ES_tradnl"/>
        </w:rPr>
        <w:tab/>
        <w:t>Resultados de la primera reunión del GE-RTI (16-17 de septiembre de 2019)</w:t>
      </w:r>
    </w:p>
    <w:p w14:paraId="72A33598" w14:textId="77777777" w:rsidR="00152A04" w:rsidRPr="007C0E76" w:rsidRDefault="00152A04" w:rsidP="00152A04">
      <w:pPr>
        <w:snapToGrid w:val="0"/>
        <w:spacing w:after="120"/>
        <w:rPr>
          <w:bCs/>
          <w:szCs w:val="24"/>
          <w:lang w:val="es-ES"/>
        </w:rPr>
      </w:pPr>
      <w:r w:rsidRPr="00545029">
        <w:rPr>
          <w:bCs/>
          <w:szCs w:val="24"/>
          <w:lang w:val="es-ES_tradnl"/>
        </w:rPr>
        <w:t xml:space="preserve">Durante la primera reunión </w:t>
      </w:r>
      <w:r w:rsidRPr="00897DD2">
        <w:rPr>
          <w:bCs/>
          <w:szCs w:val="24"/>
          <w:lang w:val="es-ES_tradnl"/>
        </w:rPr>
        <w:t>del GE-RTI</w:t>
      </w:r>
      <w:r w:rsidRPr="00545029">
        <w:rPr>
          <w:bCs/>
          <w:szCs w:val="24"/>
          <w:lang w:val="es-ES_tradnl"/>
        </w:rPr>
        <w:t xml:space="preserve">, que tuvo lugar los días 16 y 17 de septiembre de 2019, la atención se centró en </w:t>
      </w:r>
      <w:r>
        <w:rPr>
          <w:bCs/>
          <w:szCs w:val="24"/>
          <w:lang w:val="es-ES_tradnl"/>
        </w:rPr>
        <w:t>los</w:t>
      </w:r>
      <w:r w:rsidRPr="00545029">
        <w:rPr>
          <w:bCs/>
          <w:szCs w:val="24"/>
          <w:lang w:val="es-ES_tradnl"/>
        </w:rPr>
        <w:t xml:space="preserve"> métodos de trabajo y </w:t>
      </w:r>
      <w:r>
        <w:rPr>
          <w:bCs/>
          <w:szCs w:val="24"/>
          <w:lang w:val="es-ES_tradnl"/>
        </w:rPr>
        <w:t>el</w:t>
      </w:r>
      <w:r w:rsidRPr="00545029">
        <w:rPr>
          <w:bCs/>
          <w:szCs w:val="24"/>
          <w:lang w:val="es-ES_tradnl"/>
        </w:rPr>
        <w:t xml:space="preserve"> mandato</w:t>
      </w:r>
      <w:r>
        <w:rPr>
          <w:bCs/>
          <w:szCs w:val="24"/>
          <w:lang w:val="es-ES_tradnl"/>
        </w:rPr>
        <w:t xml:space="preserve"> del Grupo</w:t>
      </w:r>
      <w:r w:rsidRPr="00545029">
        <w:rPr>
          <w:bCs/>
          <w:szCs w:val="24"/>
          <w:lang w:val="es-ES_tradnl"/>
        </w:rPr>
        <w:t>,</w:t>
      </w:r>
      <w:r>
        <w:rPr>
          <w:bCs/>
          <w:szCs w:val="24"/>
          <w:lang w:val="es-ES_tradnl"/>
        </w:rPr>
        <w:t xml:space="preserve"> los cuales se definieron de acuerdo con</w:t>
      </w:r>
      <w:r w:rsidRPr="00545029">
        <w:rPr>
          <w:bCs/>
          <w:szCs w:val="24"/>
          <w:lang w:val="es-ES_tradnl"/>
        </w:rPr>
        <w:t xml:space="preserve"> la Resolución 146 (Rev. Dubái, 2018) y la Resolución 1379 (modificada en 2019) del Consejo, </w:t>
      </w:r>
      <w:r>
        <w:rPr>
          <w:bCs/>
          <w:szCs w:val="24"/>
          <w:lang w:val="es-ES_tradnl"/>
        </w:rPr>
        <w:t xml:space="preserve">tal y </w:t>
      </w:r>
      <w:r w:rsidRPr="00545029">
        <w:rPr>
          <w:bCs/>
          <w:szCs w:val="24"/>
          <w:lang w:val="es-ES_tradnl"/>
        </w:rPr>
        <w:t xml:space="preserve">como se </w:t>
      </w:r>
      <w:r>
        <w:rPr>
          <w:bCs/>
          <w:szCs w:val="24"/>
          <w:lang w:val="es-ES_tradnl"/>
        </w:rPr>
        <w:t>indicó</w:t>
      </w:r>
      <w:r w:rsidRPr="00545029">
        <w:rPr>
          <w:bCs/>
          <w:szCs w:val="24"/>
          <w:lang w:val="es-ES_tradnl"/>
        </w:rPr>
        <w:t xml:space="preserve"> anteriormente. El Presidente también </w:t>
      </w:r>
      <w:r>
        <w:rPr>
          <w:bCs/>
          <w:szCs w:val="24"/>
          <w:lang w:val="es-ES_tradnl"/>
        </w:rPr>
        <w:t>realizó</w:t>
      </w:r>
      <w:r w:rsidRPr="00545029">
        <w:rPr>
          <w:bCs/>
          <w:szCs w:val="24"/>
          <w:lang w:val="es-ES_tradnl"/>
        </w:rPr>
        <w:t xml:space="preserve"> una presentación sobre los </w:t>
      </w:r>
      <w:hyperlink r:id="rId9" w:history="1">
        <w:r w:rsidRPr="00545029">
          <w:rPr>
            <w:rStyle w:val="Hyperlink"/>
            <w:bCs/>
            <w:szCs w:val="24"/>
            <w:lang w:val="es-ES_tradnl"/>
          </w:rPr>
          <w:t>métodos de trabajo y el mandato del Grupo, con arreglo a dichas Resoluciones</w:t>
        </w:r>
      </w:hyperlink>
      <w:r w:rsidRPr="00545029">
        <w:rPr>
          <w:bCs/>
          <w:szCs w:val="24"/>
          <w:lang w:val="es-ES_tradnl"/>
        </w:rPr>
        <w:t>.</w:t>
      </w:r>
    </w:p>
    <w:p w14:paraId="7A4BEE31" w14:textId="77777777" w:rsidR="00152A04" w:rsidRPr="004D1EED" w:rsidRDefault="00152A04" w:rsidP="00152A04">
      <w:pPr>
        <w:spacing w:after="120"/>
        <w:jc w:val="both"/>
        <w:rPr>
          <w:bCs/>
          <w:szCs w:val="24"/>
          <w:lang w:val="es-ES"/>
        </w:rPr>
      </w:pPr>
      <w:r w:rsidRPr="0075704D">
        <w:rPr>
          <w:bCs/>
          <w:szCs w:val="24"/>
          <w:lang w:val="es-ES"/>
        </w:rPr>
        <w:t xml:space="preserve">El Grupo examinó todas las contribuciones recibidas para la reunión y decidió </w:t>
      </w:r>
      <w:r>
        <w:rPr>
          <w:bCs/>
          <w:szCs w:val="24"/>
          <w:lang w:val="es-ES"/>
        </w:rPr>
        <w:t>utilizar</w:t>
      </w:r>
      <w:r w:rsidRPr="0075704D">
        <w:rPr>
          <w:bCs/>
          <w:szCs w:val="24"/>
          <w:lang w:val="es-ES"/>
        </w:rPr>
        <w:t>, además de su mandato, la plantilla genérica</w:t>
      </w:r>
      <w:r>
        <w:rPr>
          <w:bCs/>
          <w:szCs w:val="24"/>
          <w:lang w:val="es-ES"/>
        </w:rPr>
        <w:t xml:space="preserve"> </w:t>
      </w:r>
      <w:r>
        <w:rPr>
          <w:bCs/>
          <w:i/>
          <w:iCs/>
          <w:szCs w:val="24"/>
          <w:lang w:val="es-ES"/>
        </w:rPr>
        <w:t>infra</w:t>
      </w:r>
      <w:r w:rsidRPr="0075704D">
        <w:rPr>
          <w:bCs/>
          <w:szCs w:val="24"/>
          <w:lang w:val="es-ES"/>
        </w:rPr>
        <w:t xml:space="preserve"> </w:t>
      </w:r>
      <w:r>
        <w:rPr>
          <w:bCs/>
          <w:szCs w:val="24"/>
          <w:lang w:val="es-ES"/>
        </w:rPr>
        <w:t>que propuso</w:t>
      </w:r>
      <w:r w:rsidRPr="0075704D">
        <w:rPr>
          <w:bCs/>
          <w:szCs w:val="24"/>
          <w:lang w:val="es-ES"/>
        </w:rPr>
        <w:t xml:space="preserve"> Ghana </w:t>
      </w:r>
      <w:r>
        <w:rPr>
          <w:bCs/>
          <w:szCs w:val="24"/>
          <w:lang w:val="es-ES"/>
        </w:rPr>
        <w:t>(c</w:t>
      </w:r>
      <w:r w:rsidRPr="0075704D">
        <w:rPr>
          <w:bCs/>
          <w:szCs w:val="24"/>
          <w:lang w:val="es-ES"/>
        </w:rPr>
        <w:t xml:space="preserve">onocida ahora como </w:t>
      </w:r>
      <w:r>
        <w:rPr>
          <w:rFonts w:cstheme="minorHAnsi"/>
          <w:bCs/>
          <w:szCs w:val="24"/>
          <w:lang w:val="es-ES"/>
        </w:rPr>
        <w:t>"</w:t>
      </w:r>
      <w:r>
        <w:rPr>
          <w:bCs/>
          <w:szCs w:val="24"/>
          <w:lang w:val="es-ES"/>
        </w:rPr>
        <w:t>cuadro de</w:t>
      </w:r>
      <w:r w:rsidRPr="0075704D">
        <w:rPr>
          <w:bCs/>
          <w:szCs w:val="24"/>
          <w:lang w:val="es-ES"/>
        </w:rPr>
        <w:t xml:space="preserve"> examen</w:t>
      </w:r>
      <w:r>
        <w:rPr>
          <w:rFonts w:cstheme="minorHAnsi"/>
          <w:bCs/>
          <w:szCs w:val="24"/>
          <w:lang w:val="es-ES"/>
        </w:rPr>
        <w:t>"</w:t>
      </w:r>
      <w:r>
        <w:rPr>
          <w:bCs/>
          <w:szCs w:val="24"/>
          <w:lang w:val="es-ES"/>
        </w:rPr>
        <w:t>),</w:t>
      </w:r>
      <w:r w:rsidRPr="0075704D">
        <w:rPr>
          <w:bCs/>
          <w:szCs w:val="24"/>
          <w:lang w:val="es-ES"/>
        </w:rPr>
        <w:t xml:space="preserve"> para cotejar las opiniones del Grupo sobre el </w:t>
      </w:r>
      <w:r w:rsidRPr="004D1EED">
        <w:rPr>
          <w:bCs/>
          <w:szCs w:val="24"/>
          <w:lang w:val="es-ES"/>
        </w:rPr>
        <w:t>examen de cada una de las disposiciones del RTI</w:t>
      </w:r>
      <w:r w:rsidRPr="0075704D">
        <w:rPr>
          <w:bCs/>
          <w:szCs w:val="24"/>
          <w:lang w:val="es-ES"/>
        </w:rPr>
        <w:t>.</w:t>
      </w:r>
    </w:p>
    <w:tbl>
      <w:tblPr>
        <w:tblStyle w:val="TableGrid"/>
        <w:tblW w:w="9799" w:type="dxa"/>
        <w:jc w:val="center"/>
        <w:tblLook w:val="04A0" w:firstRow="1" w:lastRow="0" w:firstColumn="1" w:lastColumn="0" w:noHBand="0" w:noVBand="1"/>
      </w:tblPr>
      <w:tblGrid>
        <w:gridCol w:w="921"/>
        <w:gridCol w:w="1212"/>
        <w:gridCol w:w="1529"/>
        <w:gridCol w:w="2470"/>
        <w:gridCol w:w="2336"/>
        <w:gridCol w:w="1331"/>
      </w:tblGrid>
      <w:tr w:rsidR="00152A04" w:rsidRPr="00152A04" w14:paraId="7ED2CA3D" w14:textId="77777777" w:rsidTr="00813316">
        <w:trPr>
          <w:jc w:val="center"/>
        </w:trPr>
        <w:tc>
          <w:tcPr>
            <w:tcW w:w="921" w:type="dxa"/>
          </w:tcPr>
          <w:p w14:paraId="4DFDD63F" w14:textId="77777777" w:rsidR="00152A04" w:rsidRPr="00152A04" w:rsidRDefault="00152A04" w:rsidP="00813316">
            <w:pPr>
              <w:pStyle w:val="Tabletext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152A04">
              <w:rPr>
                <w:rFonts w:asciiTheme="minorHAnsi" w:hAnsiTheme="minorHAnsi" w:cstheme="minorHAnsi"/>
                <w:lang w:val="es-ES_tradnl"/>
              </w:rPr>
              <w:t>Artículo de 2012</w:t>
            </w:r>
          </w:p>
        </w:tc>
        <w:tc>
          <w:tcPr>
            <w:tcW w:w="1212" w:type="dxa"/>
          </w:tcPr>
          <w:p w14:paraId="1E10FFE3" w14:textId="77777777" w:rsidR="00152A04" w:rsidRPr="00152A04" w:rsidRDefault="00152A04" w:rsidP="00813316">
            <w:pPr>
              <w:pStyle w:val="Tabletext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152A04">
              <w:rPr>
                <w:rFonts w:asciiTheme="minorHAnsi" w:hAnsiTheme="minorHAnsi" w:cstheme="minorHAnsi"/>
                <w:lang w:val="es-ES_tradnl"/>
              </w:rPr>
              <w:t>Párrafo y disposición</w:t>
            </w:r>
          </w:p>
        </w:tc>
        <w:tc>
          <w:tcPr>
            <w:tcW w:w="1529" w:type="dxa"/>
          </w:tcPr>
          <w:p w14:paraId="0D356882" w14:textId="77777777" w:rsidR="00152A04" w:rsidRPr="00152A04" w:rsidRDefault="00152A04" w:rsidP="00813316">
            <w:pPr>
              <w:pStyle w:val="Tabletext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152A04">
              <w:rPr>
                <w:rFonts w:asciiTheme="minorHAnsi" w:hAnsiTheme="minorHAnsi" w:cstheme="minorHAnsi"/>
                <w:lang w:val="es-ES_tradnl"/>
              </w:rPr>
              <w:t>Párrafo y disposición conexos de 1988</w:t>
            </w:r>
          </w:p>
        </w:tc>
        <w:tc>
          <w:tcPr>
            <w:tcW w:w="2470" w:type="dxa"/>
          </w:tcPr>
          <w:p w14:paraId="54F6E9D0" w14:textId="77777777" w:rsidR="00152A04" w:rsidRPr="00152A04" w:rsidRDefault="00152A04" w:rsidP="00813316">
            <w:pPr>
              <w:pStyle w:val="Tabletext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152A04">
              <w:rPr>
                <w:rFonts w:asciiTheme="minorHAnsi" w:hAnsiTheme="minorHAnsi" w:cstheme="minorHAnsi"/>
                <w:lang w:val="es-ES_tradnl"/>
              </w:rPr>
              <w:t>Aplicabilidad para fomentar la prestación y el desarrollo de redes y servicios</w:t>
            </w:r>
          </w:p>
        </w:tc>
        <w:tc>
          <w:tcPr>
            <w:tcW w:w="2336" w:type="dxa"/>
          </w:tcPr>
          <w:p w14:paraId="1F74BF4F" w14:textId="77777777" w:rsidR="00152A04" w:rsidRPr="00152A04" w:rsidRDefault="00152A04" w:rsidP="00813316">
            <w:pPr>
              <w:pStyle w:val="Tabletext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152A04">
              <w:rPr>
                <w:rFonts w:asciiTheme="minorHAnsi" w:hAnsiTheme="minorHAnsi" w:cstheme="minorHAnsi"/>
                <w:lang w:val="es-ES_tradnl"/>
              </w:rPr>
              <w:t>Flexibilidad para adaptarse a las nuevas tendencias y a los problemas emergentes</w:t>
            </w:r>
          </w:p>
        </w:tc>
        <w:tc>
          <w:tcPr>
            <w:tcW w:w="1331" w:type="dxa"/>
          </w:tcPr>
          <w:p w14:paraId="5CDBFF02" w14:textId="77777777" w:rsidR="00152A04" w:rsidRPr="00152A04" w:rsidRDefault="00152A04" w:rsidP="00813316">
            <w:pPr>
              <w:pStyle w:val="Tabletext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152A04">
              <w:rPr>
                <w:rFonts w:asciiTheme="minorHAnsi" w:hAnsiTheme="minorHAnsi" w:cstheme="minorHAnsi"/>
                <w:lang w:val="es-ES_tradnl"/>
              </w:rPr>
              <w:t>Resultado resumido</w:t>
            </w:r>
          </w:p>
        </w:tc>
      </w:tr>
    </w:tbl>
    <w:p w14:paraId="77A5702E" w14:textId="77777777" w:rsidR="00152A04" w:rsidRPr="00632E87" w:rsidRDefault="00152A04" w:rsidP="00152A04">
      <w:pPr>
        <w:snapToGrid w:val="0"/>
        <w:spacing w:after="120"/>
        <w:rPr>
          <w:szCs w:val="24"/>
          <w:lang w:val="es-ES"/>
        </w:rPr>
      </w:pPr>
      <w:r w:rsidRPr="000C5E25">
        <w:rPr>
          <w:b/>
          <w:szCs w:val="24"/>
          <w:lang w:val="es-ES"/>
        </w:rPr>
        <w:t xml:space="preserve">Nota a los Directores de las Oficinas para recabar </w:t>
      </w:r>
      <w:r>
        <w:rPr>
          <w:b/>
          <w:szCs w:val="24"/>
          <w:lang w:val="es-ES"/>
        </w:rPr>
        <w:t>pareceres</w:t>
      </w:r>
      <w:r w:rsidRPr="000C5E25">
        <w:rPr>
          <w:b/>
          <w:szCs w:val="24"/>
          <w:lang w:val="es-ES"/>
        </w:rPr>
        <w:t xml:space="preserve"> de </w:t>
      </w:r>
      <w:r>
        <w:rPr>
          <w:b/>
          <w:szCs w:val="24"/>
          <w:lang w:val="es-ES"/>
        </w:rPr>
        <w:t>los</w:t>
      </w:r>
      <w:r w:rsidRPr="000C5E25">
        <w:rPr>
          <w:b/>
          <w:szCs w:val="24"/>
          <w:lang w:val="es-ES"/>
        </w:rPr>
        <w:t xml:space="preserve"> grupos </w:t>
      </w:r>
      <w:r>
        <w:rPr>
          <w:b/>
          <w:szCs w:val="24"/>
          <w:lang w:val="es-ES"/>
        </w:rPr>
        <w:t>asesores de sus</w:t>
      </w:r>
      <w:r w:rsidRPr="000C5E25">
        <w:rPr>
          <w:b/>
          <w:szCs w:val="24"/>
          <w:lang w:val="es-ES"/>
        </w:rPr>
        <w:t xml:space="preserve"> Sector</w:t>
      </w:r>
      <w:r>
        <w:rPr>
          <w:b/>
          <w:szCs w:val="24"/>
          <w:lang w:val="es-ES"/>
        </w:rPr>
        <w:t>es</w:t>
      </w:r>
      <w:r w:rsidRPr="000C5E25">
        <w:rPr>
          <w:b/>
          <w:szCs w:val="24"/>
          <w:lang w:val="es-ES"/>
        </w:rPr>
        <w:t>:</w:t>
      </w:r>
      <w:r>
        <w:rPr>
          <w:b/>
          <w:szCs w:val="24"/>
          <w:lang w:val="es-ES"/>
        </w:rPr>
        <w:t xml:space="preserve"> </w:t>
      </w:r>
      <w:r w:rsidRPr="000C5E25">
        <w:rPr>
          <w:bCs/>
          <w:szCs w:val="24"/>
          <w:lang w:val="es-ES"/>
        </w:rPr>
        <w:t>Se aprobó una nota del Presidente del GE-R</w:t>
      </w:r>
      <w:r>
        <w:rPr>
          <w:bCs/>
          <w:szCs w:val="24"/>
          <w:lang w:val="es-ES"/>
        </w:rPr>
        <w:t>TI, por conducto de la cual</w:t>
      </w:r>
      <w:r w:rsidRPr="000C5E25">
        <w:rPr>
          <w:bCs/>
          <w:szCs w:val="24"/>
          <w:lang w:val="es-ES"/>
        </w:rPr>
        <w:t xml:space="preserve"> se invitaba a los Directores de las Oficinas a </w:t>
      </w:r>
      <w:r>
        <w:rPr>
          <w:bCs/>
          <w:szCs w:val="24"/>
          <w:lang w:val="es-ES"/>
        </w:rPr>
        <w:t>solicitar</w:t>
      </w:r>
      <w:r w:rsidRPr="000C5E25">
        <w:rPr>
          <w:bCs/>
          <w:szCs w:val="24"/>
          <w:lang w:val="es-ES"/>
        </w:rPr>
        <w:t xml:space="preserve"> asesoramiento </w:t>
      </w:r>
      <w:r>
        <w:rPr>
          <w:bCs/>
          <w:szCs w:val="24"/>
          <w:lang w:val="es-ES"/>
        </w:rPr>
        <w:t xml:space="preserve">a los </w:t>
      </w:r>
      <w:r w:rsidRPr="000C5E25">
        <w:rPr>
          <w:bCs/>
          <w:szCs w:val="24"/>
          <w:lang w:val="es-ES"/>
        </w:rPr>
        <w:t>grupos</w:t>
      </w:r>
      <w:r>
        <w:rPr>
          <w:bCs/>
          <w:szCs w:val="24"/>
          <w:lang w:val="es-ES"/>
        </w:rPr>
        <w:t xml:space="preserve"> asesores de sus respectivos</w:t>
      </w:r>
      <w:r w:rsidRPr="000C5E25">
        <w:rPr>
          <w:bCs/>
          <w:szCs w:val="24"/>
          <w:lang w:val="es-ES"/>
        </w:rPr>
        <w:t xml:space="preserve"> Sector</w:t>
      </w:r>
      <w:r>
        <w:rPr>
          <w:bCs/>
          <w:szCs w:val="24"/>
          <w:lang w:val="es-ES"/>
        </w:rPr>
        <w:t>es, con objeto de</w:t>
      </w:r>
      <w:r w:rsidRPr="000C5E25">
        <w:rPr>
          <w:bCs/>
          <w:szCs w:val="24"/>
          <w:lang w:val="es-ES"/>
        </w:rPr>
        <w:t xml:space="preserve"> contribuir a la labor del GE-R</w:t>
      </w:r>
      <w:r>
        <w:rPr>
          <w:bCs/>
          <w:szCs w:val="24"/>
          <w:lang w:val="es-ES"/>
        </w:rPr>
        <w:t>TI</w:t>
      </w:r>
      <w:r w:rsidRPr="000C5E25">
        <w:rPr>
          <w:bCs/>
          <w:szCs w:val="24"/>
          <w:lang w:val="es-ES"/>
        </w:rPr>
        <w:t xml:space="preserve">, </w:t>
      </w:r>
      <w:r>
        <w:rPr>
          <w:bCs/>
          <w:szCs w:val="24"/>
          <w:lang w:val="es-ES"/>
        </w:rPr>
        <w:t>de conformidad con</w:t>
      </w:r>
      <w:r w:rsidRPr="000C5E25">
        <w:rPr>
          <w:bCs/>
          <w:szCs w:val="24"/>
          <w:lang w:val="es-ES"/>
        </w:rPr>
        <w:t xml:space="preserve"> la Resolución </w:t>
      </w:r>
      <w:r w:rsidRPr="00620AD8">
        <w:rPr>
          <w:bCs/>
          <w:szCs w:val="24"/>
          <w:lang w:val="es-ES"/>
        </w:rPr>
        <w:t xml:space="preserve">1379 </w:t>
      </w:r>
      <w:r w:rsidRPr="000C5E25">
        <w:rPr>
          <w:bCs/>
          <w:szCs w:val="24"/>
          <w:lang w:val="es-ES"/>
        </w:rPr>
        <w:t>(modificada en 2019) y en cumplimiento de la Resolución 146 (Rev. Dubái, 2018).</w:t>
      </w:r>
    </w:p>
    <w:p w14:paraId="20CD95D1" w14:textId="77777777" w:rsidR="00152A04" w:rsidRPr="00EB2BE9" w:rsidRDefault="00152A04" w:rsidP="00152A04">
      <w:pPr>
        <w:snapToGrid w:val="0"/>
        <w:spacing w:after="120"/>
        <w:rPr>
          <w:szCs w:val="24"/>
          <w:lang w:val="es-ES"/>
        </w:rPr>
      </w:pPr>
      <w:r w:rsidRPr="000C5E25">
        <w:rPr>
          <w:b/>
          <w:szCs w:val="24"/>
          <w:lang w:val="es-ES"/>
        </w:rPr>
        <w:t>Debate sobre la conveniencia de utilizar un cuestionario para recabar opiniones:</w:t>
      </w:r>
      <w:r w:rsidRPr="000C5E25">
        <w:rPr>
          <w:bCs/>
          <w:szCs w:val="24"/>
          <w:lang w:val="es-ES"/>
        </w:rPr>
        <w:t xml:space="preserve"> Una de las propuestas formuladas para que los Estados Miembros y los Miembros de Sector recabaran </w:t>
      </w:r>
      <w:r>
        <w:rPr>
          <w:bCs/>
          <w:szCs w:val="24"/>
          <w:lang w:val="es-ES"/>
        </w:rPr>
        <w:t>contribuciones</w:t>
      </w:r>
      <w:r w:rsidRPr="000C5E25">
        <w:rPr>
          <w:bCs/>
          <w:szCs w:val="24"/>
          <w:lang w:val="es-ES"/>
        </w:rPr>
        <w:t xml:space="preserve"> de l</w:t>
      </w:r>
      <w:r>
        <w:rPr>
          <w:bCs/>
          <w:szCs w:val="24"/>
          <w:lang w:val="es-ES"/>
        </w:rPr>
        <w:t>a</w:t>
      </w:r>
      <w:r w:rsidRPr="000C5E25">
        <w:rPr>
          <w:bCs/>
          <w:szCs w:val="24"/>
          <w:lang w:val="es-ES"/>
        </w:rPr>
        <w:t>s</w:t>
      </w:r>
      <w:r>
        <w:rPr>
          <w:bCs/>
          <w:szCs w:val="24"/>
          <w:lang w:val="es-ES"/>
        </w:rPr>
        <w:t xml:space="preserve"> partes</w:t>
      </w:r>
      <w:r w:rsidRPr="000C5E25">
        <w:rPr>
          <w:bCs/>
          <w:szCs w:val="24"/>
          <w:lang w:val="es-ES"/>
        </w:rPr>
        <w:t xml:space="preserve"> interesad</w:t>
      </w:r>
      <w:r>
        <w:rPr>
          <w:bCs/>
          <w:szCs w:val="24"/>
          <w:lang w:val="es-ES"/>
        </w:rPr>
        <w:t>a</w:t>
      </w:r>
      <w:r w:rsidRPr="000C5E25">
        <w:rPr>
          <w:bCs/>
          <w:szCs w:val="24"/>
          <w:lang w:val="es-ES"/>
        </w:rPr>
        <w:t xml:space="preserve">s </w:t>
      </w:r>
      <w:r>
        <w:rPr>
          <w:bCs/>
          <w:szCs w:val="24"/>
          <w:lang w:val="es-ES"/>
        </w:rPr>
        <w:t>consistió en</w:t>
      </w:r>
      <w:r w:rsidRPr="000C5E25">
        <w:rPr>
          <w:bCs/>
          <w:szCs w:val="24"/>
          <w:lang w:val="es-ES"/>
        </w:rPr>
        <w:t xml:space="preserve"> la distribución de un cuestionario común. A ese respecto, el Grupo tomó nota de la declaración de</w:t>
      </w:r>
      <w:r w:rsidRPr="00EB2BE9">
        <w:rPr>
          <w:bCs/>
          <w:lang w:val="es-ES"/>
        </w:rPr>
        <w:t xml:space="preserve"> la Vicepresidencia de la Región de las Américas</w:t>
      </w:r>
      <w:r w:rsidRPr="00EB2BE9">
        <w:rPr>
          <w:bCs/>
          <w:szCs w:val="24"/>
          <w:lang w:val="es-ES"/>
        </w:rPr>
        <w:t xml:space="preserve"> </w:t>
      </w:r>
      <w:r w:rsidRPr="000C5E25">
        <w:rPr>
          <w:bCs/>
          <w:szCs w:val="24"/>
          <w:lang w:val="es-ES"/>
        </w:rPr>
        <w:t xml:space="preserve">en el informe de su reunión. Según esa declaración, </w:t>
      </w:r>
      <w:r w:rsidRPr="00EB2BE9">
        <w:rPr>
          <w:bCs/>
          <w:lang w:val="es-ES"/>
        </w:rPr>
        <w:t xml:space="preserve">como práctica interna, las administraciones que integran la </w:t>
      </w:r>
      <w:r w:rsidRPr="000C5E25">
        <w:rPr>
          <w:bCs/>
          <w:szCs w:val="24"/>
          <w:lang w:val="es-ES"/>
        </w:rPr>
        <w:t xml:space="preserve">Comisión Interamericana de Telecomunicaciones (CITEL) </w:t>
      </w:r>
      <w:r w:rsidRPr="00EB2BE9">
        <w:rPr>
          <w:bCs/>
          <w:lang w:val="es-ES"/>
        </w:rPr>
        <w:t>utilizar</w:t>
      </w:r>
      <w:r>
        <w:rPr>
          <w:bCs/>
          <w:lang w:val="es-ES"/>
        </w:rPr>
        <w:t>án</w:t>
      </w:r>
      <w:r w:rsidRPr="00EB2BE9">
        <w:rPr>
          <w:bCs/>
          <w:lang w:val="es-ES"/>
        </w:rPr>
        <w:t xml:space="preserve"> y distribuir</w:t>
      </w:r>
      <w:r>
        <w:rPr>
          <w:bCs/>
          <w:lang w:val="es-ES"/>
        </w:rPr>
        <w:t>án</w:t>
      </w:r>
      <w:r w:rsidRPr="00EB2BE9">
        <w:rPr>
          <w:bCs/>
          <w:lang w:val="es-ES"/>
        </w:rPr>
        <w:t xml:space="preserve"> </w:t>
      </w:r>
      <w:r w:rsidRPr="000C5E25">
        <w:rPr>
          <w:bCs/>
          <w:szCs w:val="24"/>
          <w:lang w:val="es-ES"/>
        </w:rPr>
        <w:t xml:space="preserve">un cuestionario sobre la utilización, la aplicabilidad y la flexibilidad del RTI </w:t>
      </w:r>
      <w:r w:rsidRPr="00EB2BE9">
        <w:rPr>
          <w:bCs/>
          <w:lang w:val="es-ES"/>
        </w:rPr>
        <w:t>entre sus Estados Miembros y Miembros Asociados, entre los que se incluyen el sector privado, la sociedad civil, el mundo académico y la comunidad técnica de Internet</w:t>
      </w:r>
      <w:r w:rsidRPr="000C5E25">
        <w:rPr>
          <w:bCs/>
          <w:szCs w:val="24"/>
          <w:lang w:val="es-ES"/>
        </w:rPr>
        <w:t>. Otros miembros tienen</w:t>
      </w:r>
      <w:r>
        <w:rPr>
          <w:bCs/>
          <w:szCs w:val="24"/>
          <w:lang w:val="es-ES"/>
        </w:rPr>
        <w:t xml:space="preserve"> entera</w:t>
      </w:r>
      <w:r w:rsidRPr="000C5E25">
        <w:rPr>
          <w:bCs/>
          <w:szCs w:val="24"/>
          <w:lang w:val="es-ES"/>
        </w:rPr>
        <w:t xml:space="preserve"> libertad </w:t>
      </w:r>
      <w:r>
        <w:rPr>
          <w:bCs/>
          <w:szCs w:val="24"/>
          <w:lang w:val="es-ES"/>
        </w:rPr>
        <w:t>para</w:t>
      </w:r>
      <w:r w:rsidRPr="000C5E25">
        <w:rPr>
          <w:bCs/>
          <w:szCs w:val="24"/>
          <w:lang w:val="es-ES"/>
        </w:rPr>
        <w:t xml:space="preserve"> utilizar </w:t>
      </w:r>
      <w:r>
        <w:rPr>
          <w:bCs/>
          <w:szCs w:val="24"/>
          <w:lang w:val="es-ES"/>
        </w:rPr>
        <w:t xml:space="preserve">dicho </w:t>
      </w:r>
      <w:r w:rsidRPr="000C5E25">
        <w:rPr>
          <w:bCs/>
          <w:szCs w:val="24"/>
          <w:lang w:val="es-ES"/>
        </w:rPr>
        <w:t>cuestionario a</w:t>
      </w:r>
      <w:r>
        <w:rPr>
          <w:bCs/>
          <w:szCs w:val="24"/>
          <w:lang w:val="es-ES"/>
        </w:rPr>
        <w:t xml:space="preserve"> fin de</w:t>
      </w:r>
      <w:r w:rsidRPr="000C5E25">
        <w:rPr>
          <w:bCs/>
          <w:szCs w:val="24"/>
          <w:lang w:val="es-ES"/>
        </w:rPr>
        <w:t xml:space="preserve"> realizar sus propias consultas oficiales o </w:t>
      </w:r>
      <w:r>
        <w:rPr>
          <w:bCs/>
          <w:szCs w:val="24"/>
          <w:lang w:val="es-ES"/>
        </w:rPr>
        <w:t>recopilar</w:t>
      </w:r>
      <w:r w:rsidRPr="000C5E25">
        <w:rPr>
          <w:bCs/>
          <w:szCs w:val="24"/>
          <w:lang w:val="es-ES"/>
        </w:rPr>
        <w:t xml:space="preserve"> información.</w:t>
      </w:r>
    </w:p>
    <w:p w14:paraId="09F92535" w14:textId="77777777" w:rsidR="00152A04" w:rsidRPr="00996700" w:rsidRDefault="00152A04" w:rsidP="00152A04">
      <w:pPr>
        <w:snapToGrid w:val="0"/>
        <w:spacing w:after="120"/>
        <w:rPr>
          <w:szCs w:val="24"/>
          <w:lang w:val="es-ES_tradnl"/>
        </w:rPr>
      </w:pPr>
      <w:r w:rsidRPr="00996700">
        <w:rPr>
          <w:szCs w:val="24"/>
          <w:u w:val="single"/>
          <w:lang w:val="es-ES_tradnl"/>
        </w:rPr>
        <w:t>Plan de trabajo del GE-RTI</w:t>
      </w:r>
      <w:r w:rsidRPr="00996700">
        <w:rPr>
          <w:szCs w:val="24"/>
          <w:lang w:val="es-ES_tradnl"/>
        </w:rPr>
        <w:t xml:space="preserve">: Se aprobó la versión definitiva del plan de trabajo (véase el Anexo 1), con carácter de documento en evolución. Las contribuciones al </w:t>
      </w:r>
      <w:r>
        <w:rPr>
          <w:rFonts w:cstheme="minorHAnsi"/>
          <w:szCs w:val="24"/>
          <w:lang w:val="es-ES_tradnl"/>
        </w:rPr>
        <w:t>"</w:t>
      </w:r>
      <w:r w:rsidRPr="00996700">
        <w:rPr>
          <w:szCs w:val="24"/>
          <w:lang w:val="es-ES_tradnl"/>
        </w:rPr>
        <w:t>cuadro de examen</w:t>
      </w:r>
      <w:r>
        <w:rPr>
          <w:rFonts w:cstheme="minorHAnsi"/>
          <w:szCs w:val="24"/>
          <w:lang w:val="es-ES_tradnl"/>
        </w:rPr>
        <w:t>"</w:t>
      </w:r>
      <w:r w:rsidRPr="00996700">
        <w:rPr>
          <w:szCs w:val="24"/>
          <w:lang w:val="es-ES_tradnl"/>
        </w:rPr>
        <w:t>, aportadas durante las reuniones del Grupo, se ultimarán y confirmarán en la 5ª reunión del GE-RTI.</w:t>
      </w:r>
    </w:p>
    <w:p w14:paraId="36151129" w14:textId="77777777" w:rsidR="00152A04" w:rsidRPr="00F70E59" w:rsidRDefault="00152A04" w:rsidP="00152A04">
      <w:pPr>
        <w:pStyle w:val="Heading1"/>
        <w:rPr>
          <w:sz w:val="24"/>
          <w:szCs w:val="24"/>
          <w:lang w:val="es-ES_tradnl"/>
        </w:rPr>
      </w:pPr>
      <w:r w:rsidRPr="00F70E59">
        <w:rPr>
          <w:sz w:val="24"/>
          <w:szCs w:val="24"/>
          <w:lang w:val="es-ES_tradnl"/>
        </w:rPr>
        <w:t>3</w:t>
      </w:r>
      <w:r w:rsidRPr="00F70E59">
        <w:rPr>
          <w:sz w:val="24"/>
          <w:szCs w:val="24"/>
          <w:lang w:val="es-ES_tradnl"/>
        </w:rPr>
        <w:tab/>
        <w:t xml:space="preserve">Resultados de la segunda reunión </w:t>
      </w:r>
      <w:bookmarkStart w:id="7" w:name="_Hlk33603402"/>
      <w:r w:rsidRPr="00F70E59">
        <w:rPr>
          <w:sz w:val="24"/>
          <w:szCs w:val="24"/>
          <w:lang w:val="es-ES_tradnl"/>
        </w:rPr>
        <w:t xml:space="preserve">del GE-RTI </w:t>
      </w:r>
      <w:bookmarkEnd w:id="7"/>
      <w:r w:rsidRPr="00F70E59">
        <w:rPr>
          <w:sz w:val="24"/>
          <w:szCs w:val="24"/>
          <w:lang w:val="es-ES_tradnl"/>
        </w:rPr>
        <w:t>(12-13 de febrero de 2020)</w:t>
      </w:r>
    </w:p>
    <w:p w14:paraId="6140207E" w14:textId="77777777" w:rsidR="00152A04" w:rsidRPr="00996700" w:rsidRDefault="00152A04" w:rsidP="00152A04">
      <w:pPr>
        <w:spacing w:after="120"/>
        <w:rPr>
          <w:szCs w:val="24"/>
          <w:lang w:val="es-ES_tradnl"/>
        </w:rPr>
      </w:pPr>
      <w:r w:rsidRPr="00996700">
        <w:rPr>
          <w:szCs w:val="24"/>
          <w:lang w:val="es-ES_tradnl"/>
        </w:rPr>
        <w:t xml:space="preserve">De acuerdo con el plan de trabajo y el </w:t>
      </w:r>
      <w:r>
        <w:rPr>
          <w:rFonts w:cstheme="minorHAnsi"/>
          <w:szCs w:val="24"/>
          <w:lang w:val="es-ES_tradnl"/>
        </w:rPr>
        <w:t>"</w:t>
      </w:r>
      <w:r w:rsidRPr="00996700">
        <w:rPr>
          <w:szCs w:val="24"/>
          <w:lang w:val="es-ES_tradnl"/>
        </w:rPr>
        <w:t>cuadro de examen</w:t>
      </w:r>
      <w:r>
        <w:rPr>
          <w:szCs w:val="24"/>
          <w:lang w:val="es-ES_tradnl"/>
        </w:rPr>
        <w:t>"</w:t>
      </w:r>
      <w:r w:rsidRPr="00996700">
        <w:rPr>
          <w:szCs w:val="24"/>
          <w:lang w:val="es-ES_tradnl"/>
        </w:rPr>
        <w:t xml:space="preserve"> aprobados durante la primera reunión, los miembros se centraron en </w:t>
      </w:r>
      <w:r w:rsidRPr="00996700">
        <w:rPr>
          <w:bCs/>
          <w:szCs w:val="24"/>
          <w:lang w:val="es-ES_tradnl"/>
        </w:rPr>
        <w:t xml:space="preserve">el examen de cada una de las disposiciones </w:t>
      </w:r>
      <w:r w:rsidRPr="00996700">
        <w:rPr>
          <w:szCs w:val="24"/>
          <w:lang w:val="es-ES_tradnl"/>
        </w:rPr>
        <w:t xml:space="preserve">de los siguientes Artículos (44 disposiciones en total), haciéndose eco de las diferentes opiniones expresadas en las contribuciones </w:t>
      </w:r>
      <w:r>
        <w:rPr>
          <w:szCs w:val="24"/>
          <w:lang w:val="es-ES_tradnl"/>
        </w:rPr>
        <w:t xml:space="preserve">por escrito </w:t>
      </w:r>
      <w:r w:rsidRPr="00996700">
        <w:rPr>
          <w:szCs w:val="24"/>
          <w:lang w:val="es-ES_tradnl"/>
        </w:rPr>
        <w:t>y en las discusiones entabladas durante la reunión:</w:t>
      </w:r>
    </w:p>
    <w:p w14:paraId="742B705D" w14:textId="77777777" w:rsidR="00152A04" w:rsidRPr="00996700" w:rsidRDefault="00152A04" w:rsidP="00152A04">
      <w:pPr>
        <w:pStyle w:val="enumlev1"/>
        <w:rPr>
          <w:lang w:val="es-ES_tradnl"/>
        </w:rPr>
      </w:pPr>
      <w:r w:rsidRPr="009A0338">
        <w:rPr>
          <w:lang w:val="es-ES_tradnl"/>
        </w:rPr>
        <w:t>–</w:t>
      </w:r>
      <w:r>
        <w:rPr>
          <w:lang w:val="es-ES_tradnl"/>
        </w:rPr>
        <w:tab/>
      </w:r>
      <w:r w:rsidRPr="00996700">
        <w:rPr>
          <w:lang w:val="es-ES_tradnl"/>
        </w:rPr>
        <w:t>Preámbulo (que revisarán los Vicepresidentes del GE-RTI)</w:t>
      </w:r>
      <w:r>
        <w:rPr>
          <w:lang w:val="es-ES_tradnl"/>
        </w:rPr>
        <w:t>;</w:t>
      </w:r>
    </w:p>
    <w:p w14:paraId="4182A3E2" w14:textId="77777777" w:rsidR="00152A04" w:rsidRPr="00620AD8" w:rsidRDefault="00152A04" w:rsidP="00152A04">
      <w:pPr>
        <w:pStyle w:val="enumlev1"/>
        <w:rPr>
          <w:lang w:val="es-ES_tradnl"/>
        </w:rPr>
      </w:pPr>
      <w:r w:rsidRPr="009A0338">
        <w:rPr>
          <w:lang w:val="es-ES_tradnl"/>
        </w:rPr>
        <w:t>–</w:t>
      </w:r>
      <w:r>
        <w:rPr>
          <w:lang w:val="es-ES_tradnl"/>
        </w:rPr>
        <w:tab/>
      </w:r>
      <w:r w:rsidRPr="00996700">
        <w:rPr>
          <w:lang w:val="es-ES_tradnl"/>
        </w:rPr>
        <w:t xml:space="preserve">ARTÍCULO 1 </w:t>
      </w:r>
      <w:r w:rsidRPr="009A0338">
        <w:rPr>
          <w:lang w:val="es-ES_tradnl"/>
        </w:rPr>
        <w:t>–</w:t>
      </w:r>
      <w:r>
        <w:rPr>
          <w:lang w:val="es-ES_tradnl"/>
        </w:rPr>
        <w:t xml:space="preserve"> </w:t>
      </w:r>
      <w:r w:rsidRPr="00996700">
        <w:rPr>
          <w:lang w:val="es-ES_tradnl"/>
        </w:rPr>
        <w:t>Finalidad y alcance del Reglamento</w:t>
      </w:r>
      <w:r w:rsidRPr="00620AD8">
        <w:rPr>
          <w:lang w:val="es-ES_tradnl"/>
        </w:rPr>
        <w:t>;</w:t>
      </w:r>
    </w:p>
    <w:p w14:paraId="4BD5F7EE" w14:textId="77777777" w:rsidR="00152A04" w:rsidRPr="00996700" w:rsidRDefault="00152A04" w:rsidP="00152A04">
      <w:pPr>
        <w:pStyle w:val="enumlev1"/>
        <w:rPr>
          <w:lang w:val="es-ES_tradnl"/>
        </w:rPr>
      </w:pPr>
      <w:r w:rsidRPr="009A0338">
        <w:rPr>
          <w:lang w:val="es-ES_tradnl"/>
        </w:rPr>
        <w:t>–</w:t>
      </w:r>
      <w:r>
        <w:rPr>
          <w:lang w:val="es-ES_tradnl"/>
        </w:rPr>
        <w:tab/>
      </w:r>
      <w:r w:rsidRPr="00996700">
        <w:rPr>
          <w:lang w:val="es-ES_tradnl"/>
        </w:rPr>
        <w:t xml:space="preserve">ARTÍCULO 2 </w:t>
      </w:r>
      <w:r w:rsidRPr="009A0338">
        <w:rPr>
          <w:lang w:val="es-ES_tradnl"/>
        </w:rPr>
        <w:t>–</w:t>
      </w:r>
      <w:r>
        <w:rPr>
          <w:lang w:val="es-ES_tradnl"/>
        </w:rPr>
        <w:t xml:space="preserve"> </w:t>
      </w:r>
      <w:r w:rsidRPr="00996700">
        <w:rPr>
          <w:lang w:val="es-ES_tradnl"/>
        </w:rPr>
        <w:t>Definiciones</w:t>
      </w:r>
      <w:r>
        <w:rPr>
          <w:lang w:val="es-ES_tradnl"/>
        </w:rPr>
        <w:t>;</w:t>
      </w:r>
      <w:r w:rsidRPr="00996700">
        <w:rPr>
          <w:lang w:val="es-ES_tradnl"/>
        </w:rPr>
        <w:t xml:space="preserve"> </w:t>
      </w:r>
    </w:p>
    <w:p w14:paraId="6A9555B4" w14:textId="77777777" w:rsidR="00152A04" w:rsidRPr="00996700" w:rsidRDefault="00152A04" w:rsidP="00152A04">
      <w:pPr>
        <w:pStyle w:val="enumlev1"/>
        <w:rPr>
          <w:lang w:val="es-ES_tradnl"/>
        </w:rPr>
      </w:pPr>
      <w:r w:rsidRPr="009A0338">
        <w:rPr>
          <w:lang w:val="es-ES_tradnl"/>
        </w:rPr>
        <w:t>–</w:t>
      </w:r>
      <w:r>
        <w:rPr>
          <w:lang w:val="es-ES_tradnl"/>
        </w:rPr>
        <w:tab/>
      </w:r>
      <w:r w:rsidRPr="00996700">
        <w:rPr>
          <w:lang w:val="es-ES_tradnl"/>
        </w:rPr>
        <w:t xml:space="preserve">ARTÍCULO 3 </w:t>
      </w:r>
      <w:r w:rsidRPr="009A0338">
        <w:rPr>
          <w:lang w:val="es-ES_tradnl"/>
        </w:rPr>
        <w:t>–</w:t>
      </w:r>
      <w:r>
        <w:rPr>
          <w:lang w:val="es-ES_tradnl"/>
        </w:rPr>
        <w:t xml:space="preserve"> </w:t>
      </w:r>
      <w:r w:rsidRPr="00996700">
        <w:rPr>
          <w:lang w:val="es-ES_tradnl"/>
        </w:rPr>
        <w:t>Red internacional</w:t>
      </w:r>
      <w:r>
        <w:rPr>
          <w:lang w:val="es-ES_tradnl"/>
        </w:rPr>
        <w:t>; y</w:t>
      </w:r>
      <w:r w:rsidRPr="00996700">
        <w:rPr>
          <w:lang w:val="es-ES_tradnl"/>
        </w:rPr>
        <w:t xml:space="preserve"> </w:t>
      </w:r>
    </w:p>
    <w:p w14:paraId="7E05B7F9" w14:textId="77777777" w:rsidR="00152A04" w:rsidRPr="00996700" w:rsidRDefault="00152A04" w:rsidP="00152A04">
      <w:pPr>
        <w:pStyle w:val="enumlev1"/>
        <w:rPr>
          <w:lang w:val="es-ES_tradnl"/>
        </w:rPr>
      </w:pPr>
      <w:r w:rsidRPr="009A0338">
        <w:rPr>
          <w:lang w:val="es-ES_tradnl"/>
        </w:rPr>
        <w:t>–</w:t>
      </w:r>
      <w:r>
        <w:rPr>
          <w:lang w:val="es-ES_tradnl"/>
        </w:rPr>
        <w:tab/>
      </w:r>
      <w:r w:rsidRPr="00996700">
        <w:rPr>
          <w:lang w:val="es-ES_tradnl"/>
        </w:rPr>
        <w:t xml:space="preserve">ARTÍCULO 4 </w:t>
      </w:r>
      <w:r w:rsidRPr="009A0338">
        <w:rPr>
          <w:lang w:val="es-ES_tradnl"/>
        </w:rPr>
        <w:t>–</w:t>
      </w:r>
      <w:r>
        <w:rPr>
          <w:lang w:val="es-ES_tradnl"/>
        </w:rPr>
        <w:t xml:space="preserve"> </w:t>
      </w:r>
      <w:r w:rsidRPr="00996700">
        <w:rPr>
          <w:lang w:val="es-ES_tradnl"/>
        </w:rPr>
        <w:t>Servicios internacionales de telecomunicación</w:t>
      </w:r>
      <w:r>
        <w:rPr>
          <w:lang w:val="es-ES_tradnl"/>
        </w:rPr>
        <w:t>.</w:t>
      </w:r>
    </w:p>
    <w:p w14:paraId="3C6FC6A4" w14:textId="77777777" w:rsidR="00152A04" w:rsidRPr="00947508" w:rsidRDefault="00152A04" w:rsidP="00152A04">
      <w:pPr>
        <w:spacing w:after="120"/>
        <w:rPr>
          <w:szCs w:val="24"/>
          <w:lang w:val="es-ES"/>
        </w:rPr>
      </w:pPr>
      <w:r>
        <w:rPr>
          <w:szCs w:val="24"/>
          <w:lang w:val="es-ES_tradnl"/>
        </w:rPr>
        <w:t xml:space="preserve">El cuadro de examen </w:t>
      </w:r>
      <w:r w:rsidRPr="00996700">
        <w:rPr>
          <w:szCs w:val="24"/>
          <w:lang w:val="es-ES_tradnl"/>
        </w:rPr>
        <w:t>refleja los debates del Grupo</w:t>
      </w:r>
      <w:r>
        <w:rPr>
          <w:szCs w:val="24"/>
          <w:lang w:val="es-ES_tradnl"/>
        </w:rPr>
        <w:t xml:space="preserve"> con respecto a</w:t>
      </w:r>
      <w:r w:rsidRPr="00947508">
        <w:rPr>
          <w:szCs w:val="24"/>
          <w:lang w:val="es-ES"/>
        </w:rPr>
        <w:t xml:space="preserve">: </w:t>
      </w:r>
    </w:p>
    <w:p w14:paraId="27244CBC" w14:textId="77777777" w:rsidR="00152A04" w:rsidRPr="0080159F" w:rsidRDefault="00152A04" w:rsidP="00152A04">
      <w:pPr>
        <w:pStyle w:val="enumlev1"/>
        <w:rPr>
          <w:lang w:val="es-ES"/>
        </w:rPr>
      </w:pPr>
      <w:r>
        <w:rPr>
          <w:lang w:val="es-ES"/>
        </w:rPr>
        <w:t>1)</w:t>
      </w:r>
      <w:r>
        <w:rPr>
          <w:lang w:val="es-ES"/>
        </w:rPr>
        <w:tab/>
      </w:r>
      <w:r w:rsidRPr="0080159F">
        <w:rPr>
          <w:lang w:val="es-ES"/>
        </w:rPr>
        <w:t xml:space="preserve">la </w:t>
      </w:r>
      <w:r>
        <w:rPr>
          <w:lang w:val="es-ES_tradnl"/>
        </w:rPr>
        <w:t>a</w:t>
      </w:r>
      <w:r w:rsidRPr="0080159F">
        <w:rPr>
          <w:lang w:val="es-ES_tradnl"/>
        </w:rPr>
        <w:t>plicabilidad para fomentar la prestación y el desarrollo de redes y servicios</w:t>
      </w:r>
      <w:r>
        <w:rPr>
          <w:lang w:val="es-ES_tradnl"/>
        </w:rPr>
        <w:t>;</w:t>
      </w:r>
    </w:p>
    <w:p w14:paraId="36A082E4" w14:textId="77777777" w:rsidR="00152A04" w:rsidRPr="0080159F" w:rsidRDefault="00152A04" w:rsidP="00152A04">
      <w:pPr>
        <w:pStyle w:val="enumlev1"/>
        <w:rPr>
          <w:lang w:val="es-ES"/>
        </w:rPr>
      </w:pPr>
      <w:r>
        <w:rPr>
          <w:lang w:val="es-ES"/>
        </w:rPr>
        <w:t>2)</w:t>
      </w:r>
      <w:r>
        <w:rPr>
          <w:lang w:val="es-ES"/>
        </w:rPr>
        <w:tab/>
      </w:r>
      <w:r w:rsidRPr="0080159F">
        <w:rPr>
          <w:lang w:val="es-ES"/>
        </w:rPr>
        <w:t>la</w:t>
      </w:r>
      <w:r w:rsidRPr="0080159F">
        <w:rPr>
          <w:sz w:val="22"/>
          <w:szCs w:val="22"/>
          <w:lang w:val="es-ES_tradnl"/>
        </w:rPr>
        <w:t xml:space="preserve"> </w:t>
      </w:r>
      <w:r>
        <w:rPr>
          <w:lang w:val="es-ES_tradnl"/>
        </w:rPr>
        <w:t>f</w:t>
      </w:r>
      <w:r w:rsidRPr="0080159F">
        <w:rPr>
          <w:lang w:val="es-ES_tradnl"/>
        </w:rPr>
        <w:t xml:space="preserve">lexibilidad </w:t>
      </w:r>
      <w:r>
        <w:rPr>
          <w:lang w:val="es-ES_tradnl"/>
        </w:rPr>
        <w:t xml:space="preserve">del RTI </w:t>
      </w:r>
      <w:r w:rsidRPr="0080159F">
        <w:rPr>
          <w:lang w:val="es-ES_tradnl"/>
        </w:rPr>
        <w:t>para adaptarse a las nuevas tendencias y a los problemas emergentes</w:t>
      </w:r>
      <w:r>
        <w:rPr>
          <w:lang w:val="es-ES"/>
        </w:rPr>
        <w:t>; y</w:t>
      </w:r>
    </w:p>
    <w:p w14:paraId="46CA4051" w14:textId="77777777" w:rsidR="00152A04" w:rsidRPr="0080159F" w:rsidRDefault="00152A04" w:rsidP="00152A04">
      <w:pPr>
        <w:pStyle w:val="enumlev1"/>
        <w:rPr>
          <w:lang w:val="es-ES"/>
        </w:rPr>
      </w:pPr>
      <w:r>
        <w:rPr>
          <w:lang w:val="es-ES"/>
        </w:rPr>
        <w:t>3)</w:t>
      </w:r>
      <w:r>
        <w:rPr>
          <w:lang w:val="es-ES"/>
        </w:rPr>
        <w:tab/>
      </w:r>
      <w:r w:rsidRPr="0080159F">
        <w:rPr>
          <w:lang w:val="es-ES"/>
        </w:rPr>
        <w:t xml:space="preserve">el resultado resumido de los debates, </w:t>
      </w:r>
      <w:r>
        <w:rPr>
          <w:lang w:val="es-ES"/>
        </w:rPr>
        <w:t xml:space="preserve">de acuerdo con </w:t>
      </w:r>
      <w:r w:rsidRPr="0080159F">
        <w:rPr>
          <w:lang w:val="es-ES"/>
        </w:rPr>
        <w:t xml:space="preserve">los </w:t>
      </w:r>
      <w:r>
        <w:rPr>
          <w:lang w:val="es-ES"/>
        </w:rPr>
        <w:t>apartados</w:t>
      </w:r>
      <w:r w:rsidRPr="0080159F">
        <w:rPr>
          <w:lang w:val="es-ES"/>
        </w:rPr>
        <w:t xml:space="preserve"> (1) y (2) anteriores.</w:t>
      </w:r>
    </w:p>
    <w:p w14:paraId="581234F2" w14:textId="77777777" w:rsidR="00152A04" w:rsidRPr="0080159F" w:rsidRDefault="00152A04" w:rsidP="00152A04">
      <w:pPr>
        <w:spacing w:after="120"/>
        <w:rPr>
          <w:szCs w:val="24"/>
          <w:lang w:val="es-ES"/>
        </w:rPr>
      </w:pPr>
      <w:r>
        <w:rPr>
          <w:szCs w:val="24"/>
          <w:lang w:val="es-ES"/>
        </w:rPr>
        <w:t>E</w:t>
      </w:r>
      <w:r w:rsidRPr="000C5E25">
        <w:rPr>
          <w:szCs w:val="24"/>
          <w:lang w:val="es-ES"/>
        </w:rPr>
        <w:t xml:space="preserve">l documento </w:t>
      </w:r>
      <w:hyperlink r:id="rId10" w:history="1">
        <w:r w:rsidRPr="0080159F">
          <w:rPr>
            <w:rStyle w:val="Hyperlink"/>
            <w:szCs w:val="24"/>
            <w:lang w:val="es-ES"/>
          </w:rPr>
          <w:t>EG-ITRs-2/DL/2</w:t>
        </w:r>
      </w:hyperlink>
      <w:r>
        <w:rPr>
          <w:szCs w:val="24"/>
          <w:lang w:val="es-ES"/>
        </w:rPr>
        <w:t xml:space="preserve"> contiene una versión actualizada del cuadro de examen.</w:t>
      </w:r>
    </w:p>
    <w:p w14:paraId="4D8619BB" w14:textId="77777777" w:rsidR="00152A04" w:rsidRPr="00620AD8" w:rsidRDefault="00152A04" w:rsidP="00152A04">
      <w:pPr>
        <w:spacing w:after="120"/>
        <w:rPr>
          <w:szCs w:val="24"/>
          <w:lang w:val="es-ES"/>
        </w:rPr>
      </w:pPr>
      <w:r w:rsidRPr="000C5E25">
        <w:rPr>
          <w:szCs w:val="24"/>
          <w:lang w:val="es-ES"/>
        </w:rPr>
        <w:t xml:space="preserve">En el informe de la reunión también se resumen opiniones más amplias sobre </w:t>
      </w:r>
      <w:r>
        <w:rPr>
          <w:szCs w:val="24"/>
          <w:lang w:val="es-ES"/>
        </w:rPr>
        <w:t>el RTI</w:t>
      </w:r>
      <w:r w:rsidRPr="000C5E25">
        <w:rPr>
          <w:szCs w:val="24"/>
          <w:lang w:val="es-ES"/>
        </w:rPr>
        <w:t>. Además, el informe del Presidente al Consejo re</w:t>
      </w:r>
      <w:r>
        <w:rPr>
          <w:szCs w:val="24"/>
          <w:lang w:val="es-ES"/>
        </w:rPr>
        <w:t>coge</w:t>
      </w:r>
      <w:r w:rsidRPr="000C5E25">
        <w:rPr>
          <w:szCs w:val="24"/>
          <w:lang w:val="es-ES"/>
        </w:rPr>
        <w:t xml:space="preserve">rá los resultados de ambas reuniones, </w:t>
      </w:r>
      <w:r>
        <w:rPr>
          <w:szCs w:val="24"/>
          <w:lang w:val="es-ES"/>
        </w:rPr>
        <w:t>con arreglo a</w:t>
      </w:r>
      <w:r w:rsidRPr="000C5E25">
        <w:rPr>
          <w:szCs w:val="24"/>
          <w:lang w:val="es-ES"/>
        </w:rPr>
        <w:t xml:space="preserve"> los informes de cada una de ellas.</w:t>
      </w:r>
    </w:p>
    <w:p w14:paraId="2C95F167" w14:textId="77777777" w:rsidR="00152A04" w:rsidRPr="00620AD8" w:rsidRDefault="00152A04" w:rsidP="00152A04">
      <w:pPr>
        <w:rPr>
          <w:lang w:val="es-ES"/>
        </w:rPr>
      </w:pPr>
    </w:p>
    <w:p w14:paraId="0F5AC76D" w14:textId="77777777" w:rsidR="00152A04" w:rsidRPr="00620AD8" w:rsidRDefault="00152A04" w:rsidP="00152A04">
      <w:pPr>
        <w:rPr>
          <w:lang w:val="es-ES"/>
        </w:rPr>
      </w:pPr>
      <w:r w:rsidRPr="00620AD8">
        <w:rPr>
          <w:lang w:val="es-ES"/>
        </w:rPr>
        <w:br w:type="page"/>
      </w:r>
    </w:p>
    <w:p w14:paraId="28A14D42" w14:textId="77777777" w:rsidR="00152A04" w:rsidRPr="00B60735" w:rsidRDefault="00152A04" w:rsidP="00152A04">
      <w:pPr>
        <w:pStyle w:val="AnnexNo"/>
        <w:spacing w:before="360"/>
        <w:rPr>
          <w:b/>
          <w:bCs/>
          <w:caps w:val="0"/>
          <w:lang w:val="es-ES"/>
        </w:rPr>
      </w:pPr>
      <w:r w:rsidRPr="00B60735">
        <w:rPr>
          <w:b/>
          <w:bCs/>
          <w:caps w:val="0"/>
          <w:lang w:val="es-ES"/>
        </w:rPr>
        <w:t>Anexo 1</w:t>
      </w:r>
    </w:p>
    <w:p w14:paraId="4F1D9A58" w14:textId="77777777" w:rsidR="00152A04" w:rsidRPr="00B60735" w:rsidRDefault="00152A04" w:rsidP="00152A04">
      <w:pPr>
        <w:pStyle w:val="AnnexNo"/>
        <w:spacing w:before="120" w:after="120"/>
        <w:rPr>
          <w:b/>
          <w:caps w:val="0"/>
          <w:lang w:val="es-ES"/>
        </w:rPr>
      </w:pPr>
      <w:r w:rsidRPr="00B60735">
        <w:rPr>
          <w:b/>
          <w:caps w:val="0"/>
          <w:lang w:val="es-ES"/>
        </w:rPr>
        <w:t xml:space="preserve">Plan de trabajo del GE-RTI </w:t>
      </w:r>
    </w:p>
    <w:tbl>
      <w:tblPr>
        <w:tblW w:w="10030" w:type="dxa"/>
        <w:tblLayout w:type="fixed"/>
        <w:tblLook w:val="0000" w:firstRow="0" w:lastRow="0" w:firstColumn="0" w:lastColumn="0" w:noHBand="0" w:noVBand="0"/>
      </w:tblPr>
      <w:tblGrid>
        <w:gridCol w:w="5529"/>
        <w:gridCol w:w="4501"/>
      </w:tblGrid>
      <w:tr w:rsidR="00152A04" w:rsidRPr="00B60735" w14:paraId="2D9108A2" w14:textId="77777777" w:rsidTr="00813316">
        <w:trPr>
          <w:cantSplit/>
          <w:trHeight w:val="138"/>
        </w:trPr>
        <w:tc>
          <w:tcPr>
            <w:tcW w:w="5529" w:type="dxa"/>
          </w:tcPr>
          <w:p w14:paraId="3DB6F2BE" w14:textId="77777777" w:rsidR="00152A04" w:rsidRPr="00645E4C" w:rsidRDefault="00152A04" w:rsidP="00813316">
            <w:pPr>
              <w:rPr>
                <w:b/>
                <w:bCs/>
                <w:szCs w:val="24"/>
                <w:lang w:val="es-ES"/>
              </w:rPr>
            </w:pPr>
          </w:p>
        </w:tc>
        <w:tc>
          <w:tcPr>
            <w:tcW w:w="4501" w:type="dxa"/>
          </w:tcPr>
          <w:p w14:paraId="2E8B3585" w14:textId="77777777" w:rsidR="00152A04" w:rsidRPr="009E1E5B" w:rsidRDefault="00152A04" w:rsidP="00152A04">
            <w:pPr>
              <w:spacing w:before="0"/>
              <w:jc w:val="right"/>
              <w:rPr>
                <w:b/>
                <w:bCs/>
                <w:lang w:val="es-ES"/>
              </w:rPr>
            </w:pPr>
            <w:r w:rsidRPr="00B60735">
              <w:rPr>
                <w:b/>
                <w:lang w:val="es-ES"/>
              </w:rPr>
              <w:t>Revisión 2 al Documento EG-ITRs-1/DL/3-E</w:t>
            </w:r>
            <w:r w:rsidRPr="00B60735">
              <w:rPr>
                <w:b/>
                <w:lang w:val="es-ES"/>
              </w:rPr>
              <w:br/>
              <w:t xml:space="preserve">17 de septiembre de 2019 </w:t>
            </w:r>
            <w:r w:rsidRPr="00B60735">
              <w:rPr>
                <w:b/>
                <w:lang w:val="es-ES"/>
              </w:rPr>
              <w:br/>
              <w:t>Disponible únicamente en inglés</w:t>
            </w:r>
          </w:p>
        </w:tc>
      </w:tr>
    </w:tbl>
    <w:p w14:paraId="3004F61C" w14:textId="77777777" w:rsidR="00152A04" w:rsidRPr="00C070FC" w:rsidRDefault="00152A04" w:rsidP="00152A04">
      <w:pPr>
        <w:pStyle w:val="Tabletitle"/>
        <w:spacing w:before="120"/>
        <w:rPr>
          <w:lang w:val="fr-FR"/>
        </w:rPr>
      </w:pPr>
      <w:r w:rsidRPr="00C070FC">
        <w:rPr>
          <w:lang w:val="fr-FR"/>
        </w:rPr>
        <w:t>Plan de trabajo</w:t>
      </w:r>
    </w:p>
    <w:tbl>
      <w:tblPr>
        <w:tblStyle w:val="TableGrid"/>
        <w:tblW w:w="10063" w:type="dxa"/>
        <w:jc w:val="center"/>
        <w:tblLook w:val="04A0" w:firstRow="1" w:lastRow="0" w:firstColumn="1" w:lastColumn="0" w:noHBand="0" w:noVBand="1"/>
      </w:tblPr>
      <w:tblGrid>
        <w:gridCol w:w="1980"/>
        <w:gridCol w:w="2410"/>
        <w:gridCol w:w="3307"/>
        <w:gridCol w:w="2366"/>
      </w:tblGrid>
      <w:tr w:rsidR="00152A04" w:rsidRPr="00152A04" w14:paraId="3AA42C25" w14:textId="77777777" w:rsidTr="00813316">
        <w:trPr>
          <w:trHeight w:val="489"/>
          <w:jc w:val="center"/>
        </w:trPr>
        <w:tc>
          <w:tcPr>
            <w:tcW w:w="1980" w:type="dxa"/>
            <w:shd w:val="clear" w:color="auto" w:fill="EEECE1" w:themeFill="background2"/>
          </w:tcPr>
          <w:p w14:paraId="4962600C" w14:textId="77777777" w:rsidR="00152A04" w:rsidRPr="00152A04" w:rsidRDefault="00152A04" w:rsidP="00152A04">
            <w:pPr>
              <w:pStyle w:val="Tablehead"/>
              <w:rPr>
                <w:rFonts w:asciiTheme="minorHAnsi" w:hAnsiTheme="minorHAnsi" w:cstheme="minorHAnsi"/>
                <w:sz w:val="20"/>
              </w:rPr>
            </w:pPr>
            <w:r w:rsidRPr="00152A04">
              <w:rPr>
                <w:rFonts w:asciiTheme="minorHAnsi" w:hAnsiTheme="minorHAnsi" w:cstheme="minorHAnsi"/>
                <w:sz w:val="20"/>
              </w:rPr>
              <w:t>Reunión</w:t>
            </w:r>
          </w:p>
        </w:tc>
        <w:tc>
          <w:tcPr>
            <w:tcW w:w="2410" w:type="dxa"/>
            <w:shd w:val="clear" w:color="auto" w:fill="EEECE1" w:themeFill="background2"/>
          </w:tcPr>
          <w:p w14:paraId="5E0B77F6" w14:textId="77777777" w:rsidR="00152A04" w:rsidRPr="00152A04" w:rsidRDefault="00152A04" w:rsidP="00152A04">
            <w:pPr>
              <w:pStyle w:val="Tablehead"/>
              <w:rPr>
                <w:rFonts w:asciiTheme="minorHAnsi" w:hAnsiTheme="minorHAnsi" w:cstheme="minorHAnsi"/>
                <w:sz w:val="20"/>
              </w:rPr>
            </w:pPr>
            <w:r w:rsidRPr="00152A04">
              <w:rPr>
                <w:rFonts w:asciiTheme="minorHAnsi" w:hAnsiTheme="minorHAnsi" w:cstheme="minorHAnsi"/>
                <w:sz w:val="20"/>
              </w:rPr>
              <w:t xml:space="preserve">Actividades primarias </w:t>
            </w:r>
          </w:p>
        </w:tc>
        <w:tc>
          <w:tcPr>
            <w:tcW w:w="3307" w:type="dxa"/>
            <w:shd w:val="clear" w:color="auto" w:fill="EEECE1" w:themeFill="background2"/>
          </w:tcPr>
          <w:p w14:paraId="7905FCC5" w14:textId="77777777" w:rsidR="00152A04" w:rsidRPr="00152A04" w:rsidRDefault="00152A04" w:rsidP="00152A04">
            <w:pPr>
              <w:pStyle w:val="Tablehead"/>
              <w:rPr>
                <w:rFonts w:asciiTheme="minorHAnsi" w:hAnsiTheme="minorHAnsi" w:cstheme="minorHAnsi"/>
                <w:sz w:val="20"/>
              </w:rPr>
            </w:pPr>
            <w:r w:rsidRPr="00152A04">
              <w:rPr>
                <w:rFonts w:asciiTheme="minorHAnsi" w:hAnsiTheme="minorHAnsi" w:cstheme="minorHAnsi"/>
                <w:sz w:val="20"/>
              </w:rPr>
              <w:t>Disposiciones</w:t>
            </w:r>
          </w:p>
        </w:tc>
        <w:tc>
          <w:tcPr>
            <w:tcW w:w="2366" w:type="dxa"/>
            <w:shd w:val="clear" w:color="auto" w:fill="EEECE1" w:themeFill="background2"/>
          </w:tcPr>
          <w:p w14:paraId="75BEFAB0" w14:textId="77777777" w:rsidR="00152A04" w:rsidRPr="00152A04" w:rsidRDefault="00152A04" w:rsidP="00152A04">
            <w:pPr>
              <w:pStyle w:val="Tablehead"/>
              <w:rPr>
                <w:rFonts w:asciiTheme="minorHAnsi" w:hAnsiTheme="minorHAnsi" w:cstheme="minorHAnsi"/>
                <w:sz w:val="20"/>
              </w:rPr>
            </w:pPr>
            <w:r w:rsidRPr="00152A04">
              <w:rPr>
                <w:rFonts w:asciiTheme="minorHAnsi" w:hAnsiTheme="minorHAnsi" w:cstheme="minorHAnsi"/>
                <w:sz w:val="20"/>
              </w:rPr>
              <w:t>Expectativas</w:t>
            </w:r>
          </w:p>
        </w:tc>
      </w:tr>
      <w:tr w:rsidR="00152A04" w:rsidRPr="00B60735" w14:paraId="3CCA6E54" w14:textId="77777777" w:rsidTr="00813316">
        <w:trPr>
          <w:jc w:val="center"/>
        </w:trPr>
        <w:tc>
          <w:tcPr>
            <w:tcW w:w="1980" w:type="dxa"/>
          </w:tcPr>
          <w:p w14:paraId="473E6B2C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 xml:space="preserve">2ª reunión </w:t>
            </w: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br/>
              <w:t>(12-13 de febrero de 2020)</w:t>
            </w:r>
          </w:p>
        </w:tc>
        <w:tc>
          <w:tcPr>
            <w:tcW w:w="2410" w:type="dxa"/>
            <w:vMerge w:val="restart"/>
          </w:tcPr>
          <w:p w14:paraId="40A247C2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 xml:space="preserve">Examen del RTI, disposición por disposición </w:t>
            </w:r>
          </w:p>
        </w:tc>
        <w:tc>
          <w:tcPr>
            <w:tcW w:w="3307" w:type="dxa"/>
          </w:tcPr>
          <w:p w14:paraId="2CA7AFF9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Preámbulo</w:t>
            </w:r>
          </w:p>
          <w:p w14:paraId="3816BCC6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1 Finalidad y alcance del Reglamento</w:t>
            </w:r>
          </w:p>
          <w:p w14:paraId="5B54BF2F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2 Definiciones</w:t>
            </w:r>
          </w:p>
          <w:p w14:paraId="5D37644F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3 Red internacional</w:t>
            </w:r>
          </w:p>
          <w:p w14:paraId="31101CAB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4 Servicios internacionales de telecomunicación</w:t>
            </w:r>
          </w:p>
        </w:tc>
        <w:tc>
          <w:tcPr>
            <w:tcW w:w="2366" w:type="dxa"/>
          </w:tcPr>
          <w:p w14:paraId="52288A29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Proyecto de resultados del examen disposición por disposición utilizando el Cuadro de Examen</w:t>
            </w:r>
            <w:r w:rsidRPr="00152A04">
              <w:rPr>
                <w:rFonts w:asciiTheme="minorHAnsi" w:hAnsiTheme="minorHAnsi" w:cstheme="minorHAnsi"/>
                <w:sz w:val="20"/>
                <w:vertAlign w:val="superscript"/>
                <w:lang w:val="es-ES_tradnl"/>
              </w:rPr>
              <w:footnoteReference w:id="2"/>
            </w: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 xml:space="preserve"> </w:t>
            </w:r>
          </w:p>
          <w:p w14:paraId="78493004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  <w:p w14:paraId="2AC40396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 xml:space="preserve">Informe sobre los avances para el Consejo </w:t>
            </w:r>
          </w:p>
        </w:tc>
      </w:tr>
      <w:tr w:rsidR="00152A04" w:rsidRPr="00B60735" w14:paraId="306E2833" w14:textId="77777777" w:rsidTr="00813316">
        <w:trPr>
          <w:jc w:val="center"/>
        </w:trPr>
        <w:tc>
          <w:tcPr>
            <w:tcW w:w="1980" w:type="dxa"/>
          </w:tcPr>
          <w:p w14:paraId="3CF76861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3ª reunión (septiembre de 2020)</w:t>
            </w:r>
          </w:p>
        </w:tc>
        <w:tc>
          <w:tcPr>
            <w:tcW w:w="2410" w:type="dxa"/>
            <w:vMerge/>
          </w:tcPr>
          <w:p w14:paraId="7A6C1F3C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3307" w:type="dxa"/>
          </w:tcPr>
          <w:p w14:paraId="20F74460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5 Seguridad de la vida humana y prioridad de las telecomunicaciones</w:t>
            </w:r>
          </w:p>
          <w:p w14:paraId="4906C8DA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6 Seguridad y robustez de las redes</w:t>
            </w:r>
          </w:p>
          <w:p w14:paraId="245432F5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7 Comunicaciones electrónicas masivas no solicitadas</w:t>
            </w:r>
          </w:p>
          <w:p w14:paraId="4D3399B9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8 Tasación y contabilidad</w:t>
            </w:r>
          </w:p>
          <w:p w14:paraId="4F9D3B4D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APÉNDICE 1 Disposiciones generales relativas a la contabilidad</w:t>
            </w:r>
          </w:p>
        </w:tc>
        <w:tc>
          <w:tcPr>
            <w:tcW w:w="2366" w:type="dxa"/>
          </w:tcPr>
          <w:p w14:paraId="5DF8E4CB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Proyecto de resultados del examen disposición por disposición utilizando el Cuadro de Examen</w:t>
            </w:r>
          </w:p>
        </w:tc>
      </w:tr>
      <w:tr w:rsidR="00152A04" w:rsidRPr="00B60735" w14:paraId="33939358" w14:textId="77777777" w:rsidTr="00813316">
        <w:trPr>
          <w:jc w:val="center"/>
        </w:trPr>
        <w:tc>
          <w:tcPr>
            <w:tcW w:w="1980" w:type="dxa"/>
          </w:tcPr>
          <w:p w14:paraId="0D08E7F3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 xml:space="preserve">4ª reunión </w:t>
            </w: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br/>
              <w:t>(febrero de 2021)</w:t>
            </w:r>
          </w:p>
        </w:tc>
        <w:tc>
          <w:tcPr>
            <w:tcW w:w="2410" w:type="dxa"/>
            <w:vMerge/>
          </w:tcPr>
          <w:p w14:paraId="29B70A54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3307" w:type="dxa"/>
          </w:tcPr>
          <w:p w14:paraId="6E140311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9 Suspensión de servicios</w:t>
            </w:r>
          </w:p>
          <w:p w14:paraId="10C6991E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10 Difusión de información</w:t>
            </w:r>
          </w:p>
          <w:p w14:paraId="2DECC3C7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11 Eficiencia energética/residuos electrónicos</w:t>
            </w:r>
          </w:p>
          <w:p w14:paraId="6F1F85C0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12 Accesibilidad</w:t>
            </w:r>
          </w:p>
          <w:p w14:paraId="275B1C80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13 Acuerdos particulares</w:t>
            </w:r>
          </w:p>
          <w:p w14:paraId="6D6116D1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ARTÍCULO 14 Disposiciones finales</w:t>
            </w:r>
          </w:p>
          <w:p w14:paraId="40B5323B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APÉNDICE 2 Disposiciones adicionales relativas a las telecomunicaciones marítimas</w:t>
            </w:r>
          </w:p>
        </w:tc>
        <w:tc>
          <w:tcPr>
            <w:tcW w:w="2366" w:type="dxa"/>
          </w:tcPr>
          <w:p w14:paraId="0254E744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Proyecto de resultados del examen disposición por disposición utilizando el Cuadro de Examen</w:t>
            </w:r>
          </w:p>
          <w:p w14:paraId="0E38C96A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Informe sobre los avances para el Consejo</w:t>
            </w:r>
          </w:p>
        </w:tc>
      </w:tr>
      <w:tr w:rsidR="00152A04" w:rsidRPr="00B60735" w14:paraId="7041FDFF" w14:textId="77777777" w:rsidTr="00813316">
        <w:trPr>
          <w:jc w:val="center"/>
        </w:trPr>
        <w:tc>
          <w:tcPr>
            <w:tcW w:w="1980" w:type="dxa"/>
          </w:tcPr>
          <w:p w14:paraId="3F886B6A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5ª reunión (septiembre de 2021)</w:t>
            </w:r>
          </w:p>
        </w:tc>
        <w:tc>
          <w:tcPr>
            <w:tcW w:w="2410" w:type="dxa"/>
          </w:tcPr>
          <w:p w14:paraId="6F8D902E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Observaciones generales basadas en el examen disposición por disposición</w:t>
            </w:r>
          </w:p>
        </w:tc>
        <w:tc>
          <w:tcPr>
            <w:tcW w:w="3307" w:type="dxa"/>
            <w:tcBorders>
              <w:bottom w:val="single" w:sz="4" w:space="0" w:color="000000" w:themeColor="text1"/>
            </w:tcBorders>
          </w:tcPr>
          <w:p w14:paraId="24E12A47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2366" w:type="dxa"/>
          </w:tcPr>
          <w:p w14:paraId="6D1F991E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 xml:space="preserve">Primer proyecto de Informe Final al Consejo de 2022 </w:t>
            </w:r>
          </w:p>
        </w:tc>
      </w:tr>
      <w:tr w:rsidR="00152A04" w:rsidRPr="00B60735" w14:paraId="2A6CDFE1" w14:textId="77777777" w:rsidTr="00813316">
        <w:trPr>
          <w:jc w:val="center"/>
        </w:trPr>
        <w:tc>
          <w:tcPr>
            <w:tcW w:w="1980" w:type="dxa"/>
          </w:tcPr>
          <w:p w14:paraId="2EBA0145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pacing w:val="-2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pacing w:val="-2"/>
                <w:sz w:val="20"/>
                <w:lang w:val="es-ES_tradnl"/>
              </w:rPr>
              <w:t>6ª reunión (justo antes del Consejo de 2022)</w:t>
            </w:r>
          </w:p>
        </w:tc>
        <w:tc>
          <w:tcPr>
            <w:tcW w:w="2410" w:type="dxa"/>
          </w:tcPr>
          <w:p w14:paraId="30CF819E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Finalización del Informe Final al Consejo de 2022</w:t>
            </w:r>
          </w:p>
        </w:tc>
        <w:tc>
          <w:tcPr>
            <w:tcW w:w="3307" w:type="dxa"/>
            <w:tcBorders>
              <w:bottom w:val="single" w:sz="4" w:space="0" w:color="auto"/>
            </w:tcBorders>
          </w:tcPr>
          <w:p w14:paraId="23AC642A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2366" w:type="dxa"/>
          </w:tcPr>
          <w:p w14:paraId="278B69F7" w14:textId="77777777" w:rsidR="00152A04" w:rsidRPr="00152A04" w:rsidRDefault="00152A04" w:rsidP="00152A04">
            <w:pPr>
              <w:pStyle w:val="Tabletext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152A04">
              <w:rPr>
                <w:rFonts w:asciiTheme="minorHAnsi" w:hAnsiTheme="minorHAnsi" w:cstheme="minorHAnsi"/>
                <w:sz w:val="20"/>
                <w:lang w:val="es-ES_tradnl"/>
              </w:rPr>
              <w:t>Informe Final al Consejo de 2022</w:t>
            </w:r>
          </w:p>
        </w:tc>
      </w:tr>
    </w:tbl>
    <w:p w14:paraId="69668FF0" w14:textId="77777777" w:rsidR="000725A1" w:rsidRDefault="006E4AB3">
      <w:pPr>
        <w:jc w:val="center"/>
      </w:pPr>
      <w:r>
        <w:t>______________</w:t>
      </w:r>
    </w:p>
    <w:sectPr w:rsidR="000725A1" w:rsidSect="004B7893">
      <w:headerReference w:type="default" r:id="rId11"/>
      <w:footerReference w:type="default" r:id="rId12"/>
      <w:footerReference w:type="first" r:id="rId13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F2264" w14:textId="77777777" w:rsidR="00152A04" w:rsidRDefault="00152A04" w:rsidP="0088106F">
      <w:r>
        <w:separator/>
      </w:r>
    </w:p>
  </w:endnote>
  <w:endnote w:type="continuationSeparator" w:id="0">
    <w:p w14:paraId="5F672EA3" w14:textId="77777777" w:rsidR="00152A04" w:rsidRDefault="00152A04" w:rsidP="00881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3B9FD" w14:textId="2EAA83C6" w:rsidR="0088106F" w:rsidRPr="009A6FC4" w:rsidRDefault="00013C36" w:rsidP="009A6FC4">
    <w:pPr>
      <w:pStyle w:val="Footer"/>
    </w:pPr>
    <w:r>
      <w:fldChar w:fldCharType="begin"/>
    </w:r>
    <w:r>
      <w:instrText xml:space="preserve"> FILENAME \p  \* MERGEFORMAT </w:instrText>
    </w:r>
    <w:r>
      <w:fldChar w:fldCharType="separate"/>
    </w:r>
    <w:r w:rsidR="00E56E28">
      <w:t>P:\ESP\ITU-D\CONF-D\TDAG20\000\009S.docx</w:t>
    </w:r>
    <w:r>
      <w:fldChar w:fldCharType="end"/>
    </w:r>
    <w:r w:rsidR="00E56E28">
      <w:t xml:space="preserve"> (465656)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Layout w:type="fixed"/>
      <w:tblLook w:val="04A0" w:firstRow="1" w:lastRow="0" w:firstColumn="1" w:lastColumn="0" w:noHBand="0" w:noVBand="1"/>
    </w:tblPr>
    <w:tblGrid>
      <w:gridCol w:w="1134"/>
      <w:gridCol w:w="2552"/>
      <w:gridCol w:w="6237"/>
    </w:tblGrid>
    <w:tr w:rsidR="009D1BD4" w:rsidRPr="00152A04" w14:paraId="695D3CC0" w14:textId="77777777" w:rsidTr="004E3CF5">
      <w:tc>
        <w:tcPr>
          <w:tcW w:w="1134" w:type="dxa"/>
          <w:tcBorders>
            <w:top w:val="single" w:sz="4" w:space="0" w:color="000000"/>
          </w:tcBorders>
          <w:shd w:val="clear" w:color="auto" w:fill="auto"/>
        </w:tcPr>
        <w:p w14:paraId="17B4FA28" w14:textId="77777777" w:rsidR="009D1BD4" w:rsidRPr="004D495C" w:rsidRDefault="009D1BD4" w:rsidP="009D1BD4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</w:rPr>
          </w:pPr>
          <w:r w:rsidRPr="004D495C">
            <w:rPr>
              <w:sz w:val="18"/>
              <w:szCs w:val="18"/>
              <w:lang w:val="en-US"/>
            </w:rPr>
            <w:t>Contact</w:t>
          </w:r>
          <w:r>
            <w:rPr>
              <w:sz w:val="18"/>
              <w:szCs w:val="18"/>
              <w:lang w:val="en-US"/>
            </w:rPr>
            <w:t>o</w:t>
          </w:r>
          <w:r w:rsidRPr="004D495C">
            <w:rPr>
              <w:sz w:val="18"/>
              <w:szCs w:val="18"/>
              <w:lang w:val="en-US"/>
            </w:rPr>
            <w:t>:</w:t>
          </w:r>
        </w:p>
      </w:tc>
      <w:tc>
        <w:tcPr>
          <w:tcW w:w="2552" w:type="dxa"/>
          <w:tcBorders>
            <w:top w:val="single" w:sz="4" w:space="0" w:color="000000"/>
          </w:tcBorders>
          <w:shd w:val="clear" w:color="auto" w:fill="auto"/>
        </w:tcPr>
        <w:p w14:paraId="14ED7E51" w14:textId="77777777" w:rsidR="009D1BD4" w:rsidRPr="004D495C" w:rsidRDefault="009D1BD4" w:rsidP="009D1BD4">
          <w:pPr>
            <w:pStyle w:val="FirstFooter"/>
            <w:tabs>
              <w:tab w:val="left" w:pos="2302"/>
            </w:tabs>
            <w:ind w:left="2302" w:hanging="2302"/>
            <w:rPr>
              <w:sz w:val="18"/>
              <w:szCs w:val="18"/>
              <w:lang w:val="en-US"/>
            </w:rPr>
          </w:pPr>
          <w:r w:rsidRPr="004D495C">
            <w:rPr>
              <w:sz w:val="18"/>
              <w:szCs w:val="18"/>
              <w:lang w:val="en-US"/>
            </w:rPr>
            <w:t>N</w:t>
          </w:r>
          <w:r>
            <w:rPr>
              <w:sz w:val="18"/>
              <w:szCs w:val="18"/>
              <w:lang w:val="en-US"/>
            </w:rPr>
            <w:t>ombr</w:t>
          </w:r>
          <w:r w:rsidRPr="004D495C">
            <w:rPr>
              <w:sz w:val="18"/>
              <w:szCs w:val="18"/>
              <w:lang w:val="en-US"/>
            </w:rPr>
            <w:t>e/Organiza</w:t>
          </w:r>
          <w:r>
            <w:rPr>
              <w:sz w:val="18"/>
              <w:szCs w:val="18"/>
              <w:lang w:val="en-US"/>
            </w:rPr>
            <w:t>ción/Entidad</w:t>
          </w:r>
          <w:r w:rsidRPr="004D495C">
            <w:rPr>
              <w:sz w:val="18"/>
              <w:szCs w:val="18"/>
              <w:lang w:val="en-US"/>
            </w:rPr>
            <w:t>:</w:t>
          </w:r>
        </w:p>
      </w:tc>
      <w:tc>
        <w:tcPr>
          <w:tcW w:w="6237" w:type="dxa"/>
          <w:tcBorders>
            <w:top w:val="single" w:sz="4" w:space="0" w:color="000000"/>
          </w:tcBorders>
          <w:shd w:val="clear" w:color="auto" w:fill="auto"/>
        </w:tcPr>
        <w:p w14:paraId="76139C39" w14:textId="4B402378" w:rsidR="009D1BD4" w:rsidRPr="00152A04" w:rsidRDefault="00152A04" w:rsidP="00152A04">
          <w:pPr>
            <w:pStyle w:val="FirstFooter"/>
            <w:tabs>
              <w:tab w:val="left" w:pos="2160"/>
            </w:tabs>
            <w:rPr>
              <w:sz w:val="18"/>
              <w:szCs w:val="18"/>
              <w:lang w:val="es-ES"/>
            </w:rPr>
          </w:pPr>
          <w:r w:rsidRPr="00152A04">
            <w:rPr>
              <w:sz w:val="18"/>
              <w:szCs w:val="18"/>
              <w:lang w:val="es-ES_tradnl"/>
            </w:rPr>
            <w:t>Sra. Doreen Bogdan-Martin-Garcia, Directora, Oficina de Desarrollo de Telecomunicaciones</w:t>
          </w:r>
        </w:p>
      </w:tc>
    </w:tr>
    <w:tr w:rsidR="00152A04" w:rsidRPr="004D495C" w14:paraId="5873D0FB" w14:textId="77777777" w:rsidTr="004E3CF5">
      <w:tc>
        <w:tcPr>
          <w:tcW w:w="1134" w:type="dxa"/>
          <w:shd w:val="clear" w:color="auto" w:fill="auto"/>
        </w:tcPr>
        <w:p w14:paraId="38F0904E" w14:textId="77777777" w:rsidR="00152A04" w:rsidRPr="00152A04" w:rsidRDefault="00152A04" w:rsidP="00152A04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s-ES"/>
            </w:rPr>
          </w:pPr>
        </w:p>
      </w:tc>
      <w:tc>
        <w:tcPr>
          <w:tcW w:w="2552" w:type="dxa"/>
          <w:shd w:val="clear" w:color="auto" w:fill="auto"/>
        </w:tcPr>
        <w:p w14:paraId="7FDCD227" w14:textId="77777777" w:rsidR="00152A04" w:rsidRPr="004D495C" w:rsidRDefault="00152A04" w:rsidP="00152A04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Teléfono</w:t>
          </w:r>
          <w:r w:rsidRPr="004D495C">
            <w:rPr>
              <w:sz w:val="18"/>
              <w:szCs w:val="18"/>
              <w:lang w:val="en-US"/>
            </w:rPr>
            <w:t>:</w:t>
          </w:r>
        </w:p>
      </w:tc>
      <w:tc>
        <w:tcPr>
          <w:tcW w:w="6237" w:type="dxa"/>
          <w:shd w:val="clear" w:color="auto" w:fill="auto"/>
        </w:tcPr>
        <w:p w14:paraId="55772FDB" w14:textId="0CF25B26" w:rsidR="00152A04" w:rsidRPr="00050E06" w:rsidRDefault="00152A04" w:rsidP="00152A04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bookmarkStart w:id="8" w:name="PhoneNo"/>
          <w:bookmarkEnd w:id="8"/>
          <w:r w:rsidRPr="00545029">
            <w:rPr>
              <w:sz w:val="18"/>
              <w:szCs w:val="18"/>
              <w:lang w:val="es-ES_tradnl"/>
            </w:rPr>
            <w:t>+41 22 730 5533</w:t>
          </w:r>
        </w:p>
      </w:tc>
    </w:tr>
    <w:tr w:rsidR="00152A04" w:rsidRPr="004D495C" w14:paraId="64014D5A" w14:textId="77777777" w:rsidTr="004E3CF5">
      <w:tc>
        <w:tcPr>
          <w:tcW w:w="1134" w:type="dxa"/>
          <w:shd w:val="clear" w:color="auto" w:fill="auto"/>
        </w:tcPr>
        <w:p w14:paraId="6E2500A7" w14:textId="77777777" w:rsidR="00152A04" w:rsidRPr="004D495C" w:rsidRDefault="00152A04" w:rsidP="00152A04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552" w:type="dxa"/>
          <w:shd w:val="clear" w:color="auto" w:fill="auto"/>
        </w:tcPr>
        <w:p w14:paraId="1C96EDD9" w14:textId="77777777" w:rsidR="00152A04" w:rsidRPr="004D495C" w:rsidRDefault="00152A04" w:rsidP="00152A04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Correo-e</w:t>
          </w:r>
          <w:r w:rsidRPr="004D495C">
            <w:rPr>
              <w:sz w:val="18"/>
              <w:szCs w:val="18"/>
              <w:lang w:val="en-US"/>
            </w:rPr>
            <w:t>:</w:t>
          </w:r>
        </w:p>
      </w:tc>
      <w:bookmarkStart w:id="9" w:name="Email"/>
      <w:bookmarkEnd w:id="9"/>
      <w:tc>
        <w:tcPr>
          <w:tcW w:w="6237" w:type="dxa"/>
          <w:shd w:val="clear" w:color="auto" w:fill="auto"/>
        </w:tcPr>
        <w:p w14:paraId="652F55F4" w14:textId="2B1FF4FA" w:rsidR="00152A04" w:rsidRPr="00050E06" w:rsidRDefault="00152A04" w:rsidP="00152A04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>
            <w:fldChar w:fldCharType="begin"/>
          </w:r>
          <w:r>
            <w:instrText xml:space="preserve"> HYPERLINK "mailto:bdtdir@itu.int" </w:instrText>
          </w:r>
          <w:r>
            <w:fldChar w:fldCharType="separate"/>
          </w:r>
          <w:r w:rsidRPr="00545029">
            <w:rPr>
              <w:rStyle w:val="Hyperlink"/>
              <w:sz w:val="18"/>
              <w:szCs w:val="18"/>
              <w:lang w:val="es-ES_tradnl"/>
            </w:rPr>
            <w:t>bdtdir@itu.int</w:t>
          </w:r>
          <w:r>
            <w:rPr>
              <w:rStyle w:val="Hyperlink"/>
              <w:sz w:val="18"/>
              <w:szCs w:val="18"/>
              <w:lang w:val="es-ES_tradnl"/>
            </w:rPr>
            <w:fldChar w:fldCharType="end"/>
          </w:r>
          <w:r w:rsidRPr="00545029">
            <w:rPr>
              <w:sz w:val="18"/>
              <w:szCs w:val="18"/>
              <w:lang w:val="es-ES_tradnl"/>
            </w:rPr>
            <w:t xml:space="preserve"> </w:t>
          </w:r>
        </w:p>
      </w:tc>
    </w:tr>
  </w:tbl>
  <w:p w14:paraId="21015C20" w14:textId="77777777" w:rsidR="009D1BD4" w:rsidRDefault="009D1BD4" w:rsidP="006E4AB3"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  <w:jc w:val="center"/>
    </w:pPr>
  </w:p>
  <w:p w14:paraId="4C37F6B7" w14:textId="77777777" w:rsidR="006E4AB3" w:rsidRPr="006E4AB3" w:rsidRDefault="00013C36" w:rsidP="006E4AB3"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  <w:jc w:val="center"/>
      <w:rPr>
        <w:rFonts w:ascii="Calibri" w:hAnsi="Calibri"/>
        <w:caps/>
        <w:noProof/>
        <w:sz w:val="16"/>
      </w:rPr>
    </w:pPr>
    <w:hyperlink r:id="rId1" w:history="1">
      <w:r w:rsidR="00225D2E">
        <w:rPr>
          <w:rFonts w:ascii="Calibri" w:hAnsi="Calibri"/>
          <w:color w:val="0000FF"/>
          <w:sz w:val="18"/>
          <w:szCs w:val="18"/>
          <w:u w:val="single"/>
        </w:rPr>
        <w:t>GADT</w:t>
      </w:r>
    </w:hyperlink>
    <w:hyperlink r:id="rId2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50746D" w14:textId="77777777" w:rsidR="00152A04" w:rsidRDefault="00152A04" w:rsidP="0088106F">
      <w:r>
        <w:separator/>
      </w:r>
    </w:p>
  </w:footnote>
  <w:footnote w:type="continuationSeparator" w:id="0">
    <w:p w14:paraId="4B44E69B" w14:textId="77777777" w:rsidR="00152A04" w:rsidRDefault="00152A04" w:rsidP="0088106F">
      <w:r>
        <w:continuationSeparator/>
      </w:r>
    </w:p>
  </w:footnote>
  <w:footnote w:id="1">
    <w:p w14:paraId="30DBD48D" w14:textId="77777777" w:rsidR="00152A04" w:rsidRPr="007C0E76" w:rsidRDefault="00152A04" w:rsidP="00152A04">
      <w:pPr>
        <w:pStyle w:val="FootnoteText"/>
        <w:rPr>
          <w:sz w:val="20"/>
          <w:lang w:val="es-ES_tradnl"/>
        </w:rPr>
      </w:pPr>
      <w:r w:rsidRPr="007C0E76">
        <w:rPr>
          <w:rStyle w:val="FootnoteReference"/>
          <w:sz w:val="14"/>
          <w:lang w:val="es-ES_tradnl"/>
        </w:rPr>
        <w:footnoteRef/>
      </w:r>
      <w:r w:rsidRPr="007C0E76">
        <w:rPr>
          <w:sz w:val="20"/>
          <w:lang w:val="es-ES_tradnl"/>
        </w:rPr>
        <w:t xml:space="preserve"> </w:t>
      </w:r>
      <w:r w:rsidRPr="007C0E76">
        <w:rPr>
          <w:sz w:val="20"/>
          <w:lang w:val="es-ES_tradnl"/>
        </w:rPr>
        <w:tab/>
        <w:t>El sitio web del GE-RTI puede consultarse en</w:t>
      </w:r>
      <w:r>
        <w:rPr>
          <w:sz w:val="20"/>
          <w:lang w:val="es-ES_tradnl"/>
        </w:rPr>
        <w:t xml:space="preserve"> el siguiente enlace</w:t>
      </w:r>
      <w:r w:rsidRPr="007C0E76">
        <w:rPr>
          <w:sz w:val="20"/>
          <w:lang w:val="es-ES_tradnl"/>
        </w:rPr>
        <w:t xml:space="preserve">: </w:t>
      </w:r>
      <w:hyperlink r:id="rId1" w:history="1">
        <w:r w:rsidRPr="007C0E76">
          <w:rPr>
            <w:rStyle w:val="Hyperlink"/>
            <w:sz w:val="20"/>
            <w:lang w:val="es-ES_tradnl"/>
          </w:rPr>
          <w:t>https://www.itu.int/en/council/Pages/eg-itrs.aspx</w:t>
        </w:r>
      </w:hyperlink>
      <w:r w:rsidRPr="007C0E76">
        <w:rPr>
          <w:sz w:val="20"/>
          <w:lang w:val="es-ES_tradnl"/>
        </w:rPr>
        <w:t>.</w:t>
      </w:r>
    </w:p>
  </w:footnote>
  <w:footnote w:id="2">
    <w:p w14:paraId="2DD58897" w14:textId="77777777" w:rsidR="00152A04" w:rsidRPr="00C070FC" w:rsidRDefault="00152A04" w:rsidP="00152A04">
      <w:pPr>
        <w:pStyle w:val="FootnoteText"/>
        <w:rPr>
          <w:sz w:val="20"/>
          <w:lang w:val="es-ES_tradnl"/>
        </w:rPr>
      </w:pPr>
      <w:r w:rsidRPr="00C070FC">
        <w:rPr>
          <w:rStyle w:val="FootnoteReference"/>
          <w:sz w:val="20"/>
          <w:lang w:val="es-ES_tradnl"/>
        </w:rPr>
        <w:footnoteRef/>
      </w:r>
      <w:r w:rsidRPr="00C070FC">
        <w:rPr>
          <w:sz w:val="20"/>
          <w:lang w:val="es-ES_tradnl"/>
        </w:rPr>
        <w:tab/>
      </w:r>
      <w:r w:rsidRPr="00C070FC">
        <w:rPr>
          <w:i/>
          <w:sz w:val="20"/>
          <w:lang w:val="es-ES_tradnl"/>
        </w:rPr>
        <w:t>Nota: La identificación de nuevas tendencias de las telecomunicaciones/TIC y cuestiones emergentes en el entorno de las telecomunicaciones/TIC internacionales se recogerá en la columna 5 del Cuadro de Examen acordado (Flexibilidad para adaptarse a las nuevas tendencias y a los problemas emergentes).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E8972" w14:textId="1D271338" w:rsidR="009A6FC4" w:rsidRPr="009A6FC4" w:rsidRDefault="009A6FC4" w:rsidP="004E7861">
    <w:pPr>
      <w:tabs>
        <w:tab w:val="clear" w:pos="794"/>
        <w:tab w:val="clear" w:pos="1191"/>
        <w:tab w:val="clear" w:pos="1588"/>
        <w:tab w:val="clear" w:pos="1985"/>
        <w:tab w:val="center" w:pos="4536"/>
        <w:tab w:val="right" w:pos="9639"/>
      </w:tabs>
      <w:ind w:right="1"/>
      <w:rPr>
        <w:smallCaps/>
        <w:spacing w:val="24"/>
        <w:sz w:val="22"/>
        <w:szCs w:val="22"/>
        <w:lang w:val="en-US"/>
      </w:rPr>
    </w:pPr>
    <w:r w:rsidRPr="00972BCD">
      <w:rPr>
        <w:sz w:val="22"/>
        <w:szCs w:val="22"/>
      </w:rPr>
      <w:tab/>
    </w:r>
    <w:r w:rsidRPr="003D4CFB">
      <w:rPr>
        <w:sz w:val="22"/>
        <w:szCs w:val="22"/>
        <w:lang w:val="en-US"/>
      </w:rPr>
      <w:t>TDAG</w:t>
    </w:r>
    <w:r w:rsidR="00602B27">
      <w:rPr>
        <w:sz w:val="22"/>
        <w:szCs w:val="22"/>
        <w:lang w:val="en-US"/>
      </w:rPr>
      <w:t>-</w:t>
    </w:r>
    <w:r w:rsidR="00AA076A">
      <w:rPr>
        <w:sz w:val="22"/>
        <w:szCs w:val="22"/>
        <w:lang w:val="en-US"/>
      </w:rPr>
      <w:t>20</w:t>
    </w:r>
    <w:r w:rsidRPr="003D4CFB">
      <w:rPr>
        <w:sz w:val="22"/>
        <w:szCs w:val="22"/>
        <w:lang w:val="en-US"/>
      </w:rPr>
      <w:t>/</w:t>
    </w:r>
    <w:r w:rsidR="00152A04">
      <w:rPr>
        <w:sz w:val="22"/>
        <w:szCs w:val="22"/>
        <w:lang w:val="en-US"/>
      </w:rPr>
      <w:t>9</w:t>
    </w:r>
    <w:r w:rsidRPr="003D4CFB">
      <w:rPr>
        <w:sz w:val="22"/>
        <w:szCs w:val="22"/>
        <w:lang w:val="en-US"/>
      </w:rPr>
      <w:t>-S</w:t>
    </w:r>
    <w:r w:rsidRPr="009A6FC4">
      <w:rPr>
        <w:sz w:val="22"/>
        <w:szCs w:val="22"/>
        <w:lang w:val="en-US"/>
      </w:rPr>
      <w:tab/>
    </w:r>
    <w:r w:rsidRPr="00877904">
      <w:rPr>
        <w:rStyle w:val="PageNumber"/>
        <w:sz w:val="22"/>
        <w:szCs w:val="22"/>
        <w:lang w:val="es-ES_tradnl"/>
      </w:rPr>
      <w:t>Página</w:t>
    </w:r>
    <w:r w:rsidRPr="009A6FC4">
      <w:rPr>
        <w:sz w:val="22"/>
        <w:szCs w:val="22"/>
        <w:lang w:val="en-US"/>
      </w:rPr>
      <w:t xml:space="preserve"> </w:t>
    </w:r>
    <w:r w:rsidRPr="00972BCD">
      <w:rPr>
        <w:sz w:val="22"/>
        <w:szCs w:val="22"/>
      </w:rPr>
      <w:fldChar w:fldCharType="begin"/>
    </w:r>
    <w:r w:rsidRPr="009A6FC4">
      <w:rPr>
        <w:sz w:val="22"/>
        <w:szCs w:val="22"/>
        <w:lang w:val="en-US"/>
      </w:rPr>
      <w:instrText xml:space="preserve"> PAGE </w:instrText>
    </w:r>
    <w:r w:rsidRPr="00972BCD">
      <w:rPr>
        <w:sz w:val="22"/>
        <w:szCs w:val="22"/>
      </w:rPr>
      <w:fldChar w:fldCharType="separate"/>
    </w:r>
    <w:r w:rsidR="0086435F">
      <w:rPr>
        <w:noProof/>
        <w:sz w:val="22"/>
        <w:szCs w:val="22"/>
        <w:lang w:val="en-US"/>
      </w:rPr>
      <w:t>2</w:t>
    </w:r>
    <w:r w:rsidRPr="00972BCD">
      <w:rPr>
        <w:sz w:val="22"/>
        <w:szCs w:val="22"/>
      </w:rPr>
      <w:fldChar w:fldCharType="end"/>
    </w:r>
  </w:p>
  <w:p w14:paraId="795BB201" w14:textId="77777777" w:rsidR="009A6FC4" w:rsidRPr="009A6FC4" w:rsidRDefault="009A6FC4" w:rsidP="009A6FC4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A04"/>
    <w:rsid w:val="000135AE"/>
    <w:rsid w:val="00013C36"/>
    <w:rsid w:val="00033D49"/>
    <w:rsid w:val="000725A1"/>
    <w:rsid w:val="000C0AA7"/>
    <w:rsid w:val="000E7A0A"/>
    <w:rsid w:val="00152A04"/>
    <w:rsid w:val="00194CB2"/>
    <w:rsid w:val="00213302"/>
    <w:rsid w:val="00221C14"/>
    <w:rsid w:val="00225D2E"/>
    <w:rsid w:val="00241CB9"/>
    <w:rsid w:val="002A7FAB"/>
    <w:rsid w:val="002D4BE6"/>
    <w:rsid w:val="002D6772"/>
    <w:rsid w:val="00302736"/>
    <w:rsid w:val="0033649F"/>
    <w:rsid w:val="00360762"/>
    <w:rsid w:val="00390391"/>
    <w:rsid w:val="003D4CFB"/>
    <w:rsid w:val="00482632"/>
    <w:rsid w:val="004B7893"/>
    <w:rsid w:val="004E7861"/>
    <w:rsid w:val="00535C50"/>
    <w:rsid w:val="005557A3"/>
    <w:rsid w:val="005637B9"/>
    <w:rsid w:val="005643DC"/>
    <w:rsid w:val="00602B27"/>
    <w:rsid w:val="006339E7"/>
    <w:rsid w:val="00635A62"/>
    <w:rsid w:val="006E4AB3"/>
    <w:rsid w:val="006F39EB"/>
    <w:rsid w:val="007C3061"/>
    <w:rsid w:val="007E471D"/>
    <w:rsid w:val="00835A77"/>
    <w:rsid w:val="0086435F"/>
    <w:rsid w:val="0088106F"/>
    <w:rsid w:val="008C1852"/>
    <w:rsid w:val="008D789A"/>
    <w:rsid w:val="00917B12"/>
    <w:rsid w:val="009752D2"/>
    <w:rsid w:val="00991B13"/>
    <w:rsid w:val="009952F6"/>
    <w:rsid w:val="009A6FC4"/>
    <w:rsid w:val="009D1BD4"/>
    <w:rsid w:val="00A33516"/>
    <w:rsid w:val="00A87DD9"/>
    <w:rsid w:val="00AA076A"/>
    <w:rsid w:val="00AE1BA7"/>
    <w:rsid w:val="00AF563E"/>
    <w:rsid w:val="00BC7208"/>
    <w:rsid w:val="00D16175"/>
    <w:rsid w:val="00D372A5"/>
    <w:rsid w:val="00E17138"/>
    <w:rsid w:val="00E204A0"/>
    <w:rsid w:val="00E3519F"/>
    <w:rsid w:val="00E51C72"/>
    <w:rsid w:val="00E56E28"/>
    <w:rsid w:val="00E827C2"/>
    <w:rsid w:val="00EB6D19"/>
    <w:rsid w:val="00ED2681"/>
    <w:rsid w:val="00F01E28"/>
    <w:rsid w:val="00F12690"/>
    <w:rsid w:val="00FA67A2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351B1F"/>
  <w15:docId w15:val="{985EF61A-4054-4B7A-97A0-34899827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30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eastAsia="Times New Roman" w:cs="Times New Roman"/>
      <w:sz w:val="24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F39EB"/>
    <w:pPr>
      <w:keepNext/>
      <w:keepLines/>
      <w:spacing w:before="280"/>
      <w:ind w:left="794" w:hanging="79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rsid w:val="006F39EB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rsid w:val="006F39EB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6F39EB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6F39EB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6F39EB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6F39EB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6F39EB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6F39EB"/>
    <w:p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39E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F39EB"/>
    <w:rPr>
      <w:rFonts w:eastAsia="Times New Roman" w:cs="Times New Roman"/>
      <w:sz w:val="18"/>
      <w:szCs w:val="20"/>
      <w:lang w:eastAsia="en-US"/>
    </w:rPr>
  </w:style>
  <w:style w:type="paragraph" w:styleId="Footer">
    <w:name w:val="footer"/>
    <w:basedOn w:val="Normal"/>
    <w:link w:val="FooterChar"/>
    <w:rsid w:val="006F39E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rsid w:val="006F39EB"/>
    <w:rPr>
      <w:rFonts w:eastAsia="Times New Roman" w:cs="Times New Roman"/>
      <w:caps/>
      <w:noProof/>
      <w:sz w:val="16"/>
      <w:szCs w:val="20"/>
      <w:lang w:eastAsia="en-US"/>
    </w:rPr>
  </w:style>
  <w:style w:type="character" w:styleId="Hyperlink">
    <w:name w:val="Hyperlink"/>
    <w:aliases w:val="CEO_Hyperlink"/>
    <w:basedOn w:val="DefaultParagraphFont"/>
    <w:unhideWhenUsed/>
    <w:rsid w:val="0088106F"/>
    <w:rPr>
      <w:color w:val="0000FF" w:themeColor="hyperlink"/>
      <w:u w:val="single"/>
    </w:rPr>
  </w:style>
  <w:style w:type="paragraph" w:customStyle="1" w:styleId="FirstFooter">
    <w:name w:val="FirstFooter"/>
    <w:basedOn w:val="Footer"/>
    <w:rsid w:val="006F39E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table" w:styleId="TableGrid">
    <w:name w:val="Table Grid"/>
    <w:basedOn w:val="TableNormal"/>
    <w:rsid w:val="006F39EB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nnexNo">
    <w:name w:val="Annex_No"/>
    <w:basedOn w:val="Normal"/>
    <w:next w:val="Normal"/>
    <w:rsid w:val="006F39E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6F39EB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6F39EB"/>
    <w:pPr>
      <w:keepNext/>
      <w:keepLines/>
      <w:spacing w:before="240" w:after="2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6F39EB"/>
    <w:rPr>
      <w:rFonts w:asciiTheme="minorHAnsi" w:hAnsiTheme="minorHAnsi"/>
      <w:b/>
    </w:rPr>
  </w:style>
  <w:style w:type="character" w:customStyle="1" w:styleId="Appref">
    <w:name w:val="App_ref"/>
    <w:basedOn w:val="DefaultParagraphFont"/>
    <w:rsid w:val="006F39E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6F39EB"/>
  </w:style>
  <w:style w:type="paragraph" w:customStyle="1" w:styleId="Appendixref">
    <w:name w:val="Appendix_ref"/>
    <w:basedOn w:val="Annexref"/>
    <w:next w:val="Annextitle"/>
    <w:rsid w:val="006F39EB"/>
  </w:style>
  <w:style w:type="paragraph" w:customStyle="1" w:styleId="Appendixtitle">
    <w:name w:val="Appendix_title"/>
    <w:basedOn w:val="Annextitle"/>
    <w:next w:val="Normal"/>
    <w:rsid w:val="006F39EB"/>
  </w:style>
  <w:style w:type="character" w:customStyle="1" w:styleId="Artdef">
    <w:name w:val="Art_def"/>
    <w:basedOn w:val="DefaultParagraphFont"/>
    <w:rsid w:val="006F39E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rsid w:val="006F39E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rsid w:val="006F39EB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6F39E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rsid w:val="006F39EB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6F39E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6F39E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Normal"/>
    <w:rsid w:val="006F39EB"/>
    <w:rPr>
      <w:b/>
    </w:rPr>
  </w:style>
  <w:style w:type="paragraph" w:customStyle="1" w:styleId="Chaptitle">
    <w:name w:val="Chap_title"/>
    <w:basedOn w:val="Arttitle"/>
    <w:next w:val="Normal"/>
    <w:rsid w:val="006F39EB"/>
  </w:style>
  <w:style w:type="paragraph" w:customStyle="1" w:styleId="Committee">
    <w:name w:val="Committee"/>
    <w:basedOn w:val="Normal"/>
    <w:qFormat/>
    <w:rsid w:val="006F39EB"/>
    <w:rPr>
      <w:rFonts w:cs="Times New Roman Bold"/>
      <w:b/>
      <w:caps/>
    </w:rPr>
  </w:style>
  <w:style w:type="paragraph" w:customStyle="1" w:styleId="ddate">
    <w:name w:val="ddate"/>
    <w:basedOn w:val="Normal"/>
    <w:rsid w:val="006F39E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6F39E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rlang">
    <w:name w:val="dorlang"/>
    <w:basedOn w:val="Normal"/>
    <w:rsid w:val="006F39E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basedOn w:val="DefaultParagraphFont"/>
    <w:semiHidden/>
    <w:rsid w:val="006F39EB"/>
    <w:rPr>
      <w:vertAlign w:val="superscript"/>
    </w:rPr>
  </w:style>
  <w:style w:type="paragraph" w:customStyle="1" w:styleId="enumlev1">
    <w:name w:val="enumlev1"/>
    <w:basedOn w:val="Normal"/>
    <w:link w:val="enumlev1Char"/>
    <w:qFormat/>
    <w:rsid w:val="006F39EB"/>
    <w:pPr>
      <w:spacing w:before="80"/>
      <w:ind w:left="794" w:hanging="794"/>
    </w:pPr>
  </w:style>
  <w:style w:type="paragraph" w:customStyle="1" w:styleId="enumlev2">
    <w:name w:val="enumlev2"/>
    <w:basedOn w:val="enumlev1"/>
    <w:rsid w:val="006F39EB"/>
    <w:pPr>
      <w:ind w:left="1191" w:hanging="397"/>
    </w:pPr>
  </w:style>
  <w:style w:type="paragraph" w:customStyle="1" w:styleId="enumlev3">
    <w:name w:val="enumlev3"/>
    <w:basedOn w:val="enumlev2"/>
    <w:rsid w:val="006F39EB"/>
    <w:pPr>
      <w:ind w:left="1588"/>
    </w:pPr>
  </w:style>
  <w:style w:type="paragraph" w:customStyle="1" w:styleId="Equation">
    <w:name w:val="Equation"/>
    <w:basedOn w:val="Normal"/>
    <w:rsid w:val="006F39E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6F39EB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  <w:rPr>
      <w:lang w:val="en-GB"/>
    </w:rPr>
  </w:style>
  <w:style w:type="paragraph" w:customStyle="1" w:styleId="Figurelegend">
    <w:name w:val="Figure_legend"/>
    <w:basedOn w:val="Normal"/>
    <w:rsid w:val="006F39E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rsid w:val="006F39EB"/>
    <w:pPr>
      <w:keepNext/>
      <w:keepLines/>
      <w:spacing w:before="480" w:after="120"/>
      <w:jc w:val="center"/>
    </w:pPr>
    <w:rPr>
      <w:caps/>
      <w:lang w:val="en-GB"/>
    </w:rPr>
  </w:style>
  <w:style w:type="paragraph" w:customStyle="1" w:styleId="Tabletitle">
    <w:name w:val="Table_title"/>
    <w:basedOn w:val="Normal"/>
    <w:next w:val="Normal"/>
    <w:rsid w:val="006F39EB"/>
    <w:pPr>
      <w:keepNext/>
      <w:keepLines/>
      <w:spacing w:before="0" w:after="120"/>
      <w:jc w:val="center"/>
    </w:pPr>
    <w:rPr>
      <w:b/>
      <w:lang w:val="en-GB"/>
    </w:rPr>
  </w:style>
  <w:style w:type="paragraph" w:customStyle="1" w:styleId="Figuretitle">
    <w:name w:val="Figure_title"/>
    <w:basedOn w:val="Tabletitle"/>
    <w:next w:val="Normal"/>
    <w:rsid w:val="006F39EB"/>
    <w:pPr>
      <w:keepNext w:val="0"/>
      <w:spacing w:after="480"/>
    </w:pPr>
  </w:style>
  <w:style w:type="paragraph" w:customStyle="1" w:styleId="Figurewithouttitle">
    <w:name w:val="Figure_without_title"/>
    <w:basedOn w:val="FigureNo"/>
    <w:next w:val="Normal"/>
    <w:rsid w:val="006F39EB"/>
    <w:pPr>
      <w:keepNext w:val="0"/>
    </w:pPr>
  </w:style>
  <w:style w:type="character" w:styleId="FootnoteReference">
    <w:name w:val="footnote reference"/>
    <w:aliases w:val="Appel note de bas de p,Footnote Reference/,Footnote symbol,Ref,de nota al pie,Style 12,(NECG) Footnote Reference,Style 124,Appel note de bas de p + 11 pt,Italic,Appel note de bas de p1,Appel note de bas de p2,Appel note de bas de p3,o"/>
    <w:basedOn w:val="DefaultParagraphFont"/>
    <w:qFormat/>
    <w:rsid w:val="006F39EB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Footnote Text Char1,Footnote Text Char Char1,Footnote Text Char4 Char Char,Footnote Text Char1 Char1 Char1 Char,Footnote Text Char Char1 Char1 Char Char,Footnote Text Char1 Char1 Char1 Char Char Char1,DNV-FT,DN,Char1,DNV,fn"/>
    <w:basedOn w:val="Normal"/>
    <w:link w:val="FootnoteTextChar"/>
    <w:rsid w:val="006F39EB"/>
    <w:pPr>
      <w:keepLines/>
      <w:tabs>
        <w:tab w:val="left" w:pos="255"/>
      </w:tabs>
      <w:ind w:left="255" w:hanging="255"/>
    </w:pPr>
  </w:style>
  <w:style w:type="character" w:customStyle="1" w:styleId="FootnoteTextChar">
    <w:name w:val="Footnote Text Char"/>
    <w:aliases w:val="ALTS FOOTNOTE Char,Footnote Text Char1 Char,Footnote Text Char Char1 Char,Footnote Text Char4 Char Char Char,Footnote Text Char1 Char1 Char1 Char Char,Footnote Text Char Char1 Char1 Char Char Char,DNV-FT Char,DN Char,Char1 Char"/>
    <w:basedOn w:val="DefaultParagraphFont"/>
    <w:link w:val="FootnoteText"/>
    <w:uiPriority w:val="99"/>
    <w:rsid w:val="006F39EB"/>
    <w:rPr>
      <w:rFonts w:eastAsia="Times New Roman" w:cs="Times New Roman"/>
      <w:sz w:val="24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rsid w:val="006F39EB"/>
    <w:rPr>
      <w:rFonts w:eastAsia="Times New Roman" w:cs="Times New Roman"/>
      <w:b/>
      <w:sz w:val="28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9EB"/>
    <w:rPr>
      <w:rFonts w:eastAsia="Times New Roman" w:cs="Times New Roman"/>
      <w:b/>
      <w:sz w:val="24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6F39EB"/>
    <w:rPr>
      <w:rFonts w:eastAsia="Times New Roman" w:cs="Times New Roman"/>
      <w:b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9EB"/>
    <w:rPr>
      <w:rFonts w:eastAsia="Times New Roman" w:cs="Times New Roman"/>
      <w:b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9EB"/>
    <w:rPr>
      <w:rFonts w:eastAsia="Times New Roman" w:cs="Times New Roman"/>
      <w:b/>
      <w:sz w:val="24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9EB"/>
    <w:rPr>
      <w:rFonts w:eastAsia="Times New Roman" w:cs="Times New Roman"/>
      <w:b/>
      <w:sz w:val="24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9EB"/>
    <w:rPr>
      <w:rFonts w:eastAsia="Times New Roman" w:cs="Times New Roman"/>
      <w:b/>
      <w:sz w:val="24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9EB"/>
    <w:rPr>
      <w:rFonts w:eastAsia="Times New Roman" w:cs="Times New Roman"/>
      <w:b/>
      <w:sz w:val="24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9EB"/>
    <w:rPr>
      <w:rFonts w:eastAsia="Times New Roman" w:cs="Times New Roman"/>
      <w:b/>
      <w:sz w:val="24"/>
      <w:szCs w:val="20"/>
      <w:lang w:eastAsia="en-US"/>
    </w:rPr>
  </w:style>
  <w:style w:type="paragraph" w:customStyle="1" w:styleId="Headingb">
    <w:name w:val="Heading_b"/>
    <w:basedOn w:val="Normal"/>
    <w:next w:val="Normal"/>
    <w:rsid w:val="006F39E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6F39E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6F39EB"/>
  </w:style>
  <w:style w:type="paragraph" w:styleId="Index2">
    <w:name w:val="index 2"/>
    <w:basedOn w:val="Normal"/>
    <w:next w:val="Normal"/>
    <w:semiHidden/>
    <w:rsid w:val="006F39EB"/>
    <w:pPr>
      <w:ind w:left="283"/>
    </w:pPr>
  </w:style>
  <w:style w:type="paragraph" w:styleId="Index3">
    <w:name w:val="index 3"/>
    <w:basedOn w:val="Normal"/>
    <w:next w:val="Normal"/>
    <w:semiHidden/>
    <w:rsid w:val="006F39EB"/>
    <w:pPr>
      <w:ind w:left="566"/>
    </w:pPr>
  </w:style>
  <w:style w:type="paragraph" w:styleId="Index4">
    <w:name w:val="index 4"/>
    <w:basedOn w:val="Normal"/>
    <w:next w:val="Normal"/>
    <w:semiHidden/>
    <w:rsid w:val="006F39EB"/>
    <w:pPr>
      <w:ind w:left="849"/>
    </w:pPr>
  </w:style>
  <w:style w:type="paragraph" w:styleId="Index5">
    <w:name w:val="index 5"/>
    <w:basedOn w:val="Normal"/>
    <w:next w:val="Normal"/>
    <w:semiHidden/>
    <w:rsid w:val="006F39EB"/>
    <w:pPr>
      <w:ind w:left="1132"/>
    </w:pPr>
  </w:style>
  <w:style w:type="paragraph" w:styleId="Index6">
    <w:name w:val="index 6"/>
    <w:basedOn w:val="Normal"/>
    <w:next w:val="Normal"/>
    <w:semiHidden/>
    <w:rsid w:val="006F39EB"/>
    <w:pPr>
      <w:ind w:left="1415"/>
    </w:pPr>
  </w:style>
  <w:style w:type="paragraph" w:styleId="Index7">
    <w:name w:val="index 7"/>
    <w:basedOn w:val="Normal"/>
    <w:next w:val="Normal"/>
    <w:semiHidden/>
    <w:rsid w:val="006F39EB"/>
    <w:pPr>
      <w:ind w:left="1698"/>
    </w:pPr>
  </w:style>
  <w:style w:type="paragraph" w:styleId="IndexHeading">
    <w:name w:val="index heading"/>
    <w:basedOn w:val="Normal"/>
    <w:next w:val="Index1"/>
    <w:semiHidden/>
    <w:rsid w:val="006F39EB"/>
  </w:style>
  <w:style w:type="character" w:styleId="LineNumber">
    <w:name w:val="line number"/>
    <w:rsid w:val="006F39EB"/>
    <w:rPr>
      <w:rFonts w:asciiTheme="minorHAnsi" w:hAnsiTheme="minorHAnsi"/>
    </w:rPr>
  </w:style>
  <w:style w:type="paragraph" w:customStyle="1" w:styleId="Normalaftertitle">
    <w:name w:val="Normal after title"/>
    <w:basedOn w:val="Normal"/>
    <w:next w:val="Normal"/>
    <w:rsid w:val="00E51C72"/>
    <w:pPr>
      <w:spacing w:before="280"/>
    </w:pPr>
  </w:style>
  <w:style w:type="paragraph" w:styleId="NormalIndent">
    <w:name w:val="Normal Indent"/>
    <w:basedOn w:val="Normal"/>
    <w:rsid w:val="006F39EB"/>
    <w:pPr>
      <w:ind w:left="794"/>
    </w:pPr>
  </w:style>
  <w:style w:type="paragraph" w:customStyle="1" w:styleId="Note">
    <w:name w:val="Note"/>
    <w:basedOn w:val="Normal"/>
    <w:rsid w:val="006F39EB"/>
    <w:pPr>
      <w:spacing w:before="80"/>
    </w:pPr>
  </w:style>
  <w:style w:type="character" w:styleId="PageNumber">
    <w:name w:val="page number"/>
    <w:basedOn w:val="DefaultParagraphFont"/>
    <w:rsid w:val="006F39EB"/>
    <w:rPr>
      <w:rFonts w:asciiTheme="minorHAnsi" w:hAnsiTheme="minorHAnsi"/>
    </w:rPr>
  </w:style>
  <w:style w:type="paragraph" w:customStyle="1" w:styleId="PartNo">
    <w:name w:val="Part_No"/>
    <w:basedOn w:val="AnnexNo"/>
    <w:next w:val="Normal"/>
    <w:rsid w:val="006F39EB"/>
  </w:style>
  <w:style w:type="paragraph" w:customStyle="1" w:styleId="Partref">
    <w:name w:val="Part_ref"/>
    <w:basedOn w:val="Annexref"/>
    <w:next w:val="Normal"/>
    <w:rsid w:val="006F39EB"/>
  </w:style>
  <w:style w:type="paragraph" w:customStyle="1" w:styleId="Parttitle">
    <w:name w:val="Part_title"/>
    <w:basedOn w:val="Annextitle"/>
    <w:next w:val="Normalaftertitle"/>
    <w:rsid w:val="006F39EB"/>
  </w:style>
  <w:style w:type="paragraph" w:customStyle="1" w:styleId="RecNo">
    <w:name w:val="Rec_No"/>
    <w:basedOn w:val="Normal"/>
    <w:next w:val="Normal"/>
    <w:rsid w:val="006F39EB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6F39EB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6F39EB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b w:val="0"/>
      <w:i/>
      <w:sz w:val="24"/>
    </w:rPr>
  </w:style>
  <w:style w:type="paragraph" w:customStyle="1" w:styleId="Recdate">
    <w:name w:val="Rec_date"/>
    <w:basedOn w:val="Recref"/>
    <w:next w:val="Normalaftertitle"/>
    <w:rsid w:val="006F39EB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6F39EB"/>
  </w:style>
  <w:style w:type="paragraph" w:customStyle="1" w:styleId="QuestionNo">
    <w:name w:val="Question_No"/>
    <w:basedOn w:val="RecNo"/>
    <w:next w:val="Normal"/>
    <w:rsid w:val="006F39EB"/>
  </w:style>
  <w:style w:type="paragraph" w:customStyle="1" w:styleId="Questionref">
    <w:name w:val="Question_ref"/>
    <w:basedOn w:val="Normal"/>
    <w:next w:val="Questiondate"/>
    <w:rsid w:val="006F39EB"/>
  </w:style>
  <w:style w:type="paragraph" w:customStyle="1" w:styleId="Questiontitle">
    <w:name w:val="Question_title"/>
    <w:basedOn w:val="Rectitle"/>
    <w:next w:val="Questionref"/>
    <w:rsid w:val="006F39EB"/>
  </w:style>
  <w:style w:type="character" w:customStyle="1" w:styleId="Recdef">
    <w:name w:val="Rec_def"/>
    <w:basedOn w:val="DefaultParagraphFont"/>
    <w:rsid w:val="006F39EB"/>
    <w:rPr>
      <w:rFonts w:asciiTheme="minorHAnsi" w:hAnsiTheme="minorHAnsi"/>
      <w:b/>
    </w:rPr>
  </w:style>
  <w:style w:type="paragraph" w:customStyle="1" w:styleId="Reftext">
    <w:name w:val="Ref_text"/>
    <w:basedOn w:val="Normal"/>
    <w:rsid w:val="006F39EB"/>
    <w:pPr>
      <w:ind w:left="794" w:hanging="794"/>
    </w:pPr>
  </w:style>
  <w:style w:type="paragraph" w:customStyle="1" w:styleId="Reftitle">
    <w:name w:val="Ref_title"/>
    <w:basedOn w:val="Normal"/>
    <w:next w:val="Reftext"/>
    <w:rsid w:val="006F39EB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6F39EB"/>
  </w:style>
  <w:style w:type="paragraph" w:customStyle="1" w:styleId="RepNo">
    <w:name w:val="Rep_No"/>
    <w:basedOn w:val="RecNo"/>
    <w:next w:val="Normal"/>
    <w:rsid w:val="006F39EB"/>
  </w:style>
  <w:style w:type="paragraph" w:customStyle="1" w:styleId="Repref">
    <w:name w:val="Rep_ref"/>
    <w:basedOn w:val="Recref"/>
    <w:next w:val="Repdate"/>
    <w:rsid w:val="006F39EB"/>
  </w:style>
  <w:style w:type="paragraph" w:customStyle="1" w:styleId="Reptitle">
    <w:name w:val="Rep_title"/>
    <w:basedOn w:val="Rectitle"/>
    <w:next w:val="Repref"/>
    <w:rsid w:val="006F39EB"/>
  </w:style>
  <w:style w:type="paragraph" w:customStyle="1" w:styleId="Resdate">
    <w:name w:val="Res_date"/>
    <w:basedOn w:val="Recdate"/>
    <w:next w:val="Normalaftertitle"/>
    <w:rsid w:val="006F39EB"/>
  </w:style>
  <w:style w:type="character" w:customStyle="1" w:styleId="Resdef">
    <w:name w:val="Res_def"/>
    <w:basedOn w:val="DefaultParagraphFont"/>
    <w:rsid w:val="006F39EB"/>
    <w:rPr>
      <w:rFonts w:asciiTheme="minorHAnsi" w:hAnsiTheme="minorHAnsi"/>
      <w:b/>
    </w:rPr>
  </w:style>
  <w:style w:type="paragraph" w:customStyle="1" w:styleId="ResNo">
    <w:name w:val="Res_No"/>
    <w:basedOn w:val="RecNo"/>
    <w:next w:val="Normal"/>
    <w:rsid w:val="006F39EB"/>
  </w:style>
  <w:style w:type="paragraph" w:customStyle="1" w:styleId="Resref">
    <w:name w:val="Res_ref"/>
    <w:basedOn w:val="Recref"/>
    <w:next w:val="Resdate"/>
    <w:rsid w:val="006F39EB"/>
  </w:style>
  <w:style w:type="paragraph" w:customStyle="1" w:styleId="Restitle">
    <w:name w:val="Res_title"/>
    <w:basedOn w:val="Rectitle"/>
    <w:next w:val="Resref"/>
    <w:rsid w:val="006F39EB"/>
  </w:style>
  <w:style w:type="paragraph" w:customStyle="1" w:styleId="SectionNo">
    <w:name w:val="Section_No"/>
    <w:basedOn w:val="AnnexNo"/>
    <w:next w:val="Normal"/>
    <w:rsid w:val="006F39EB"/>
  </w:style>
  <w:style w:type="paragraph" w:customStyle="1" w:styleId="Sectiontitle">
    <w:name w:val="Section_title"/>
    <w:basedOn w:val="Annextitle"/>
    <w:next w:val="Normalaftertitle"/>
    <w:rsid w:val="006F39EB"/>
  </w:style>
  <w:style w:type="paragraph" w:customStyle="1" w:styleId="Source">
    <w:name w:val="Source"/>
    <w:basedOn w:val="Normal"/>
    <w:next w:val="Normalaftertitle"/>
    <w:rsid w:val="00991B13"/>
    <w:pPr>
      <w:spacing w:before="240" w:after="24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6F39E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/>
    </w:rPr>
  </w:style>
  <w:style w:type="character" w:customStyle="1" w:styleId="Tablefreq">
    <w:name w:val="Table_freq"/>
    <w:basedOn w:val="DefaultParagraphFont"/>
    <w:rsid w:val="006F39EB"/>
    <w:rPr>
      <w:rFonts w:asciiTheme="minorHAnsi" w:hAnsiTheme="minorHAnsi"/>
      <w:b/>
      <w:color w:val="auto"/>
    </w:rPr>
  </w:style>
  <w:style w:type="paragraph" w:customStyle="1" w:styleId="Tabletext">
    <w:name w:val="Table_text"/>
    <w:basedOn w:val="Normal"/>
    <w:rsid w:val="006F39E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head">
    <w:name w:val="Table_head"/>
    <w:basedOn w:val="Tabletext"/>
    <w:next w:val="Tabletext"/>
    <w:rsid w:val="006F39EB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6F39EB"/>
    <w:pPr>
      <w:spacing w:before="120"/>
    </w:pPr>
  </w:style>
  <w:style w:type="paragraph" w:customStyle="1" w:styleId="TableNo">
    <w:name w:val="Table_No"/>
    <w:basedOn w:val="Normal"/>
    <w:next w:val="Tabletitle"/>
    <w:rsid w:val="006F39EB"/>
    <w:pPr>
      <w:keepNext/>
      <w:spacing w:before="560" w:after="120"/>
      <w:jc w:val="center"/>
    </w:pPr>
    <w:rPr>
      <w:caps/>
      <w:lang w:val="en-GB"/>
    </w:rPr>
  </w:style>
  <w:style w:type="paragraph" w:customStyle="1" w:styleId="Tableref">
    <w:name w:val="Table_ref"/>
    <w:basedOn w:val="Normal"/>
    <w:next w:val="Tabletitle"/>
    <w:rsid w:val="006F39EB"/>
    <w:pPr>
      <w:keepNext/>
      <w:spacing w:before="0" w:after="120"/>
      <w:jc w:val="center"/>
    </w:pPr>
    <w:rPr>
      <w:lang w:val="en-GB"/>
    </w:rPr>
  </w:style>
  <w:style w:type="paragraph" w:customStyle="1" w:styleId="Title1">
    <w:name w:val="Title 1"/>
    <w:basedOn w:val="Source"/>
    <w:next w:val="Normal"/>
    <w:rsid w:val="00991B1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120" w:after="120"/>
    </w:pPr>
    <w:rPr>
      <w:b w:val="0"/>
      <w:caps/>
    </w:rPr>
  </w:style>
  <w:style w:type="paragraph" w:customStyle="1" w:styleId="Title2">
    <w:name w:val="Title 2"/>
    <w:basedOn w:val="Title1"/>
    <w:next w:val="Normal"/>
    <w:rsid w:val="006F39EB"/>
  </w:style>
  <w:style w:type="paragraph" w:customStyle="1" w:styleId="Title3">
    <w:name w:val="Title 3"/>
    <w:basedOn w:val="Title2"/>
    <w:next w:val="Normal"/>
    <w:rsid w:val="006F39EB"/>
    <w:rPr>
      <w:caps w:val="0"/>
    </w:rPr>
  </w:style>
  <w:style w:type="paragraph" w:customStyle="1" w:styleId="Title4">
    <w:name w:val="Title 4"/>
    <w:basedOn w:val="Title3"/>
    <w:next w:val="Heading1"/>
    <w:rsid w:val="006F39EB"/>
    <w:rPr>
      <w:b/>
    </w:rPr>
  </w:style>
  <w:style w:type="paragraph" w:customStyle="1" w:styleId="toc0">
    <w:name w:val="toc 0"/>
    <w:basedOn w:val="Normal"/>
    <w:next w:val="TOC1"/>
    <w:rsid w:val="006F39EB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TOC1">
    <w:name w:val="toc 1"/>
    <w:basedOn w:val="Normal"/>
    <w:rsid w:val="006F39E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647"/>
        <w:tab w:val="center" w:pos="9526"/>
      </w:tabs>
      <w:spacing w:before="240"/>
      <w:ind w:left="964" w:hanging="964"/>
    </w:pPr>
    <w:rPr>
      <w:lang w:val="en-GB"/>
    </w:rPr>
  </w:style>
  <w:style w:type="paragraph" w:styleId="TOC2">
    <w:name w:val="toc 2"/>
    <w:basedOn w:val="TOC1"/>
    <w:rsid w:val="006F39EB"/>
    <w:pPr>
      <w:spacing w:before="120"/>
    </w:pPr>
  </w:style>
  <w:style w:type="paragraph" w:styleId="TOC3">
    <w:name w:val="toc 3"/>
    <w:basedOn w:val="TOC2"/>
    <w:rsid w:val="006F39EB"/>
  </w:style>
  <w:style w:type="paragraph" w:styleId="TOC4">
    <w:name w:val="toc 4"/>
    <w:basedOn w:val="TOC3"/>
    <w:semiHidden/>
    <w:rsid w:val="006F39EB"/>
  </w:style>
  <w:style w:type="paragraph" w:styleId="TOC5">
    <w:name w:val="toc 5"/>
    <w:basedOn w:val="TOC4"/>
    <w:semiHidden/>
    <w:rsid w:val="006F39EB"/>
  </w:style>
  <w:style w:type="paragraph" w:styleId="TOC6">
    <w:name w:val="toc 6"/>
    <w:basedOn w:val="TOC4"/>
    <w:semiHidden/>
    <w:rsid w:val="006F39EB"/>
  </w:style>
  <w:style w:type="paragraph" w:styleId="TOC7">
    <w:name w:val="toc 7"/>
    <w:basedOn w:val="TOC4"/>
    <w:semiHidden/>
    <w:rsid w:val="006F39EB"/>
  </w:style>
  <w:style w:type="paragraph" w:styleId="TOC8">
    <w:name w:val="toc 8"/>
    <w:basedOn w:val="TOC4"/>
    <w:semiHidden/>
    <w:rsid w:val="006F39EB"/>
  </w:style>
  <w:style w:type="paragraph" w:styleId="TOC9">
    <w:name w:val="toc 9"/>
    <w:basedOn w:val="TOC3"/>
    <w:semiHidden/>
    <w:rsid w:val="006F39EB"/>
  </w:style>
  <w:style w:type="paragraph" w:customStyle="1" w:styleId="Reasons">
    <w:name w:val="Reasons"/>
    <w:basedOn w:val="Normal"/>
    <w:qFormat/>
    <w:rsid w:val="006E4AB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hAnsi="Times New Roman"/>
      <w:lang w:val="en-US"/>
    </w:rPr>
  </w:style>
  <w:style w:type="paragraph" w:customStyle="1" w:styleId="Volumetitle">
    <w:name w:val="Volume_title"/>
    <w:basedOn w:val="Normal"/>
    <w:qFormat/>
    <w:rsid w:val="005557A3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jc w:val="center"/>
    </w:pPr>
    <w:rPr>
      <w:rFonts w:ascii="Times New Roman" w:hAnsi="Times New Roman"/>
      <w:b/>
      <w:bCs/>
      <w:sz w:val="28"/>
      <w:szCs w:val="28"/>
      <w:lang w:val="en-GB"/>
    </w:rPr>
  </w:style>
  <w:style w:type="paragraph" w:customStyle="1" w:styleId="Proposal">
    <w:name w:val="Proposal"/>
    <w:basedOn w:val="Normal"/>
    <w:next w:val="Normal"/>
    <w:rsid w:val="006339E7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/>
    </w:pPr>
    <w:rPr>
      <w:rFonts w:hAnsi="Times New Roman Bold"/>
      <w:lang w:val="en-GB"/>
    </w:rPr>
  </w:style>
  <w:style w:type="character" w:customStyle="1" w:styleId="enumlev1Char">
    <w:name w:val="enumlev1 Char"/>
    <w:basedOn w:val="DefaultParagraphFont"/>
    <w:link w:val="enumlev1"/>
    <w:rsid w:val="00152A04"/>
    <w:rPr>
      <w:rFonts w:eastAsia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en/council/Pages/eg-itrs.asp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itu.int/md/S20-EGITR2-200212-DL-0002/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tu.int/md/S19-EGITR1-190916-DL-0004/es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ITU-D/Conferences/TDAG/Pages/default.aspx" TargetMode="External"/><Relationship Id="rId1" Type="http://schemas.openxmlformats.org/officeDocument/2006/relationships/hyperlink" Target="http://www.itu.int/ITU-D/TDAG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tu.int/en/council/Pages/eg-itrs.asp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yala\AppData\Roaming\Microsoft\Templates\POOL%20S%20-%20ITU\PS_TDAG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EB74E-34D0-4594-9D39-2B1FE075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PS_TDAG20.dotx</Template>
  <TotalTime>8</TotalTime>
  <Pages>4</Pages>
  <Words>1235</Words>
  <Characters>6793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TDAG17</vt:lpstr>
      <vt:lpstr>1	Antecedentes</vt:lpstr>
      <vt:lpstr>    En su reunión de junio de 2019, el Consejo examinó y modificó su Resolución 1379</vt:lpstr>
      <vt:lpstr>2	Resultados de la primera reunión del GE-RTI (16-17 de septiembre de 2019)</vt:lpstr>
      <vt:lpstr>3	Resultados de la segunda reunión del GE-RTI (12-13 de febrero de 2020)</vt:lpstr>
    </vt:vector>
  </TitlesOfParts>
  <Company>International Telecommunication Union (ITU)</Company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TDAG17</dc:title>
  <dc:subject/>
  <dc:creator>Spanish</dc:creator>
  <cp:keywords/>
  <dc:description/>
  <cp:lastModifiedBy>Spanish</cp:lastModifiedBy>
  <cp:revision>4</cp:revision>
  <dcterms:created xsi:type="dcterms:W3CDTF">2020-02-28T08:01:00Z</dcterms:created>
  <dcterms:modified xsi:type="dcterms:W3CDTF">2020-02-28T08:12:00Z</dcterms:modified>
</cp:coreProperties>
</file>