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096"/>
        <w:gridCol w:w="3827"/>
      </w:tblGrid>
      <w:tr w:rsidR="00935ABD" w:rsidRPr="00BD7A1A" w14:paraId="074B0FCF" w14:textId="77777777" w:rsidTr="006D4BAB">
        <w:trPr>
          <w:trHeight w:val="1134"/>
        </w:trPr>
        <w:tc>
          <w:tcPr>
            <w:tcW w:w="6096" w:type="dxa"/>
          </w:tcPr>
          <w:p w14:paraId="7085AF1A" w14:textId="77777777" w:rsidR="00935ABD" w:rsidRDefault="00935ABD" w:rsidP="006D4BAB">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(КГРЭ)</w:t>
            </w:r>
          </w:p>
          <w:p w14:paraId="539B5B6D" w14:textId="77777777" w:rsidR="00935ABD" w:rsidRPr="003C3B3D" w:rsidRDefault="00935ABD" w:rsidP="006D4BAB">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val="en-GB" w:eastAsia="zh-CN"/>
              </w:rPr>
            </w:pPr>
            <w:r w:rsidRPr="00267195">
              <w:rPr>
                <w:rFonts w:cstheme="minorHAnsi"/>
                <w:b/>
                <w:bCs/>
                <w:szCs w:val="24"/>
                <w:lang w:eastAsia="zh-CN"/>
              </w:rPr>
              <w:t>25-е собрание, Женева, 2-5 июня 2020</w:t>
            </w:r>
          </w:p>
        </w:tc>
        <w:tc>
          <w:tcPr>
            <w:tcW w:w="3827" w:type="dxa"/>
            <w:vAlign w:val="center"/>
          </w:tcPr>
          <w:p w14:paraId="0A0F4808" w14:textId="77777777" w:rsidR="00935ABD" w:rsidRPr="00FC5ABC" w:rsidRDefault="00935ABD" w:rsidP="006D4BAB">
            <w:pPr>
              <w:widowControl w:val="0"/>
              <w:spacing w:before="40"/>
              <w:jc w:val="right"/>
            </w:pPr>
            <w:r w:rsidRPr="008E52B1">
              <w:rPr>
                <w:noProof/>
                <w:color w:val="3399FF"/>
                <w:lang w:val="en-GB" w:eastAsia="en-GB"/>
              </w:rPr>
              <w:drawing>
                <wp:inline distT="0" distB="0" distL="0" distR="0" wp14:anchorId="03674C45" wp14:editId="2CE5AEB6">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935ABD" w:rsidRPr="00BD7A1A" w14:paraId="4F51075E" w14:textId="77777777" w:rsidTr="006D4BAB">
        <w:tc>
          <w:tcPr>
            <w:tcW w:w="6096" w:type="dxa"/>
            <w:tcBorders>
              <w:top w:val="single" w:sz="12" w:space="0" w:color="auto"/>
            </w:tcBorders>
          </w:tcPr>
          <w:p w14:paraId="65AA34D0" w14:textId="77777777" w:rsidR="00935ABD" w:rsidRPr="00BD7A1A" w:rsidRDefault="00935ABD" w:rsidP="006D4BAB">
            <w:pPr>
              <w:widowControl w:val="0"/>
              <w:spacing w:before="0"/>
              <w:rPr>
                <w:rFonts w:ascii="Verdana" w:hAnsi="Verdana"/>
                <w:b/>
                <w:smallCaps/>
                <w:sz w:val="18"/>
                <w:szCs w:val="18"/>
              </w:rPr>
            </w:pPr>
          </w:p>
        </w:tc>
        <w:tc>
          <w:tcPr>
            <w:tcW w:w="3827" w:type="dxa"/>
            <w:tcBorders>
              <w:top w:val="single" w:sz="12" w:space="0" w:color="auto"/>
            </w:tcBorders>
          </w:tcPr>
          <w:p w14:paraId="4DB90DBE" w14:textId="77777777" w:rsidR="00935ABD" w:rsidRPr="00BD7A1A" w:rsidRDefault="00935ABD" w:rsidP="006D4BAB">
            <w:pPr>
              <w:widowControl w:val="0"/>
              <w:spacing w:before="0"/>
              <w:rPr>
                <w:rFonts w:ascii="Verdana" w:hAnsi="Verdana"/>
                <w:sz w:val="18"/>
                <w:szCs w:val="18"/>
              </w:rPr>
            </w:pPr>
          </w:p>
        </w:tc>
      </w:tr>
      <w:tr w:rsidR="00935ABD" w:rsidRPr="00BD7A1A" w14:paraId="114B52D4" w14:textId="77777777" w:rsidTr="006D4BAB">
        <w:trPr>
          <w:trHeight w:val="300"/>
        </w:trPr>
        <w:tc>
          <w:tcPr>
            <w:tcW w:w="6096" w:type="dxa"/>
          </w:tcPr>
          <w:p w14:paraId="729476B7" w14:textId="77777777" w:rsidR="00935ABD" w:rsidRPr="00CD34AE" w:rsidRDefault="00935ABD" w:rsidP="006D4BAB">
            <w:pPr>
              <w:widowControl w:val="0"/>
              <w:spacing w:before="0"/>
              <w:rPr>
                <w:rFonts w:ascii="Verdana" w:hAnsi="Verdana"/>
                <w:b/>
                <w:bCs/>
                <w:smallCaps/>
                <w:sz w:val="18"/>
                <w:szCs w:val="18"/>
              </w:rPr>
            </w:pPr>
          </w:p>
        </w:tc>
        <w:tc>
          <w:tcPr>
            <w:tcW w:w="3827" w:type="dxa"/>
          </w:tcPr>
          <w:p w14:paraId="449B34F4" w14:textId="59DC8AAD" w:rsidR="00935ABD" w:rsidRPr="00CD34AE" w:rsidRDefault="00935ABD" w:rsidP="006D4BAB">
            <w:pPr>
              <w:widowControl w:val="0"/>
              <w:spacing w:before="0"/>
              <w:rPr>
                <w:rFonts w:ascii="Verdana" w:hAnsi="Verdana"/>
                <w:b/>
                <w:bCs/>
                <w:lang w:val="en-US"/>
              </w:rPr>
            </w:pPr>
            <w:r w:rsidRPr="00BD7A1A">
              <w:rPr>
                <w:rFonts w:cstheme="minorHAnsi"/>
                <w:b/>
                <w:bCs/>
              </w:rPr>
              <w:t xml:space="preserve">Документ </w:t>
            </w:r>
            <w:r>
              <w:rPr>
                <w:rFonts w:cstheme="minorHAnsi"/>
                <w:b/>
                <w:bCs/>
                <w:lang w:val="en-US"/>
              </w:rPr>
              <w:t>TDAG-20</w:t>
            </w:r>
            <w:r w:rsidRPr="00BD7A1A">
              <w:rPr>
                <w:rFonts w:cstheme="minorHAnsi"/>
                <w:b/>
                <w:bCs/>
              </w:rPr>
              <w:t>/</w:t>
            </w:r>
            <w:bookmarkStart w:id="0" w:name="DocNo1"/>
            <w:bookmarkEnd w:id="0"/>
            <w:r>
              <w:rPr>
                <w:rFonts w:cstheme="minorHAnsi"/>
                <w:b/>
                <w:bCs/>
                <w:lang w:val="en-US"/>
              </w:rPr>
              <w:t>INF/</w:t>
            </w:r>
            <w:r>
              <w:rPr>
                <w:rFonts w:cstheme="minorHAnsi"/>
                <w:b/>
                <w:bCs/>
                <w:lang w:val="en-US"/>
              </w:rPr>
              <w:t>10</w:t>
            </w:r>
            <w:r>
              <w:rPr>
                <w:rFonts w:cstheme="minorHAnsi"/>
                <w:b/>
                <w:bCs/>
                <w:lang w:val="en-US"/>
              </w:rPr>
              <w:t>-R</w:t>
            </w:r>
          </w:p>
        </w:tc>
      </w:tr>
      <w:tr w:rsidR="00935ABD" w:rsidRPr="00BD7A1A" w14:paraId="34A107C4" w14:textId="77777777" w:rsidTr="006D4BAB">
        <w:trPr>
          <w:trHeight w:val="300"/>
        </w:trPr>
        <w:tc>
          <w:tcPr>
            <w:tcW w:w="6096" w:type="dxa"/>
          </w:tcPr>
          <w:p w14:paraId="11B54EDC" w14:textId="77777777" w:rsidR="00935ABD" w:rsidRPr="00CD34AE" w:rsidRDefault="00935ABD" w:rsidP="006D4BAB">
            <w:pPr>
              <w:spacing w:before="0"/>
              <w:rPr>
                <w:b/>
                <w:bCs/>
                <w:smallCaps/>
                <w:szCs w:val="24"/>
                <w:lang w:val="en-US"/>
              </w:rPr>
            </w:pPr>
          </w:p>
        </w:tc>
        <w:tc>
          <w:tcPr>
            <w:tcW w:w="3827" w:type="dxa"/>
          </w:tcPr>
          <w:p w14:paraId="739EF81B" w14:textId="77777777" w:rsidR="00935ABD" w:rsidRPr="00CD34AE" w:rsidRDefault="00935ABD" w:rsidP="006D4BAB">
            <w:pPr>
              <w:widowControl w:val="0"/>
              <w:spacing w:before="0"/>
              <w:rPr>
                <w:rFonts w:ascii="Verdana" w:hAnsi="Verdana"/>
                <w:b/>
                <w:bCs/>
              </w:rPr>
            </w:pPr>
            <w:r>
              <w:rPr>
                <w:b/>
                <w:bCs/>
                <w:lang w:val="en-US"/>
              </w:rPr>
              <w:t>18</w:t>
            </w:r>
            <w:r w:rsidRPr="00F26531">
              <w:rPr>
                <w:b/>
                <w:bCs/>
              </w:rPr>
              <w:t xml:space="preserve"> мая 2020 года</w:t>
            </w:r>
          </w:p>
        </w:tc>
      </w:tr>
      <w:tr w:rsidR="00935ABD" w:rsidRPr="00BD7A1A" w14:paraId="1518FF00" w14:textId="77777777" w:rsidTr="006D4BAB">
        <w:trPr>
          <w:trHeight w:val="300"/>
        </w:trPr>
        <w:tc>
          <w:tcPr>
            <w:tcW w:w="6096" w:type="dxa"/>
          </w:tcPr>
          <w:p w14:paraId="20B3A9AB" w14:textId="77777777" w:rsidR="00935ABD" w:rsidRPr="00CD34AE" w:rsidRDefault="00935ABD" w:rsidP="006D4BAB">
            <w:pPr>
              <w:widowControl w:val="0"/>
              <w:spacing w:before="0"/>
              <w:rPr>
                <w:rFonts w:ascii="Verdana" w:hAnsi="Verdana"/>
                <w:b/>
                <w:bCs/>
                <w:smallCaps/>
                <w:sz w:val="18"/>
                <w:szCs w:val="18"/>
              </w:rPr>
            </w:pPr>
          </w:p>
        </w:tc>
        <w:tc>
          <w:tcPr>
            <w:tcW w:w="3827" w:type="dxa"/>
          </w:tcPr>
          <w:p w14:paraId="2780D931" w14:textId="77777777" w:rsidR="00935ABD" w:rsidRPr="00A73D91" w:rsidRDefault="00935ABD" w:rsidP="006D4BAB">
            <w:pPr>
              <w:widowControl w:val="0"/>
              <w:spacing w:before="0"/>
              <w:rPr>
                <w:rFonts w:ascii="Verdana" w:hAnsi="Verdana"/>
                <w:b/>
                <w:bCs/>
                <w:lang w:val="en-US"/>
              </w:rPr>
            </w:pPr>
            <w:r w:rsidRPr="00BD7A1A">
              <w:rPr>
                <w:rFonts w:cstheme="minorHAnsi"/>
                <w:b/>
                <w:bCs/>
              </w:rPr>
              <w:t>Оригинал:</w:t>
            </w:r>
            <w:bookmarkStart w:id="1" w:name="Original"/>
            <w:bookmarkEnd w:id="1"/>
            <w:r>
              <w:rPr>
                <w:rFonts w:cstheme="minorHAnsi"/>
                <w:b/>
                <w:bCs/>
                <w:lang w:val="en-US"/>
              </w:rPr>
              <w:t xml:space="preserve"> </w:t>
            </w:r>
            <w:proofErr w:type="spellStart"/>
            <w:r w:rsidRPr="00225076">
              <w:rPr>
                <w:rFonts w:cstheme="minorHAnsi"/>
                <w:b/>
                <w:bCs/>
                <w:lang w:val="en-US"/>
              </w:rPr>
              <w:t>английский</w:t>
            </w:r>
            <w:proofErr w:type="spellEnd"/>
          </w:p>
        </w:tc>
      </w:tr>
      <w:tr w:rsidR="00935ABD" w:rsidRPr="00BD7A1A" w14:paraId="18AFA6CB" w14:textId="77777777" w:rsidTr="006D4BAB">
        <w:trPr>
          <w:trHeight w:val="850"/>
        </w:trPr>
        <w:tc>
          <w:tcPr>
            <w:tcW w:w="9923" w:type="dxa"/>
            <w:gridSpan w:val="2"/>
          </w:tcPr>
          <w:p w14:paraId="7AFB6070" w14:textId="77777777" w:rsidR="00935ABD" w:rsidRPr="00BD7A1A" w:rsidRDefault="00935ABD" w:rsidP="006D4BAB">
            <w:pPr>
              <w:pStyle w:val="Source"/>
            </w:pPr>
            <w:bookmarkStart w:id="2" w:name="Source"/>
            <w:bookmarkEnd w:id="2"/>
            <w:r w:rsidRPr="00D5138F">
              <w:t xml:space="preserve">Директор </w:t>
            </w:r>
            <w:r w:rsidRPr="00155921">
              <w:t>Бюро развития электросвязи</w:t>
            </w:r>
          </w:p>
        </w:tc>
      </w:tr>
      <w:tr w:rsidR="00935ABD" w:rsidRPr="00BD7A1A" w14:paraId="4DDBC6D2" w14:textId="77777777" w:rsidTr="006D4BAB">
        <w:tc>
          <w:tcPr>
            <w:tcW w:w="9923" w:type="dxa"/>
            <w:gridSpan w:val="2"/>
          </w:tcPr>
          <w:p w14:paraId="259E8833" w14:textId="4D4F2866" w:rsidR="00935ABD" w:rsidRPr="00F26531" w:rsidRDefault="00935ABD" w:rsidP="006D4BAB">
            <w:pPr>
              <w:pStyle w:val="Title1"/>
              <w:rPr>
                <w:caps/>
                <w:lang w:val="en-US"/>
              </w:rPr>
            </w:pPr>
            <w:bookmarkStart w:id="3" w:name="Title"/>
            <w:bookmarkStart w:id="4" w:name="_GoBack"/>
            <w:bookmarkEnd w:id="3"/>
            <w:r w:rsidRPr="00935ABD">
              <w:rPr>
                <w:caps/>
              </w:rPr>
              <w:t>Резюме второго веб-диалога КГРЭ по ВКРЭ</w:t>
            </w:r>
            <w:bookmarkEnd w:id="4"/>
          </w:p>
        </w:tc>
      </w:tr>
    </w:tbl>
    <w:p w14:paraId="6E5E018C" w14:textId="77777777" w:rsidR="00935ABD" w:rsidRDefault="00935ABD">
      <w:r>
        <w:br w:type="page"/>
      </w:r>
    </w:p>
    <w:tbl>
      <w:tblPr>
        <w:tblpPr w:leftFromText="180" w:rightFromText="180" w:vertAnchor="page" w:horzAnchor="margin" w:tblpY="1428"/>
        <w:tblW w:w="9888" w:type="dxa"/>
        <w:tblBorders>
          <w:bottom w:val="single" w:sz="4" w:space="0" w:color="00B0F0"/>
        </w:tblBorders>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FA5677">
        <w:trPr>
          <w:cantSplit/>
          <w:trHeight w:val="1134"/>
        </w:trPr>
        <w:tc>
          <w:tcPr>
            <w:tcW w:w="9888" w:type="dxa"/>
            <w:tcBorders>
              <w:bottom w:val="single" w:sz="4" w:space="0" w:color="00B0F0"/>
            </w:tcBorders>
          </w:tcPr>
          <w:p w14:paraId="1D985F2B" w14:textId="69293EE0" w:rsidR="002D7D33" w:rsidRPr="00D71101" w:rsidRDefault="002D7D33" w:rsidP="00FA5677">
            <w:pPr>
              <w:tabs>
                <w:tab w:val="clear" w:pos="1191"/>
                <w:tab w:val="clear" w:pos="1588"/>
                <w:tab w:val="clear" w:pos="1985"/>
              </w:tabs>
              <w:spacing w:before="240"/>
              <w:ind w:left="34"/>
              <w:rPr>
                <w:b/>
                <w:bCs/>
                <w:sz w:val="38"/>
                <w:szCs w:val="38"/>
              </w:rPr>
            </w:pPr>
            <w:r w:rsidRPr="00D71101">
              <w:rPr>
                <w:noProof/>
                <w:color w:val="3399FF"/>
                <w:sz w:val="38"/>
                <w:szCs w:val="38"/>
                <w:lang w:val="en-US"/>
              </w:rPr>
              <w:lastRenderedPageBreak/>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D71101">
              <w:rPr>
                <w:b/>
                <w:bCs/>
                <w:sz w:val="38"/>
                <w:szCs w:val="38"/>
              </w:rPr>
              <w:t>Второй веб-диалог КГРЭ по ВКРЭ</w:t>
            </w:r>
          </w:p>
          <w:p w14:paraId="7987AC4A" w14:textId="42DACEA4" w:rsidR="002D7D33" w:rsidRPr="00D71101" w:rsidRDefault="0059775D" w:rsidP="00FA5677">
            <w:pPr>
              <w:ind w:right="142"/>
              <w:rPr>
                <w:lang w:val="en-US"/>
              </w:rPr>
            </w:pPr>
            <w:r>
              <w:rPr>
                <w:b/>
                <w:bCs/>
                <w:sz w:val="28"/>
                <w:szCs w:val="28"/>
              </w:rPr>
              <w:t>30 апреля 2020 года, онлай</w:t>
            </w:r>
            <w:r w:rsidR="00D71101">
              <w:rPr>
                <w:b/>
                <w:bCs/>
                <w:sz w:val="28"/>
                <w:szCs w:val="28"/>
              </w:rPr>
              <w:t>новый режим</w:t>
            </w:r>
          </w:p>
        </w:tc>
      </w:tr>
      <w:tr w:rsidR="002D7D33" w:rsidRPr="00997358" w14:paraId="22795730" w14:textId="77777777" w:rsidTr="00FA5677">
        <w:trPr>
          <w:cantSplit/>
        </w:trPr>
        <w:tc>
          <w:tcPr>
            <w:tcW w:w="9888" w:type="dxa"/>
            <w:tcBorders>
              <w:top w:val="single" w:sz="4" w:space="0" w:color="00B0F0"/>
              <w:bottom w:val="nil"/>
            </w:tcBorders>
          </w:tcPr>
          <w:p w14:paraId="6F802787" w14:textId="77777777" w:rsidR="002D7D33" w:rsidRPr="00997358" w:rsidRDefault="002D7D33" w:rsidP="00FA5677">
            <w:pPr>
              <w:spacing w:before="80" w:after="80"/>
              <w:rPr>
                <w:b/>
                <w:bCs/>
                <w:sz w:val="20"/>
              </w:rPr>
            </w:pPr>
          </w:p>
        </w:tc>
      </w:tr>
      <w:tr w:rsidR="002D7D33" w:rsidRPr="0040216D" w14:paraId="765FF30E" w14:textId="77777777" w:rsidTr="00FA5677">
        <w:trPr>
          <w:cantSplit/>
        </w:trPr>
        <w:tc>
          <w:tcPr>
            <w:tcW w:w="9888" w:type="dxa"/>
            <w:tcBorders>
              <w:bottom w:val="nil"/>
            </w:tcBorders>
          </w:tcPr>
          <w:p w14:paraId="24128AB4" w14:textId="3709ABA5" w:rsidR="002D7D33" w:rsidRPr="00D71101" w:rsidRDefault="00664B17" w:rsidP="00FA5677">
            <w:pPr>
              <w:spacing w:before="80" w:after="80"/>
              <w:jc w:val="both"/>
              <w:rPr>
                <w:b/>
                <w:bCs/>
                <w:sz w:val="22"/>
                <w:szCs w:val="22"/>
              </w:rPr>
            </w:pPr>
            <w:r w:rsidRPr="00D71101">
              <w:rPr>
                <w:b/>
                <w:bCs/>
                <w:sz w:val="22"/>
                <w:szCs w:val="22"/>
              </w:rPr>
              <w:t>Второй веб-диалог КГРЭ по ВКРЭ</w:t>
            </w:r>
          </w:p>
        </w:tc>
      </w:tr>
      <w:tr w:rsidR="002D7D33" w:rsidRPr="00194F24" w14:paraId="3F43A872" w14:textId="77777777" w:rsidTr="00FA5677">
        <w:trPr>
          <w:cantSplit/>
        </w:trPr>
        <w:tc>
          <w:tcPr>
            <w:tcW w:w="9888" w:type="dxa"/>
            <w:tcBorders>
              <w:bottom w:val="nil"/>
            </w:tcBorders>
          </w:tcPr>
          <w:p w14:paraId="59FC4DDB" w14:textId="449AC9E1" w:rsidR="002D7D33" w:rsidRPr="00D71101" w:rsidRDefault="002D7D33" w:rsidP="00FA5677">
            <w:pPr>
              <w:spacing w:before="80" w:after="80"/>
              <w:rPr>
                <w:b/>
                <w:sz w:val="22"/>
                <w:szCs w:val="22"/>
              </w:rPr>
            </w:pPr>
            <w:r w:rsidRPr="00D71101">
              <w:rPr>
                <w:sz w:val="22"/>
                <w:szCs w:val="22"/>
              </w:rPr>
              <w:t>Дата:</w:t>
            </w:r>
            <w:r w:rsidRPr="00D71101">
              <w:rPr>
                <w:b/>
                <w:bCs/>
                <w:sz w:val="22"/>
                <w:szCs w:val="22"/>
              </w:rPr>
              <w:t xml:space="preserve"> 13 мая 2020 года</w:t>
            </w:r>
            <w:bookmarkStart w:id="5" w:name="CreationDate"/>
            <w:bookmarkEnd w:id="5"/>
          </w:p>
        </w:tc>
      </w:tr>
      <w:tr w:rsidR="002D7D33" w:rsidRPr="00194F24" w14:paraId="335FFDE6" w14:textId="77777777" w:rsidTr="00FA5677">
        <w:trPr>
          <w:cantSplit/>
        </w:trPr>
        <w:tc>
          <w:tcPr>
            <w:tcW w:w="9888" w:type="dxa"/>
            <w:tcBorders>
              <w:bottom w:val="nil"/>
            </w:tcBorders>
          </w:tcPr>
          <w:p w14:paraId="651A0C8A" w14:textId="6BD3BDD9" w:rsidR="002D7D33" w:rsidRPr="00D71101" w:rsidRDefault="002D7D33" w:rsidP="00FA5677">
            <w:pPr>
              <w:spacing w:before="80" w:after="80"/>
              <w:rPr>
                <w:b/>
                <w:bCs/>
                <w:sz w:val="22"/>
                <w:szCs w:val="22"/>
              </w:rPr>
            </w:pPr>
            <w:r w:rsidRPr="00D71101">
              <w:rPr>
                <w:sz w:val="22"/>
                <w:szCs w:val="22"/>
              </w:rPr>
              <w:t xml:space="preserve">Название: </w:t>
            </w:r>
            <w:r w:rsidRPr="00D71101">
              <w:rPr>
                <w:b/>
                <w:bCs/>
                <w:sz w:val="22"/>
                <w:szCs w:val="22"/>
              </w:rPr>
              <w:t>Резюме второго веб-диалога КГРЭ по ВКРЭ</w:t>
            </w:r>
          </w:p>
        </w:tc>
      </w:tr>
      <w:tr w:rsidR="00125989" w:rsidRPr="00194F24" w14:paraId="0C00F008" w14:textId="77777777" w:rsidTr="00FA5677">
        <w:trPr>
          <w:cantSplit/>
        </w:trPr>
        <w:tc>
          <w:tcPr>
            <w:tcW w:w="9888" w:type="dxa"/>
            <w:tcBorders>
              <w:bottom w:val="single" w:sz="4" w:space="0" w:color="00B0F0"/>
            </w:tcBorders>
          </w:tcPr>
          <w:p w14:paraId="2C993131" w14:textId="48F9F31C" w:rsidR="002A0ECF" w:rsidRDefault="002A0ECF" w:rsidP="00FA5677">
            <w:pPr>
              <w:keepNext/>
              <w:tabs>
                <w:tab w:val="clear" w:pos="794"/>
                <w:tab w:val="clear" w:pos="1191"/>
                <w:tab w:val="clear" w:pos="1588"/>
                <w:tab w:val="clear" w:pos="1985"/>
              </w:tabs>
              <w:overflowPunct/>
              <w:autoSpaceDE/>
              <w:autoSpaceDN/>
              <w:adjustRightInd/>
              <w:textAlignment w:val="auto"/>
              <w:rPr>
                <w:b/>
                <w:bCs/>
                <w:szCs w:val="24"/>
              </w:rPr>
            </w:pPr>
          </w:p>
        </w:tc>
      </w:tr>
    </w:tbl>
    <w:p w14:paraId="74DF1A12" w14:textId="76F0339B" w:rsidR="00631D82" w:rsidRPr="00D71101" w:rsidRDefault="00631D82" w:rsidP="00437FA4">
      <w:pPr>
        <w:keepNext/>
        <w:pBdr>
          <w:bottom w:val="single" w:sz="4" w:space="1" w:color="00B0F0"/>
        </w:pBdr>
        <w:tabs>
          <w:tab w:val="left" w:pos="567"/>
          <w:tab w:val="left" w:pos="1134"/>
          <w:tab w:val="left" w:pos="1701"/>
        </w:tabs>
        <w:spacing w:before="480"/>
        <w:rPr>
          <w:rFonts w:cstheme="minorHAnsi"/>
          <w:b/>
          <w:bCs/>
          <w:color w:val="7F7F7F" w:themeColor="text1" w:themeTint="80"/>
          <w:sz w:val="22"/>
          <w:szCs w:val="22"/>
        </w:rPr>
      </w:pPr>
      <w:r w:rsidRPr="00D71101">
        <w:rPr>
          <w:b/>
          <w:bCs/>
          <w:color w:val="7F7F7F" w:themeColor="text1" w:themeTint="80"/>
          <w:sz w:val="22"/>
          <w:szCs w:val="22"/>
        </w:rPr>
        <w:t>Резюме</w:t>
      </w:r>
    </w:p>
    <w:p w14:paraId="1831B5C8" w14:textId="258EBDC6" w:rsidR="006F7F45" w:rsidRPr="00D71101" w:rsidRDefault="006F7F45" w:rsidP="00437FA4">
      <w:pPr>
        <w:tabs>
          <w:tab w:val="left" w:pos="567"/>
          <w:tab w:val="left" w:pos="1134"/>
          <w:tab w:val="left" w:pos="1701"/>
        </w:tabs>
        <w:rPr>
          <w:rFonts w:cstheme="minorHAnsi"/>
          <w:sz w:val="22"/>
          <w:szCs w:val="22"/>
        </w:rPr>
      </w:pPr>
      <w:r w:rsidRPr="00D71101">
        <w:rPr>
          <w:sz w:val="22"/>
          <w:szCs w:val="22"/>
        </w:rPr>
        <w:t>В настоящем документе содержится резюме второго веб-диалога по реформированию Всемирной конференции по развитию электросвязи (ВКРЭ), который состоялся 30 апреля 2020 года, собрав более 200 участников.</w:t>
      </w:r>
    </w:p>
    <w:p w14:paraId="46176617" w14:textId="77777777" w:rsidR="006F7F45" w:rsidRPr="00D71101" w:rsidRDefault="006F7F45" w:rsidP="00437FA4">
      <w:pPr>
        <w:tabs>
          <w:tab w:val="left" w:pos="567"/>
          <w:tab w:val="left" w:pos="1134"/>
          <w:tab w:val="left" w:pos="1701"/>
        </w:tabs>
        <w:rPr>
          <w:rFonts w:cstheme="minorHAnsi"/>
          <w:sz w:val="22"/>
          <w:szCs w:val="22"/>
        </w:rPr>
      </w:pPr>
      <w:r w:rsidRPr="00D71101">
        <w:rPr>
          <w:sz w:val="22"/>
          <w:szCs w:val="22"/>
        </w:rPr>
        <w:t>В центре внимания первого веб-диалога, прошедшего 24 марта 2020 года, были четыре тематические области реформирования ВКРЭ.</w:t>
      </w:r>
    </w:p>
    <w:p w14:paraId="0AB44F2F" w14:textId="77777777" w:rsidR="006F7F45" w:rsidRPr="00D71101"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 w:val="22"/>
          <w:szCs w:val="22"/>
        </w:rPr>
      </w:pPr>
      <w:r w:rsidRPr="00D71101">
        <w:rPr>
          <w:sz w:val="22"/>
          <w:szCs w:val="22"/>
        </w:rPr>
        <w:t>Подготовительный процесс</w:t>
      </w:r>
    </w:p>
    <w:p w14:paraId="424E74D9" w14:textId="77777777" w:rsidR="006F7F45" w:rsidRPr="00D71101"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 w:val="22"/>
          <w:szCs w:val="22"/>
        </w:rPr>
      </w:pPr>
      <w:r w:rsidRPr="00D71101">
        <w:rPr>
          <w:sz w:val="22"/>
          <w:szCs w:val="22"/>
        </w:rPr>
        <w:t>Содержание и структура</w:t>
      </w:r>
    </w:p>
    <w:p w14:paraId="56E57A34" w14:textId="77777777" w:rsidR="006F7F45" w:rsidRPr="00D71101"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 w:val="22"/>
          <w:szCs w:val="22"/>
        </w:rPr>
      </w:pPr>
      <w:r w:rsidRPr="00D71101">
        <w:rPr>
          <w:sz w:val="22"/>
          <w:szCs w:val="22"/>
        </w:rPr>
        <w:t>Участие заинтересованных сторон</w:t>
      </w:r>
    </w:p>
    <w:p w14:paraId="3C8E00C5" w14:textId="77777777" w:rsidR="006F7F45" w:rsidRPr="00D71101" w:rsidRDefault="006F7F45" w:rsidP="00437FA4">
      <w:pPr>
        <w:pStyle w:val="ListParagraph"/>
        <w:numPr>
          <w:ilvl w:val="0"/>
          <w:numId w:val="13"/>
        </w:numPr>
        <w:shd w:val="clear" w:color="auto" w:fill="FFFFFF"/>
        <w:tabs>
          <w:tab w:val="clear" w:pos="1871"/>
          <w:tab w:val="clear" w:pos="2268"/>
          <w:tab w:val="left" w:pos="567"/>
          <w:tab w:val="left" w:pos="1701"/>
        </w:tabs>
        <w:overflowPunct/>
        <w:autoSpaceDE/>
        <w:autoSpaceDN/>
        <w:adjustRightInd/>
        <w:spacing w:before="60"/>
        <w:ind w:left="1134" w:hanging="567"/>
        <w:contextualSpacing w:val="0"/>
        <w:rPr>
          <w:rFonts w:cstheme="minorHAnsi"/>
          <w:sz w:val="22"/>
          <w:szCs w:val="22"/>
        </w:rPr>
      </w:pPr>
      <w:r w:rsidRPr="00D71101">
        <w:rPr>
          <w:sz w:val="22"/>
          <w:szCs w:val="22"/>
        </w:rPr>
        <w:t>Сопутствующие мероприятия</w:t>
      </w:r>
    </w:p>
    <w:p w14:paraId="25D3C20D" w14:textId="0BF1AAEC" w:rsidR="006F7F45" w:rsidRPr="00D71101" w:rsidRDefault="006F7F45" w:rsidP="00437FA4">
      <w:pPr>
        <w:tabs>
          <w:tab w:val="left" w:pos="567"/>
          <w:tab w:val="left" w:pos="1134"/>
          <w:tab w:val="left" w:pos="1701"/>
        </w:tabs>
        <w:rPr>
          <w:rFonts w:cstheme="minorHAnsi"/>
          <w:sz w:val="22"/>
          <w:szCs w:val="22"/>
        </w:rPr>
      </w:pPr>
      <w:r w:rsidRPr="00D71101">
        <w:rPr>
          <w:sz w:val="22"/>
          <w:szCs w:val="22"/>
        </w:rPr>
        <w:t xml:space="preserve">Проведение второго веб-диалога дало возможность доработать предварительные предложения по реформированию ВКРЭ, с тем чтобы представить их в ходе 25-го собрания Консультативной группы по развитию электросвязи (КГРЭ) в июне 2020 года для более широкого рассмотрения и принятия решения. </w:t>
      </w:r>
    </w:p>
    <w:p w14:paraId="47C8206C" w14:textId="74962996" w:rsidR="006F7F45" w:rsidRPr="00D71101" w:rsidRDefault="006F7F45" w:rsidP="00437FA4">
      <w:pPr>
        <w:tabs>
          <w:tab w:val="left" w:pos="567"/>
          <w:tab w:val="left" w:pos="1134"/>
          <w:tab w:val="left" w:pos="1701"/>
        </w:tabs>
        <w:rPr>
          <w:rFonts w:cstheme="minorHAnsi"/>
          <w:sz w:val="22"/>
          <w:szCs w:val="22"/>
        </w:rPr>
      </w:pPr>
      <w:r w:rsidRPr="00D71101">
        <w:rPr>
          <w:sz w:val="22"/>
          <w:szCs w:val="22"/>
        </w:rPr>
        <w:t xml:space="preserve">Предварительные предложения, связанные с четырьмя указанными выше темами, были подготовлены секретариатом в сотрудничестве с модераторами и инициаторами обсуждений в рамках первого диалога. </w:t>
      </w:r>
    </w:p>
    <w:p w14:paraId="5B72D5A9" w14:textId="0CE04CC7" w:rsidR="006F7F45" w:rsidRPr="00D71101" w:rsidRDefault="006F7F45" w:rsidP="00437FA4">
      <w:pPr>
        <w:keepNext/>
        <w:pBdr>
          <w:bottom w:val="single" w:sz="4" w:space="1" w:color="00B0F0"/>
        </w:pBdr>
        <w:tabs>
          <w:tab w:val="left" w:pos="567"/>
          <w:tab w:val="left" w:pos="1134"/>
          <w:tab w:val="left" w:pos="1701"/>
        </w:tabs>
        <w:spacing w:before="240"/>
        <w:rPr>
          <w:rFonts w:cstheme="minorHAnsi"/>
          <w:b/>
          <w:bCs/>
          <w:color w:val="7F7F7F" w:themeColor="text1" w:themeTint="80"/>
          <w:sz w:val="22"/>
          <w:szCs w:val="22"/>
        </w:rPr>
      </w:pPr>
      <w:bookmarkStart w:id="6" w:name="Proposal"/>
      <w:bookmarkEnd w:id="6"/>
      <w:r w:rsidRPr="00D71101">
        <w:rPr>
          <w:b/>
          <w:bCs/>
          <w:color w:val="7F7F7F" w:themeColor="text1" w:themeTint="80"/>
          <w:sz w:val="22"/>
          <w:szCs w:val="22"/>
        </w:rPr>
        <w:t>Введение</w:t>
      </w:r>
    </w:p>
    <w:p w14:paraId="0E2BA535" w14:textId="77777777" w:rsidR="006F7F45" w:rsidRPr="00D71101" w:rsidRDefault="006F7F45" w:rsidP="00437FA4">
      <w:pPr>
        <w:tabs>
          <w:tab w:val="left" w:pos="567"/>
          <w:tab w:val="left" w:pos="1134"/>
          <w:tab w:val="left" w:pos="1701"/>
        </w:tabs>
        <w:rPr>
          <w:rFonts w:cstheme="minorHAnsi"/>
          <w:sz w:val="22"/>
          <w:szCs w:val="22"/>
        </w:rPr>
      </w:pPr>
      <w:r w:rsidRPr="00D71101">
        <w:rPr>
          <w:sz w:val="22"/>
          <w:szCs w:val="22"/>
        </w:rPr>
        <w:t xml:space="preserve">Всемирная конференция по развитию электросвязи (ВКРЭ) находится в эпицентре цифрового развития. В результате пандемии коронавируса COVID-19 внимание всего мира оказалось прикованным к вопросу обеспечения возможности установления соединений, что позволило вновь заговорить о необходимости предоставления такой возможности тем 3,6 миллиарда человек, которые все еще ее не имеют, и придать этому процессу новый импульс. В этом смысле лучшей возможностью для мобилизации представителей международного сообщества вокруг цифровой трансформации, а также для изменения повестки дня в области установления соединений является Всемирная конференция по развитию электросвязи (ВКРЭ-21), которая должна пройти в Аддис-Абебе, Эфиопия, 8–19 ноября 2021 года по любезному приглашению правительства Эфиопии. </w:t>
      </w:r>
    </w:p>
    <w:p w14:paraId="47EBFE5B" w14:textId="1F4E726E" w:rsidR="006F7F45" w:rsidRPr="00D71101" w:rsidRDefault="006F7F45" w:rsidP="00437FA4">
      <w:pPr>
        <w:keepNext/>
        <w:pBdr>
          <w:bottom w:val="single" w:sz="4" w:space="1" w:color="00B0F0"/>
        </w:pBdr>
        <w:tabs>
          <w:tab w:val="left" w:pos="567"/>
          <w:tab w:val="left" w:pos="1134"/>
          <w:tab w:val="left" w:pos="1701"/>
        </w:tabs>
        <w:spacing w:before="240"/>
        <w:rPr>
          <w:rFonts w:cstheme="minorHAnsi"/>
          <w:b/>
          <w:bCs/>
          <w:color w:val="7F7F7F" w:themeColor="text1" w:themeTint="80"/>
          <w:sz w:val="22"/>
          <w:szCs w:val="22"/>
        </w:rPr>
      </w:pPr>
      <w:r w:rsidRPr="00D71101">
        <w:rPr>
          <w:b/>
          <w:bCs/>
          <w:color w:val="7F7F7F" w:themeColor="text1" w:themeTint="80"/>
          <w:sz w:val="22"/>
          <w:szCs w:val="22"/>
        </w:rPr>
        <w:lastRenderedPageBreak/>
        <w:t>Тема 1: Подготовительный процесс</w:t>
      </w:r>
    </w:p>
    <w:p w14:paraId="3182B797" w14:textId="77777777" w:rsidR="006F7F45" w:rsidRPr="00D71101" w:rsidRDefault="006F7F45"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sz w:val="22"/>
          <w:szCs w:val="22"/>
        </w:rPr>
      </w:pPr>
      <w:bookmarkStart w:id="7" w:name="The_small_size_of_offices_and_scale_of_g"/>
      <w:bookmarkEnd w:id="7"/>
      <w:r w:rsidRPr="00D71101">
        <w:rPr>
          <w:rFonts w:asciiTheme="minorHAnsi" w:hAnsiTheme="minorHAnsi"/>
          <w:color w:val="00B0F0"/>
          <w:sz w:val="22"/>
          <w:szCs w:val="22"/>
        </w:rPr>
        <w:t xml:space="preserve">Контекст </w:t>
      </w:r>
    </w:p>
    <w:p w14:paraId="42D696A8" w14:textId="7FAF57B2" w:rsidR="00943DC9" w:rsidRPr="00D71101" w:rsidRDefault="00943DC9" w:rsidP="00437FA4">
      <w:pPr>
        <w:tabs>
          <w:tab w:val="left" w:pos="567"/>
          <w:tab w:val="left" w:pos="1134"/>
          <w:tab w:val="left" w:pos="1701"/>
        </w:tabs>
        <w:rPr>
          <w:rFonts w:cstheme="minorHAnsi"/>
          <w:sz w:val="22"/>
          <w:szCs w:val="22"/>
        </w:rPr>
      </w:pPr>
      <w:r w:rsidRPr="00D71101">
        <w:rPr>
          <w:sz w:val="22"/>
          <w:szCs w:val="22"/>
        </w:rPr>
        <w:t>Подготовительный процесс должен быть достаточно хорошо продуман для содействия достижению консенсуса, с тем чтобы ВКРЭ приносила пользу всем участникам с точки зрения времени и соотношения цены и качества.</w:t>
      </w:r>
    </w:p>
    <w:p w14:paraId="23794FA2" w14:textId="1DB68D67" w:rsidR="006F7F45" w:rsidRPr="00D71101" w:rsidRDefault="00A14FE4" w:rsidP="00437FA4">
      <w:pPr>
        <w:shd w:val="clear" w:color="auto" w:fill="FFFFFF"/>
        <w:tabs>
          <w:tab w:val="left" w:pos="567"/>
          <w:tab w:val="left" w:pos="1134"/>
          <w:tab w:val="left" w:pos="1701"/>
        </w:tabs>
        <w:rPr>
          <w:rFonts w:cstheme="minorHAnsi"/>
          <w:sz w:val="22"/>
          <w:szCs w:val="22"/>
        </w:rPr>
      </w:pPr>
      <w:r w:rsidRPr="00D71101">
        <w:rPr>
          <w:sz w:val="22"/>
          <w:szCs w:val="22"/>
        </w:rPr>
        <w:t xml:space="preserve">Были отмечены основные выводы, сделанные в ходе первого диалога: желательно внедрить практику проведения межрегиональных собраний для усовершенствования подготовительного процесса в целях достижения реальных результатов и содействия достижению согласия в преддверии ВКРЭ-21.Повестка дня таких межрегиональных собраний должна охватывать все вопросы, требующие достижения межрегионального консенсуса, как, например, резолюции, Вопросы исследовательских комиссий, декларация и проекты в области развития, нуждающиеся в финансировании. Необходимо акцентировать внимание на роли региональных организаций в определении жизненно важных вопросов, существующих в том или ином регионе. В рамках процесса подготовки к ВКРЭ следует активизировать координацию усилий между БРЭ и региональными организациями электросвязи. </w:t>
      </w:r>
    </w:p>
    <w:p w14:paraId="7FF0C168" w14:textId="77777777" w:rsidR="006F7F45" w:rsidRPr="00D71101" w:rsidRDefault="006F7F45" w:rsidP="00437FA4">
      <w:pPr>
        <w:tabs>
          <w:tab w:val="left" w:pos="567"/>
          <w:tab w:val="left" w:pos="1134"/>
          <w:tab w:val="left" w:pos="1701"/>
        </w:tabs>
        <w:rPr>
          <w:rFonts w:cstheme="minorHAnsi"/>
          <w:sz w:val="22"/>
          <w:szCs w:val="22"/>
        </w:rPr>
      </w:pPr>
      <w:r w:rsidRPr="00D71101">
        <w:rPr>
          <w:sz w:val="22"/>
          <w:szCs w:val="22"/>
        </w:rPr>
        <w:t xml:space="preserve">В качестве общего заключения было высказано пожелание начать процесс подготовки раньше, стремясь обращать внимание на основные проблемы и </w:t>
      </w:r>
      <w:proofErr w:type="gramStart"/>
      <w:r w:rsidRPr="00D71101">
        <w:rPr>
          <w:sz w:val="22"/>
          <w:szCs w:val="22"/>
        </w:rPr>
        <w:t>решать</w:t>
      </w:r>
      <w:proofErr w:type="gramEnd"/>
      <w:r w:rsidRPr="00D71101">
        <w:rPr>
          <w:sz w:val="22"/>
          <w:szCs w:val="22"/>
        </w:rPr>
        <w:t xml:space="preserve"> как можно большее их количество до начала конференции. В этом смысле межрегиональные собрания – это хороший способ повысить эффективность подготовительного процесса, однако они должны иметь четко сформулированную повестку дня и четко определенные конкретные задачи, согласовывать которые необходимо до проведения конференции. </w:t>
      </w:r>
    </w:p>
    <w:p w14:paraId="52389E87" w14:textId="115DEA91" w:rsidR="006F7F45" w:rsidRPr="00D71101" w:rsidRDefault="006F7F45" w:rsidP="00437FA4">
      <w:pPr>
        <w:shd w:val="clear" w:color="auto" w:fill="FFFFFF"/>
        <w:tabs>
          <w:tab w:val="left" w:pos="567"/>
          <w:tab w:val="left" w:pos="1134"/>
          <w:tab w:val="left" w:pos="1701"/>
        </w:tabs>
        <w:rPr>
          <w:rFonts w:cstheme="minorHAnsi"/>
          <w:sz w:val="22"/>
          <w:szCs w:val="22"/>
        </w:rPr>
      </w:pPr>
      <w:r w:rsidRPr="00D71101">
        <w:rPr>
          <w:sz w:val="22"/>
          <w:szCs w:val="22"/>
        </w:rPr>
        <w:t>Были представлены два предложения в отношении подготовительного процесса.</w:t>
      </w:r>
    </w:p>
    <w:p w14:paraId="612682AC" w14:textId="77777777" w:rsidR="006F7F45" w:rsidRPr="00D71101" w:rsidRDefault="006F7F45"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sz w:val="22"/>
          <w:szCs w:val="22"/>
        </w:rPr>
      </w:pPr>
      <w:r w:rsidRPr="00D71101">
        <w:rPr>
          <w:rFonts w:asciiTheme="minorHAnsi" w:hAnsiTheme="minorHAnsi"/>
          <w:color w:val="00B0F0"/>
          <w:sz w:val="22"/>
          <w:szCs w:val="22"/>
        </w:rPr>
        <w:t xml:space="preserve">Предложения </w:t>
      </w:r>
    </w:p>
    <w:p w14:paraId="1D6FF453" w14:textId="3EE612B7" w:rsidR="006F7F45" w:rsidRPr="00D71101" w:rsidRDefault="006F7F45" w:rsidP="00437FA4">
      <w:pPr>
        <w:pStyle w:val="NormalWeb"/>
        <w:numPr>
          <w:ilvl w:val="0"/>
          <w:numId w:val="23"/>
        </w:numPr>
        <w:tabs>
          <w:tab w:val="left" w:pos="567"/>
          <w:tab w:val="left" w:pos="1134"/>
          <w:tab w:val="left" w:pos="1701"/>
        </w:tabs>
        <w:spacing w:before="120" w:beforeAutospacing="0" w:after="0" w:afterAutospacing="0"/>
        <w:ind w:left="567" w:hanging="567"/>
        <w:rPr>
          <w:rFonts w:asciiTheme="minorHAnsi" w:hAnsiTheme="minorHAnsi" w:cstheme="minorHAnsi"/>
          <w:sz w:val="22"/>
          <w:szCs w:val="22"/>
        </w:rPr>
      </w:pPr>
      <w:r w:rsidRPr="00D71101">
        <w:rPr>
          <w:rFonts w:asciiTheme="minorHAnsi" w:hAnsiTheme="minorHAnsi"/>
          <w:b/>
          <w:bCs/>
          <w:color w:val="000000" w:themeColor="text1"/>
          <w:sz w:val="22"/>
          <w:szCs w:val="22"/>
        </w:rPr>
        <w:t>Предложение 1.1.</w:t>
      </w:r>
      <w:r w:rsidRPr="00D71101">
        <w:rPr>
          <w:rFonts w:asciiTheme="minorHAnsi" w:hAnsiTheme="minorHAnsi"/>
          <w:color w:val="000000" w:themeColor="text1"/>
          <w:sz w:val="22"/>
          <w:szCs w:val="22"/>
        </w:rPr>
        <w:t xml:space="preserve"> МСЭ может учредить официальный межрегиональный процесс подготовки к конференции. Целью межрегиональных подготовительных собраний (МПС) будет обеспечение согласия между регионами по основным вопросам, которые подлежат рассмотрению на конференции. Можно было бы провести три очных МПС, приурочив каждое из них ко второму, четвертому и шестому РПС, соответственно.</w:t>
      </w:r>
    </w:p>
    <w:p w14:paraId="6AFCE6F2" w14:textId="77777777" w:rsidR="006F7F45" w:rsidRPr="00D71101" w:rsidRDefault="006F7F45" w:rsidP="00437FA4">
      <w:pPr>
        <w:pStyle w:val="NormalWeb"/>
        <w:numPr>
          <w:ilvl w:val="0"/>
          <w:numId w:val="23"/>
        </w:numPr>
        <w:tabs>
          <w:tab w:val="left" w:pos="567"/>
          <w:tab w:val="left" w:pos="1134"/>
          <w:tab w:val="left" w:pos="1701"/>
        </w:tabs>
        <w:spacing w:before="120" w:beforeAutospacing="0" w:after="0" w:afterAutospacing="0"/>
        <w:ind w:left="567" w:hanging="567"/>
        <w:rPr>
          <w:rFonts w:asciiTheme="minorHAnsi" w:eastAsiaTheme="minorEastAsia" w:hAnsiTheme="minorHAnsi" w:cstheme="minorHAnsi"/>
          <w:color w:val="000000" w:themeColor="text1"/>
          <w:kern w:val="24"/>
          <w:sz w:val="22"/>
          <w:szCs w:val="22"/>
        </w:rPr>
      </w:pPr>
      <w:r w:rsidRPr="00D71101">
        <w:rPr>
          <w:rFonts w:asciiTheme="minorHAnsi" w:hAnsiTheme="minorHAnsi"/>
          <w:b/>
          <w:bCs/>
          <w:color w:val="000000" w:themeColor="text1"/>
          <w:sz w:val="22"/>
          <w:szCs w:val="22"/>
        </w:rPr>
        <w:t>Предложение 1.2.</w:t>
      </w:r>
      <w:r w:rsidRPr="00D71101">
        <w:rPr>
          <w:rFonts w:asciiTheme="minorHAnsi" w:hAnsiTheme="minorHAnsi"/>
          <w:color w:val="000000" w:themeColor="text1"/>
          <w:sz w:val="22"/>
          <w:szCs w:val="22"/>
        </w:rPr>
        <w:t xml:space="preserve"> Бюро может консультировать РОЭ и оказывать им содействие в подготовке к конференции, при соблюдении их независимости. Эта задача может включать консультирование РОЭ по результатам процесса упорядочения, проводимого КГРЭ, и предложение редакционных поправок к Резолюциям, в зависимости от случая. </w:t>
      </w:r>
    </w:p>
    <w:p w14:paraId="0334C71B" w14:textId="5202626B" w:rsidR="006F7F45" w:rsidRPr="00D71101" w:rsidRDefault="006F7F45"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sz w:val="22"/>
          <w:szCs w:val="22"/>
        </w:rPr>
      </w:pPr>
      <w:r w:rsidRPr="00D71101">
        <w:rPr>
          <w:rFonts w:asciiTheme="minorHAnsi" w:hAnsiTheme="minorHAnsi"/>
          <w:color w:val="00B0F0"/>
          <w:sz w:val="22"/>
          <w:szCs w:val="22"/>
        </w:rPr>
        <w:t>Обсужд</w:t>
      </w:r>
      <w:r w:rsidR="00D838BE">
        <w:rPr>
          <w:rFonts w:asciiTheme="minorHAnsi" w:hAnsiTheme="minorHAnsi"/>
          <w:color w:val="00B0F0"/>
          <w:sz w:val="22"/>
          <w:szCs w:val="22"/>
        </w:rPr>
        <w:t>ение</w:t>
      </w:r>
    </w:p>
    <w:p w14:paraId="5C44CF62" w14:textId="5C13FB60" w:rsidR="006F7F45" w:rsidRPr="00D71101" w:rsidRDefault="006F7F45" w:rsidP="00437FA4">
      <w:pPr>
        <w:tabs>
          <w:tab w:val="left" w:pos="567"/>
          <w:tab w:val="left" w:pos="1134"/>
          <w:tab w:val="left" w:pos="1701"/>
        </w:tabs>
        <w:rPr>
          <w:rFonts w:cstheme="minorHAnsi"/>
          <w:sz w:val="22"/>
          <w:szCs w:val="22"/>
        </w:rPr>
      </w:pPr>
      <w:r w:rsidRPr="00D71101">
        <w:rPr>
          <w:b/>
          <w:bCs/>
          <w:sz w:val="22"/>
          <w:szCs w:val="22"/>
        </w:rPr>
        <w:t>Межрегиональные подготовительные собрания.</w:t>
      </w:r>
      <w:r w:rsidR="002250C3">
        <w:rPr>
          <w:sz w:val="22"/>
          <w:szCs w:val="22"/>
        </w:rPr>
        <w:t xml:space="preserve"> </w:t>
      </w:r>
      <w:r w:rsidRPr="00D71101">
        <w:rPr>
          <w:sz w:val="22"/>
          <w:szCs w:val="22"/>
        </w:rPr>
        <w:t xml:space="preserve">Участники единогласно согласились с тем, что межрегиональные подготовительные собрания, безусловно, будут способствовать достижению консенсуса и согласия по определенным вопросам в преддверии ВКРЭ, однако они, вне всякого сомнения, должны иметь четко определенный формат и четко сформулированную повестку дня. Кроме того, по-прежнему требует внимания тот факт, что итоги межрегиональных подготовительных собраний не являются обязательными для </w:t>
      </w:r>
      <w:r w:rsidR="00785641" w:rsidRPr="00D71101">
        <w:rPr>
          <w:sz w:val="22"/>
          <w:szCs w:val="22"/>
        </w:rPr>
        <w:t>Государств</w:t>
      </w:r>
      <w:r w:rsidRPr="00D71101">
        <w:rPr>
          <w:sz w:val="22"/>
          <w:szCs w:val="22"/>
        </w:rPr>
        <w:t>-</w:t>
      </w:r>
      <w:r w:rsidR="00785641" w:rsidRPr="00D71101">
        <w:rPr>
          <w:sz w:val="22"/>
          <w:szCs w:val="22"/>
        </w:rPr>
        <w:t>Членов</w:t>
      </w:r>
      <w:r w:rsidRPr="00D71101">
        <w:rPr>
          <w:sz w:val="22"/>
          <w:szCs w:val="22"/>
        </w:rPr>
        <w:t xml:space="preserve">, поскольку последние имеют суверенное право представлять предложения в ходе конференции, независимо от итогов межрегиональных собраний. </w:t>
      </w:r>
    </w:p>
    <w:p w14:paraId="56D4B83E" w14:textId="0101DD8F" w:rsidR="006F7F45" w:rsidRPr="00437FA4" w:rsidRDefault="006F7F45" w:rsidP="00437FA4">
      <w:pPr>
        <w:tabs>
          <w:tab w:val="left" w:pos="567"/>
          <w:tab w:val="left" w:pos="1134"/>
          <w:tab w:val="left" w:pos="1701"/>
        </w:tabs>
        <w:rPr>
          <w:rFonts w:cstheme="minorHAnsi"/>
          <w:szCs w:val="24"/>
        </w:rPr>
      </w:pPr>
      <w:r w:rsidRPr="00D71101">
        <w:rPr>
          <w:b/>
          <w:sz w:val="22"/>
          <w:szCs w:val="22"/>
        </w:rPr>
        <w:lastRenderedPageBreak/>
        <w:t>Финансовые последствия региональных подготовительных собраний (РПС) и межрегиональных подготовительных собраний.</w:t>
      </w:r>
      <w:r w:rsidRPr="00D71101">
        <w:rPr>
          <w:sz w:val="22"/>
          <w:szCs w:val="22"/>
        </w:rPr>
        <w:t xml:space="preserve"> Отметив, что </w:t>
      </w:r>
      <w:r w:rsidR="00785641" w:rsidRPr="00D71101">
        <w:rPr>
          <w:sz w:val="22"/>
          <w:szCs w:val="22"/>
        </w:rPr>
        <w:t xml:space="preserve">предложение </w:t>
      </w:r>
      <w:r w:rsidRPr="00D71101">
        <w:rPr>
          <w:sz w:val="22"/>
          <w:szCs w:val="22"/>
        </w:rPr>
        <w:t>1.1</w:t>
      </w:r>
      <w:r>
        <w:t xml:space="preserve"> </w:t>
      </w:r>
      <w:r w:rsidRPr="00D71101">
        <w:rPr>
          <w:sz w:val="22"/>
          <w:szCs w:val="22"/>
        </w:rPr>
        <w:t>предусматривает проведение шести</w:t>
      </w:r>
      <w:r w:rsidRPr="00D71101">
        <w:rPr>
          <w:rFonts w:cstheme="minorHAnsi"/>
          <w:szCs w:val="24"/>
          <w:vertAlign w:val="superscript"/>
        </w:rPr>
        <w:footnoteReference w:customMarkFollows="1" w:id="1"/>
        <w:t>1</w:t>
      </w:r>
      <w:r>
        <w:t xml:space="preserve"> </w:t>
      </w:r>
      <w:r w:rsidRPr="00D71101">
        <w:rPr>
          <w:sz w:val="22"/>
          <w:szCs w:val="22"/>
        </w:rPr>
        <w:t>региональных подготовительных собраний (РПС) и трех межрегиональных собраний, ряд участников указали на необходимость рассмотрения финансовых последствий, связанных со всеми такими собраниями. Было высказано мнение, что при принятии решения по этому вопросу следует учитывать финансовые ресурсы, имеющи</w:t>
      </w:r>
      <w:r w:rsidR="00785641">
        <w:rPr>
          <w:sz w:val="22"/>
          <w:szCs w:val="22"/>
        </w:rPr>
        <w:t>е</w:t>
      </w:r>
      <w:r w:rsidRPr="00D71101">
        <w:rPr>
          <w:sz w:val="22"/>
          <w:szCs w:val="22"/>
        </w:rPr>
        <w:t>ся в распоряжении МСЭ.</w:t>
      </w:r>
      <w:r>
        <w:t xml:space="preserve"> </w:t>
      </w:r>
    </w:p>
    <w:p w14:paraId="040EF270" w14:textId="77777777" w:rsidR="00785641" w:rsidRDefault="006F7F45" w:rsidP="00437FA4">
      <w:pPr>
        <w:tabs>
          <w:tab w:val="left" w:pos="567"/>
          <w:tab w:val="left" w:pos="1134"/>
          <w:tab w:val="left" w:pos="1701"/>
        </w:tabs>
        <w:rPr>
          <w:sz w:val="22"/>
          <w:szCs w:val="22"/>
        </w:rPr>
      </w:pPr>
      <w:r w:rsidRPr="00D71101">
        <w:rPr>
          <w:b/>
          <w:bCs/>
          <w:sz w:val="22"/>
          <w:szCs w:val="22"/>
        </w:rPr>
        <w:t>Надлежащее планирование региональных и межрегиональных подготовительных собраний имеет решающее значение для рациональной организации подготовительного процесса.</w:t>
      </w:r>
      <w:r w:rsidRPr="00D71101">
        <w:rPr>
          <w:b/>
          <w:sz w:val="22"/>
          <w:szCs w:val="22"/>
        </w:rPr>
        <w:t xml:space="preserve"> </w:t>
      </w:r>
      <w:r w:rsidRPr="00D71101">
        <w:rPr>
          <w:sz w:val="22"/>
          <w:szCs w:val="22"/>
        </w:rPr>
        <w:t>Все региональные организации электросвязи имеют надлежащую практику, а некоторые уже приступили к составлению планов работы в рамках подготовки к ВКРЭ-21. Одно из трех или четырех собраний, которые обычно организует</w:t>
      </w:r>
      <w:r w:rsidRPr="00D71101">
        <w:rPr>
          <w:color w:val="000000"/>
          <w:sz w:val="22"/>
          <w:szCs w:val="22"/>
          <w:shd w:val="clear" w:color="auto" w:fill="FFFFFF"/>
        </w:rPr>
        <w:t xml:space="preserve"> Региональное содружество в области связи (РСС)</w:t>
      </w:r>
      <w:r w:rsidRPr="00D71101">
        <w:rPr>
          <w:sz w:val="22"/>
          <w:szCs w:val="22"/>
        </w:rPr>
        <w:t xml:space="preserve">, можно было бы проводить в качестве РПС, использовав его для обсуждения различных вкладов, касающихся не только резолюций, но и региональных инициатив, а также декларации. В странах Северной и Южной Америки организация подготовительного процесса также предусмотрена </w:t>
      </w:r>
      <w:r w:rsidRPr="00D71101">
        <w:rPr>
          <w:color w:val="3C4043"/>
          <w:sz w:val="22"/>
          <w:szCs w:val="22"/>
          <w:shd w:val="clear" w:color="auto" w:fill="FFFFFF"/>
        </w:rPr>
        <w:t>Межамериканской комиссией по электросвязи (</w:t>
      </w:r>
      <w:r w:rsidRPr="00D71101">
        <w:rPr>
          <w:sz w:val="22"/>
          <w:szCs w:val="22"/>
        </w:rPr>
        <w:t xml:space="preserve">СИТЕЛ), и было бы целесообразно узнать, есть ли возможность проводить РПС в привязке к подготовительному собранию СИТЕЛ или параллельно с ним? </w:t>
      </w:r>
    </w:p>
    <w:p w14:paraId="1FFEA674" w14:textId="21B8AC31" w:rsidR="006F7F45" w:rsidRPr="00D71101" w:rsidRDefault="006F7F45" w:rsidP="00437FA4">
      <w:pPr>
        <w:tabs>
          <w:tab w:val="left" w:pos="567"/>
          <w:tab w:val="left" w:pos="1134"/>
          <w:tab w:val="left" w:pos="1701"/>
        </w:tabs>
        <w:rPr>
          <w:rFonts w:cstheme="minorHAnsi"/>
          <w:sz w:val="22"/>
          <w:szCs w:val="22"/>
        </w:rPr>
      </w:pPr>
      <w:r w:rsidRPr="00D71101">
        <w:rPr>
          <w:b/>
          <w:bCs/>
          <w:sz w:val="22"/>
          <w:szCs w:val="22"/>
        </w:rPr>
        <w:t>Определ</w:t>
      </w:r>
      <w:r w:rsidR="00785641">
        <w:rPr>
          <w:b/>
          <w:bCs/>
          <w:sz w:val="22"/>
          <w:szCs w:val="22"/>
        </w:rPr>
        <w:t xml:space="preserve">ение </w:t>
      </w:r>
      <w:r w:rsidRPr="00D71101">
        <w:rPr>
          <w:b/>
          <w:bCs/>
          <w:sz w:val="22"/>
          <w:szCs w:val="22"/>
        </w:rPr>
        <w:t>числ</w:t>
      </w:r>
      <w:r w:rsidR="00785641">
        <w:rPr>
          <w:b/>
          <w:bCs/>
          <w:sz w:val="22"/>
          <w:szCs w:val="22"/>
        </w:rPr>
        <w:t>а</w:t>
      </w:r>
      <w:r w:rsidRPr="00D71101">
        <w:rPr>
          <w:b/>
          <w:bCs/>
          <w:sz w:val="22"/>
          <w:szCs w:val="22"/>
        </w:rPr>
        <w:t xml:space="preserve"> представителей от каждого региона для участия в межрегиональных собраниях.</w:t>
      </w:r>
      <w:r w:rsidRPr="00D71101">
        <w:rPr>
          <w:sz w:val="22"/>
          <w:szCs w:val="22"/>
        </w:rPr>
        <w:t xml:space="preserve"> Соответствующие региональные организации электросвязи должны предоставить таким представителям полномочия или мандат осуществлять обмен мнениями и предложениями от имени представляемых ими регионов по различным темам, включенным в повестку дня межрегиональных собраний.</w:t>
      </w:r>
      <w:r w:rsidR="002250C3">
        <w:rPr>
          <w:sz w:val="22"/>
          <w:szCs w:val="22"/>
        </w:rPr>
        <w:t xml:space="preserve"> </w:t>
      </w:r>
    </w:p>
    <w:p w14:paraId="0744814B" w14:textId="4B603D65" w:rsidR="006F7F45" w:rsidRPr="00D71101" w:rsidRDefault="006F7F45" w:rsidP="00437FA4">
      <w:pPr>
        <w:tabs>
          <w:tab w:val="left" w:pos="567"/>
          <w:tab w:val="left" w:pos="1134"/>
          <w:tab w:val="left" w:pos="1701"/>
        </w:tabs>
        <w:rPr>
          <w:rFonts w:cstheme="minorHAnsi"/>
          <w:sz w:val="22"/>
          <w:szCs w:val="22"/>
        </w:rPr>
      </w:pPr>
      <w:r w:rsidRPr="00D71101">
        <w:rPr>
          <w:b/>
          <w:bCs/>
          <w:sz w:val="22"/>
          <w:szCs w:val="22"/>
        </w:rPr>
        <w:t>Реш</w:t>
      </w:r>
      <w:r w:rsidR="00785641">
        <w:rPr>
          <w:b/>
          <w:bCs/>
          <w:sz w:val="22"/>
          <w:szCs w:val="22"/>
        </w:rPr>
        <w:t xml:space="preserve">ение </w:t>
      </w:r>
      <w:r w:rsidRPr="00D71101">
        <w:rPr>
          <w:b/>
          <w:bCs/>
          <w:sz w:val="22"/>
          <w:szCs w:val="22"/>
        </w:rPr>
        <w:t>вопрос</w:t>
      </w:r>
      <w:r w:rsidR="00785641">
        <w:rPr>
          <w:b/>
          <w:bCs/>
          <w:sz w:val="22"/>
          <w:szCs w:val="22"/>
        </w:rPr>
        <w:t>а</w:t>
      </w:r>
      <w:r w:rsidRPr="00D71101">
        <w:rPr>
          <w:b/>
          <w:bCs/>
          <w:sz w:val="22"/>
          <w:szCs w:val="22"/>
        </w:rPr>
        <w:t xml:space="preserve"> </w:t>
      </w:r>
      <w:r w:rsidR="00785641">
        <w:rPr>
          <w:b/>
          <w:bCs/>
          <w:sz w:val="22"/>
          <w:szCs w:val="22"/>
        </w:rPr>
        <w:t>о</w:t>
      </w:r>
      <w:r w:rsidRPr="00D71101">
        <w:rPr>
          <w:b/>
          <w:bCs/>
          <w:sz w:val="22"/>
          <w:szCs w:val="22"/>
        </w:rPr>
        <w:t xml:space="preserve"> председательств</w:t>
      </w:r>
      <w:r w:rsidR="00785641">
        <w:rPr>
          <w:b/>
          <w:bCs/>
          <w:sz w:val="22"/>
          <w:szCs w:val="22"/>
        </w:rPr>
        <w:t>е</w:t>
      </w:r>
      <w:r w:rsidRPr="00D71101">
        <w:rPr>
          <w:b/>
          <w:bCs/>
          <w:sz w:val="22"/>
          <w:szCs w:val="22"/>
        </w:rPr>
        <w:t xml:space="preserve"> при проведении межрегиональных собраний.</w:t>
      </w:r>
      <w:r w:rsidRPr="00D71101">
        <w:rPr>
          <w:sz w:val="22"/>
          <w:szCs w:val="22"/>
        </w:rPr>
        <w:t xml:space="preserve"> Было предложено в качестве примера взять Полномочную конференцию 2018 года, в рамках которой неофициальные межрегиональные подготовительные собрания прошли под председательством назначенного Председателя, организация работы комитетов конференции была предварительно согласована на межрегиональном уровне, а рассмотрение и последующее согласование предложений председателей и заместителей председателей в не</w:t>
      </w:r>
      <w:r w:rsidR="00785641">
        <w:rPr>
          <w:sz w:val="22"/>
          <w:szCs w:val="22"/>
        </w:rPr>
        <w:t xml:space="preserve">официальной </w:t>
      </w:r>
      <w:r w:rsidRPr="00D71101">
        <w:rPr>
          <w:sz w:val="22"/>
          <w:szCs w:val="22"/>
        </w:rPr>
        <w:t xml:space="preserve">обстановке на межрегиональном уровне также прошли заблаговременно. </w:t>
      </w:r>
    </w:p>
    <w:p w14:paraId="6A20C2DB" w14:textId="6870E006" w:rsidR="006F7F45" w:rsidRPr="00D71101" w:rsidRDefault="006F7F45" w:rsidP="00437FA4">
      <w:pPr>
        <w:tabs>
          <w:tab w:val="left" w:pos="567"/>
          <w:tab w:val="left" w:pos="1134"/>
          <w:tab w:val="left" w:pos="1701"/>
        </w:tabs>
        <w:rPr>
          <w:rFonts w:cstheme="minorHAnsi"/>
          <w:sz w:val="22"/>
          <w:szCs w:val="22"/>
        </w:rPr>
      </w:pPr>
      <w:r w:rsidRPr="00D71101">
        <w:rPr>
          <w:b/>
          <w:sz w:val="22"/>
          <w:szCs w:val="22"/>
        </w:rPr>
        <w:t>Состав</w:t>
      </w:r>
      <w:r w:rsidR="00785641">
        <w:rPr>
          <w:b/>
          <w:sz w:val="22"/>
          <w:szCs w:val="22"/>
        </w:rPr>
        <w:t xml:space="preserve">ление </w:t>
      </w:r>
      <w:r w:rsidRPr="00D71101">
        <w:rPr>
          <w:b/>
          <w:sz w:val="22"/>
          <w:szCs w:val="22"/>
        </w:rPr>
        <w:t>списк</w:t>
      </w:r>
      <w:r w:rsidR="00785641">
        <w:rPr>
          <w:b/>
          <w:sz w:val="22"/>
          <w:szCs w:val="22"/>
        </w:rPr>
        <w:t>а</w:t>
      </w:r>
      <w:r w:rsidRPr="00D71101">
        <w:rPr>
          <w:b/>
          <w:sz w:val="22"/>
          <w:szCs w:val="22"/>
        </w:rPr>
        <w:t xml:space="preserve"> координаторов от каждого региона по каждой из тем, предусмотренных повесткой дня конференции. </w:t>
      </w:r>
      <w:r w:rsidR="00DB2020">
        <w:rPr>
          <w:sz w:val="22"/>
          <w:szCs w:val="22"/>
        </w:rPr>
        <w:t>Здесь также</w:t>
      </w:r>
      <w:r w:rsidR="00785641">
        <w:rPr>
          <w:sz w:val="22"/>
          <w:szCs w:val="22"/>
        </w:rPr>
        <w:t xml:space="preserve"> </w:t>
      </w:r>
      <w:r w:rsidR="00785641" w:rsidRPr="00D71101">
        <w:rPr>
          <w:sz w:val="22"/>
          <w:szCs w:val="22"/>
        </w:rPr>
        <w:t>был признан полезным</w:t>
      </w:r>
      <w:r w:rsidR="00785641">
        <w:rPr>
          <w:sz w:val="22"/>
          <w:szCs w:val="22"/>
        </w:rPr>
        <w:t xml:space="preserve"> п</w:t>
      </w:r>
      <w:r w:rsidRPr="00D71101">
        <w:rPr>
          <w:sz w:val="22"/>
          <w:szCs w:val="22"/>
        </w:rPr>
        <w:t>ример Полномочной конференции 2018</w:t>
      </w:r>
      <w:r w:rsidR="00785641">
        <w:rPr>
          <w:sz w:val="22"/>
          <w:szCs w:val="22"/>
        </w:rPr>
        <w:t> </w:t>
      </w:r>
      <w:r w:rsidRPr="00D71101">
        <w:rPr>
          <w:sz w:val="22"/>
          <w:szCs w:val="22"/>
        </w:rPr>
        <w:t>года, приведенный в контексте объединения людей, отвечающих за разную тематику и представляющих разные регионы.</w:t>
      </w:r>
      <w:r w:rsidR="002250C3">
        <w:rPr>
          <w:sz w:val="22"/>
          <w:szCs w:val="22"/>
        </w:rPr>
        <w:t xml:space="preserve"> </w:t>
      </w:r>
      <w:r w:rsidRPr="00D71101">
        <w:rPr>
          <w:sz w:val="22"/>
          <w:szCs w:val="22"/>
        </w:rPr>
        <w:t>Участники согласились с тем, что наличие списка с контактным</w:t>
      </w:r>
      <w:r w:rsidR="00DB2020">
        <w:rPr>
          <w:sz w:val="22"/>
          <w:szCs w:val="22"/>
        </w:rPr>
        <w:t>и</w:t>
      </w:r>
      <w:r w:rsidRPr="00D71101">
        <w:rPr>
          <w:sz w:val="22"/>
          <w:szCs w:val="22"/>
        </w:rPr>
        <w:t xml:space="preserve"> данными представителей различных регионов, ответственных за резолюции ВКРЭ, соответствующую декларацию и Вопросы исследовательских комиссий, помог</w:t>
      </w:r>
      <w:r w:rsidR="00DB2020">
        <w:rPr>
          <w:sz w:val="22"/>
          <w:szCs w:val="22"/>
        </w:rPr>
        <w:t>ло</w:t>
      </w:r>
      <w:r w:rsidRPr="00D71101">
        <w:rPr>
          <w:sz w:val="22"/>
          <w:szCs w:val="22"/>
        </w:rPr>
        <w:t xml:space="preserve"> бы инициировать обсуждения не</w:t>
      </w:r>
      <w:r w:rsidR="00785641">
        <w:rPr>
          <w:sz w:val="22"/>
          <w:szCs w:val="22"/>
        </w:rPr>
        <w:t xml:space="preserve">официального </w:t>
      </w:r>
      <w:r w:rsidRPr="00D71101">
        <w:rPr>
          <w:sz w:val="22"/>
          <w:szCs w:val="22"/>
        </w:rPr>
        <w:t>характера и способствовал</w:t>
      </w:r>
      <w:r w:rsidR="00DB2020">
        <w:rPr>
          <w:sz w:val="22"/>
          <w:szCs w:val="22"/>
        </w:rPr>
        <w:t>о</w:t>
      </w:r>
      <w:r w:rsidRPr="00D71101">
        <w:rPr>
          <w:sz w:val="22"/>
          <w:szCs w:val="22"/>
        </w:rPr>
        <w:t xml:space="preserve"> бы </w:t>
      </w:r>
      <w:r w:rsidR="00DB2020">
        <w:rPr>
          <w:sz w:val="22"/>
          <w:szCs w:val="22"/>
        </w:rPr>
        <w:t xml:space="preserve">обеспечению качественной </w:t>
      </w:r>
      <w:r w:rsidRPr="00D71101">
        <w:rPr>
          <w:sz w:val="22"/>
          <w:szCs w:val="22"/>
        </w:rPr>
        <w:t>подготовк</w:t>
      </w:r>
      <w:r w:rsidR="00DB2020">
        <w:rPr>
          <w:sz w:val="22"/>
          <w:szCs w:val="22"/>
        </w:rPr>
        <w:t>и</w:t>
      </w:r>
      <w:r w:rsidRPr="00D71101">
        <w:rPr>
          <w:sz w:val="22"/>
          <w:szCs w:val="22"/>
        </w:rPr>
        <w:t xml:space="preserve"> к ВКРЭ.</w:t>
      </w:r>
    </w:p>
    <w:p w14:paraId="05E036A3" w14:textId="3A73E175" w:rsidR="006F7F45" w:rsidRPr="00D71101" w:rsidRDefault="006F7F45" w:rsidP="00437FA4">
      <w:pPr>
        <w:tabs>
          <w:tab w:val="left" w:pos="567"/>
          <w:tab w:val="left" w:pos="1134"/>
          <w:tab w:val="left" w:pos="1701"/>
        </w:tabs>
        <w:rPr>
          <w:rFonts w:cstheme="minorHAnsi"/>
          <w:sz w:val="22"/>
          <w:szCs w:val="22"/>
        </w:rPr>
      </w:pPr>
      <w:r w:rsidRPr="00D71101">
        <w:rPr>
          <w:b/>
          <w:sz w:val="22"/>
          <w:szCs w:val="22"/>
        </w:rPr>
        <w:t>Определ</w:t>
      </w:r>
      <w:r w:rsidR="00DB2020">
        <w:rPr>
          <w:b/>
          <w:sz w:val="22"/>
          <w:szCs w:val="22"/>
        </w:rPr>
        <w:t xml:space="preserve">ение </w:t>
      </w:r>
      <w:r w:rsidRPr="00D71101">
        <w:rPr>
          <w:b/>
          <w:sz w:val="22"/>
          <w:szCs w:val="22"/>
        </w:rPr>
        <w:t>график</w:t>
      </w:r>
      <w:r w:rsidR="00DB2020">
        <w:rPr>
          <w:b/>
          <w:sz w:val="22"/>
          <w:szCs w:val="22"/>
        </w:rPr>
        <w:t>а</w:t>
      </w:r>
      <w:r w:rsidRPr="00D71101">
        <w:rPr>
          <w:b/>
          <w:sz w:val="22"/>
          <w:szCs w:val="22"/>
        </w:rPr>
        <w:t xml:space="preserve"> с учетом </w:t>
      </w:r>
      <w:r w:rsidR="00DB2020" w:rsidRPr="00D71101">
        <w:rPr>
          <w:b/>
          <w:sz w:val="22"/>
          <w:szCs w:val="22"/>
        </w:rPr>
        <w:t>подготовительных процессов</w:t>
      </w:r>
      <w:r w:rsidR="00DB2020">
        <w:rPr>
          <w:b/>
          <w:sz w:val="22"/>
          <w:szCs w:val="22"/>
        </w:rPr>
        <w:t>,</w:t>
      </w:r>
      <w:r w:rsidR="00DB2020" w:rsidRPr="00D71101">
        <w:rPr>
          <w:b/>
          <w:sz w:val="22"/>
          <w:szCs w:val="22"/>
        </w:rPr>
        <w:t xml:space="preserve"> </w:t>
      </w:r>
      <w:r w:rsidRPr="00D71101">
        <w:rPr>
          <w:b/>
          <w:sz w:val="22"/>
          <w:szCs w:val="22"/>
        </w:rPr>
        <w:t>организуемых под руководством МСЭ</w:t>
      </w:r>
      <w:r w:rsidR="00DB2020">
        <w:rPr>
          <w:b/>
          <w:sz w:val="22"/>
          <w:szCs w:val="22"/>
        </w:rPr>
        <w:t xml:space="preserve"> и в рамках</w:t>
      </w:r>
      <w:r w:rsidRPr="00D71101">
        <w:rPr>
          <w:b/>
          <w:sz w:val="22"/>
          <w:szCs w:val="22"/>
        </w:rPr>
        <w:t xml:space="preserve"> региональных организаций электросвязи. </w:t>
      </w:r>
      <w:r w:rsidRPr="00D71101">
        <w:rPr>
          <w:sz w:val="22"/>
          <w:szCs w:val="22"/>
        </w:rPr>
        <w:t xml:space="preserve">Было предложено начать проведение межрегиональных подготовительных собраний в 2021 году параллельно с региональными подготовительными собраниями. Участники обратились с просьбой рассмотреть возможность проведения одного межрегионального собрания параллельно с последним собранием КГРЭ в преддверии ВКРЭ или с любым другим соответствующим собранием МСЭ. </w:t>
      </w:r>
    </w:p>
    <w:p w14:paraId="059CADFC" w14:textId="6213F725" w:rsidR="006F7F45" w:rsidRPr="00D71101" w:rsidRDefault="006F7F45" w:rsidP="00437FA4">
      <w:pPr>
        <w:tabs>
          <w:tab w:val="left" w:pos="567"/>
          <w:tab w:val="left" w:pos="851"/>
          <w:tab w:val="left" w:pos="1134"/>
          <w:tab w:val="left" w:pos="1701"/>
        </w:tabs>
        <w:rPr>
          <w:rFonts w:cstheme="minorHAnsi"/>
          <w:sz w:val="22"/>
          <w:szCs w:val="22"/>
        </w:rPr>
      </w:pPr>
      <w:proofErr w:type="spellStart"/>
      <w:r w:rsidRPr="00D71101">
        <w:rPr>
          <w:b/>
          <w:sz w:val="22"/>
          <w:szCs w:val="22"/>
        </w:rPr>
        <w:t>Межсекторальные</w:t>
      </w:r>
      <w:proofErr w:type="spellEnd"/>
      <w:r w:rsidRPr="00D71101">
        <w:rPr>
          <w:b/>
          <w:sz w:val="22"/>
          <w:szCs w:val="22"/>
        </w:rPr>
        <w:t xml:space="preserve"> вопросы. </w:t>
      </w:r>
      <w:r w:rsidRPr="00D71101">
        <w:rPr>
          <w:sz w:val="22"/>
          <w:szCs w:val="22"/>
        </w:rPr>
        <w:t xml:space="preserve">Поскольку другие конференции МСЭ направлены на рассмотрение деятельности, осуществляемой в рамках Союза в целом, обсуждение указанных вопросов также следует организовывать в рамках межрегиональных подготовительных собраний, и это необходимо </w:t>
      </w:r>
      <w:r w:rsidRPr="00D71101">
        <w:rPr>
          <w:sz w:val="22"/>
          <w:szCs w:val="22"/>
        </w:rPr>
        <w:lastRenderedPageBreak/>
        <w:t xml:space="preserve">делать во избежание дублирования усилий и укрепления сотрудничества и взаимодействия по вопросам, представляющим взаимный интерес для всех трех </w:t>
      </w:r>
      <w:r w:rsidR="00DB2020" w:rsidRPr="00D71101">
        <w:rPr>
          <w:sz w:val="22"/>
          <w:szCs w:val="22"/>
        </w:rPr>
        <w:t xml:space="preserve">Секторов </w:t>
      </w:r>
      <w:r w:rsidRPr="00D71101">
        <w:rPr>
          <w:sz w:val="22"/>
          <w:szCs w:val="22"/>
        </w:rPr>
        <w:t>и Генерального секретариата, особенно с учетом интересов развивающихся стран.</w:t>
      </w:r>
    </w:p>
    <w:p w14:paraId="66CB5ACF" w14:textId="14FB6D36" w:rsidR="006F7F45" w:rsidRPr="00D71101" w:rsidRDefault="00947DA4" w:rsidP="00437FA4">
      <w:pPr>
        <w:tabs>
          <w:tab w:val="left" w:pos="567"/>
          <w:tab w:val="left" w:pos="1134"/>
          <w:tab w:val="left" w:pos="1701"/>
        </w:tabs>
        <w:rPr>
          <w:rFonts w:cstheme="minorHAnsi"/>
          <w:sz w:val="22"/>
          <w:szCs w:val="22"/>
        </w:rPr>
      </w:pPr>
      <w:r w:rsidRPr="00DB2020">
        <w:rPr>
          <w:b/>
          <w:bCs/>
          <w:sz w:val="22"/>
          <w:szCs w:val="22"/>
        </w:rPr>
        <w:t>Исследовательские комиссии и их Вопросы</w:t>
      </w:r>
      <w:r w:rsidR="00DB2020">
        <w:rPr>
          <w:sz w:val="22"/>
          <w:szCs w:val="22"/>
        </w:rPr>
        <w:t>.</w:t>
      </w:r>
      <w:r w:rsidRPr="00D71101">
        <w:rPr>
          <w:sz w:val="22"/>
          <w:szCs w:val="22"/>
        </w:rPr>
        <w:t xml:space="preserve"> </w:t>
      </w:r>
      <w:r w:rsidR="00DB2020" w:rsidRPr="00D71101">
        <w:rPr>
          <w:sz w:val="22"/>
          <w:szCs w:val="22"/>
        </w:rPr>
        <w:t xml:space="preserve">Каким </w:t>
      </w:r>
      <w:r w:rsidRPr="00D71101">
        <w:rPr>
          <w:sz w:val="22"/>
          <w:szCs w:val="22"/>
        </w:rPr>
        <w:t>образом обсуждения, посвященные деятельности исследовательских комиссий и работе над предусмотренными для них Вопросами, будут вписываться в повестку дня региональных и межрегиональных подготовительных собраний?</w:t>
      </w:r>
      <w:r w:rsidR="002250C3">
        <w:rPr>
          <w:sz w:val="22"/>
          <w:szCs w:val="22"/>
        </w:rPr>
        <w:t xml:space="preserve"> </w:t>
      </w:r>
      <w:r w:rsidRPr="00D71101">
        <w:rPr>
          <w:sz w:val="22"/>
          <w:szCs w:val="22"/>
        </w:rPr>
        <w:t>Конференция учреждает исследовательские комиссии, прекращает их действие и обеспечивает их функционирование, а также распределяет между всеми комиссиями Вопросы, которые необходимо рассмотреть. Деятельность исследовательских комиссий и работа над соответствующими Вопросами в период между конференциями описаны в разработанной КГРЭ концепции. Были озвучены следующие призывы:</w:t>
      </w:r>
    </w:p>
    <w:p w14:paraId="2267B53B" w14:textId="1CB9B863" w:rsidR="006F7F45" w:rsidRPr="00D71101" w:rsidRDefault="006F7F45" w:rsidP="00437FA4">
      <w:pPr>
        <w:pStyle w:val="ListParagraph"/>
        <w:numPr>
          <w:ilvl w:val="0"/>
          <w:numId w:val="27"/>
        </w:numPr>
        <w:tabs>
          <w:tab w:val="left" w:pos="567"/>
          <w:tab w:val="left" w:pos="1701"/>
        </w:tabs>
        <w:overflowPunct/>
        <w:autoSpaceDE/>
        <w:autoSpaceDN/>
        <w:adjustRightInd/>
        <w:ind w:left="567" w:hanging="567"/>
        <w:contextualSpacing w:val="0"/>
        <w:textAlignment w:val="auto"/>
        <w:rPr>
          <w:rFonts w:cstheme="minorHAnsi"/>
          <w:color w:val="000000"/>
          <w:sz w:val="22"/>
          <w:szCs w:val="22"/>
        </w:rPr>
      </w:pPr>
      <w:r w:rsidRPr="00D71101">
        <w:rPr>
          <w:b/>
          <w:bCs/>
          <w:color w:val="000000"/>
          <w:sz w:val="22"/>
          <w:szCs w:val="22"/>
        </w:rPr>
        <w:t>Оценить и проанализировать работу исследовательских комиссий, с тем чтобы понять, насколько эффективным оказалось решение поднятых на предыдущей конференции вопросов.</w:t>
      </w:r>
      <w:r w:rsidRPr="00D71101">
        <w:rPr>
          <w:color w:val="000000"/>
          <w:sz w:val="22"/>
          <w:szCs w:val="22"/>
        </w:rPr>
        <w:t xml:space="preserve"> Вопросы, представляемые на рассмотрение в рамках следующего цикла, должны учитывать региональные приоритеты. </w:t>
      </w:r>
      <w:r w:rsidRPr="00D71101">
        <w:rPr>
          <w:sz w:val="22"/>
          <w:szCs w:val="22"/>
        </w:rPr>
        <w:t xml:space="preserve">Руководство исследовательских комиссий МСЭ-D играет ключевую роль в предоставлении </w:t>
      </w:r>
      <w:r w:rsidR="00DB2020" w:rsidRPr="00D71101">
        <w:rPr>
          <w:sz w:val="22"/>
          <w:szCs w:val="22"/>
        </w:rPr>
        <w:t>Государствам</w:t>
      </w:r>
      <w:r w:rsidRPr="00D71101">
        <w:rPr>
          <w:sz w:val="22"/>
          <w:szCs w:val="22"/>
        </w:rPr>
        <w:t>-</w:t>
      </w:r>
      <w:r w:rsidR="00DB2020" w:rsidRPr="00D71101">
        <w:rPr>
          <w:sz w:val="22"/>
          <w:szCs w:val="22"/>
        </w:rPr>
        <w:t xml:space="preserve">Членам </w:t>
      </w:r>
      <w:r w:rsidRPr="00D71101">
        <w:rPr>
          <w:sz w:val="22"/>
          <w:szCs w:val="22"/>
        </w:rPr>
        <w:t>руководящих принципов, позволяя им понять, в каком направлении может продвигаться работа над соответствующими Вопросами в будущем.</w:t>
      </w:r>
    </w:p>
    <w:p w14:paraId="7FA05FD6" w14:textId="458A2FE5" w:rsidR="006F7F45" w:rsidRPr="00D71101" w:rsidRDefault="006F7F45" w:rsidP="00437FA4">
      <w:pPr>
        <w:pStyle w:val="ListParagraph"/>
        <w:numPr>
          <w:ilvl w:val="0"/>
          <w:numId w:val="27"/>
        </w:numPr>
        <w:tabs>
          <w:tab w:val="left" w:pos="567"/>
          <w:tab w:val="left" w:pos="1701"/>
        </w:tabs>
        <w:overflowPunct/>
        <w:autoSpaceDE/>
        <w:autoSpaceDN/>
        <w:adjustRightInd/>
        <w:ind w:left="567" w:hanging="567"/>
        <w:contextualSpacing w:val="0"/>
        <w:textAlignment w:val="auto"/>
        <w:rPr>
          <w:rFonts w:cstheme="minorHAnsi"/>
          <w:sz w:val="22"/>
          <w:szCs w:val="22"/>
        </w:rPr>
      </w:pPr>
      <w:r w:rsidRPr="00D71101">
        <w:rPr>
          <w:b/>
          <w:sz w:val="22"/>
          <w:szCs w:val="22"/>
        </w:rPr>
        <w:t>Установить взаимосвязь между Вопросами исследовательских комиссий и деятельностью БРЭ.</w:t>
      </w:r>
      <w:r w:rsidRPr="00D71101">
        <w:rPr>
          <w:sz w:val="22"/>
          <w:szCs w:val="22"/>
        </w:rPr>
        <w:t xml:space="preserve"> Было отмечено, что исследовательские комиссии должны рассматривать не только результаты своей работы над исследуемыми Вопросами, но и то, как такие Вопросы связаны с деятельностью БРЭ. Каким образом, например, такие Вопросы связаны с вопросами статистики, такими как разработка нового индекса МСЭ, и как они связаны с теми или иными резолюциями, поскольку для привлечения заинтересованных сторон необходимо, чтобы последние понимали, что можно сделать для обеспечения своего надлежащего участия в деятельности исследовательских комиссий. Установление такой взаимосвязи также помогло бы странам определить соответствующих лиц для участия в мероприятиях МСЭ-D в целом и в работе над теми или иными Вопросами исследовательских </w:t>
      </w:r>
      <w:proofErr w:type="gramStart"/>
      <w:r w:rsidRPr="00D71101">
        <w:rPr>
          <w:sz w:val="22"/>
          <w:szCs w:val="22"/>
        </w:rPr>
        <w:t>комиссий</w:t>
      </w:r>
      <w:proofErr w:type="gramEnd"/>
      <w:r w:rsidRPr="00D71101">
        <w:rPr>
          <w:sz w:val="22"/>
          <w:szCs w:val="22"/>
        </w:rPr>
        <w:t xml:space="preserve"> в частности. </w:t>
      </w:r>
    </w:p>
    <w:p w14:paraId="468998EA" w14:textId="763D324E" w:rsidR="006F7F45" w:rsidRPr="00D71101" w:rsidRDefault="006F7F45" w:rsidP="00437FA4">
      <w:pPr>
        <w:pStyle w:val="ListParagraph"/>
        <w:numPr>
          <w:ilvl w:val="0"/>
          <w:numId w:val="27"/>
        </w:numPr>
        <w:tabs>
          <w:tab w:val="left" w:pos="567"/>
          <w:tab w:val="left" w:pos="1701"/>
        </w:tabs>
        <w:overflowPunct/>
        <w:autoSpaceDE/>
        <w:autoSpaceDN/>
        <w:adjustRightInd/>
        <w:ind w:left="567" w:hanging="567"/>
        <w:contextualSpacing w:val="0"/>
        <w:textAlignment w:val="auto"/>
        <w:rPr>
          <w:rFonts w:cstheme="minorHAnsi"/>
          <w:sz w:val="22"/>
          <w:szCs w:val="22"/>
        </w:rPr>
      </w:pPr>
      <w:r w:rsidRPr="00D71101">
        <w:rPr>
          <w:b/>
          <w:sz w:val="22"/>
          <w:szCs w:val="22"/>
        </w:rPr>
        <w:t>При разработке Вопросов исследовательских комиссий применять ориентированный на перспективу подход.</w:t>
      </w:r>
      <w:r w:rsidRPr="00D71101">
        <w:rPr>
          <w:sz w:val="22"/>
          <w:szCs w:val="22"/>
        </w:rPr>
        <w:t xml:space="preserve"> Работа над определением Вопросов исследовательских комиссий должна быть ориентирована на перспективу. Ряд участников отметили, что темы, над которыми исследовательские комиссии МСЭ-D работают, мало изменились за прошедшие годы, несмотря на стремительное изменение условий развития ИКТ. Они подчеркнули, что в ходе подготовительного процесса обсуждение исследуемых Вопросов должно в определенной степени учитывать тенденции в области ИКТ, а также особенности цифровой экосистемы и цифровой трансформации, с тем чтобы содействовать преодолению цифрового разрыва во всем мире.</w:t>
      </w:r>
    </w:p>
    <w:p w14:paraId="041B8EBC" w14:textId="5D1BEE5A" w:rsidR="003C52C7" w:rsidRPr="00D71101" w:rsidRDefault="003C52C7" w:rsidP="00437FA4">
      <w:pPr>
        <w:tabs>
          <w:tab w:val="left" w:pos="567"/>
          <w:tab w:val="left" w:pos="1134"/>
          <w:tab w:val="left" w:pos="1701"/>
        </w:tabs>
        <w:rPr>
          <w:rFonts w:cstheme="minorHAnsi"/>
          <w:sz w:val="22"/>
          <w:szCs w:val="22"/>
        </w:rPr>
      </w:pPr>
      <w:r w:rsidRPr="00D71101">
        <w:rPr>
          <w:sz w:val="22"/>
          <w:szCs w:val="22"/>
        </w:rPr>
        <w:t>Было решено, что БРЭ будет не только содействовать обмену информацией о подготовке в различных регионах, но и выполнять консультативную функцию.</w:t>
      </w:r>
      <w:r w:rsidR="002250C3">
        <w:rPr>
          <w:sz w:val="22"/>
          <w:szCs w:val="22"/>
        </w:rPr>
        <w:t xml:space="preserve"> </w:t>
      </w:r>
    </w:p>
    <w:p w14:paraId="64C9C4EC" w14:textId="02986FCC" w:rsidR="00DB7467" w:rsidRPr="00D71101" w:rsidRDefault="00DB7467" w:rsidP="002502E3">
      <w:pPr>
        <w:keepNext/>
        <w:pBdr>
          <w:bottom w:val="single" w:sz="4" w:space="1" w:color="00B0F0"/>
        </w:pBdr>
        <w:tabs>
          <w:tab w:val="left" w:pos="567"/>
          <w:tab w:val="left" w:pos="1134"/>
          <w:tab w:val="left" w:pos="1701"/>
        </w:tabs>
        <w:spacing w:before="240"/>
        <w:rPr>
          <w:rFonts w:cstheme="minorHAnsi"/>
          <w:b/>
          <w:bCs/>
          <w:color w:val="7F7F7F" w:themeColor="text1" w:themeTint="80"/>
          <w:sz w:val="22"/>
          <w:szCs w:val="22"/>
        </w:rPr>
      </w:pPr>
      <w:r w:rsidRPr="00D71101">
        <w:rPr>
          <w:b/>
          <w:bCs/>
          <w:color w:val="7F7F7F" w:themeColor="text1" w:themeTint="80"/>
          <w:sz w:val="22"/>
          <w:szCs w:val="22"/>
        </w:rPr>
        <w:t>Тема 2: Содержание и структура</w:t>
      </w:r>
    </w:p>
    <w:p w14:paraId="2B949071" w14:textId="77777777" w:rsidR="00DB7467" w:rsidRPr="00D71101"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sz w:val="22"/>
          <w:szCs w:val="22"/>
        </w:rPr>
      </w:pPr>
      <w:r w:rsidRPr="00D71101">
        <w:rPr>
          <w:rFonts w:asciiTheme="minorHAnsi" w:hAnsiTheme="minorHAnsi"/>
          <w:color w:val="00B0F0"/>
          <w:sz w:val="22"/>
          <w:szCs w:val="22"/>
        </w:rPr>
        <w:t xml:space="preserve">Контекст </w:t>
      </w:r>
    </w:p>
    <w:p w14:paraId="73786811" w14:textId="5A125D22" w:rsidR="00DB7467" w:rsidRPr="00D71101" w:rsidRDefault="00DB7467" w:rsidP="00437FA4">
      <w:pPr>
        <w:tabs>
          <w:tab w:val="left" w:pos="567"/>
          <w:tab w:val="left" w:pos="1134"/>
          <w:tab w:val="left" w:pos="1701"/>
        </w:tabs>
        <w:rPr>
          <w:rFonts w:cstheme="minorHAnsi"/>
          <w:color w:val="000000" w:themeColor="text1"/>
          <w:sz w:val="22"/>
          <w:szCs w:val="22"/>
        </w:rPr>
      </w:pPr>
      <w:r w:rsidRPr="00D71101">
        <w:rPr>
          <w:color w:val="000000" w:themeColor="text1"/>
          <w:sz w:val="22"/>
          <w:szCs w:val="22"/>
        </w:rPr>
        <w:t xml:space="preserve">Было отмечено, что обязанности ВКРЭ изложены в Статье 22 Устава МСЭ и Статье 16 Конвенции МСЭ. Структура ВКРЭ описана в </w:t>
      </w:r>
      <w:r w:rsidR="00DB2020" w:rsidRPr="00D71101">
        <w:rPr>
          <w:color w:val="000000" w:themeColor="text1"/>
          <w:sz w:val="22"/>
          <w:szCs w:val="22"/>
        </w:rPr>
        <w:t xml:space="preserve">разделе </w:t>
      </w:r>
      <w:r w:rsidRPr="00D71101">
        <w:rPr>
          <w:color w:val="000000" w:themeColor="text1"/>
          <w:sz w:val="22"/>
          <w:szCs w:val="22"/>
        </w:rPr>
        <w:t xml:space="preserve">1 </w:t>
      </w:r>
      <w:bookmarkStart w:id="8" w:name="_Toc500839526"/>
      <w:bookmarkStart w:id="9" w:name="_Toc503337203"/>
      <w:bookmarkStart w:id="10" w:name="_Toc503773880"/>
      <w:r w:rsidRPr="00D71101">
        <w:rPr>
          <w:color w:val="000000" w:themeColor="text1"/>
          <w:sz w:val="22"/>
          <w:szCs w:val="22"/>
        </w:rPr>
        <w:t xml:space="preserve">Резолюции </w:t>
      </w:r>
      <w:r w:rsidRPr="00D71101">
        <w:rPr>
          <w:rStyle w:val="href"/>
          <w:color w:val="000000" w:themeColor="text1"/>
          <w:sz w:val="22"/>
          <w:szCs w:val="22"/>
        </w:rPr>
        <w:t>1</w:t>
      </w:r>
      <w:r w:rsidRPr="00D71101">
        <w:rPr>
          <w:color w:val="000000" w:themeColor="text1"/>
          <w:sz w:val="22"/>
          <w:szCs w:val="22"/>
        </w:rPr>
        <w:t xml:space="preserve"> (Пересм. Буэнос-Айрес, 2017 г.)</w:t>
      </w:r>
      <w:bookmarkStart w:id="11" w:name="_Toc503337204"/>
      <w:bookmarkStart w:id="12" w:name="_Toc503773881"/>
      <w:bookmarkEnd w:id="8"/>
      <w:bookmarkEnd w:id="9"/>
      <w:bookmarkEnd w:id="10"/>
      <w:r w:rsidR="007F6EA8" w:rsidRPr="00D71101">
        <w:rPr>
          <w:color w:val="000000" w:themeColor="text1"/>
          <w:sz w:val="22"/>
          <w:szCs w:val="22"/>
        </w:rPr>
        <w:t xml:space="preserve"> </w:t>
      </w:r>
      <w:r w:rsidRPr="00D71101">
        <w:rPr>
          <w:color w:val="000000" w:themeColor="text1"/>
          <w:sz w:val="22"/>
          <w:szCs w:val="22"/>
        </w:rPr>
        <w:t xml:space="preserve">ВКРЭ </w:t>
      </w:r>
      <w:r w:rsidR="00DB2020">
        <w:rPr>
          <w:color w:val="000000" w:themeColor="text1"/>
          <w:sz w:val="22"/>
          <w:szCs w:val="22"/>
        </w:rPr>
        <w:t xml:space="preserve">по </w:t>
      </w:r>
      <w:r w:rsidR="00DB2020" w:rsidRPr="00D71101">
        <w:rPr>
          <w:color w:val="000000" w:themeColor="text1"/>
          <w:sz w:val="22"/>
          <w:szCs w:val="22"/>
        </w:rPr>
        <w:t>правила</w:t>
      </w:r>
      <w:r w:rsidR="00DB2020">
        <w:rPr>
          <w:color w:val="000000" w:themeColor="text1"/>
          <w:sz w:val="22"/>
          <w:szCs w:val="22"/>
        </w:rPr>
        <w:t>м</w:t>
      </w:r>
      <w:r w:rsidR="00DB2020" w:rsidRPr="00D71101">
        <w:rPr>
          <w:color w:val="000000" w:themeColor="text1"/>
          <w:sz w:val="22"/>
          <w:szCs w:val="22"/>
        </w:rPr>
        <w:t xml:space="preserve"> </w:t>
      </w:r>
      <w:r w:rsidRPr="00D71101">
        <w:rPr>
          <w:color w:val="000000" w:themeColor="text1"/>
          <w:sz w:val="22"/>
          <w:szCs w:val="22"/>
        </w:rPr>
        <w:t>процедуры Сектора развития электросвязи МСЭ</w:t>
      </w:r>
      <w:bookmarkEnd w:id="11"/>
      <w:bookmarkEnd w:id="12"/>
      <w:r w:rsidRPr="00D71101">
        <w:rPr>
          <w:color w:val="000000" w:themeColor="text1"/>
          <w:sz w:val="22"/>
          <w:szCs w:val="22"/>
        </w:rPr>
        <w:t xml:space="preserve">, а в п. 213 Конвенции приведен проект повестки дня ВКРЭ. Согласно положениям Устава и Конвенции, ВКРЭ не обязана рассматривать вклад МСЭ-D в стратегический план МСЭ. В то же время такая задача предусмотрена Резолюцией </w:t>
      </w:r>
      <w:r w:rsidRPr="00D71101">
        <w:rPr>
          <w:rStyle w:val="href"/>
          <w:color w:val="000000" w:themeColor="text1"/>
          <w:sz w:val="22"/>
          <w:szCs w:val="22"/>
        </w:rPr>
        <w:t>1</w:t>
      </w:r>
      <w:r w:rsidRPr="00D71101">
        <w:rPr>
          <w:color w:val="000000" w:themeColor="text1"/>
          <w:sz w:val="22"/>
          <w:szCs w:val="22"/>
        </w:rPr>
        <w:t xml:space="preserve"> (Пересм. Буэнос-Айрес, 2017 г.), которая гласит, что ВКРЭ обязана разрабатывать вклад МСЭ-D в проект </w:t>
      </w:r>
      <w:r w:rsidRPr="00D71101">
        <w:rPr>
          <w:color w:val="000000" w:themeColor="text1"/>
          <w:sz w:val="22"/>
          <w:szCs w:val="22"/>
        </w:rPr>
        <w:lastRenderedPageBreak/>
        <w:t xml:space="preserve">стратегического плана МСЭ. Таким образом, участники пришли к выводу, что внесение изменений в такую задачу по усмотрению ВКРЭ входит в ее компетенцию. </w:t>
      </w:r>
    </w:p>
    <w:p w14:paraId="6D3D4E28" w14:textId="0963BE53" w:rsidR="00DB7467" w:rsidRPr="00D71101" w:rsidRDefault="00E14291" w:rsidP="00437FA4">
      <w:pPr>
        <w:tabs>
          <w:tab w:val="left" w:pos="567"/>
          <w:tab w:val="left" w:pos="1134"/>
          <w:tab w:val="left" w:pos="1701"/>
        </w:tabs>
        <w:rPr>
          <w:rFonts w:cstheme="minorHAnsi"/>
          <w:sz w:val="22"/>
          <w:szCs w:val="22"/>
        </w:rPr>
      </w:pPr>
      <w:r>
        <w:rPr>
          <w:sz w:val="22"/>
          <w:szCs w:val="22"/>
        </w:rPr>
        <w:t xml:space="preserve">На основе </w:t>
      </w:r>
      <w:r w:rsidR="00DB7467" w:rsidRPr="00D71101">
        <w:rPr>
          <w:sz w:val="22"/>
          <w:szCs w:val="22"/>
        </w:rPr>
        <w:t>результат</w:t>
      </w:r>
      <w:r>
        <w:rPr>
          <w:sz w:val="22"/>
          <w:szCs w:val="22"/>
        </w:rPr>
        <w:t>ов</w:t>
      </w:r>
      <w:r w:rsidR="00DB7467" w:rsidRPr="00D71101">
        <w:rPr>
          <w:sz w:val="22"/>
          <w:szCs w:val="22"/>
        </w:rPr>
        <w:t xml:space="preserve"> дискуссий и иде</w:t>
      </w:r>
      <w:r>
        <w:rPr>
          <w:sz w:val="22"/>
          <w:szCs w:val="22"/>
        </w:rPr>
        <w:t>й</w:t>
      </w:r>
      <w:r w:rsidR="00DB7467" w:rsidRPr="00D71101">
        <w:rPr>
          <w:sz w:val="22"/>
          <w:szCs w:val="22"/>
        </w:rPr>
        <w:t>, озвученны</w:t>
      </w:r>
      <w:r>
        <w:rPr>
          <w:sz w:val="22"/>
          <w:szCs w:val="22"/>
        </w:rPr>
        <w:t>х</w:t>
      </w:r>
      <w:r w:rsidR="00DB7467" w:rsidRPr="00D71101">
        <w:rPr>
          <w:sz w:val="22"/>
          <w:szCs w:val="22"/>
        </w:rPr>
        <w:t xml:space="preserve"> в ходе первого диалога, было выдвинуто семь предложений для дальнейшего обсуждения и доработки.</w:t>
      </w:r>
      <w:r w:rsidR="002250C3">
        <w:rPr>
          <w:sz w:val="22"/>
          <w:szCs w:val="22"/>
        </w:rPr>
        <w:t xml:space="preserve"> </w:t>
      </w:r>
    </w:p>
    <w:p w14:paraId="63EC49A4" w14:textId="77777777" w:rsidR="00DB7467" w:rsidRPr="00D71101" w:rsidRDefault="00DB7467" w:rsidP="00482A5F">
      <w:pPr>
        <w:keepNext/>
        <w:tabs>
          <w:tab w:val="left" w:pos="567"/>
          <w:tab w:val="left" w:pos="1134"/>
          <w:tab w:val="left" w:pos="1701"/>
        </w:tabs>
        <w:overflowPunct/>
        <w:autoSpaceDE/>
        <w:autoSpaceDN/>
        <w:adjustRightInd/>
        <w:spacing w:line="259" w:lineRule="auto"/>
        <w:textAlignment w:val="auto"/>
        <w:rPr>
          <w:rFonts w:cstheme="minorHAnsi"/>
          <w:sz w:val="22"/>
          <w:szCs w:val="22"/>
        </w:rPr>
      </w:pPr>
      <w:r w:rsidRPr="00D71101">
        <w:rPr>
          <w:color w:val="00B0F0"/>
          <w:sz w:val="22"/>
          <w:szCs w:val="22"/>
        </w:rPr>
        <w:t>Предложения</w:t>
      </w:r>
    </w:p>
    <w:p w14:paraId="7AD2152E" w14:textId="7A016662" w:rsidR="00DB7467" w:rsidRPr="00D71101"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 w:val="22"/>
          <w:szCs w:val="22"/>
        </w:rPr>
      </w:pPr>
      <w:r w:rsidRPr="00D71101">
        <w:rPr>
          <w:b/>
          <w:bCs/>
          <w:sz w:val="22"/>
          <w:szCs w:val="22"/>
        </w:rPr>
        <w:t>Предложение 2.1.</w:t>
      </w:r>
      <w:r w:rsidRPr="00D71101">
        <w:rPr>
          <w:sz w:val="22"/>
          <w:szCs w:val="22"/>
        </w:rPr>
        <w:t xml:space="preserve"> На ВКРЭ могут в основном обсуждаться темы, касающиеся того, как можно рассматривать определенные в ходе подготовительного процесса проблемы, связанные с развитием, и финансировать их решение. Любые утвержденные меры должны быть увязаны либо с имеющимся бюджетом МСЭ-D, либо с обязательствами, взятыми до или в ходе конференции.</w:t>
      </w:r>
    </w:p>
    <w:p w14:paraId="68838889" w14:textId="611E6E2C" w:rsidR="00DB7467" w:rsidRPr="00D71101"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 w:val="22"/>
          <w:szCs w:val="22"/>
        </w:rPr>
      </w:pPr>
      <w:r w:rsidRPr="00D71101">
        <w:rPr>
          <w:b/>
          <w:bCs/>
          <w:sz w:val="22"/>
          <w:szCs w:val="22"/>
        </w:rPr>
        <w:t xml:space="preserve">Предложение 2.2. </w:t>
      </w:r>
      <w:r w:rsidRPr="00D71101">
        <w:rPr>
          <w:sz w:val="22"/>
          <w:szCs w:val="22"/>
        </w:rPr>
        <w:t xml:space="preserve">ВКРЭ может рассмотреть вопрос о поручении КГРЭ обсуждения стратегического плана МСЭ при подготовке к [следующей Полномочной конференции], принимая во внимание результаты ВКРЭ. </w:t>
      </w:r>
    </w:p>
    <w:p w14:paraId="1919CF4E" w14:textId="70AE78E3" w:rsidR="00DB7467" w:rsidRPr="00D71101"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 w:val="22"/>
          <w:szCs w:val="22"/>
        </w:rPr>
      </w:pPr>
      <w:r w:rsidRPr="00D71101">
        <w:rPr>
          <w:b/>
          <w:bCs/>
          <w:sz w:val="22"/>
          <w:szCs w:val="22"/>
        </w:rPr>
        <w:t>Предложение 2.3.</w:t>
      </w:r>
      <w:r w:rsidRPr="00D71101">
        <w:rPr>
          <w:sz w:val="22"/>
          <w:szCs w:val="22"/>
        </w:rPr>
        <w:t xml:space="preserve"> Сегмент высокого уровня (на котором, среди прочего, представляются общеполитические заявления) может быть перепрофилирован и превращен в тематические мероприятия для рассмотрения проблем развития и четко определенных приоритетов. </w:t>
      </w:r>
    </w:p>
    <w:p w14:paraId="0E32AD85" w14:textId="77777777" w:rsidR="00DB7467" w:rsidRPr="00D71101"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 w:val="22"/>
          <w:szCs w:val="22"/>
        </w:rPr>
      </w:pPr>
      <w:r w:rsidRPr="00D71101">
        <w:rPr>
          <w:b/>
          <w:bCs/>
          <w:sz w:val="22"/>
          <w:szCs w:val="22"/>
        </w:rPr>
        <w:t xml:space="preserve">Предложение 2.4. </w:t>
      </w:r>
      <w:r w:rsidRPr="00D71101">
        <w:rPr>
          <w:sz w:val="22"/>
          <w:szCs w:val="22"/>
        </w:rPr>
        <w:t xml:space="preserve">Обсуждение резолюций может основываться главным образом на итогах предшествующих собраний КГРЭ, на которых должны быть приняты меры по их упорядочению. </w:t>
      </w:r>
    </w:p>
    <w:p w14:paraId="4937740C" w14:textId="4801C9C0" w:rsidR="00DB7467" w:rsidRPr="00D71101"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 w:val="22"/>
          <w:szCs w:val="22"/>
        </w:rPr>
      </w:pPr>
      <w:r w:rsidRPr="00D71101">
        <w:rPr>
          <w:b/>
          <w:bCs/>
          <w:sz w:val="22"/>
          <w:szCs w:val="22"/>
        </w:rPr>
        <w:t xml:space="preserve">Предложение 2.5. </w:t>
      </w:r>
      <w:r w:rsidRPr="00D71101">
        <w:rPr>
          <w:sz w:val="22"/>
          <w:szCs w:val="22"/>
        </w:rPr>
        <w:t xml:space="preserve">Вопросы исследовательских комиссий могут быть определены в ходе подготовительного процесса, в соответствии с потребностями членов и региональными и межрегиональными приоритетами. </w:t>
      </w:r>
    </w:p>
    <w:p w14:paraId="6F6BDB0E" w14:textId="77777777" w:rsidR="00DB7467" w:rsidRPr="00D71101" w:rsidRDefault="00DB7467" w:rsidP="00437FA4">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 w:val="22"/>
          <w:szCs w:val="22"/>
        </w:rPr>
      </w:pPr>
      <w:r w:rsidRPr="00D71101">
        <w:rPr>
          <w:b/>
          <w:bCs/>
          <w:sz w:val="22"/>
          <w:szCs w:val="22"/>
        </w:rPr>
        <w:t>Предложение 2.6.</w:t>
      </w:r>
      <w:r w:rsidRPr="00D71101">
        <w:rPr>
          <w:sz w:val="22"/>
          <w:szCs w:val="22"/>
        </w:rPr>
        <w:t xml:space="preserve"> Сопоставление вопросов исследовательских комиссий МСЭ-Т и МСЭ-D, а также МСЭ-R и МСЭ-D может быть усовершенствовано с целью определения возможных областей частичного совпадения или сближения. </w:t>
      </w:r>
    </w:p>
    <w:p w14:paraId="2CAE0764" w14:textId="79F55EA4" w:rsidR="00DB7467" w:rsidRPr="00D71101" w:rsidRDefault="00DB7467" w:rsidP="00DE4068">
      <w:pPr>
        <w:numPr>
          <w:ilvl w:val="0"/>
          <w:numId w:val="24"/>
        </w:numPr>
        <w:tabs>
          <w:tab w:val="clear" w:pos="794"/>
          <w:tab w:val="clear" w:pos="1191"/>
          <w:tab w:val="clear" w:pos="1588"/>
          <w:tab w:val="clear" w:pos="1985"/>
          <w:tab w:val="left" w:pos="567"/>
          <w:tab w:val="left" w:pos="1134"/>
          <w:tab w:val="left" w:pos="1701"/>
        </w:tabs>
        <w:overflowPunct/>
        <w:autoSpaceDE/>
        <w:autoSpaceDN/>
        <w:adjustRightInd/>
        <w:ind w:left="567" w:hanging="567"/>
        <w:textAlignment w:val="auto"/>
        <w:rPr>
          <w:rFonts w:cstheme="minorHAnsi"/>
          <w:sz w:val="22"/>
          <w:szCs w:val="22"/>
        </w:rPr>
      </w:pPr>
      <w:r w:rsidRPr="00D71101">
        <w:rPr>
          <w:b/>
          <w:bCs/>
          <w:sz w:val="22"/>
          <w:szCs w:val="22"/>
        </w:rPr>
        <w:t xml:space="preserve">Предложение 2.7. </w:t>
      </w:r>
      <w:r w:rsidRPr="00D71101">
        <w:rPr>
          <w:sz w:val="22"/>
          <w:szCs w:val="22"/>
        </w:rPr>
        <w:t>РОЭ могли бы выработать ограниченное число "региональных приоритетов" на основании определенной сферы охвата конференции, связанной с развитием.</w:t>
      </w:r>
      <w:r w:rsidR="002250C3">
        <w:rPr>
          <w:sz w:val="22"/>
          <w:szCs w:val="22"/>
        </w:rPr>
        <w:t xml:space="preserve"> </w:t>
      </w:r>
      <w:r w:rsidRPr="00D71101">
        <w:rPr>
          <w:sz w:val="22"/>
          <w:szCs w:val="22"/>
        </w:rPr>
        <w:t>РОЭ можно было бы рекомендовать определить приоритеты, общие для регионов, которые можно было бы реализовать в рамках бюджетных ограничений БРЭ или на основании обязательств, принятых до или во время конференции.</w:t>
      </w:r>
    </w:p>
    <w:p w14:paraId="2B5E6417" w14:textId="56AEC17A" w:rsidR="00DB7467" w:rsidRPr="00D71101" w:rsidRDefault="00DB7467" w:rsidP="00482A5F">
      <w:pPr>
        <w:keepNext/>
        <w:tabs>
          <w:tab w:val="left" w:pos="567"/>
          <w:tab w:val="left" w:pos="1134"/>
          <w:tab w:val="left" w:pos="1701"/>
        </w:tabs>
        <w:overflowPunct/>
        <w:autoSpaceDE/>
        <w:autoSpaceDN/>
        <w:adjustRightInd/>
        <w:spacing w:line="259" w:lineRule="auto"/>
        <w:textAlignment w:val="auto"/>
        <w:rPr>
          <w:rFonts w:cstheme="minorHAnsi"/>
          <w:sz w:val="22"/>
          <w:szCs w:val="22"/>
        </w:rPr>
      </w:pPr>
      <w:r w:rsidRPr="00D71101">
        <w:rPr>
          <w:color w:val="00B0F0"/>
          <w:sz w:val="22"/>
          <w:szCs w:val="22"/>
        </w:rPr>
        <w:t xml:space="preserve">Обсуждение </w:t>
      </w:r>
    </w:p>
    <w:p w14:paraId="5F329B3F" w14:textId="0BD9EDFA"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Участники единогласно указали на необходимость вернуть ВКРЭ статус конференции, ориентированной на развитие, и прочно увязать ее с Целями в области устойчивого развития (ЦУР), с тем чтобы она могла приносить пользу самым разным присоединившимся к ней заинтересованным сторонам. </w:t>
      </w:r>
    </w:p>
    <w:p w14:paraId="337AB85F" w14:textId="23B22DBB"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Было широко поддержано мнение, что структура и содержание должны быть направлены на решение важнейших вопросов развития ИКТ, выявленных на региональном уровне. Прозвучали призывы определить тему ВКРЭ-21, которая поможет сфокусировать дискуссии на определении дальнейших шагов. БРЭ объявит конкурс на разработку такой темы. </w:t>
      </w:r>
    </w:p>
    <w:p w14:paraId="05FFF15A" w14:textId="4EECE3E8"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Поддержав </w:t>
      </w:r>
      <w:r w:rsidR="00BB4B55" w:rsidRPr="00D71101">
        <w:rPr>
          <w:sz w:val="22"/>
          <w:szCs w:val="22"/>
        </w:rPr>
        <w:t xml:space="preserve">предложение </w:t>
      </w:r>
      <w:r w:rsidRPr="00D71101">
        <w:rPr>
          <w:sz w:val="22"/>
          <w:szCs w:val="22"/>
        </w:rPr>
        <w:t>2.1, участники отметили, что независимо от обстоятельств, члены должны быть осведомлены об имеющемся бюджете, а также о первоначальных или возможных обязательствах. Поскольку реализация некоторых предложений, высказываемых в ходе региональных подготовительных собраний, может потребовать значительного перерасхода средств, предусмотренных бюджетом, необходимо будет разработать процесс рационализации или приорит</w:t>
      </w:r>
      <w:r w:rsidR="00941BF8">
        <w:rPr>
          <w:sz w:val="22"/>
          <w:szCs w:val="22"/>
        </w:rPr>
        <w:t>е</w:t>
      </w:r>
      <w:r w:rsidRPr="00D71101">
        <w:rPr>
          <w:sz w:val="22"/>
          <w:szCs w:val="22"/>
        </w:rPr>
        <w:t xml:space="preserve">зации. </w:t>
      </w:r>
    </w:p>
    <w:p w14:paraId="46DABF32" w14:textId="3443EFF9" w:rsidR="00DB7467" w:rsidRPr="00D71101" w:rsidRDefault="00DB7467" w:rsidP="00437FA4">
      <w:pPr>
        <w:tabs>
          <w:tab w:val="left" w:pos="567"/>
          <w:tab w:val="left" w:pos="1134"/>
          <w:tab w:val="left" w:pos="1701"/>
        </w:tabs>
        <w:rPr>
          <w:rFonts w:cstheme="minorHAnsi"/>
          <w:iCs/>
          <w:sz w:val="22"/>
          <w:szCs w:val="22"/>
        </w:rPr>
      </w:pPr>
      <w:r w:rsidRPr="00D71101">
        <w:rPr>
          <w:sz w:val="22"/>
          <w:szCs w:val="22"/>
        </w:rPr>
        <w:lastRenderedPageBreak/>
        <w:t xml:space="preserve">Ряд участников предложили ВКРЭ уполномочить КГРЭ рассматривать и согласовывать вклад МСЭ-D в общий стратегический план МСЭ в соответствии с Резолюцией 24 (Пересм. Дубай, 2014 г.) ВКРЭ </w:t>
      </w:r>
      <w:r w:rsidR="00EB2E91">
        <w:rPr>
          <w:sz w:val="22"/>
          <w:szCs w:val="22"/>
        </w:rPr>
        <w:t>о</w:t>
      </w:r>
      <w:r w:rsidR="00EB2E91">
        <w:rPr>
          <w:sz w:val="22"/>
          <w:szCs w:val="22"/>
          <w:lang w:val="en-US"/>
        </w:rPr>
        <w:t xml:space="preserve"> </w:t>
      </w:r>
      <w:r w:rsidR="00EB2E91" w:rsidRPr="00D71101">
        <w:rPr>
          <w:sz w:val="22"/>
          <w:szCs w:val="22"/>
        </w:rPr>
        <w:t>предоставлени</w:t>
      </w:r>
      <w:r w:rsidR="00EB2E91">
        <w:rPr>
          <w:sz w:val="22"/>
          <w:szCs w:val="22"/>
        </w:rPr>
        <w:t>и</w:t>
      </w:r>
      <w:r w:rsidR="00EB2E91" w:rsidRPr="00D71101">
        <w:rPr>
          <w:sz w:val="22"/>
          <w:szCs w:val="22"/>
        </w:rPr>
        <w:t xml:space="preserve"> </w:t>
      </w:r>
      <w:r w:rsidRPr="00D71101">
        <w:rPr>
          <w:sz w:val="22"/>
          <w:szCs w:val="22"/>
        </w:rPr>
        <w:t xml:space="preserve">полномочий </w:t>
      </w:r>
      <w:r w:rsidR="00EB2E91" w:rsidRPr="00D71101">
        <w:rPr>
          <w:sz w:val="22"/>
          <w:szCs w:val="22"/>
        </w:rPr>
        <w:t xml:space="preserve">Консультативной </w:t>
      </w:r>
      <w:r w:rsidRPr="00D71101">
        <w:rPr>
          <w:sz w:val="22"/>
          <w:szCs w:val="22"/>
        </w:rPr>
        <w:t>группе по развитию электросвязи осуществлять деятельность в период между всемирными конференциями по развитию электросвязи.</w:t>
      </w:r>
      <w:r w:rsidR="002250C3">
        <w:rPr>
          <w:sz w:val="22"/>
          <w:szCs w:val="22"/>
        </w:rPr>
        <w:t xml:space="preserve"> </w:t>
      </w:r>
      <w:r w:rsidRPr="00D71101">
        <w:rPr>
          <w:sz w:val="22"/>
          <w:szCs w:val="22"/>
        </w:rPr>
        <w:t xml:space="preserve">Согласно положениям этой резолюции, конференция может поручить КГРЭ рассмотрение </w:t>
      </w:r>
      <w:r w:rsidR="00EB2E91">
        <w:rPr>
          <w:sz w:val="22"/>
          <w:szCs w:val="22"/>
        </w:rPr>
        <w:t>конкретных</w:t>
      </w:r>
      <w:r w:rsidRPr="00D71101">
        <w:rPr>
          <w:sz w:val="22"/>
          <w:szCs w:val="22"/>
        </w:rPr>
        <w:t xml:space="preserve"> вопросов в период между двумя последующими ВКРЭ.</w:t>
      </w:r>
    </w:p>
    <w:p w14:paraId="50E5AF2A" w14:textId="627E7307"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Поскольку упорядочение резолюций тесно связано с вопросом </w:t>
      </w:r>
      <w:proofErr w:type="spellStart"/>
      <w:r w:rsidRPr="00D71101">
        <w:rPr>
          <w:sz w:val="22"/>
          <w:szCs w:val="22"/>
        </w:rPr>
        <w:t>меж</w:t>
      </w:r>
      <w:r w:rsidR="00EB2E91">
        <w:rPr>
          <w:sz w:val="22"/>
          <w:szCs w:val="22"/>
        </w:rPr>
        <w:t>секторальной</w:t>
      </w:r>
      <w:proofErr w:type="spellEnd"/>
      <w:r w:rsidR="00EB2E91">
        <w:rPr>
          <w:sz w:val="22"/>
          <w:szCs w:val="22"/>
        </w:rPr>
        <w:t xml:space="preserve"> </w:t>
      </w:r>
      <w:r w:rsidRPr="00D71101">
        <w:rPr>
          <w:sz w:val="22"/>
          <w:szCs w:val="22"/>
        </w:rPr>
        <w:t xml:space="preserve">координации, некоторые участники призвали пересмотреть и сопоставить резолюции ВКРЭ с резолюциями Полномочной конференции, Всемирной конференции радиосвязи (ВКР), Ассамблеи радиосвязи и Всемирной ассамблеи по стандартизации электросвязи (ВАСЭ), с тем чтобы избежать </w:t>
      </w:r>
      <w:r w:rsidR="00EB2E91">
        <w:rPr>
          <w:sz w:val="22"/>
          <w:szCs w:val="22"/>
        </w:rPr>
        <w:t xml:space="preserve">какого-либо </w:t>
      </w:r>
      <w:r w:rsidRPr="00D71101">
        <w:rPr>
          <w:sz w:val="22"/>
          <w:szCs w:val="22"/>
        </w:rPr>
        <w:t xml:space="preserve">дублирования. Было также высказано мнение, что БРЭ могло бы предоставлять консультации по новым резолюциям или по предполагаемым поправкам к существующим резолюциям, так как располагает всеми возможностями для информирования участников региональных и межрегиональных подготовительных собраний о результатах или ходе работы по каждой резолюции. </w:t>
      </w:r>
    </w:p>
    <w:p w14:paraId="167DBB79" w14:textId="77777777"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Определенную поддержку получило предложение переориентировать общеполитические заявления высокого уровня, заменив их тематическими мероприятиями; при этом было отмечено, что конференция не должна быть перегружена работой многочисленных специальных групп, созданных для решения тех или иных проблем. </w:t>
      </w:r>
    </w:p>
    <w:p w14:paraId="708DC2EE" w14:textId="321A00F0" w:rsidR="00DB7467" w:rsidRPr="00D71101" w:rsidRDefault="00DB7467" w:rsidP="00437FA4">
      <w:pPr>
        <w:tabs>
          <w:tab w:val="left" w:pos="567"/>
          <w:tab w:val="left" w:pos="1134"/>
          <w:tab w:val="left" w:pos="1701"/>
        </w:tabs>
        <w:rPr>
          <w:rFonts w:cstheme="minorHAnsi"/>
          <w:sz w:val="22"/>
          <w:szCs w:val="22"/>
        </w:rPr>
      </w:pPr>
      <w:r w:rsidRPr="00D71101">
        <w:rPr>
          <w:sz w:val="22"/>
          <w:szCs w:val="22"/>
        </w:rPr>
        <w:t>Работа над Вопросами исследовательских комиссий также отнимает у участников конференции много времени. Тем не менее</w:t>
      </w:r>
      <w:r w:rsidR="00EB2E91">
        <w:rPr>
          <w:sz w:val="22"/>
          <w:szCs w:val="22"/>
        </w:rPr>
        <w:t>,</w:t>
      </w:r>
      <w:r w:rsidRPr="00D71101">
        <w:rPr>
          <w:sz w:val="22"/>
          <w:szCs w:val="22"/>
        </w:rPr>
        <w:t xml:space="preserve"> </w:t>
      </w:r>
      <w:r w:rsidR="00EB2E91">
        <w:rPr>
          <w:sz w:val="22"/>
          <w:szCs w:val="22"/>
        </w:rPr>
        <w:t>эт</w:t>
      </w:r>
      <w:r w:rsidR="00883828">
        <w:rPr>
          <w:sz w:val="22"/>
          <w:szCs w:val="22"/>
        </w:rPr>
        <w:t xml:space="preserve">от аспект </w:t>
      </w:r>
      <w:r w:rsidR="00EB2E91">
        <w:rPr>
          <w:sz w:val="22"/>
          <w:szCs w:val="22"/>
        </w:rPr>
        <w:t xml:space="preserve">следует </w:t>
      </w:r>
      <w:r w:rsidR="00883828">
        <w:rPr>
          <w:sz w:val="22"/>
          <w:szCs w:val="22"/>
        </w:rPr>
        <w:t xml:space="preserve">соотнести с необходимостью формулирования хорошо продуманных </w:t>
      </w:r>
      <w:r w:rsidRPr="00D71101">
        <w:rPr>
          <w:sz w:val="22"/>
          <w:szCs w:val="22"/>
        </w:rPr>
        <w:t>Вопрос</w:t>
      </w:r>
      <w:r w:rsidR="00883828">
        <w:rPr>
          <w:sz w:val="22"/>
          <w:szCs w:val="22"/>
        </w:rPr>
        <w:t>ов</w:t>
      </w:r>
      <w:r w:rsidRPr="00D71101">
        <w:rPr>
          <w:sz w:val="22"/>
          <w:szCs w:val="22"/>
        </w:rPr>
        <w:t xml:space="preserve">, </w:t>
      </w:r>
      <w:r w:rsidR="00883828">
        <w:rPr>
          <w:sz w:val="22"/>
          <w:szCs w:val="22"/>
        </w:rPr>
        <w:t xml:space="preserve">в которых </w:t>
      </w:r>
      <w:r w:rsidRPr="00D71101">
        <w:rPr>
          <w:sz w:val="22"/>
          <w:szCs w:val="22"/>
        </w:rPr>
        <w:t>учитываю</w:t>
      </w:r>
      <w:r w:rsidR="00883828">
        <w:rPr>
          <w:sz w:val="22"/>
          <w:szCs w:val="22"/>
        </w:rPr>
        <w:t>тся</w:t>
      </w:r>
      <w:r w:rsidRPr="00D71101">
        <w:rPr>
          <w:sz w:val="22"/>
          <w:szCs w:val="22"/>
        </w:rPr>
        <w:t xml:space="preserve"> не только обсуждения, имевшие место в ходе последнего цикла, но и потребности в области развития и </w:t>
      </w:r>
      <w:r w:rsidR="00C1624F">
        <w:rPr>
          <w:sz w:val="22"/>
          <w:szCs w:val="22"/>
        </w:rPr>
        <w:t xml:space="preserve">желание членов продвинуться в </w:t>
      </w:r>
      <w:r w:rsidRPr="00D71101">
        <w:rPr>
          <w:sz w:val="22"/>
          <w:szCs w:val="22"/>
        </w:rPr>
        <w:t>проведени</w:t>
      </w:r>
      <w:r w:rsidR="00C1624F">
        <w:rPr>
          <w:sz w:val="22"/>
          <w:szCs w:val="22"/>
        </w:rPr>
        <w:t>и</w:t>
      </w:r>
      <w:r w:rsidRPr="00D71101">
        <w:rPr>
          <w:sz w:val="22"/>
          <w:szCs w:val="22"/>
        </w:rPr>
        <w:t xml:space="preserve"> обсуждений. Во избежание </w:t>
      </w:r>
      <w:r w:rsidR="00C1624F">
        <w:rPr>
          <w:sz w:val="22"/>
          <w:szCs w:val="22"/>
        </w:rPr>
        <w:t xml:space="preserve">какого-либо </w:t>
      </w:r>
      <w:r w:rsidRPr="00D71101">
        <w:rPr>
          <w:sz w:val="22"/>
          <w:szCs w:val="22"/>
        </w:rPr>
        <w:t xml:space="preserve">дублирования необходимо продолжить сопоставление Вопросов исследовательских комиссий по всем трем </w:t>
      </w:r>
      <w:r w:rsidR="00C1624F" w:rsidRPr="00D71101">
        <w:rPr>
          <w:sz w:val="22"/>
          <w:szCs w:val="22"/>
        </w:rPr>
        <w:t xml:space="preserve">Секторам </w:t>
      </w:r>
      <w:r w:rsidRPr="00D71101">
        <w:rPr>
          <w:sz w:val="22"/>
          <w:szCs w:val="22"/>
        </w:rPr>
        <w:t>на постоянной основе.</w:t>
      </w:r>
      <w:r w:rsidR="002250C3">
        <w:rPr>
          <w:sz w:val="22"/>
          <w:szCs w:val="22"/>
        </w:rPr>
        <w:t xml:space="preserve"> </w:t>
      </w:r>
    </w:p>
    <w:p w14:paraId="097C2A96" w14:textId="1EEF3B61" w:rsidR="00DB7467" w:rsidRPr="00D71101" w:rsidRDefault="0069265C" w:rsidP="00437FA4">
      <w:pPr>
        <w:tabs>
          <w:tab w:val="left" w:pos="567"/>
          <w:tab w:val="left" w:pos="1134"/>
          <w:tab w:val="left" w:pos="1701"/>
        </w:tabs>
        <w:rPr>
          <w:rFonts w:cstheme="minorHAnsi"/>
          <w:sz w:val="22"/>
          <w:szCs w:val="22"/>
        </w:rPr>
      </w:pPr>
      <w:r w:rsidRPr="00D71101">
        <w:rPr>
          <w:sz w:val="22"/>
          <w:szCs w:val="22"/>
        </w:rPr>
        <w:t>Региональные инициативы следует превратить в региональные приоритеты. Такие изменения помогут ориентировать региональные приоритеты таким образом, чтобы они могли охватить более широкий круг заинтересованных сторон, а также стимулировать финансирование и обеспечить надлежащую реализации со стороны БРЭ во всех регионах. Предусмотренные региональными инициативами идеи, как правило, порождают большие ожидания, которые МСЭ иногда не в состоянии удовлетворить. БРЭ поможет сделать так, чтобы на основе выявленных региональных приоритетов можно было сформировать привлекательное комплексное предложение для доноров, к которым принадлежат, в том числе, члены МСЭ.</w:t>
      </w:r>
    </w:p>
    <w:p w14:paraId="7B7A755C" w14:textId="2F07CB6B" w:rsidR="00DB7467" w:rsidRPr="00D71101" w:rsidRDefault="005875AA" w:rsidP="00437FA4">
      <w:pPr>
        <w:tabs>
          <w:tab w:val="left" w:pos="567"/>
          <w:tab w:val="left" w:pos="1134"/>
          <w:tab w:val="left" w:pos="1701"/>
        </w:tabs>
        <w:rPr>
          <w:rFonts w:cstheme="minorHAnsi"/>
          <w:sz w:val="22"/>
          <w:szCs w:val="22"/>
        </w:rPr>
      </w:pPr>
      <w:r w:rsidRPr="00D71101">
        <w:rPr>
          <w:sz w:val="22"/>
          <w:szCs w:val="22"/>
        </w:rPr>
        <w:t xml:space="preserve">Было предложено создать по меньшей мере четыре группы Докладчиков по следующим направлениям: стратегический план, упорядочение резолюций, декларация и Вопросы исследовательских комиссий. Кроме того, было озвучено предложение создать рабочую или специальную группу КГРЭ, поручив ей определить области, в которых можно было бы достичь большей организационной и функциональной эффективности на ВКРЭ-21 и, соответственно, помочь БРЭ в составлении усовершенствованного, четко определенного плана действий, отвечающего потребностям членов МСЭ-D, с учетом имеющихся у него ограниченных людских и финансовых ресурсов. Ряд участников поддержали данное предложение (Документ </w:t>
      </w:r>
      <w:hyperlink r:id="rId12" w:history="1">
        <w:r w:rsidRPr="00D71101">
          <w:rPr>
            <w:rStyle w:val="Hyperlink"/>
            <w:sz w:val="22"/>
            <w:szCs w:val="22"/>
          </w:rPr>
          <w:t>TDAG-20/37-E</w:t>
        </w:r>
      </w:hyperlink>
      <w:r w:rsidRPr="00D71101">
        <w:rPr>
          <w:sz w:val="22"/>
          <w:szCs w:val="22"/>
        </w:rPr>
        <w:t xml:space="preserve"> ). </w:t>
      </w:r>
    </w:p>
    <w:p w14:paraId="16E66DCB" w14:textId="5DF7A914" w:rsidR="00DB7467" w:rsidRPr="00D71101" w:rsidRDefault="00DB7467" w:rsidP="004F4CFD">
      <w:pPr>
        <w:keepNext/>
        <w:pBdr>
          <w:bottom w:val="single" w:sz="4" w:space="1" w:color="00B0F0"/>
        </w:pBdr>
        <w:tabs>
          <w:tab w:val="left" w:pos="567"/>
          <w:tab w:val="left" w:pos="1134"/>
          <w:tab w:val="left" w:pos="1701"/>
        </w:tabs>
        <w:spacing w:before="240"/>
        <w:rPr>
          <w:rFonts w:cstheme="minorHAnsi"/>
          <w:b/>
          <w:bCs/>
          <w:color w:val="7F7F7F" w:themeColor="text1" w:themeTint="80"/>
          <w:sz w:val="22"/>
          <w:szCs w:val="22"/>
        </w:rPr>
      </w:pPr>
      <w:r w:rsidRPr="00D71101">
        <w:rPr>
          <w:b/>
          <w:bCs/>
          <w:color w:val="7F7F7F" w:themeColor="text1" w:themeTint="80"/>
          <w:sz w:val="22"/>
          <w:szCs w:val="22"/>
        </w:rPr>
        <w:t xml:space="preserve">Тема 3: Участие заинтересованных сторон </w:t>
      </w:r>
    </w:p>
    <w:p w14:paraId="210EC9FB" w14:textId="77777777" w:rsidR="00DB7467" w:rsidRPr="00D71101"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sz w:val="22"/>
          <w:szCs w:val="22"/>
        </w:rPr>
      </w:pPr>
      <w:r w:rsidRPr="00D71101">
        <w:rPr>
          <w:rFonts w:asciiTheme="minorHAnsi" w:hAnsiTheme="minorHAnsi"/>
          <w:color w:val="00B0F0"/>
          <w:sz w:val="22"/>
          <w:szCs w:val="22"/>
        </w:rPr>
        <w:t xml:space="preserve">Контекст </w:t>
      </w:r>
    </w:p>
    <w:p w14:paraId="0DDB2F45" w14:textId="11F33D79" w:rsidR="00DB7467" w:rsidRPr="00D71101" w:rsidRDefault="00DB7467" w:rsidP="00437FA4">
      <w:pPr>
        <w:tabs>
          <w:tab w:val="left" w:pos="567"/>
          <w:tab w:val="left" w:pos="1134"/>
          <w:tab w:val="left" w:pos="1701"/>
        </w:tabs>
        <w:rPr>
          <w:rFonts w:cstheme="minorHAnsi"/>
          <w:sz w:val="22"/>
          <w:szCs w:val="22"/>
        </w:rPr>
      </w:pPr>
      <w:r w:rsidRPr="00D71101">
        <w:rPr>
          <w:sz w:val="22"/>
          <w:szCs w:val="22"/>
        </w:rPr>
        <w:t>На основе вопросов, рассмотренных в ходе первого диалога, было выработано три предварительных предложения по расширению участия соответствующих заинтересованных сторон в ВКРЭ. Кто относится к существующим и кого следует отнести к новым группам заинтересованных сторон, которых необходимо привлечь к участию в ВКРЭ? Что мож</w:t>
      </w:r>
      <w:r w:rsidR="00C1624F">
        <w:rPr>
          <w:sz w:val="22"/>
          <w:szCs w:val="22"/>
        </w:rPr>
        <w:t>но</w:t>
      </w:r>
      <w:r w:rsidRPr="00D71101">
        <w:rPr>
          <w:sz w:val="22"/>
          <w:szCs w:val="22"/>
        </w:rPr>
        <w:t xml:space="preserve"> сделать, чтобы обеспечить присутствие </w:t>
      </w:r>
      <w:r w:rsidRPr="00D71101">
        <w:rPr>
          <w:sz w:val="22"/>
          <w:szCs w:val="22"/>
        </w:rPr>
        <w:lastRenderedPageBreak/>
        <w:t xml:space="preserve">и участие представителей таких заинтересованных сторон и их директивных органов высшего уровня, и в какой пропорции они должны быть представлены? Что </w:t>
      </w:r>
      <w:r w:rsidR="00C1624F">
        <w:rPr>
          <w:sz w:val="22"/>
          <w:szCs w:val="22"/>
        </w:rPr>
        <w:t>ф</w:t>
      </w:r>
      <w:r w:rsidRPr="00D71101">
        <w:rPr>
          <w:sz w:val="22"/>
          <w:szCs w:val="22"/>
        </w:rPr>
        <w:t>актически делае</w:t>
      </w:r>
      <w:r w:rsidR="00C1624F">
        <w:rPr>
          <w:sz w:val="22"/>
          <w:szCs w:val="22"/>
        </w:rPr>
        <w:t>тся</w:t>
      </w:r>
      <w:r w:rsidRPr="00D71101">
        <w:rPr>
          <w:sz w:val="22"/>
          <w:szCs w:val="22"/>
        </w:rPr>
        <w:t xml:space="preserve"> для привлечения таких заинтересованных сторон к подготовительному процессу? В ответ на эти вопросы был озвучен ряд замечаний. </w:t>
      </w:r>
    </w:p>
    <w:p w14:paraId="2CB13153" w14:textId="6F00604D"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ВКРЭ нуждается в </w:t>
      </w:r>
      <w:r w:rsidR="0036471D">
        <w:rPr>
          <w:sz w:val="22"/>
          <w:szCs w:val="22"/>
        </w:rPr>
        <w:t xml:space="preserve">привлечении </w:t>
      </w:r>
      <w:r w:rsidRPr="00D71101">
        <w:rPr>
          <w:sz w:val="22"/>
          <w:szCs w:val="22"/>
        </w:rPr>
        <w:t>более широко</w:t>
      </w:r>
      <w:r w:rsidR="0036471D">
        <w:rPr>
          <w:sz w:val="22"/>
          <w:szCs w:val="22"/>
        </w:rPr>
        <w:t>го круга</w:t>
      </w:r>
      <w:r w:rsidRPr="00D71101">
        <w:rPr>
          <w:sz w:val="22"/>
          <w:szCs w:val="22"/>
        </w:rPr>
        <w:t xml:space="preserve"> заинтересованных сторон. Так, в ВКРЭ-17 принял</w:t>
      </w:r>
      <w:r w:rsidR="00C1624F">
        <w:rPr>
          <w:sz w:val="22"/>
          <w:szCs w:val="22"/>
        </w:rPr>
        <w:t xml:space="preserve"> участие</w:t>
      </w:r>
      <w:r w:rsidRPr="00D71101">
        <w:rPr>
          <w:sz w:val="22"/>
          <w:szCs w:val="22"/>
        </w:rPr>
        <w:t xml:space="preserve"> лишь 21% представителей частного сектора. Для расширения и стимулирования участия МСЭ необходимо создать условия для обеспечения сопричастности и охвата таких заинтересованных сторон. Соответствующая работа должна вестись с самого начала подготовительного процесса. </w:t>
      </w:r>
    </w:p>
    <w:p w14:paraId="24BE0D07" w14:textId="6C17A077"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ВКРЭ должна лучше учитывать ожидания и потребности участников. Предлагаемые преимущества должно быть известны участникам и доводиться до их сведения. Это крайне важно, поскольку участникам необходимо понять, кто эти субъекты и какие предлагаемые преимущества имеют значение для них. Необходимо внедрить стимулы для комбинирования участников высокого уровня и заинтересованных сторон, а также структурировать мероприятие таким образом, чтобы оно позволяло и помогало им взаимодействовать. Для этого при разработке повестки дня или какой-либо ее части необходимо в большей степени ориентироваться на удовлетворение различных ожиданий самых разных заинтересованных сторон. </w:t>
      </w:r>
    </w:p>
    <w:p w14:paraId="2A069126" w14:textId="5FAC90D3"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Необходимо фокусировать внимание на меньшем количестве резолюций, признав, что не все участники приезжают на весь период проведения конференции, или, возможно, организовывать сессии "только по приглашению" и в соответствии с принципами конфиденциальности </w:t>
      </w:r>
      <w:proofErr w:type="spellStart"/>
      <w:r w:rsidRPr="00D71101">
        <w:rPr>
          <w:sz w:val="22"/>
          <w:szCs w:val="22"/>
        </w:rPr>
        <w:t>Чатем</w:t>
      </w:r>
      <w:proofErr w:type="spellEnd"/>
      <w:r w:rsidRPr="00D71101">
        <w:rPr>
          <w:sz w:val="22"/>
          <w:szCs w:val="22"/>
        </w:rPr>
        <w:t>-Хауса для стимулирования откровенных дискуссий и обмена профессиональной информацией.</w:t>
      </w:r>
    </w:p>
    <w:p w14:paraId="58FB1CD8" w14:textId="28EB0F1C"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Формирование необходимой мотивации для участия требует повышения качества коммуникационной деятельности и информации о том, что представляет собой ВКРЭ. Например, членам Сектора необходимо осознать активную роль, которую они призваны играть в рамках ВКРЭ, и понять, что конференция является платформой, где они фактически могут вести диалог с лицами, ответственными за разработку политики, и другими субъектами. </w:t>
      </w:r>
    </w:p>
    <w:p w14:paraId="348E7398" w14:textId="64ECE604"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Члены Сектора должны отказаться от представления о том, что ВКРЭ – это прежде всего мероприятие, предназначенное для </w:t>
      </w:r>
      <w:r w:rsidR="00DB2020" w:rsidRPr="00D71101">
        <w:rPr>
          <w:sz w:val="22"/>
          <w:szCs w:val="22"/>
        </w:rPr>
        <w:t>Государств</w:t>
      </w:r>
      <w:r w:rsidRPr="00D71101">
        <w:rPr>
          <w:sz w:val="22"/>
          <w:szCs w:val="22"/>
        </w:rPr>
        <w:t>-</w:t>
      </w:r>
      <w:r w:rsidR="00DB2020" w:rsidRPr="00D71101">
        <w:rPr>
          <w:sz w:val="22"/>
          <w:szCs w:val="22"/>
        </w:rPr>
        <w:t>Членов</w:t>
      </w:r>
      <w:r w:rsidRPr="00D71101">
        <w:rPr>
          <w:sz w:val="22"/>
          <w:szCs w:val="22"/>
        </w:rPr>
        <w:t>, поскольку это не соответствует действительности. Частный сектор может расширить свои возможности, если будет лучше понимать, что представляет собой конференция.</w:t>
      </w:r>
    </w:p>
    <w:p w14:paraId="57F561FD" w14:textId="77777777" w:rsidR="00DB7467" w:rsidRPr="00D71101" w:rsidRDefault="00DB7467" w:rsidP="00437FA4">
      <w:pPr>
        <w:tabs>
          <w:tab w:val="left" w:pos="567"/>
          <w:tab w:val="left" w:pos="1134"/>
          <w:tab w:val="left" w:pos="1701"/>
        </w:tabs>
        <w:rPr>
          <w:rFonts w:cstheme="minorHAnsi"/>
          <w:sz w:val="22"/>
          <w:szCs w:val="22"/>
        </w:rPr>
      </w:pPr>
      <w:r w:rsidRPr="00D71101">
        <w:rPr>
          <w:sz w:val="22"/>
          <w:szCs w:val="22"/>
        </w:rPr>
        <w:t>Кроме того, ВКРЭ можно использовать в образовательных целях, создавая условия, при которых все члены правительства смогут осознать огромную значимость обеспечения доступа к ИКТ и возможности установления соединений, что позволит привлечь как представителей, так и ресурсы целого ряда министерств.</w:t>
      </w:r>
    </w:p>
    <w:p w14:paraId="7BBD0398" w14:textId="7F23DF6B" w:rsidR="00DB7467" w:rsidRPr="00D71101"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hAnsiTheme="minorHAnsi" w:cstheme="minorHAnsi"/>
          <w:sz w:val="22"/>
          <w:szCs w:val="22"/>
        </w:rPr>
      </w:pPr>
      <w:r w:rsidRPr="00D71101">
        <w:rPr>
          <w:rFonts w:asciiTheme="minorHAnsi" w:hAnsiTheme="minorHAnsi"/>
          <w:color w:val="00B0F0"/>
          <w:sz w:val="22"/>
          <w:szCs w:val="22"/>
        </w:rPr>
        <w:t xml:space="preserve">Предложения </w:t>
      </w:r>
    </w:p>
    <w:p w14:paraId="1D3FD283" w14:textId="77777777"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Предложение 3.1.</w:t>
      </w:r>
      <w:r w:rsidRPr="00D71101">
        <w:rPr>
          <w:sz w:val="22"/>
          <w:szCs w:val="22"/>
        </w:rPr>
        <w:t xml:space="preserve"> Создать ориентировочные списки основных приглашаемых участников по группам, в том числе краткого списка "звезд", и осуществить процесс определения/приглашения в соответствии с предельными сроками.</w:t>
      </w:r>
    </w:p>
    <w:p w14:paraId="347B9B78" w14:textId="77777777"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Предложение 3.2.</w:t>
      </w:r>
      <w:r w:rsidRPr="00D71101">
        <w:rPr>
          <w:sz w:val="22"/>
          <w:szCs w:val="22"/>
        </w:rPr>
        <w:t xml:space="preserve"> Усовершенствовать, расширить подготовительные мероприятия или учредить новые для привлечения целевых участников.</w:t>
      </w:r>
    </w:p>
    <w:p w14:paraId="0508270F" w14:textId="77777777"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 xml:space="preserve">Предложение 3.3. </w:t>
      </w:r>
      <w:r w:rsidRPr="00D71101">
        <w:rPr>
          <w:sz w:val="22"/>
          <w:szCs w:val="22"/>
        </w:rPr>
        <w:t xml:space="preserve">Внешние заинтересованные стороны могут быть "сопредседателями" отдельных сегментов и сессий повестки дня конференции, например: </w:t>
      </w:r>
    </w:p>
    <w:p w14:paraId="24CF2379" w14:textId="77777777" w:rsidR="00DB7467" w:rsidRPr="00D71101" w:rsidRDefault="00DB7467" w:rsidP="00437FA4">
      <w:pPr>
        <w:pStyle w:val="ListParagraph"/>
        <w:numPr>
          <w:ilvl w:val="0"/>
          <w:numId w:val="26"/>
        </w:numPr>
        <w:tabs>
          <w:tab w:val="clear" w:pos="1871"/>
          <w:tab w:val="clear" w:pos="2268"/>
          <w:tab w:val="left" w:pos="567"/>
          <w:tab w:val="left" w:pos="1701"/>
        </w:tabs>
        <w:overflowPunct/>
        <w:autoSpaceDE/>
        <w:autoSpaceDN/>
        <w:adjustRightInd/>
        <w:spacing w:line="216" w:lineRule="auto"/>
        <w:ind w:hanging="11"/>
        <w:contextualSpacing w:val="0"/>
        <w:textAlignment w:val="auto"/>
        <w:rPr>
          <w:rFonts w:cstheme="minorHAnsi"/>
          <w:color w:val="000000" w:themeColor="text1"/>
          <w:sz w:val="22"/>
          <w:szCs w:val="22"/>
        </w:rPr>
      </w:pPr>
      <w:r w:rsidRPr="00D71101">
        <w:rPr>
          <w:color w:val="000000" w:themeColor="text1"/>
          <w:sz w:val="22"/>
          <w:szCs w:val="22"/>
        </w:rPr>
        <w:t>сегмента, посвященного международным/двусторонним организациям в области развития и их партнерам;</w:t>
      </w:r>
    </w:p>
    <w:p w14:paraId="39909533" w14:textId="77777777" w:rsidR="00DB7467" w:rsidRPr="00D71101" w:rsidRDefault="00DB7467" w:rsidP="00437FA4">
      <w:pPr>
        <w:pStyle w:val="ListParagraph"/>
        <w:numPr>
          <w:ilvl w:val="0"/>
          <w:numId w:val="26"/>
        </w:numPr>
        <w:tabs>
          <w:tab w:val="clear" w:pos="1871"/>
          <w:tab w:val="clear" w:pos="2268"/>
          <w:tab w:val="left" w:pos="567"/>
          <w:tab w:val="left" w:pos="1701"/>
        </w:tabs>
        <w:overflowPunct/>
        <w:autoSpaceDE/>
        <w:autoSpaceDN/>
        <w:adjustRightInd/>
        <w:spacing w:line="216" w:lineRule="auto"/>
        <w:ind w:hanging="11"/>
        <w:contextualSpacing w:val="0"/>
        <w:textAlignment w:val="auto"/>
        <w:rPr>
          <w:rFonts w:cstheme="minorHAnsi"/>
          <w:color w:val="000000" w:themeColor="text1"/>
          <w:sz w:val="22"/>
          <w:szCs w:val="22"/>
        </w:rPr>
      </w:pPr>
      <w:r w:rsidRPr="00D71101">
        <w:rPr>
          <w:color w:val="000000" w:themeColor="text1"/>
          <w:sz w:val="22"/>
          <w:szCs w:val="22"/>
        </w:rPr>
        <w:t xml:space="preserve">образовательного сегмента; </w:t>
      </w:r>
    </w:p>
    <w:p w14:paraId="7AB8A0DD" w14:textId="77777777" w:rsidR="00DB7467" w:rsidRPr="00D71101" w:rsidRDefault="00DB7467" w:rsidP="00437FA4">
      <w:pPr>
        <w:pStyle w:val="ListParagraph"/>
        <w:numPr>
          <w:ilvl w:val="0"/>
          <w:numId w:val="26"/>
        </w:numPr>
        <w:tabs>
          <w:tab w:val="clear" w:pos="1871"/>
          <w:tab w:val="clear" w:pos="2268"/>
          <w:tab w:val="left" w:pos="567"/>
          <w:tab w:val="left" w:pos="1701"/>
        </w:tabs>
        <w:overflowPunct/>
        <w:autoSpaceDE/>
        <w:autoSpaceDN/>
        <w:adjustRightInd/>
        <w:spacing w:line="216" w:lineRule="auto"/>
        <w:ind w:hanging="11"/>
        <w:contextualSpacing w:val="0"/>
        <w:textAlignment w:val="auto"/>
        <w:rPr>
          <w:rFonts w:cstheme="minorHAnsi"/>
          <w:color w:val="000000" w:themeColor="text1"/>
          <w:sz w:val="22"/>
          <w:szCs w:val="22"/>
        </w:rPr>
      </w:pPr>
      <w:r w:rsidRPr="00D71101">
        <w:rPr>
          <w:color w:val="000000" w:themeColor="text1"/>
          <w:sz w:val="22"/>
          <w:szCs w:val="22"/>
        </w:rPr>
        <w:t>сегмента по финансированию экосистемы ИКТ.</w:t>
      </w:r>
    </w:p>
    <w:p w14:paraId="1800283D" w14:textId="77777777"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lastRenderedPageBreak/>
        <w:t>Предложение 3.4.</w:t>
      </w:r>
      <w:r w:rsidRPr="00D71101">
        <w:rPr>
          <w:sz w:val="22"/>
          <w:szCs w:val="22"/>
        </w:rPr>
        <w:t xml:space="preserve"> Разработать и провести адресную пропагандистскую кампанию для ВКРЭ.</w:t>
      </w:r>
    </w:p>
    <w:p w14:paraId="591459A4" w14:textId="3CE52B1D"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Предложение 3.1 было разработано с учетом того, каким образом лучше всего привлечь к участию в мероприятии людей с ограниченным наличием времени, насколько важно организовать процесс приглашения участников с соблюдением установленных сроков, с тем чтобы гарантировать привлечение лиц высокого уровня на ранних этапах планирования, а также как определить ключевых представителей целевой аудитории на основе программных тем, понимая, что для завершения работы над некоторыми такими темами может потребоваться больше времени. </w:t>
      </w:r>
    </w:p>
    <w:p w14:paraId="7CBFCC3B" w14:textId="374C2EE5" w:rsidR="00DB7467" w:rsidRPr="00D71101" w:rsidRDefault="001B3759" w:rsidP="00437FA4">
      <w:pPr>
        <w:tabs>
          <w:tab w:val="left" w:pos="567"/>
          <w:tab w:val="left" w:pos="1134"/>
          <w:tab w:val="left" w:pos="1701"/>
        </w:tabs>
        <w:rPr>
          <w:rFonts w:cstheme="minorHAnsi"/>
          <w:sz w:val="22"/>
          <w:szCs w:val="22"/>
        </w:rPr>
      </w:pPr>
      <w:r w:rsidRPr="00D71101">
        <w:rPr>
          <w:sz w:val="22"/>
          <w:szCs w:val="22"/>
        </w:rPr>
        <w:t xml:space="preserve">Кроме того, необходимо обеспечить соответствие процедурам, предусмотренным положениями Статьи 25 Конвенции МСЭ, касающейся допуска к участию во всемирных конференциях по развитию электросвязи. Принимая во внимание, что точные даты проведения ВКРЭ-21 были установлены в соответствии с положениями п. 42 Конвенции и что приглашения </w:t>
      </w:r>
      <w:r w:rsidR="00DB2020" w:rsidRPr="00D71101">
        <w:rPr>
          <w:sz w:val="22"/>
          <w:szCs w:val="22"/>
        </w:rPr>
        <w:t>Государствам</w:t>
      </w:r>
      <w:r w:rsidRPr="00D71101">
        <w:rPr>
          <w:sz w:val="22"/>
          <w:szCs w:val="22"/>
        </w:rPr>
        <w:t>-</w:t>
      </w:r>
      <w:r w:rsidR="00DB2020" w:rsidRPr="00D71101">
        <w:rPr>
          <w:sz w:val="22"/>
          <w:szCs w:val="22"/>
        </w:rPr>
        <w:t xml:space="preserve">Членам </w:t>
      </w:r>
      <w:r w:rsidRPr="00D71101">
        <w:rPr>
          <w:sz w:val="22"/>
          <w:szCs w:val="22"/>
        </w:rPr>
        <w:t>и Членам Секторов необходимо разослать за год до открытия конференции, соблюдение указанных сроков поможет обеспечить присутствие на ней лиц высокого уровня.</w:t>
      </w:r>
    </w:p>
    <w:p w14:paraId="01759E34" w14:textId="3B45A66B" w:rsidR="001B3759" w:rsidRPr="00D71101" w:rsidRDefault="00DB7467" w:rsidP="00437FA4">
      <w:pPr>
        <w:tabs>
          <w:tab w:val="left" w:pos="567"/>
          <w:tab w:val="left" w:pos="1134"/>
          <w:tab w:val="left" w:pos="1701"/>
        </w:tabs>
        <w:rPr>
          <w:rFonts w:cstheme="minorHAnsi"/>
          <w:sz w:val="22"/>
          <w:szCs w:val="22"/>
        </w:rPr>
      </w:pPr>
      <w:r w:rsidRPr="00D71101">
        <w:rPr>
          <w:sz w:val="22"/>
          <w:szCs w:val="22"/>
        </w:rPr>
        <w:t xml:space="preserve">Цель </w:t>
      </w:r>
      <w:r w:rsidR="00BB4B55" w:rsidRPr="00D71101">
        <w:rPr>
          <w:sz w:val="22"/>
          <w:szCs w:val="22"/>
        </w:rPr>
        <w:t xml:space="preserve">предложения </w:t>
      </w:r>
      <w:r w:rsidRPr="00D71101">
        <w:rPr>
          <w:sz w:val="22"/>
          <w:szCs w:val="22"/>
        </w:rPr>
        <w:t>3.2 заключается не только в том, чтобы обеспечить надлежащ</w:t>
      </w:r>
      <w:r w:rsidR="0036471D">
        <w:rPr>
          <w:sz w:val="22"/>
          <w:szCs w:val="22"/>
        </w:rPr>
        <w:t xml:space="preserve">ее </w:t>
      </w:r>
      <w:r w:rsidRPr="00D71101">
        <w:rPr>
          <w:sz w:val="22"/>
          <w:szCs w:val="22"/>
        </w:rPr>
        <w:t xml:space="preserve">участие </w:t>
      </w:r>
      <w:r w:rsidR="00CE60F2">
        <w:rPr>
          <w:sz w:val="22"/>
          <w:szCs w:val="22"/>
        </w:rPr>
        <w:t xml:space="preserve">в </w:t>
      </w:r>
      <w:r w:rsidR="00CE60F2" w:rsidRPr="00D71101">
        <w:rPr>
          <w:sz w:val="22"/>
          <w:szCs w:val="22"/>
        </w:rPr>
        <w:t>официальны</w:t>
      </w:r>
      <w:r w:rsidR="00CE60F2">
        <w:rPr>
          <w:sz w:val="22"/>
          <w:szCs w:val="22"/>
        </w:rPr>
        <w:t>х</w:t>
      </w:r>
      <w:r w:rsidR="00CE60F2" w:rsidRPr="00D71101">
        <w:rPr>
          <w:sz w:val="22"/>
          <w:szCs w:val="22"/>
        </w:rPr>
        <w:t xml:space="preserve"> мероприятия</w:t>
      </w:r>
      <w:r w:rsidR="00CE60F2">
        <w:rPr>
          <w:sz w:val="22"/>
          <w:szCs w:val="22"/>
        </w:rPr>
        <w:t>х</w:t>
      </w:r>
      <w:r w:rsidR="00CE60F2" w:rsidRPr="00D71101">
        <w:rPr>
          <w:sz w:val="22"/>
          <w:szCs w:val="22"/>
        </w:rPr>
        <w:t xml:space="preserve"> </w:t>
      </w:r>
      <w:r w:rsidRPr="00D71101">
        <w:rPr>
          <w:sz w:val="22"/>
          <w:szCs w:val="22"/>
        </w:rPr>
        <w:t xml:space="preserve">и </w:t>
      </w:r>
      <w:r w:rsidR="00CE60F2">
        <w:rPr>
          <w:sz w:val="22"/>
          <w:szCs w:val="22"/>
        </w:rPr>
        <w:t>вовлеченность в них</w:t>
      </w:r>
      <w:r w:rsidRPr="00D71101">
        <w:rPr>
          <w:sz w:val="22"/>
          <w:szCs w:val="22"/>
        </w:rPr>
        <w:t xml:space="preserve">, но и в том, чтобы извлечь выгоду из других мероприятий, собирающих вместе представителей частного сектора и правительства, для </w:t>
      </w:r>
      <w:r w:rsidR="00BB4B55">
        <w:rPr>
          <w:sz w:val="22"/>
          <w:szCs w:val="22"/>
        </w:rPr>
        <w:t>продвижения</w:t>
      </w:r>
      <w:r w:rsidRPr="00D71101">
        <w:rPr>
          <w:sz w:val="22"/>
          <w:szCs w:val="22"/>
        </w:rPr>
        <w:t xml:space="preserve"> ВКРЭ-21. Одно из выдвинутых предложений предполагает проведение специальной сессии в рамках Всемирного конгресса по подвижной связи (MWC) 2021 года. Учитывая широкую аудиторию MWC, данную сессию можно было бы разделить на две части, открыв доступ к одной из них для широкой аудитории, а не только для Государств – Членов МСЭ и Членов Секторов. Вторая часть сессии будет ориентирована исключительно на членов МСЭ, с тем чтобы не допустить девальвации преимуществ, которыми они обладают. </w:t>
      </w:r>
    </w:p>
    <w:p w14:paraId="650AE399" w14:textId="3609598E"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Среди других платформ, в рамках которых можно было бы организовывать такие специальные сессии в дополнение к мероприятиям, предусмотренным официальным подготовительным процессом, – Африканская встреча на высшем уровне по вопросам интернета, Глобальный симпозиум для регуляторных органов (ГСР) и Форум ВВУИО. </w:t>
      </w:r>
    </w:p>
    <w:p w14:paraId="6DCA61A3" w14:textId="13A6CBEB"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В основе </w:t>
      </w:r>
      <w:r w:rsidR="00BB4B55" w:rsidRPr="00D71101">
        <w:rPr>
          <w:sz w:val="22"/>
          <w:szCs w:val="22"/>
        </w:rPr>
        <w:t xml:space="preserve">предложения </w:t>
      </w:r>
      <w:r w:rsidRPr="00D71101">
        <w:rPr>
          <w:sz w:val="22"/>
          <w:szCs w:val="22"/>
        </w:rPr>
        <w:t xml:space="preserve">3.3 лежат идеи, которые были озвучены в ходе дискуссий о необходимости уделять больше времени работе над соответствующими темами конференции и, возможно, меньше времени работе над резолюциями. Другие идеи предполагают воспользоваться положениями Резолюции 71 (Пересм. Дубай, 2018 г.) Полномочной конференции о стратегическом плане Союза на 2020–2023 годы для создания специализированных сегментов и сессий. </w:t>
      </w:r>
    </w:p>
    <w:p w14:paraId="08108A20" w14:textId="4D71B11A" w:rsidR="00DB7467" w:rsidRPr="00D71101" w:rsidRDefault="00DB7467" w:rsidP="00437FA4">
      <w:pPr>
        <w:tabs>
          <w:tab w:val="left" w:pos="567"/>
          <w:tab w:val="left" w:pos="1134"/>
          <w:tab w:val="left" w:pos="1701"/>
        </w:tabs>
        <w:rPr>
          <w:rFonts w:cstheme="minorHAnsi"/>
          <w:sz w:val="22"/>
          <w:szCs w:val="22"/>
        </w:rPr>
      </w:pPr>
      <w:r w:rsidRPr="00D71101">
        <w:rPr>
          <w:sz w:val="22"/>
          <w:szCs w:val="22"/>
        </w:rPr>
        <w:t>Вопрос проведения длительных сессий, предназначенных для приняти</w:t>
      </w:r>
      <w:r w:rsidR="00BB4B55">
        <w:rPr>
          <w:sz w:val="22"/>
          <w:szCs w:val="22"/>
        </w:rPr>
        <w:t>я</w:t>
      </w:r>
      <w:r w:rsidRPr="00D71101">
        <w:rPr>
          <w:sz w:val="22"/>
          <w:szCs w:val="22"/>
        </w:rPr>
        <w:t xml:space="preserve"> резолюций, требует решения. Это можно сделать, например, разделив конференцию на две части, одна из которых будет посвящена сессиям, предназначенным для принятия резолюций и других решений. </w:t>
      </w:r>
    </w:p>
    <w:p w14:paraId="7D8FB447" w14:textId="3BC02471" w:rsidR="00DB7467" w:rsidRPr="00D71101" w:rsidRDefault="00DB7467" w:rsidP="00437FA4">
      <w:pPr>
        <w:tabs>
          <w:tab w:val="left" w:pos="567"/>
          <w:tab w:val="left" w:pos="1134"/>
          <w:tab w:val="left" w:pos="1701"/>
        </w:tabs>
        <w:rPr>
          <w:rFonts w:cstheme="minorHAnsi"/>
          <w:sz w:val="22"/>
          <w:szCs w:val="22"/>
        </w:rPr>
      </w:pPr>
      <w:r w:rsidRPr="00D71101">
        <w:rPr>
          <w:sz w:val="22"/>
          <w:szCs w:val="22"/>
        </w:rPr>
        <w:t>Был озвучен призыв разработать план коммуникационной деятельности и определить каналы для его продвижения. Способы формирования у людей мотивации для участия будут зависеть от содержания. Таким образом, в основе предлагаемых преимуществ должны лежать, прежде всего, темы, предусмотренные повесткой дня, и то, что участники смогут "унести с собой" в контексте результатов ВПИК.</w:t>
      </w:r>
      <w:r w:rsidR="002250C3">
        <w:rPr>
          <w:sz w:val="22"/>
          <w:szCs w:val="22"/>
        </w:rPr>
        <w:t xml:space="preserve"> </w:t>
      </w:r>
    </w:p>
    <w:p w14:paraId="0D041303" w14:textId="0096EEB6" w:rsidR="00DB7467" w:rsidRPr="00D71101" w:rsidRDefault="00DB7467" w:rsidP="00482A5F">
      <w:pPr>
        <w:keepNext/>
        <w:tabs>
          <w:tab w:val="left" w:pos="567"/>
          <w:tab w:val="left" w:pos="1134"/>
          <w:tab w:val="left" w:pos="1701"/>
        </w:tabs>
        <w:overflowPunct/>
        <w:autoSpaceDE/>
        <w:autoSpaceDN/>
        <w:adjustRightInd/>
        <w:spacing w:line="259" w:lineRule="auto"/>
        <w:textAlignment w:val="auto"/>
        <w:rPr>
          <w:rFonts w:cstheme="minorHAnsi"/>
          <w:sz w:val="22"/>
          <w:szCs w:val="22"/>
        </w:rPr>
      </w:pPr>
      <w:r w:rsidRPr="00D71101">
        <w:rPr>
          <w:color w:val="00B0F0"/>
          <w:sz w:val="22"/>
          <w:szCs w:val="22"/>
        </w:rPr>
        <w:t>Обсуждение</w:t>
      </w:r>
      <w:r w:rsidR="002250C3">
        <w:rPr>
          <w:color w:val="00B0F0"/>
          <w:sz w:val="22"/>
          <w:szCs w:val="22"/>
        </w:rPr>
        <w:t xml:space="preserve"> </w:t>
      </w:r>
    </w:p>
    <w:p w14:paraId="4C9BA4C2" w14:textId="7CB5BFC1" w:rsidR="00DB7467" w:rsidRPr="00D71101" w:rsidRDefault="00DB7467" w:rsidP="00437FA4">
      <w:pPr>
        <w:tabs>
          <w:tab w:val="left" w:pos="567"/>
          <w:tab w:val="left" w:pos="1134"/>
          <w:tab w:val="left" w:pos="1701"/>
        </w:tabs>
        <w:rPr>
          <w:rFonts w:cstheme="minorHAnsi"/>
          <w:sz w:val="22"/>
          <w:szCs w:val="22"/>
        </w:rPr>
      </w:pPr>
      <w:r w:rsidRPr="00D71101">
        <w:rPr>
          <w:sz w:val="22"/>
          <w:szCs w:val="22"/>
        </w:rPr>
        <w:t>Необходимо укрепить сотрудничество с международными финансовыми учреждениями и организациями-донорами для финансирования мероприятий в области ИКТ, включая проекты и инициативы, согласованные на региональном уровне. Для привлечени</w:t>
      </w:r>
      <w:r w:rsidR="00CE60F2">
        <w:rPr>
          <w:sz w:val="22"/>
          <w:szCs w:val="22"/>
        </w:rPr>
        <w:t>я</w:t>
      </w:r>
      <w:r w:rsidRPr="00D71101">
        <w:rPr>
          <w:sz w:val="22"/>
          <w:szCs w:val="22"/>
        </w:rPr>
        <w:t xml:space="preserve"> заинтересованных сторон важно применить подход "снизу вверх", что предполагает весьма активн</w:t>
      </w:r>
      <w:r w:rsidR="0036471D">
        <w:rPr>
          <w:sz w:val="22"/>
          <w:szCs w:val="22"/>
        </w:rPr>
        <w:t xml:space="preserve">ое привлечение </w:t>
      </w:r>
      <w:r w:rsidRPr="00D71101">
        <w:rPr>
          <w:sz w:val="22"/>
          <w:szCs w:val="22"/>
        </w:rPr>
        <w:t xml:space="preserve">и участие организаций гражданского общества, общинных сетей и особенно женщин, девочек, коренных народов и молодежи из развивающихся и наименее развитых стран. </w:t>
      </w:r>
    </w:p>
    <w:p w14:paraId="0A0C7D52" w14:textId="7C6A390D" w:rsidR="00DB7467" w:rsidRPr="00D71101" w:rsidRDefault="00DB7467" w:rsidP="00437FA4">
      <w:pPr>
        <w:tabs>
          <w:tab w:val="left" w:pos="567"/>
          <w:tab w:val="left" w:pos="1134"/>
          <w:tab w:val="left" w:pos="1701"/>
        </w:tabs>
        <w:rPr>
          <w:rFonts w:cstheme="minorHAnsi"/>
          <w:sz w:val="22"/>
          <w:szCs w:val="22"/>
        </w:rPr>
      </w:pPr>
      <w:r w:rsidRPr="00D71101">
        <w:rPr>
          <w:sz w:val="22"/>
          <w:szCs w:val="22"/>
        </w:rPr>
        <w:lastRenderedPageBreak/>
        <w:t xml:space="preserve">Когда речь идет о финансировании проектов или об оказании им финансовой поддержки, подразумевается привлечение средств со стороны не одних лишь доноров. Поскольку термин "доноры" ограничивал дискуссию, его использование было уточнено. Что касается финансирования, то планируется привлечь организации-доноры, финансовые организации, инвестиционные компании и частные инвестиционные фонды и даже пойти дальше, пригласив рейтинговые компании, так как их заключение иногда требуется для финансирования проекта. Организации в области развития и банки хорошо известны своей деятельностью в качестве доноров, однако для </w:t>
      </w:r>
      <w:r w:rsidR="0036471D">
        <w:rPr>
          <w:sz w:val="22"/>
          <w:szCs w:val="22"/>
        </w:rPr>
        <w:t xml:space="preserve">достижения уверенности </w:t>
      </w:r>
      <w:r w:rsidRPr="00D71101">
        <w:rPr>
          <w:sz w:val="22"/>
          <w:szCs w:val="22"/>
        </w:rPr>
        <w:t xml:space="preserve">в том, что они будут сотрудничать с МСЭ, необходимо охватить всю </w:t>
      </w:r>
      <w:r w:rsidR="002659C7">
        <w:rPr>
          <w:sz w:val="22"/>
          <w:szCs w:val="22"/>
        </w:rPr>
        <w:t xml:space="preserve">финансовую </w:t>
      </w:r>
      <w:r w:rsidRPr="00D71101">
        <w:rPr>
          <w:sz w:val="22"/>
          <w:szCs w:val="22"/>
        </w:rPr>
        <w:t xml:space="preserve">цепочку </w:t>
      </w:r>
      <w:r w:rsidR="002659C7">
        <w:rPr>
          <w:sz w:val="22"/>
          <w:szCs w:val="22"/>
        </w:rPr>
        <w:t>создания стоимости</w:t>
      </w:r>
      <w:r w:rsidRPr="00D71101">
        <w:rPr>
          <w:sz w:val="22"/>
          <w:szCs w:val="22"/>
        </w:rPr>
        <w:t>.</w:t>
      </w:r>
    </w:p>
    <w:p w14:paraId="1DA80112" w14:textId="79AD79F8"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Успешное </w:t>
      </w:r>
      <w:r w:rsidR="0036471D">
        <w:rPr>
          <w:sz w:val="22"/>
          <w:szCs w:val="22"/>
        </w:rPr>
        <w:t>при</w:t>
      </w:r>
      <w:r w:rsidRPr="00D71101">
        <w:rPr>
          <w:sz w:val="22"/>
          <w:szCs w:val="22"/>
        </w:rPr>
        <w:t xml:space="preserve">влечение заинтересованных сторон </w:t>
      </w:r>
      <w:r w:rsidR="0036471D">
        <w:rPr>
          <w:sz w:val="22"/>
          <w:szCs w:val="22"/>
        </w:rPr>
        <w:t>к</w:t>
      </w:r>
      <w:r w:rsidRPr="00D71101">
        <w:rPr>
          <w:sz w:val="22"/>
          <w:szCs w:val="22"/>
        </w:rPr>
        <w:t xml:space="preserve"> подготовительн</w:t>
      </w:r>
      <w:r w:rsidR="0036471D">
        <w:rPr>
          <w:sz w:val="22"/>
          <w:szCs w:val="22"/>
        </w:rPr>
        <w:t>ому</w:t>
      </w:r>
      <w:r w:rsidRPr="00D71101">
        <w:rPr>
          <w:sz w:val="22"/>
          <w:szCs w:val="22"/>
        </w:rPr>
        <w:t xml:space="preserve"> процесс</w:t>
      </w:r>
      <w:r w:rsidR="0036471D">
        <w:rPr>
          <w:sz w:val="22"/>
          <w:szCs w:val="22"/>
        </w:rPr>
        <w:t>у</w:t>
      </w:r>
      <w:r w:rsidRPr="00D71101">
        <w:rPr>
          <w:sz w:val="22"/>
          <w:szCs w:val="22"/>
        </w:rPr>
        <w:t xml:space="preserve"> может предвещать успех ВКРЭ. Важным ориентиром для привлечения заинтересованных сторон служит Резолюция 157 (Пересм. Дубай, 2018 г.) Полномочной конференции об укреплении функций исполнения проектов и мониторинга проектов в МСЭ. Все усилия Сектора развития направлены на обеспечение исполнения двойственной обязанности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электросвязи/информационно-коммуникационных технологий (ИКТ) и ускорения такого развития путем внесения предложений, организации и координации деятельности по техническому сотрудничеству и предоставлению помощи. </w:t>
      </w:r>
    </w:p>
    <w:p w14:paraId="513DC7BC" w14:textId="3080BBAD" w:rsidR="00DB7467" w:rsidRPr="00D71101" w:rsidRDefault="00DB7467" w:rsidP="00437FA4">
      <w:pPr>
        <w:tabs>
          <w:tab w:val="left" w:pos="567"/>
          <w:tab w:val="left" w:pos="1134"/>
          <w:tab w:val="left" w:pos="1701"/>
        </w:tabs>
        <w:rPr>
          <w:rFonts w:cstheme="minorHAnsi"/>
          <w:color w:val="FF0000"/>
          <w:sz w:val="22"/>
          <w:szCs w:val="22"/>
        </w:rPr>
      </w:pPr>
      <w:r w:rsidRPr="00D71101">
        <w:rPr>
          <w:sz w:val="22"/>
          <w:szCs w:val="22"/>
        </w:rPr>
        <w:t xml:space="preserve">Укрепление партнерских отношений и </w:t>
      </w:r>
      <w:r w:rsidR="002659C7">
        <w:rPr>
          <w:sz w:val="22"/>
          <w:szCs w:val="22"/>
        </w:rPr>
        <w:t xml:space="preserve">участие </w:t>
      </w:r>
      <w:r w:rsidRPr="00D71101">
        <w:rPr>
          <w:sz w:val="22"/>
          <w:szCs w:val="22"/>
        </w:rPr>
        <w:t xml:space="preserve">заинтересованных сторон способствует, в частности, укреплению роли БРЭ при реализации проектов. </w:t>
      </w:r>
      <w:r w:rsidR="002659C7">
        <w:rPr>
          <w:sz w:val="22"/>
          <w:szCs w:val="22"/>
        </w:rPr>
        <w:t xml:space="preserve">Участие </w:t>
      </w:r>
      <w:r w:rsidRPr="00D71101">
        <w:rPr>
          <w:sz w:val="22"/>
          <w:szCs w:val="22"/>
        </w:rPr>
        <w:t>заинтересованны</w:t>
      </w:r>
      <w:r w:rsidR="002659C7">
        <w:rPr>
          <w:sz w:val="22"/>
          <w:szCs w:val="22"/>
        </w:rPr>
        <w:t>х</w:t>
      </w:r>
      <w:r w:rsidRPr="00D71101">
        <w:rPr>
          <w:sz w:val="22"/>
          <w:szCs w:val="22"/>
        </w:rPr>
        <w:t xml:space="preserve"> сторон уже дает знать о себе в различных областях: кибербезопасность, инновации, регуляторная и рыночная среда, развитие технологий и сетей. </w:t>
      </w:r>
    </w:p>
    <w:p w14:paraId="1DC93663" w14:textId="78270BEB" w:rsidR="00DB7467" w:rsidRPr="00D71101" w:rsidRDefault="00DB7467" w:rsidP="004F4CFD">
      <w:pPr>
        <w:keepNext/>
        <w:pBdr>
          <w:bottom w:val="single" w:sz="4" w:space="1" w:color="00B0F0"/>
        </w:pBdr>
        <w:tabs>
          <w:tab w:val="left" w:pos="567"/>
          <w:tab w:val="left" w:pos="1134"/>
          <w:tab w:val="left" w:pos="1701"/>
        </w:tabs>
        <w:spacing w:before="240"/>
        <w:rPr>
          <w:rFonts w:cstheme="minorHAnsi"/>
          <w:b/>
          <w:bCs/>
          <w:color w:val="7F7F7F" w:themeColor="text1" w:themeTint="80"/>
          <w:sz w:val="22"/>
          <w:szCs w:val="22"/>
        </w:rPr>
      </w:pPr>
      <w:r w:rsidRPr="00D71101">
        <w:rPr>
          <w:b/>
          <w:bCs/>
          <w:color w:val="7F7F7F" w:themeColor="text1" w:themeTint="80"/>
          <w:sz w:val="22"/>
          <w:szCs w:val="22"/>
        </w:rPr>
        <w:t xml:space="preserve">Тема 4: Сопутствующие мероприятия </w:t>
      </w:r>
    </w:p>
    <w:p w14:paraId="4B38353A" w14:textId="77777777" w:rsidR="00DB7467" w:rsidRPr="00D71101"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sz w:val="22"/>
          <w:szCs w:val="22"/>
        </w:rPr>
      </w:pPr>
      <w:r w:rsidRPr="00D71101">
        <w:rPr>
          <w:rFonts w:asciiTheme="minorHAnsi" w:hAnsiTheme="minorHAnsi"/>
          <w:color w:val="00B0F0"/>
          <w:sz w:val="22"/>
          <w:szCs w:val="22"/>
        </w:rPr>
        <w:t xml:space="preserve">Контекст </w:t>
      </w:r>
    </w:p>
    <w:p w14:paraId="606405DF" w14:textId="055CAABE" w:rsidR="00715CCF" w:rsidRPr="00D71101" w:rsidRDefault="00DB7467" w:rsidP="00437FA4">
      <w:pPr>
        <w:tabs>
          <w:tab w:val="left" w:pos="567"/>
          <w:tab w:val="left" w:pos="1134"/>
          <w:tab w:val="left" w:pos="1701"/>
        </w:tabs>
        <w:rPr>
          <w:rFonts w:cstheme="minorHAnsi"/>
          <w:sz w:val="22"/>
          <w:szCs w:val="22"/>
        </w:rPr>
      </w:pPr>
      <w:r w:rsidRPr="00D71101">
        <w:rPr>
          <w:sz w:val="22"/>
          <w:szCs w:val="22"/>
        </w:rPr>
        <w:t xml:space="preserve">Участники единогласно признали, что название "сопутствующие мероприятия" не способствует формированию мотивации для участия в них. Были также приведены доводы в пользу того, что такие мероприятия должны стать неотъемлемой частью ВКРЭ. По общему наблюдению, все, кто побывал на ВКРЭ, со временем поняли, что сопутствующие мероприятия не являлись частью конференции как таковой, и поэтому им не придавалось то значение, которого они заслуживали. </w:t>
      </w:r>
    </w:p>
    <w:p w14:paraId="68D0E773" w14:textId="4FBE5EAC"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Необходимо предложить определенные преимущества и выработать четкую повестку дня, которые будут создавать ощущение сопричастности как у МСЭ, так и у всех участников. Были озвучены призывы организовать отдельный подготовительный процесс для сопутствующих мероприятий, что отражено в </w:t>
      </w:r>
      <w:r w:rsidR="002659C7" w:rsidRPr="00D71101">
        <w:rPr>
          <w:sz w:val="22"/>
          <w:szCs w:val="22"/>
        </w:rPr>
        <w:t xml:space="preserve">предложении </w:t>
      </w:r>
      <w:r w:rsidRPr="00D71101">
        <w:rPr>
          <w:sz w:val="22"/>
          <w:szCs w:val="22"/>
        </w:rPr>
        <w:t xml:space="preserve">4.1. </w:t>
      </w:r>
    </w:p>
    <w:p w14:paraId="35574718" w14:textId="5068315E" w:rsidR="00DB7467" w:rsidRPr="00D71101" w:rsidRDefault="00103497" w:rsidP="00437FA4">
      <w:pPr>
        <w:tabs>
          <w:tab w:val="left" w:pos="567"/>
          <w:tab w:val="left" w:pos="1134"/>
          <w:tab w:val="left" w:pos="1701"/>
        </w:tabs>
        <w:rPr>
          <w:rFonts w:cstheme="minorHAnsi"/>
          <w:sz w:val="22"/>
          <w:szCs w:val="22"/>
        </w:rPr>
      </w:pPr>
      <w:r w:rsidRPr="00D71101">
        <w:rPr>
          <w:sz w:val="22"/>
          <w:szCs w:val="22"/>
        </w:rPr>
        <w:t xml:space="preserve">Участники предложили переориентировать некоторые общеполитические сессии высокого уровня в соответствии с темой конференции, что позволит лицам, ответственным за разработку политики, принять участие в обсуждении за "круглым столом", рассказав о проблемах, с которыми сталкиваются их собственные страны, и призвав представителей других стран не делать общеполитические заявления, а предложить пути решения таких проблем. </w:t>
      </w:r>
    </w:p>
    <w:p w14:paraId="28BA997E" w14:textId="64AE989A" w:rsidR="00DB7467" w:rsidRPr="00D71101" w:rsidRDefault="00DB7467" w:rsidP="00437FA4">
      <w:pPr>
        <w:tabs>
          <w:tab w:val="left" w:pos="567"/>
          <w:tab w:val="left" w:pos="1134"/>
          <w:tab w:val="left" w:pos="1701"/>
        </w:tabs>
        <w:rPr>
          <w:rFonts w:cstheme="minorHAnsi"/>
          <w:sz w:val="22"/>
          <w:szCs w:val="22"/>
        </w:rPr>
      </w:pPr>
      <w:r w:rsidRPr="00D71101">
        <w:rPr>
          <w:sz w:val="22"/>
          <w:szCs w:val="22"/>
        </w:rPr>
        <w:t xml:space="preserve">Что касается аудитории и выступающих, то было предложено рассмотреть четыре типа заинтересованных сторон, как указано в </w:t>
      </w:r>
      <w:r w:rsidR="002659C7" w:rsidRPr="00D71101">
        <w:rPr>
          <w:sz w:val="22"/>
          <w:szCs w:val="22"/>
        </w:rPr>
        <w:t xml:space="preserve">предложении </w:t>
      </w:r>
      <w:r w:rsidRPr="00D71101">
        <w:rPr>
          <w:sz w:val="22"/>
          <w:szCs w:val="22"/>
        </w:rPr>
        <w:t>4.6.</w:t>
      </w:r>
    </w:p>
    <w:p w14:paraId="410A076B" w14:textId="1588E070" w:rsidR="00715CCF" w:rsidRPr="00D71101" w:rsidRDefault="00715CCF" w:rsidP="00437FA4">
      <w:pPr>
        <w:tabs>
          <w:tab w:val="left" w:pos="567"/>
          <w:tab w:val="left" w:pos="1134"/>
          <w:tab w:val="left" w:pos="1701"/>
        </w:tabs>
        <w:rPr>
          <w:rFonts w:cstheme="minorHAnsi"/>
          <w:sz w:val="22"/>
          <w:szCs w:val="22"/>
        </w:rPr>
      </w:pPr>
      <w:r w:rsidRPr="00D71101">
        <w:rPr>
          <w:sz w:val="22"/>
          <w:szCs w:val="22"/>
        </w:rPr>
        <w:t>Подготовительный процесс должен позволить убедиться в том, что результаты проведения сопутствующих мероприятий, имеют практическую пользу и могут быть использованы вне конференции.</w:t>
      </w:r>
    </w:p>
    <w:p w14:paraId="199F3365" w14:textId="6C1A91BA" w:rsidR="00DB7467" w:rsidRPr="00D71101" w:rsidRDefault="00DB7467" w:rsidP="00482A5F">
      <w:pPr>
        <w:pStyle w:val="NormalWeb"/>
        <w:keepNext/>
        <w:tabs>
          <w:tab w:val="left" w:pos="567"/>
          <w:tab w:val="left" w:pos="1134"/>
          <w:tab w:val="left" w:pos="1701"/>
        </w:tabs>
        <w:spacing w:before="120" w:beforeAutospacing="0" w:after="0" w:afterAutospacing="0" w:line="259" w:lineRule="auto"/>
        <w:rPr>
          <w:rFonts w:asciiTheme="minorHAnsi" w:hAnsiTheme="minorHAnsi" w:cstheme="minorHAnsi"/>
          <w:sz w:val="22"/>
          <w:szCs w:val="22"/>
        </w:rPr>
      </w:pPr>
      <w:r w:rsidRPr="00D71101">
        <w:rPr>
          <w:rFonts w:asciiTheme="minorHAnsi" w:hAnsiTheme="minorHAnsi"/>
          <w:color w:val="00B0F0"/>
          <w:sz w:val="22"/>
          <w:szCs w:val="22"/>
        </w:rPr>
        <w:lastRenderedPageBreak/>
        <w:t xml:space="preserve">Предложения </w:t>
      </w:r>
    </w:p>
    <w:p w14:paraId="0B835B26" w14:textId="77777777" w:rsidR="00DB7467" w:rsidRPr="00D71101" w:rsidRDefault="00DB7467" w:rsidP="00437FA4">
      <w:pPr>
        <w:pStyle w:val="NormalWeb"/>
        <w:tabs>
          <w:tab w:val="left" w:pos="567"/>
          <w:tab w:val="left" w:pos="1134"/>
          <w:tab w:val="left" w:pos="1701"/>
        </w:tabs>
        <w:overflowPunct w:val="0"/>
        <w:spacing w:before="120" w:beforeAutospacing="0" w:after="0" w:afterAutospacing="0" w:line="216" w:lineRule="auto"/>
        <w:rPr>
          <w:rFonts w:asciiTheme="minorHAnsi" w:hAnsiTheme="minorHAnsi" w:cstheme="minorHAnsi"/>
          <w:sz w:val="22"/>
          <w:szCs w:val="22"/>
        </w:rPr>
      </w:pPr>
      <w:r w:rsidRPr="00D71101">
        <w:rPr>
          <w:rFonts w:asciiTheme="minorHAnsi" w:hAnsiTheme="minorHAnsi"/>
          <w:color w:val="000000" w:themeColor="text1"/>
          <w:sz w:val="22"/>
          <w:szCs w:val="22"/>
        </w:rPr>
        <w:t>Разрабатывать сопутствующие мероприятия для обеспечения воздействия при тщательно отбираемых темах, участниках, четкой повестке дня и предлагаемых преимуществах.</w:t>
      </w:r>
    </w:p>
    <w:p w14:paraId="494C6FC9" w14:textId="77777777" w:rsidR="00DB7467" w:rsidRPr="00D71101" w:rsidRDefault="00DB7467" w:rsidP="00437FA4">
      <w:pPr>
        <w:pStyle w:val="NormalWeb"/>
        <w:tabs>
          <w:tab w:val="left" w:pos="567"/>
          <w:tab w:val="left" w:pos="1134"/>
          <w:tab w:val="left" w:pos="1701"/>
        </w:tabs>
        <w:overflowPunct w:val="0"/>
        <w:spacing w:before="120" w:beforeAutospacing="0" w:after="0" w:afterAutospacing="0" w:line="216" w:lineRule="auto"/>
        <w:rPr>
          <w:rFonts w:asciiTheme="minorHAnsi" w:eastAsiaTheme="minorEastAsia" w:hAnsiTheme="minorHAnsi" w:cstheme="minorHAnsi"/>
          <w:color w:val="000000" w:themeColor="text1"/>
          <w:kern w:val="24"/>
          <w:sz w:val="22"/>
          <w:szCs w:val="22"/>
        </w:rPr>
      </w:pPr>
      <w:r w:rsidRPr="00D71101">
        <w:rPr>
          <w:rFonts w:asciiTheme="minorHAnsi" w:hAnsiTheme="minorHAnsi"/>
          <w:color w:val="000000" w:themeColor="text1"/>
          <w:sz w:val="22"/>
          <w:szCs w:val="22"/>
        </w:rPr>
        <w:t>Для этого можно предусмотреть:</w:t>
      </w:r>
    </w:p>
    <w:p w14:paraId="25EC2FF8" w14:textId="6F29AFF5"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Предложение 4.1.</w:t>
      </w:r>
      <w:r w:rsidRPr="00D71101">
        <w:rPr>
          <w:sz w:val="22"/>
          <w:szCs w:val="22"/>
        </w:rPr>
        <w:t xml:space="preserve"> Специальный процесс подготовки "сопутствующих мероприятий".</w:t>
      </w:r>
    </w:p>
    <w:p w14:paraId="70F8F4D6" w14:textId="305827ED"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Предложение 4.2.</w:t>
      </w:r>
      <w:r w:rsidRPr="00D71101">
        <w:rPr>
          <w:sz w:val="22"/>
          <w:szCs w:val="22"/>
        </w:rPr>
        <w:t xml:space="preserve"> Сопутствующие мероприятия можно превратить в составную часть ВКРЭ и сделать элементом сегмента "развития" в дополнение к существующей программе конференции.</w:t>
      </w:r>
    </w:p>
    <w:p w14:paraId="19D5BB58" w14:textId="77777777"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Предложение 4.3.</w:t>
      </w:r>
      <w:r w:rsidRPr="00D71101">
        <w:rPr>
          <w:sz w:val="22"/>
          <w:szCs w:val="22"/>
        </w:rPr>
        <w:t xml:space="preserve"> Процесс после завершения ВКРЭ для дальнейшей координации или реализации итогов "сопутствующих мероприятий" совместно с заинтересованными сторонами.</w:t>
      </w:r>
    </w:p>
    <w:p w14:paraId="3780CD5A" w14:textId="654F80A3" w:rsidR="00DB7467" w:rsidRPr="00D71101" w:rsidRDefault="00DB7467" w:rsidP="00437FA4">
      <w:pPr>
        <w:tabs>
          <w:tab w:val="left" w:pos="567"/>
          <w:tab w:val="left" w:pos="1134"/>
          <w:tab w:val="left" w:pos="1701"/>
        </w:tabs>
        <w:ind w:left="360"/>
        <w:rPr>
          <w:rFonts w:cstheme="minorHAnsi"/>
          <w:sz w:val="22"/>
          <w:szCs w:val="22"/>
        </w:rPr>
      </w:pPr>
      <w:r w:rsidRPr="00D71101">
        <w:rPr>
          <w:sz w:val="22"/>
          <w:szCs w:val="22"/>
        </w:rPr>
        <w:t xml:space="preserve">Характеристики сегмента "развития" в ходе ВКРЭ: </w:t>
      </w:r>
      <w:r w:rsidR="002659C7" w:rsidRPr="00D71101">
        <w:rPr>
          <w:sz w:val="22"/>
          <w:szCs w:val="22"/>
        </w:rPr>
        <w:t xml:space="preserve">предложение </w:t>
      </w:r>
      <w:r w:rsidRPr="00D71101">
        <w:rPr>
          <w:sz w:val="22"/>
          <w:szCs w:val="22"/>
        </w:rPr>
        <w:t>4.1. Специальный процесс подготовки "сопутствующих мероприятий".</w:t>
      </w:r>
    </w:p>
    <w:p w14:paraId="6352B9E1" w14:textId="77777777"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Предложение 4.4.</w:t>
      </w:r>
      <w:r w:rsidRPr="00D71101">
        <w:rPr>
          <w:sz w:val="22"/>
          <w:szCs w:val="22"/>
        </w:rPr>
        <w:t xml:space="preserve"> Сегмент развития может основываться на ключевых тематических областях; например, "региональные приоритеты" должны быть разнообразными, интерактивными и динамичными. </w:t>
      </w:r>
    </w:p>
    <w:p w14:paraId="77B1D1D0" w14:textId="77777777"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Предложение 4.5.</w:t>
      </w:r>
      <w:r w:rsidRPr="00D71101">
        <w:rPr>
          <w:sz w:val="22"/>
          <w:szCs w:val="22"/>
        </w:rPr>
        <w:t xml:space="preserve"> Сегмент высокого уровня (на котором, среди прочего, представляются общеполитические заявления) может быть перепрофилирован и превращен в тематические мероприятия для рассмотрения проблем развития и четко определенных приоритетов. Целью тематических мероприятий могло бы быть нахождение решений этих проблем, включая аспекты финансирования. </w:t>
      </w:r>
    </w:p>
    <w:p w14:paraId="7BCB1A09" w14:textId="512BDEFE" w:rsidR="00DB7467"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Предложение 4.6.</w:t>
      </w:r>
      <w:r w:rsidRPr="00D71101">
        <w:rPr>
          <w:sz w:val="22"/>
          <w:szCs w:val="22"/>
        </w:rPr>
        <w:t xml:space="preserve"> Для повышения вероятности взаимодействия и заинтересованности выступающих и аудиторию можно было бы подразделить на четыре типа заинтересованных сторон: имеющих проблемы, имеющих решения, имеющих средства и бенефициаров.</w:t>
      </w:r>
    </w:p>
    <w:p w14:paraId="6AB0511F" w14:textId="77777777" w:rsidR="009C5BD9" w:rsidRPr="00D71101" w:rsidRDefault="00DB7467" w:rsidP="004F4CFD">
      <w:pPr>
        <w:numPr>
          <w:ilvl w:val="0"/>
          <w:numId w:val="25"/>
        </w:numPr>
        <w:tabs>
          <w:tab w:val="clear" w:pos="794"/>
          <w:tab w:val="clear" w:pos="1191"/>
          <w:tab w:val="clear" w:pos="1588"/>
          <w:tab w:val="clear" w:pos="1985"/>
          <w:tab w:val="left" w:pos="567"/>
          <w:tab w:val="left" w:pos="1134"/>
          <w:tab w:val="left" w:pos="1701"/>
        </w:tabs>
        <w:overflowPunct/>
        <w:autoSpaceDE/>
        <w:autoSpaceDN/>
        <w:adjustRightInd/>
        <w:spacing w:line="259" w:lineRule="auto"/>
        <w:ind w:left="567" w:hanging="567"/>
        <w:textAlignment w:val="auto"/>
        <w:rPr>
          <w:rFonts w:cstheme="minorHAnsi"/>
          <w:sz w:val="22"/>
          <w:szCs w:val="22"/>
        </w:rPr>
      </w:pPr>
      <w:r w:rsidRPr="00D71101">
        <w:rPr>
          <w:b/>
          <w:bCs/>
          <w:sz w:val="22"/>
          <w:szCs w:val="22"/>
        </w:rPr>
        <w:t>Предложение 4.7.</w:t>
      </w:r>
      <w:r w:rsidRPr="00D71101">
        <w:rPr>
          <w:sz w:val="22"/>
          <w:szCs w:val="22"/>
        </w:rPr>
        <w:t xml:space="preserve"> Результатами осуществления этого сегмента развития могут быть новые/доработанные предложения по проектам и инициативы, относящиеся к темам, выражениям заинтересованности, обязательствам по финансированию и конкретным планам последующей деятельности.</w:t>
      </w:r>
    </w:p>
    <w:p w14:paraId="1A7CBAFC" w14:textId="76C64E92" w:rsidR="00DB7467" w:rsidRPr="00D71101" w:rsidRDefault="00DB7467" w:rsidP="00482A5F">
      <w:pPr>
        <w:keepNext/>
        <w:tabs>
          <w:tab w:val="clear" w:pos="794"/>
          <w:tab w:val="clear" w:pos="1191"/>
          <w:tab w:val="clear" w:pos="1588"/>
          <w:tab w:val="clear" w:pos="1985"/>
          <w:tab w:val="left" w:pos="567"/>
          <w:tab w:val="left" w:pos="1134"/>
          <w:tab w:val="left" w:pos="1701"/>
        </w:tabs>
        <w:overflowPunct/>
        <w:autoSpaceDE/>
        <w:autoSpaceDN/>
        <w:adjustRightInd/>
        <w:spacing w:line="259" w:lineRule="auto"/>
        <w:textAlignment w:val="auto"/>
        <w:rPr>
          <w:rFonts w:cstheme="minorHAnsi"/>
          <w:sz w:val="22"/>
          <w:szCs w:val="22"/>
        </w:rPr>
      </w:pPr>
      <w:r w:rsidRPr="00D71101">
        <w:rPr>
          <w:color w:val="00B0F0"/>
          <w:sz w:val="22"/>
          <w:szCs w:val="22"/>
        </w:rPr>
        <w:t xml:space="preserve">Обсуждение </w:t>
      </w:r>
    </w:p>
    <w:p w14:paraId="218F19E1" w14:textId="5EAAA252" w:rsidR="00DB7467" w:rsidRPr="00D71101" w:rsidRDefault="008073EA" w:rsidP="00437FA4">
      <w:pPr>
        <w:tabs>
          <w:tab w:val="left" w:pos="567"/>
          <w:tab w:val="left" w:pos="1134"/>
          <w:tab w:val="left" w:pos="1701"/>
        </w:tabs>
        <w:rPr>
          <w:rFonts w:cstheme="minorHAnsi"/>
          <w:sz w:val="22"/>
          <w:szCs w:val="22"/>
        </w:rPr>
      </w:pPr>
      <w:r w:rsidRPr="00D71101">
        <w:rPr>
          <w:sz w:val="22"/>
          <w:szCs w:val="22"/>
        </w:rPr>
        <w:t>Идея переименования сопутствующих мероприятий и превращения их в неотъемлемую часть конференции получила единогласную поддержку. Было высказано несколько предложений в отношении того, как это можно было бы сделать, в том числе предложение рассмотреть решения, благодаря которым это достигается другими организациями или в рамках других конференций.</w:t>
      </w:r>
      <w:r w:rsidR="002250C3">
        <w:rPr>
          <w:sz w:val="22"/>
          <w:szCs w:val="22"/>
        </w:rPr>
        <w:t xml:space="preserve"> </w:t>
      </w:r>
    </w:p>
    <w:p w14:paraId="70FAD155" w14:textId="77777777" w:rsidR="009C5BD9" w:rsidRPr="00D71101" w:rsidRDefault="00DB7467" w:rsidP="00437FA4">
      <w:pPr>
        <w:tabs>
          <w:tab w:val="left" w:pos="567"/>
          <w:tab w:val="left" w:pos="1134"/>
          <w:tab w:val="left" w:pos="1701"/>
        </w:tabs>
        <w:rPr>
          <w:rFonts w:cstheme="minorHAnsi"/>
          <w:sz w:val="22"/>
          <w:szCs w:val="22"/>
        </w:rPr>
      </w:pPr>
      <w:r w:rsidRPr="00D71101">
        <w:rPr>
          <w:sz w:val="22"/>
          <w:szCs w:val="22"/>
        </w:rPr>
        <w:t xml:space="preserve">Было также озвучено предостережение о том, что, как видно из опыта проведения ВКРЭ-17, основная идея заключается в том, чтобы понять, как сэкономить время, а не в том, чтобы увеличить время, необходимое для проведения мероприятий, не связанных с деятельностью МСЭ-D и документами ВКРЭ, такими как резолюции и декларация. Если количество сопутствующих мероприятий увеличится без необходимой координации и понимания того, как они связаны с работой комитетов конференции, то могут возникнуть проблемы. </w:t>
      </w:r>
    </w:p>
    <w:p w14:paraId="09E09413" w14:textId="1250D81D" w:rsidR="00DB7467" w:rsidRPr="00D71101" w:rsidRDefault="009C5BD9" w:rsidP="00437FA4">
      <w:pPr>
        <w:tabs>
          <w:tab w:val="left" w:pos="567"/>
          <w:tab w:val="left" w:pos="1134"/>
          <w:tab w:val="left" w:pos="1701"/>
        </w:tabs>
        <w:rPr>
          <w:rFonts w:cstheme="minorHAnsi"/>
          <w:sz w:val="22"/>
          <w:szCs w:val="22"/>
        </w:rPr>
      </w:pPr>
      <w:r w:rsidRPr="00D71101">
        <w:rPr>
          <w:sz w:val="22"/>
          <w:szCs w:val="22"/>
        </w:rPr>
        <w:t>Согласно озвученному аналогичному замечанию, несмотря на высокую оценку роли сопутствующих мероприятий, члены должны с осторожностью подходить к обеспечению баланса между такими мероприятиями и основными дискуссиями, с тем чтобы небольшие делегации не упустили выгоду от участия в сопутствующих мероприятиях, а пленарные заседания не остались без кворума, необходимого для выполнения соответствующей работы.</w:t>
      </w:r>
    </w:p>
    <w:p w14:paraId="38AE7015" w14:textId="10AEBB72" w:rsidR="00DB7467" w:rsidRPr="00D71101" w:rsidRDefault="009C5BD9" w:rsidP="00437FA4">
      <w:pPr>
        <w:tabs>
          <w:tab w:val="left" w:pos="567"/>
          <w:tab w:val="left" w:pos="1134"/>
          <w:tab w:val="left" w:pos="1701"/>
        </w:tabs>
        <w:rPr>
          <w:rFonts w:cstheme="minorHAnsi"/>
          <w:sz w:val="22"/>
          <w:szCs w:val="22"/>
        </w:rPr>
      </w:pPr>
      <w:r w:rsidRPr="00D71101">
        <w:rPr>
          <w:sz w:val="22"/>
          <w:szCs w:val="22"/>
        </w:rPr>
        <w:lastRenderedPageBreak/>
        <w:t>Другие участники отметили, что</w:t>
      </w:r>
      <w:r w:rsidR="002659C7">
        <w:rPr>
          <w:sz w:val="22"/>
          <w:szCs w:val="22"/>
        </w:rPr>
        <w:t xml:space="preserve"> с </w:t>
      </w:r>
      <w:r w:rsidRPr="00D71101">
        <w:rPr>
          <w:sz w:val="22"/>
          <w:szCs w:val="22"/>
        </w:rPr>
        <w:t>уч</w:t>
      </w:r>
      <w:r w:rsidR="002659C7">
        <w:rPr>
          <w:sz w:val="22"/>
          <w:szCs w:val="22"/>
        </w:rPr>
        <w:t xml:space="preserve">етом </w:t>
      </w:r>
      <w:r w:rsidRPr="00D71101">
        <w:rPr>
          <w:sz w:val="22"/>
          <w:szCs w:val="22"/>
        </w:rPr>
        <w:t>уникальны</w:t>
      </w:r>
      <w:r w:rsidR="002659C7">
        <w:rPr>
          <w:sz w:val="22"/>
          <w:szCs w:val="22"/>
        </w:rPr>
        <w:t>х</w:t>
      </w:r>
      <w:r w:rsidRPr="00D71101">
        <w:rPr>
          <w:sz w:val="22"/>
          <w:szCs w:val="22"/>
        </w:rPr>
        <w:t xml:space="preserve"> услови</w:t>
      </w:r>
      <w:r w:rsidR="002659C7">
        <w:rPr>
          <w:sz w:val="22"/>
          <w:szCs w:val="22"/>
        </w:rPr>
        <w:t>й</w:t>
      </w:r>
      <w:r w:rsidRPr="00D71101">
        <w:rPr>
          <w:sz w:val="22"/>
          <w:szCs w:val="22"/>
        </w:rPr>
        <w:t xml:space="preserve">, которые </w:t>
      </w:r>
      <w:r w:rsidR="002659C7" w:rsidRPr="00D71101">
        <w:rPr>
          <w:sz w:val="22"/>
          <w:szCs w:val="22"/>
        </w:rPr>
        <w:t xml:space="preserve">сопутствующие мероприятия </w:t>
      </w:r>
      <w:r w:rsidRPr="00D71101">
        <w:rPr>
          <w:sz w:val="22"/>
          <w:szCs w:val="22"/>
        </w:rPr>
        <w:t xml:space="preserve">создают для обсуждения процесса развития всех секторов общества, а не только сектора ИКТ, </w:t>
      </w:r>
      <w:r w:rsidR="002659C7" w:rsidRPr="00D71101">
        <w:rPr>
          <w:sz w:val="22"/>
          <w:szCs w:val="22"/>
        </w:rPr>
        <w:t xml:space="preserve">они </w:t>
      </w:r>
      <w:r w:rsidRPr="00D71101">
        <w:rPr>
          <w:sz w:val="22"/>
          <w:szCs w:val="22"/>
        </w:rPr>
        <w:t xml:space="preserve">необходимы для привлечения как можно большего числа людей. Было подчеркнуто, что многие заинтересованные стороны, особенно участники высокого уровня, не могут присутствовать на ВКРЭ на протяжении всего двухнедельного периода ее проведения. Если сопутствующие мероприятия организовать таким образом, который позволит эффективно обсуждать важнейшие вопросы развития ИКТ, то они привлекут участников высокого уровня, представляющих разные заинтересованные стороны, и такие участники необязательно будут заинтересованы в принятии резолюций. </w:t>
      </w:r>
    </w:p>
    <w:p w14:paraId="10BA99C7" w14:textId="41E4C70C" w:rsidR="00DB7467" w:rsidRPr="00D71101" w:rsidRDefault="004A0545" w:rsidP="00437FA4">
      <w:pPr>
        <w:tabs>
          <w:tab w:val="left" w:pos="567"/>
          <w:tab w:val="left" w:pos="1134"/>
          <w:tab w:val="left" w:pos="1701"/>
        </w:tabs>
        <w:rPr>
          <w:rFonts w:cstheme="minorHAnsi"/>
          <w:sz w:val="22"/>
          <w:szCs w:val="22"/>
        </w:rPr>
      </w:pPr>
      <w:r w:rsidRPr="00D71101">
        <w:rPr>
          <w:sz w:val="22"/>
          <w:szCs w:val="22"/>
        </w:rPr>
        <w:t xml:space="preserve">Одно из озвученных предложений заключалось в том, что после своего переименования сопутствующие мероприятия могли бы выполнять роль, схожую с той, которую выполняют региональные форумы МСЭ по вопросам развития, – только на глобальном уровне, и их можно было бы использовать для обсуждения направления развития. Региональные форумы МСЭ по вопросам развития предоставляют платформу для ведения открытого диалога и поддержания сотрудничества и партнерства между директивными и регуляторными органами в области электросвязи/ИКТ, соответствующими коммерческими предприятиями, академическими организациями, региональными и международными учреждениями и организациями в области развития по тем или иным региональным вопросам в сфере электросвязи и ИКТ. </w:t>
      </w:r>
    </w:p>
    <w:p w14:paraId="1B6EC2D2" w14:textId="314A587E" w:rsidR="00016034" w:rsidRPr="00D71101" w:rsidRDefault="00016034" w:rsidP="00437FA4">
      <w:pPr>
        <w:tabs>
          <w:tab w:val="left" w:pos="567"/>
          <w:tab w:val="left" w:pos="1134"/>
          <w:tab w:val="left" w:pos="1701"/>
        </w:tabs>
        <w:jc w:val="center"/>
        <w:rPr>
          <w:rFonts w:cstheme="minorHAnsi"/>
          <w:sz w:val="22"/>
          <w:szCs w:val="22"/>
        </w:rPr>
      </w:pPr>
      <w:r w:rsidRPr="00D71101">
        <w:rPr>
          <w:sz w:val="22"/>
          <w:szCs w:val="22"/>
        </w:rPr>
        <w:t>________________</w:t>
      </w:r>
    </w:p>
    <w:sectPr w:rsidR="00016034" w:rsidRPr="00D71101"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CD5F" w14:textId="77777777" w:rsidR="005B0770" w:rsidRDefault="005B0770">
      <w:r>
        <w:separator/>
      </w:r>
    </w:p>
  </w:endnote>
  <w:endnote w:type="continuationSeparator" w:id="0">
    <w:p w14:paraId="2565974C" w14:textId="77777777" w:rsidR="005B0770" w:rsidRDefault="005B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A9C" w14:textId="38A622A3" w:rsidR="007A36AB" w:rsidRDefault="007A36AB" w:rsidP="00432C39">
    <w:pPr>
      <w:tabs>
        <w:tab w:val="clear" w:pos="794"/>
        <w:tab w:val="clear" w:pos="1191"/>
        <w:tab w:val="clear" w:pos="1588"/>
        <w:tab w:val="clear" w:pos="1985"/>
        <w:tab w:val="center" w:pos="4820"/>
        <w:tab w:val="right" w:pos="9639"/>
      </w:tabs>
      <w:ind w:righ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FA5677" w:rsidRPr="004D495C" w14:paraId="722600C3" w14:textId="77777777" w:rsidTr="006D4BAB">
      <w:tc>
        <w:tcPr>
          <w:tcW w:w="1418" w:type="dxa"/>
          <w:tcBorders>
            <w:top w:val="single" w:sz="4" w:space="0" w:color="000000"/>
          </w:tcBorders>
          <w:shd w:val="clear" w:color="auto" w:fill="auto"/>
        </w:tcPr>
        <w:p w14:paraId="01CBB55E" w14:textId="77777777" w:rsidR="00FA5677" w:rsidRPr="004D495C" w:rsidRDefault="00FA5677" w:rsidP="00FA5677">
          <w:pPr>
            <w:pStyle w:val="FirstFooter"/>
            <w:tabs>
              <w:tab w:val="left" w:pos="1559"/>
              <w:tab w:val="left" w:pos="3828"/>
            </w:tabs>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14:paraId="7EF982E7" w14:textId="77777777" w:rsidR="00FA5677" w:rsidRPr="00EB2F10" w:rsidRDefault="00FA5677" w:rsidP="00FA5677">
          <w:pPr>
            <w:pStyle w:val="FirstFooter"/>
            <w:rPr>
              <w:sz w:val="18"/>
              <w:szCs w:val="18"/>
              <w:lang w:val="en-US"/>
            </w:rPr>
          </w:pPr>
          <w:r w:rsidRPr="00EB2F10">
            <w:rPr>
              <w:sz w:val="18"/>
              <w:szCs w:val="18"/>
            </w:rPr>
            <w:t>Фамилия/организация/объединение:</w:t>
          </w:r>
        </w:p>
      </w:tc>
      <w:tc>
        <w:tcPr>
          <w:tcW w:w="4961" w:type="dxa"/>
          <w:tcBorders>
            <w:top w:val="single" w:sz="4" w:space="0" w:color="000000"/>
          </w:tcBorders>
        </w:tcPr>
        <w:p w14:paraId="451FDB1F" w14:textId="77777777" w:rsidR="00FA5677" w:rsidRPr="00CD182C" w:rsidRDefault="00FA5677" w:rsidP="00FA5677">
          <w:pPr>
            <w:pStyle w:val="FirstFooter"/>
            <w:tabs>
              <w:tab w:val="left" w:pos="2302"/>
            </w:tabs>
            <w:rPr>
              <w:sz w:val="18"/>
              <w:szCs w:val="18"/>
            </w:rPr>
          </w:pPr>
          <w:proofErr w:type="spellStart"/>
          <w:r w:rsidRPr="00CD182C">
            <w:rPr>
              <w:sz w:val="18"/>
              <w:szCs w:val="18"/>
            </w:rPr>
            <w:t>Миз</w:t>
          </w:r>
          <w:proofErr w:type="spellEnd"/>
          <w:r w:rsidRPr="00CD182C">
            <w:rPr>
              <w:sz w:val="18"/>
              <w:szCs w:val="18"/>
            </w:rPr>
            <w:t xml:space="preserve"> </w:t>
          </w:r>
          <w:proofErr w:type="spellStart"/>
          <w:r w:rsidRPr="00CD182C">
            <w:rPr>
              <w:sz w:val="18"/>
              <w:szCs w:val="18"/>
            </w:rPr>
            <w:t>Дорин</w:t>
          </w:r>
          <w:proofErr w:type="spellEnd"/>
          <w:r w:rsidRPr="00CD182C">
            <w:rPr>
              <w:sz w:val="18"/>
              <w:szCs w:val="18"/>
            </w:rPr>
            <w:t xml:space="preserve"> Богдан-Мартин, Директор, Бюро развития электросвязи</w:t>
          </w:r>
        </w:p>
      </w:tc>
    </w:tr>
    <w:tr w:rsidR="00FA5677" w:rsidRPr="004D495C" w14:paraId="457C883E" w14:textId="77777777" w:rsidTr="006D4BAB">
      <w:tc>
        <w:tcPr>
          <w:tcW w:w="1418" w:type="dxa"/>
          <w:shd w:val="clear" w:color="auto" w:fill="auto"/>
        </w:tcPr>
        <w:p w14:paraId="36F82423" w14:textId="77777777" w:rsidR="00FA5677" w:rsidRPr="00CD182C" w:rsidRDefault="00FA5677" w:rsidP="00FA5677">
          <w:pPr>
            <w:pStyle w:val="FirstFooter"/>
            <w:tabs>
              <w:tab w:val="left" w:pos="1559"/>
              <w:tab w:val="left" w:pos="3828"/>
            </w:tabs>
            <w:rPr>
              <w:sz w:val="20"/>
            </w:rPr>
          </w:pPr>
        </w:p>
      </w:tc>
      <w:tc>
        <w:tcPr>
          <w:tcW w:w="3260" w:type="dxa"/>
        </w:tcPr>
        <w:p w14:paraId="688F30BF" w14:textId="77777777" w:rsidR="00FA5677" w:rsidRPr="00EB2F10" w:rsidRDefault="00FA5677" w:rsidP="00FA5677">
          <w:pPr>
            <w:pStyle w:val="FirstFooter"/>
            <w:rPr>
              <w:sz w:val="18"/>
              <w:szCs w:val="18"/>
            </w:rPr>
          </w:pPr>
          <w:r w:rsidRPr="00EB2F10">
            <w:rPr>
              <w:sz w:val="18"/>
              <w:szCs w:val="18"/>
            </w:rPr>
            <w:t>Тел.:</w:t>
          </w:r>
        </w:p>
      </w:tc>
      <w:tc>
        <w:tcPr>
          <w:tcW w:w="4961" w:type="dxa"/>
        </w:tcPr>
        <w:p w14:paraId="584E0E04" w14:textId="77777777" w:rsidR="00FA5677" w:rsidRPr="00D8064E" w:rsidRDefault="00FA5677" w:rsidP="00FA5677">
          <w:pPr>
            <w:pStyle w:val="FirstFooter"/>
            <w:tabs>
              <w:tab w:val="left" w:pos="2302"/>
            </w:tabs>
            <w:rPr>
              <w:sz w:val="18"/>
              <w:szCs w:val="18"/>
              <w:lang w:val="en-US"/>
            </w:rPr>
          </w:pPr>
          <w:r w:rsidRPr="00D8064E">
            <w:rPr>
              <w:sz w:val="18"/>
              <w:szCs w:val="18"/>
              <w:lang w:val="en-US"/>
            </w:rPr>
            <w:t>+41 22 730 5533</w:t>
          </w:r>
        </w:p>
      </w:tc>
    </w:tr>
    <w:tr w:rsidR="00FA5677" w:rsidRPr="004D495C" w14:paraId="7051CAC2" w14:textId="77777777" w:rsidTr="006D4BAB">
      <w:tc>
        <w:tcPr>
          <w:tcW w:w="1418" w:type="dxa"/>
          <w:shd w:val="clear" w:color="auto" w:fill="auto"/>
        </w:tcPr>
        <w:p w14:paraId="558395BA" w14:textId="77777777" w:rsidR="00FA5677" w:rsidRPr="004D495C" w:rsidRDefault="00FA5677" w:rsidP="00FA5677">
          <w:pPr>
            <w:pStyle w:val="FirstFooter"/>
            <w:tabs>
              <w:tab w:val="left" w:pos="1559"/>
              <w:tab w:val="left" w:pos="3828"/>
            </w:tabs>
            <w:rPr>
              <w:sz w:val="20"/>
              <w:lang w:val="en-US"/>
            </w:rPr>
          </w:pPr>
        </w:p>
      </w:tc>
      <w:tc>
        <w:tcPr>
          <w:tcW w:w="3260" w:type="dxa"/>
        </w:tcPr>
        <w:p w14:paraId="3413ED4B" w14:textId="77777777" w:rsidR="00FA5677" w:rsidRPr="00EB2F10" w:rsidRDefault="00FA5677" w:rsidP="00FA5677">
          <w:pPr>
            <w:pStyle w:val="FirstFooter"/>
            <w:tabs>
              <w:tab w:val="left" w:pos="2302"/>
            </w:tabs>
            <w:rPr>
              <w:sz w:val="18"/>
              <w:szCs w:val="18"/>
              <w:lang w:val="en-US"/>
            </w:rPr>
          </w:pPr>
          <w:r w:rsidRPr="00EB2F10">
            <w:rPr>
              <w:sz w:val="18"/>
              <w:szCs w:val="18"/>
            </w:rPr>
            <w:t>Эл. почта</w:t>
          </w:r>
          <w:r w:rsidRPr="00EB2F10">
            <w:rPr>
              <w:sz w:val="18"/>
              <w:szCs w:val="18"/>
              <w:lang w:val="en-US"/>
            </w:rPr>
            <w:t>:</w:t>
          </w:r>
        </w:p>
      </w:tc>
      <w:tc>
        <w:tcPr>
          <w:tcW w:w="4961" w:type="dxa"/>
        </w:tcPr>
        <w:p w14:paraId="7B831F39" w14:textId="77777777" w:rsidR="00FA5677" w:rsidRPr="00D8064E" w:rsidRDefault="00FA5677" w:rsidP="00FA5677">
          <w:pPr>
            <w:pStyle w:val="FirstFooter"/>
            <w:tabs>
              <w:tab w:val="left" w:pos="2302"/>
            </w:tabs>
            <w:rPr>
              <w:sz w:val="18"/>
              <w:szCs w:val="18"/>
              <w:lang w:val="en-US"/>
            </w:rPr>
          </w:pPr>
          <w:hyperlink r:id="rId1" w:history="1">
            <w:r>
              <w:rPr>
                <w:rStyle w:val="Hyperlink"/>
                <w:sz w:val="18"/>
                <w:szCs w:val="18"/>
              </w:rPr>
              <w:t>bdtdir@itu.int</w:t>
            </w:r>
          </w:hyperlink>
        </w:p>
      </w:tc>
    </w:tr>
  </w:tbl>
  <w:p w14:paraId="03C3F5D9" w14:textId="21C58D85" w:rsidR="007A36AB" w:rsidRPr="00FA5677" w:rsidRDefault="00FA5677" w:rsidP="00FA5677">
    <w:pPr>
      <w:tabs>
        <w:tab w:val="clear" w:pos="794"/>
        <w:tab w:val="clear" w:pos="1191"/>
        <w:tab w:val="clear" w:pos="1588"/>
        <w:tab w:val="clear" w:pos="1985"/>
        <w:tab w:val="left" w:pos="5954"/>
        <w:tab w:val="right" w:pos="9639"/>
      </w:tabs>
      <w:jc w:val="center"/>
      <w:rPr>
        <w:caps/>
        <w:noProof/>
        <w:sz w:val="16"/>
      </w:rPr>
    </w:pPr>
    <w:hyperlink r:id="rId2" w:history="1">
      <w:r>
        <w:rPr>
          <w:color w:val="0000FF"/>
          <w:sz w:val="18"/>
          <w:szCs w:val="18"/>
          <w:u w:val="single"/>
        </w:rPr>
        <w:t>КГРЭ</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7E85E" w14:textId="77777777" w:rsidR="005B0770" w:rsidRDefault="005B0770">
      <w:r>
        <w:t>____________________</w:t>
      </w:r>
    </w:p>
  </w:footnote>
  <w:footnote w:type="continuationSeparator" w:id="0">
    <w:p w14:paraId="79E3E726" w14:textId="77777777" w:rsidR="005B0770" w:rsidRDefault="005B0770">
      <w:r>
        <w:continuationSeparator/>
      </w:r>
    </w:p>
  </w:footnote>
  <w:footnote w:id="1">
    <w:p w14:paraId="27BC32BC" w14:textId="77777777" w:rsidR="006F7F45" w:rsidRDefault="006F7F45" w:rsidP="006F7F45">
      <w:pPr>
        <w:pStyle w:val="FootnoteText"/>
        <w:rPr>
          <w:sz w:val="22"/>
          <w:szCs w:val="22"/>
        </w:rPr>
      </w:pPr>
      <w:r>
        <w:rPr>
          <w:rStyle w:val="FootnoteReference"/>
        </w:rPr>
        <w:t>1</w:t>
      </w:r>
      <w:r>
        <w:t xml:space="preserve"> </w:t>
      </w:r>
      <w:r>
        <w:tab/>
      </w:r>
      <w:r w:rsidRPr="00785641">
        <w:rPr>
          <w:sz w:val="20"/>
        </w:rPr>
        <w:t>Африка, Северная и Южная Америка, арабские государства, Азиатско-Тихоокеанский регион, Содружество Независимых Государств, Европа.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5CB19F89" w:rsidR="007A36AB" w:rsidRPr="00FA5677" w:rsidRDefault="00FA5677" w:rsidP="00FA5677">
    <w:pPr>
      <w:tabs>
        <w:tab w:val="clear" w:pos="794"/>
        <w:tab w:val="clear" w:pos="1191"/>
        <w:tab w:val="clear" w:pos="1588"/>
        <w:tab w:val="clear" w:pos="1985"/>
        <w:tab w:val="center" w:pos="4820"/>
        <w:tab w:val="right" w:pos="9639"/>
      </w:tabs>
      <w:ind w:right="1"/>
      <w:rPr>
        <w:rStyle w:val="PageNumber"/>
        <w:sz w:val="22"/>
        <w:szCs w:val="22"/>
      </w:rPr>
    </w:pPr>
    <w:r w:rsidRPr="00F73C21">
      <w:rPr>
        <w:sz w:val="22"/>
        <w:szCs w:val="22"/>
      </w:rPr>
      <w:tab/>
      <w:t>TDAG-20/INF/</w:t>
    </w:r>
    <w:r>
      <w:rPr>
        <w:sz w:val="22"/>
        <w:szCs w:val="22"/>
        <w:lang w:val="en-US"/>
      </w:rPr>
      <w:t>10</w:t>
    </w:r>
    <w:r w:rsidRPr="00F73C21">
      <w:rPr>
        <w:sz w:val="22"/>
        <w:szCs w:val="22"/>
        <w:lang w:val="en-US"/>
      </w:rPr>
      <w:t>-R</w:t>
    </w:r>
    <w:r w:rsidRPr="00F73C21">
      <w:rPr>
        <w:sz w:val="22"/>
        <w:szCs w:val="22"/>
      </w:rPr>
      <w:tab/>
      <w:t xml:space="preserve">Страница </w:t>
    </w:r>
    <w:r w:rsidRPr="00F73C21">
      <w:rPr>
        <w:sz w:val="22"/>
        <w:szCs w:val="22"/>
      </w:rPr>
      <w:fldChar w:fldCharType="begin"/>
    </w:r>
    <w:r w:rsidRPr="00F73C21">
      <w:rPr>
        <w:sz w:val="22"/>
        <w:szCs w:val="22"/>
      </w:rPr>
      <w:instrText xml:space="preserve"> PAGE </w:instrText>
    </w:r>
    <w:r w:rsidRPr="00F73C21">
      <w:rPr>
        <w:sz w:val="22"/>
        <w:szCs w:val="22"/>
      </w:rPr>
      <w:fldChar w:fldCharType="separate"/>
    </w:r>
    <w:r>
      <w:rPr>
        <w:sz w:val="22"/>
        <w:szCs w:val="22"/>
      </w:rPr>
      <w:t>2</w:t>
    </w:r>
    <w:r w:rsidRPr="00F73C21">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A7728E3"/>
    <w:multiLevelType w:val="hybridMultilevel"/>
    <w:tmpl w:val="A4085C32"/>
    <w:lvl w:ilvl="0" w:tplc="518E18E0">
      <w:start w:val="1"/>
      <w:numFmt w:val="bullet"/>
      <w:lvlText w:val="•"/>
      <w:lvlJc w:val="left"/>
      <w:pPr>
        <w:tabs>
          <w:tab w:val="num" w:pos="720"/>
        </w:tabs>
        <w:ind w:left="720" w:hanging="360"/>
      </w:pPr>
      <w:rPr>
        <w:rFonts w:ascii="Arial" w:hAnsi="Arial" w:hint="default"/>
      </w:rPr>
    </w:lvl>
    <w:lvl w:ilvl="1" w:tplc="CDACCD60" w:tentative="1">
      <w:start w:val="1"/>
      <w:numFmt w:val="bullet"/>
      <w:lvlText w:val="•"/>
      <w:lvlJc w:val="left"/>
      <w:pPr>
        <w:tabs>
          <w:tab w:val="num" w:pos="1440"/>
        </w:tabs>
        <w:ind w:left="1440" w:hanging="360"/>
      </w:pPr>
      <w:rPr>
        <w:rFonts w:ascii="Arial" w:hAnsi="Arial" w:hint="default"/>
      </w:rPr>
    </w:lvl>
    <w:lvl w:ilvl="2" w:tplc="909E76FA" w:tentative="1">
      <w:start w:val="1"/>
      <w:numFmt w:val="bullet"/>
      <w:lvlText w:val="•"/>
      <w:lvlJc w:val="left"/>
      <w:pPr>
        <w:tabs>
          <w:tab w:val="num" w:pos="2160"/>
        </w:tabs>
        <w:ind w:left="2160" w:hanging="360"/>
      </w:pPr>
      <w:rPr>
        <w:rFonts w:ascii="Arial" w:hAnsi="Arial" w:hint="default"/>
      </w:rPr>
    </w:lvl>
    <w:lvl w:ilvl="3" w:tplc="D4A0A042" w:tentative="1">
      <w:start w:val="1"/>
      <w:numFmt w:val="bullet"/>
      <w:lvlText w:val="•"/>
      <w:lvlJc w:val="left"/>
      <w:pPr>
        <w:tabs>
          <w:tab w:val="num" w:pos="2880"/>
        </w:tabs>
        <w:ind w:left="2880" w:hanging="360"/>
      </w:pPr>
      <w:rPr>
        <w:rFonts w:ascii="Arial" w:hAnsi="Arial" w:hint="default"/>
      </w:rPr>
    </w:lvl>
    <w:lvl w:ilvl="4" w:tplc="91BEB860" w:tentative="1">
      <w:start w:val="1"/>
      <w:numFmt w:val="bullet"/>
      <w:lvlText w:val="•"/>
      <w:lvlJc w:val="left"/>
      <w:pPr>
        <w:tabs>
          <w:tab w:val="num" w:pos="3600"/>
        </w:tabs>
        <w:ind w:left="3600" w:hanging="360"/>
      </w:pPr>
      <w:rPr>
        <w:rFonts w:ascii="Arial" w:hAnsi="Arial" w:hint="default"/>
      </w:rPr>
    </w:lvl>
    <w:lvl w:ilvl="5" w:tplc="B5921C94" w:tentative="1">
      <w:start w:val="1"/>
      <w:numFmt w:val="bullet"/>
      <w:lvlText w:val="•"/>
      <w:lvlJc w:val="left"/>
      <w:pPr>
        <w:tabs>
          <w:tab w:val="num" w:pos="4320"/>
        </w:tabs>
        <w:ind w:left="4320" w:hanging="360"/>
      </w:pPr>
      <w:rPr>
        <w:rFonts w:ascii="Arial" w:hAnsi="Arial" w:hint="default"/>
      </w:rPr>
    </w:lvl>
    <w:lvl w:ilvl="6" w:tplc="A984D1AA" w:tentative="1">
      <w:start w:val="1"/>
      <w:numFmt w:val="bullet"/>
      <w:lvlText w:val="•"/>
      <w:lvlJc w:val="left"/>
      <w:pPr>
        <w:tabs>
          <w:tab w:val="num" w:pos="5040"/>
        </w:tabs>
        <w:ind w:left="5040" w:hanging="360"/>
      </w:pPr>
      <w:rPr>
        <w:rFonts w:ascii="Arial" w:hAnsi="Arial" w:hint="default"/>
      </w:rPr>
    </w:lvl>
    <w:lvl w:ilvl="7" w:tplc="E45AE5C0" w:tentative="1">
      <w:start w:val="1"/>
      <w:numFmt w:val="bullet"/>
      <w:lvlText w:val="•"/>
      <w:lvlJc w:val="left"/>
      <w:pPr>
        <w:tabs>
          <w:tab w:val="num" w:pos="5760"/>
        </w:tabs>
        <w:ind w:left="5760" w:hanging="360"/>
      </w:pPr>
      <w:rPr>
        <w:rFonts w:ascii="Arial" w:hAnsi="Arial" w:hint="default"/>
      </w:rPr>
    </w:lvl>
    <w:lvl w:ilvl="8" w:tplc="BE1E18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6100"/>
    <w:multiLevelType w:val="hybridMultilevel"/>
    <w:tmpl w:val="014AE69A"/>
    <w:lvl w:ilvl="0" w:tplc="5AE80FD6">
      <w:start w:val="1"/>
      <w:numFmt w:val="bullet"/>
      <w:lvlText w:val="•"/>
      <w:lvlJc w:val="left"/>
      <w:pPr>
        <w:tabs>
          <w:tab w:val="num" w:pos="720"/>
        </w:tabs>
        <w:ind w:left="720" w:hanging="360"/>
      </w:pPr>
      <w:rPr>
        <w:rFonts w:ascii="Arial" w:hAnsi="Arial" w:hint="default"/>
      </w:rPr>
    </w:lvl>
    <w:lvl w:ilvl="1" w:tplc="F454DBF6" w:tentative="1">
      <w:start w:val="1"/>
      <w:numFmt w:val="bullet"/>
      <w:lvlText w:val="•"/>
      <w:lvlJc w:val="left"/>
      <w:pPr>
        <w:tabs>
          <w:tab w:val="num" w:pos="1440"/>
        </w:tabs>
        <w:ind w:left="1440" w:hanging="360"/>
      </w:pPr>
      <w:rPr>
        <w:rFonts w:ascii="Arial" w:hAnsi="Arial" w:hint="default"/>
      </w:rPr>
    </w:lvl>
    <w:lvl w:ilvl="2" w:tplc="EB4EBC44" w:tentative="1">
      <w:start w:val="1"/>
      <w:numFmt w:val="bullet"/>
      <w:lvlText w:val="•"/>
      <w:lvlJc w:val="left"/>
      <w:pPr>
        <w:tabs>
          <w:tab w:val="num" w:pos="2160"/>
        </w:tabs>
        <w:ind w:left="2160" w:hanging="360"/>
      </w:pPr>
      <w:rPr>
        <w:rFonts w:ascii="Arial" w:hAnsi="Arial" w:hint="default"/>
      </w:rPr>
    </w:lvl>
    <w:lvl w:ilvl="3" w:tplc="EB3C15B0" w:tentative="1">
      <w:start w:val="1"/>
      <w:numFmt w:val="bullet"/>
      <w:lvlText w:val="•"/>
      <w:lvlJc w:val="left"/>
      <w:pPr>
        <w:tabs>
          <w:tab w:val="num" w:pos="2880"/>
        </w:tabs>
        <w:ind w:left="2880" w:hanging="360"/>
      </w:pPr>
      <w:rPr>
        <w:rFonts w:ascii="Arial" w:hAnsi="Arial" w:hint="default"/>
      </w:rPr>
    </w:lvl>
    <w:lvl w:ilvl="4" w:tplc="881625B4" w:tentative="1">
      <w:start w:val="1"/>
      <w:numFmt w:val="bullet"/>
      <w:lvlText w:val="•"/>
      <w:lvlJc w:val="left"/>
      <w:pPr>
        <w:tabs>
          <w:tab w:val="num" w:pos="3600"/>
        </w:tabs>
        <w:ind w:left="3600" w:hanging="360"/>
      </w:pPr>
      <w:rPr>
        <w:rFonts w:ascii="Arial" w:hAnsi="Arial" w:hint="default"/>
      </w:rPr>
    </w:lvl>
    <w:lvl w:ilvl="5" w:tplc="DD966E24" w:tentative="1">
      <w:start w:val="1"/>
      <w:numFmt w:val="bullet"/>
      <w:lvlText w:val="•"/>
      <w:lvlJc w:val="left"/>
      <w:pPr>
        <w:tabs>
          <w:tab w:val="num" w:pos="4320"/>
        </w:tabs>
        <w:ind w:left="4320" w:hanging="360"/>
      </w:pPr>
      <w:rPr>
        <w:rFonts w:ascii="Arial" w:hAnsi="Arial" w:hint="default"/>
      </w:rPr>
    </w:lvl>
    <w:lvl w:ilvl="6" w:tplc="B44AEE58" w:tentative="1">
      <w:start w:val="1"/>
      <w:numFmt w:val="bullet"/>
      <w:lvlText w:val="•"/>
      <w:lvlJc w:val="left"/>
      <w:pPr>
        <w:tabs>
          <w:tab w:val="num" w:pos="5040"/>
        </w:tabs>
        <w:ind w:left="5040" w:hanging="360"/>
      </w:pPr>
      <w:rPr>
        <w:rFonts w:ascii="Arial" w:hAnsi="Arial" w:hint="default"/>
      </w:rPr>
    </w:lvl>
    <w:lvl w:ilvl="7" w:tplc="31307632" w:tentative="1">
      <w:start w:val="1"/>
      <w:numFmt w:val="bullet"/>
      <w:lvlText w:val="•"/>
      <w:lvlJc w:val="left"/>
      <w:pPr>
        <w:tabs>
          <w:tab w:val="num" w:pos="5760"/>
        </w:tabs>
        <w:ind w:left="5760" w:hanging="360"/>
      </w:pPr>
      <w:rPr>
        <w:rFonts w:ascii="Arial" w:hAnsi="Arial" w:hint="default"/>
      </w:rPr>
    </w:lvl>
    <w:lvl w:ilvl="8" w:tplc="C57225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B94DFF"/>
    <w:multiLevelType w:val="hybridMultilevel"/>
    <w:tmpl w:val="EF227624"/>
    <w:lvl w:ilvl="0" w:tplc="D8AA70E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1E78CF"/>
    <w:multiLevelType w:val="hybridMultilevel"/>
    <w:tmpl w:val="C436D2BC"/>
    <w:lvl w:ilvl="0" w:tplc="F92C94BC">
      <w:start w:val="1"/>
      <w:numFmt w:val="lowerLetter"/>
      <w:lvlText w:val="%1)"/>
      <w:lvlJc w:val="left"/>
      <w:pPr>
        <w:tabs>
          <w:tab w:val="num" w:pos="720"/>
        </w:tabs>
        <w:ind w:left="720" w:hanging="360"/>
      </w:pPr>
    </w:lvl>
    <w:lvl w:ilvl="1" w:tplc="63649210" w:tentative="1">
      <w:start w:val="1"/>
      <w:numFmt w:val="lowerLetter"/>
      <w:lvlText w:val="%2)"/>
      <w:lvlJc w:val="left"/>
      <w:pPr>
        <w:tabs>
          <w:tab w:val="num" w:pos="1440"/>
        </w:tabs>
        <w:ind w:left="1440" w:hanging="360"/>
      </w:pPr>
    </w:lvl>
    <w:lvl w:ilvl="2" w:tplc="125CB32E" w:tentative="1">
      <w:start w:val="1"/>
      <w:numFmt w:val="lowerLetter"/>
      <w:lvlText w:val="%3)"/>
      <w:lvlJc w:val="left"/>
      <w:pPr>
        <w:tabs>
          <w:tab w:val="num" w:pos="2160"/>
        </w:tabs>
        <w:ind w:left="2160" w:hanging="360"/>
      </w:pPr>
    </w:lvl>
    <w:lvl w:ilvl="3" w:tplc="65B069DC" w:tentative="1">
      <w:start w:val="1"/>
      <w:numFmt w:val="lowerLetter"/>
      <w:lvlText w:val="%4)"/>
      <w:lvlJc w:val="left"/>
      <w:pPr>
        <w:tabs>
          <w:tab w:val="num" w:pos="2880"/>
        </w:tabs>
        <w:ind w:left="2880" w:hanging="360"/>
      </w:pPr>
    </w:lvl>
    <w:lvl w:ilvl="4" w:tplc="96B2D054" w:tentative="1">
      <w:start w:val="1"/>
      <w:numFmt w:val="lowerLetter"/>
      <w:lvlText w:val="%5)"/>
      <w:lvlJc w:val="left"/>
      <w:pPr>
        <w:tabs>
          <w:tab w:val="num" w:pos="3600"/>
        </w:tabs>
        <w:ind w:left="3600" w:hanging="360"/>
      </w:pPr>
    </w:lvl>
    <w:lvl w:ilvl="5" w:tplc="E54C26C6" w:tentative="1">
      <w:start w:val="1"/>
      <w:numFmt w:val="lowerLetter"/>
      <w:lvlText w:val="%6)"/>
      <w:lvlJc w:val="left"/>
      <w:pPr>
        <w:tabs>
          <w:tab w:val="num" w:pos="4320"/>
        </w:tabs>
        <w:ind w:left="4320" w:hanging="360"/>
      </w:pPr>
    </w:lvl>
    <w:lvl w:ilvl="6" w:tplc="C37E6F20" w:tentative="1">
      <w:start w:val="1"/>
      <w:numFmt w:val="lowerLetter"/>
      <w:lvlText w:val="%7)"/>
      <w:lvlJc w:val="left"/>
      <w:pPr>
        <w:tabs>
          <w:tab w:val="num" w:pos="5040"/>
        </w:tabs>
        <w:ind w:left="5040" w:hanging="360"/>
      </w:pPr>
    </w:lvl>
    <w:lvl w:ilvl="7" w:tplc="900E0F82" w:tentative="1">
      <w:start w:val="1"/>
      <w:numFmt w:val="lowerLetter"/>
      <w:lvlText w:val="%8)"/>
      <w:lvlJc w:val="left"/>
      <w:pPr>
        <w:tabs>
          <w:tab w:val="num" w:pos="5760"/>
        </w:tabs>
        <w:ind w:left="5760" w:hanging="360"/>
      </w:pPr>
    </w:lvl>
    <w:lvl w:ilvl="8" w:tplc="2E20E844" w:tentative="1">
      <w:start w:val="1"/>
      <w:numFmt w:val="lowerLetter"/>
      <w:lvlText w:val="%9)"/>
      <w:lvlJc w:val="left"/>
      <w:pPr>
        <w:tabs>
          <w:tab w:val="num" w:pos="6480"/>
        </w:tabs>
        <w:ind w:left="6480" w:hanging="360"/>
      </w:pPr>
    </w:lvl>
  </w:abstractNum>
  <w:abstractNum w:abstractNumId="6"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10" w15:restartNumberingAfterBreak="0">
    <w:nsid w:val="323554B9"/>
    <w:multiLevelType w:val="hybridMultilevel"/>
    <w:tmpl w:val="018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5DD11AB"/>
    <w:multiLevelType w:val="hybridMultilevel"/>
    <w:tmpl w:val="254AEA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4" w15:restartNumberingAfterBreak="0">
    <w:nsid w:val="3A645878"/>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5" w15:restartNumberingAfterBreak="0">
    <w:nsid w:val="3AB863BE"/>
    <w:multiLevelType w:val="hybridMultilevel"/>
    <w:tmpl w:val="6C56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D273B"/>
    <w:multiLevelType w:val="hybridMultilevel"/>
    <w:tmpl w:val="8362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0D7A17"/>
    <w:multiLevelType w:val="hybridMultilevel"/>
    <w:tmpl w:val="0916F218"/>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DD7FAD"/>
    <w:multiLevelType w:val="hybridMultilevel"/>
    <w:tmpl w:val="CC987DD4"/>
    <w:lvl w:ilvl="0" w:tplc="0B16947C">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0254B"/>
    <w:multiLevelType w:val="hybridMultilevel"/>
    <w:tmpl w:val="00E4896A"/>
    <w:lvl w:ilvl="0" w:tplc="658C3EA0">
      <w:numFmt w:val="bullet"/>
      <w:lvlText w:val="•"/>
      <w:lvlJc w:val="left"/>
      <w:pPr>
        <w:ind w:left="1155" w:hanging="795"/>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C9409F4"/>
    <w:multiLevelType w:val="hybridMultilevel"/>
    <w:tmpl w:val="2D5A4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23"/>
  </w:num>
  <w:num w:numId="3">
    <w:abstractNumId w:val="11"/>
  </w:num>
  <w:num w:numId="4">
    <w:abstractNumId w:val="17"/>
  </w:num>
  <w:num w:numId="5">
    <w:abstractNumId w:val="6"/>
  </w:num>
  <w:num w:numId="6">
    <w:abstractNumId w:val="8"/>
  </w:num>
  <w:num w:numId="7">
    <w:abstractNumId w:val="1"/>
  </w:num>
  <w:num w:numId="8">
    <w:abstractNumId w:val="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5"/>
  </w:num>
  <w:num w:numId="12">
    <w:abstractNumId w:val="19"/>
  </w:num>
  <w:num w:numId="13">
    <w:abstractNumId w:val="24"/>
  </w:num>
  <w:num w:numId="14">
    <w:abstractNumId w:val="10"/>
  </w:num>
  <w:num w:numId="15">
    <w:abstractNumId w:val="13"/>
  </w:num>
  <w:num w:numId="16">
    <w:abstractNumId w:val="14"/>
  </w:num>
  <w:num w:numId="17">
    <w:abstractNumId w:val="4"/>
  </w:num>
  <w:num w:numId="18">
    <w:abstractNumId w:val="22"/>
  </w:num>
  <w:num w:numId="19">
    <w:abstractNumId w:val="15"/>
  </w:num>
  <w:num w:numId="20">
    <w:abstractNumId w:val="16"/>
  </w:num>
  <w:num w:numId="21">
    <w:abstractNumId w:val="18"/>
  </w:num>
  <w:num w:numId="22">
    <w:abstractNumId w:val="21"/>
  </w:num>
  <w:num w:numId="23">
    <w:abstractNumId w:val="12"/>
  </w:num>
  <w:num w:numId="24">
    <w:abstractNumId w:val="3"/>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827"/>
    <w:rsid w:val="00015089"/>
    <w:rsid w:val="00016034"/>
    <w:rsid w:val="0002520B"/>
    <w:rsid w:val="00037A9E"/>
    <w:rsid w:val="00037F91"/>
    <w:rsid w:val="000456AF"/>
    <w:rsid w:val="00050B2F"/>
    <w:rsid w:val="00052BD2"/>
    <w:rsid w:val="000539F1"/>
    <w:rsid w:val="00054747"/>
    <w:rsid w:val="00055A2A"/>
    <w:rsid w:val="000615C1"/>
    <w:rsid w:val="00061675"/>
    <w:rsid w:val="00062DFE"/>
    <w:rsid w:val="00066E00"/>
    <w:rsid w:val="000715A7"/>
    <w:rsid w:val="000743AA"/>
    <w:rsid w:val="00087412"/>
    <w:rsid w:val="0009225C"/>
    <w:rsid w:val="00096996"/>
    <w:rsid w:val="000A0940"/>
    <w:rsid w:val="000A17C4"/>
    <w:rsid w:val="000A1B77"/>
    <w:rsid w:val="000A36A4"/>
    <w:rsid w:val="000A3A00"/>
    <w:rsid w:val="000A754A"/>
    <w:rsid w:val="000B2352"/>
    <w:rsid w:val="000B2750"/>
    <w:rsid w:val="000C7B84"/>
    <w:rsid w:val="000D07E0"/>
    <w:rsid w:val="000D261B"/>
    <w:rsid w:val="000D560E"/>
    <w:rsid w:val="000D58A3"/>
    <w:rsid w:val="000E304E"/>
    <w:rsid w:val="000E3CF6"/>
    <w:rsid w:val="000E3ED4"/>
    <w:rsid w:val="000E3F9C"/>
    <w:rsid w:val="000E400E"/>
    <w:rsid w:val="000E68DE"/>
    <w:rsid w:val="000F1550"/>
    <w:rsid w:val="000F251B"/>
    <w:rsid w:val="000F2DB5"/>
    <w:rsid w:val="000F5FE8"/>
    <w:rsid w:val="000F6644"/>
    <w:rsid w:val="000F74F6"/>
    <w:rsid w:val="00100833"/>
    <w:rsid w:val="00102F72"/>
    <w:rsid w:val="00103497"/>
    <w:rsid w:val="00104739"/>
    <w:rsid w:val="00107E85"/>
    <w:rsid w:val="00113EE8"/>
    <w:rsid w:val="0011455A"/>
    <w:rsid w:val="00114A65"/>
    <w:rsid w:val="00120F71"/>
    <w:rsid w:val="00125989"/>
    <w:rsid w:val="00130874"/>
    <w:rsid w:val="00131BED"/>
    <w:rsid w:val="00131C41"/>
    <w:rsid w:val="00133061"/>
    <w:rsid w:val="00141699"/>
    <w:rsid w:val="001469B3"/>
    <w:rsid w:val="00147000"/>
    <w:rsid w:val="00156805"/>
    <w:rsid w:val="00163091"/>
    <w:rsid w:val="001645CB"/>
    <w:rsid w:val="00166305"/>
    <w:rsid w:val="00167545"/>
    <w:rsid w:val="001703C6"/>
    <w:rsid w:val="00172CE4"/>
    <w:rsid w:val="00173781"/>
    <w:rsid w:val="00175ADF"/>
    <w:rsid w:val="00175CAE"/>
    <w:rsid w:val="001828DB"/>
    <w:rsid w:val="00182DDB"/>
    <w:rsid w:val="001850FE"/>
    <w:rsid w:val="00185135"/>
    <w:rsid w:val="00185416"/>
    <w:rsid w:val="00187DFF"/>
    <w:rsid w:val="0019037C"/>
    <w:rsid w:val="001905A9"/>
    <w:rsid w:val="00191273"/>
    <w:rsid w:val="001942A7"/>
    <w:rsid w:val="00194F24"/>
    <w:rsid w:val="0019587B"/>
    <w:rsid w:val="001A0E05"/>
    <w:rsid w:val="001A163D"/>
    <w:rsid w:val="001A38D0"/>
    <w:rsid w:val="001A441E"/>
    <w:rsid w:val="001A604A"/>
    <w:rsid w:val="001A6733"/>
    <w:rsid w:val="001A71B8"/>
    <w:rsid w:val="001B357F"/>
    <w:rsid w:val="001B3759"/>
    <w:rsid w:val="001B3DFC"/>
    <w:rsid w:val="001B7080"/>
    <w:rsid w:val="001C3444"/>
    <w:rsid w:val="001C3702"/>
    <w:rsid w:val="001C4656"/>
    <w:rsid w:val="001C46BC"/>
    <w:rsid w:val="001D0F49"/>
    <w:rsid w:val="001D3191"/>
    <w:rsid w:val="001F23E6"/>
    <w:rsid w:val="001F4238"/>
    <w:rsid w:val="001F47EC"/>
    <w:rsid w:val="001F7A1D"/>
    <w:rsid w:val="00200A38"/>
    <w:rsid w:val="00200A46"/>
    <w:rsid w:val="00200E89"/>
    <w:rsid w:val="002020DF"/>
    <w:rsid w:val="00207740"/>
    <w:rsid w:val="00211B6F"/>
    <w:rsid w:val="00212541"/>
    <w:rsid w:val="00217CC3"/>
    <w:rsid w:val="00220AB6"/>
    <w:rsid w:val="0022120F"/>
    <w:rsid w:val="002250C3"/>
    <w:rsid w:val="00225AEB"/>
    <w:rsid w:val="0022711D"/>
    <w:rsid w:val="0022754A"/>
    <w:rsid w:val="00230E2F"/>
    <w:rsid w:val="00236560"/>
    <w:rsid w:val="0023662E"/>
    <w:rsid w:val="00241A29"/>
    <w:rsid w:val="00244D61"/>
    <w:rsid w:val="00245D0F"/>
    <w:rsid w:val="002460BD"/>
    <w:rsid w:val="002501FB"/>
    <w:rsid w:val="002502E3"/>
    <w:rsid w:val="002548C3"/>
    <w:rsid w:val="00257ACD"/>
    <w:rsid w:val="00260979"/>
    <w:rsid w:val="00262908"/>
    <w:rsid w:val="002640B0"/>
    <w:rsid w:val="002650F4"/>
    <w:rsid w:val="002659C7"/>
    <w:rsid w:val="00270F1E"/>
    <w:rsid w:val="002715FD"/>
    <w:rsid w:val="00271870"/>
    <w:rsid w:val="00272D69"/>
    <w:rsid w:val="002753DC"/>
    <w:rsid w:val="002770B1"/>
    <w:rsid w:val="00282161"/>
    <w:rsid w:val="00285B33"/>
    <w:rsid w:val="00287A3C"/>
    <w:rsid w:val="0029395C"/>
    <w:rsid w:val="002A06ED"/>
    <w:rsid w:val="002A0ECF"/>
    <w:rsid w:val="002A2FC6"/>
    <w:rsid w:val="002A5429"/>
    <w:rsid w:val="002B74A5"/>
    <w:rsid w:val="002C03DC"/>
    <w:rsid w:val="002C1BB4"/>
    <w:rsid w:val="002C1EC7"/>
    <w:rsid w:val="002C3015"/>
    <w:rsid w:val="002C4342"/>
    <w:rsid w:val="002C7EA3"/>
    <w:rsid w:val="002D204D"/>
    <w:rsid w:val="002D20AE"/>
    <w:rsid w:val="002D46CA"/>
    <w:rsid w:val="002D561A"/>
    <w:rsid w:val="002D5742"/>
    <w:rsid w:val="002D6C61"/>
    <w:rsid w:val="002D7D33"/>
    <w:rsid w:val="002E0D75"/>
    <w:rsid w:val="002E0FD5"/>
    <w:rsid w:val="002E2104"/>
    <w:rsid w:val="002E2DAC"/>
    <w:rsid w:val="002E6963"/>
    <w:rsid w:val="002E6F8F"/>
    <w:rsid w:val="002F05D8"/>
    <w:rsid w:val="002F2DE0"/>
    <w:rsid w:val="002F2F59"/>
    <w:rsid w:val="002F5E25"/>
    <w:rsid w:val="002F64B6"/>
    <w:rsid w:val="00301016"/>
    <w:rsid w:val="0030353C"/>
    <w:rsid w:val="0030699B"/>
    <w:rsid w:val="003101BE"/>
    <w:rsid w:val="003125C3"/>
    <w:rsid w:val="00312AE6"/>
    <w:rsid w:val="003143AB"/>
    <w:rsid w:val="00317D1A"/>
    <w:rsid w:val="003211FF"/>
    <w:rsid w:val="00323B1B"/>
    <w:rsid w:val="003242AB"/>
    <w:rsid w:val="00327247"/>
    <w:rsid w:val="003278DD"/>
    <w:rsid w:val="00327A9D"/>
    <w:rsid w:val="0033130E"/>
    <w:rsid w:val="0033269C"/>
    <w:rsid w:val="00346445"/>
    <w:rsid w:val="00351C79"/>
    <w:rsid w:val="0035516C"/>
    <w:rsid w:val="00355A4C"/>
    <w:rsid w:val="00357E0C"/>
    <w:rsid w:val="003604FB"/>
    <w:rsid w:val="00360B73"/>
    <w:rsid w:val="0036471D"/>
    <w:rsid w:val="00376FCF"/>
    <w:rsid w:val="00380B71"/>
    <w:rsid w:val="00382A0C"/>
    <w:rsid w:val="0038365A"/>
    <w:rsid w:val="00386A89"/>
    <w:rsid w:val="0039648E"/>
    <w:rsid w:val="00397CA4"/>
    <w:rsid w:val="003A26F6"/>
    <w:rsid w:val="003A3A30"/>
    <w:rsid w:val="003A4AE4"/>
    <w:rsid w:val="003A5AFE"/>
    <w:rsid w:val="003A5D5F"/>
    <w:rsid w:val="003A7FFE"/>
    <w:rsid w:val="003B0A63"/>
    <w:rsid w:val="003B50E1"/>
    <w:rsid w:val="003C1746"/>
    <w:rsid w:val="003C2AA9"/>
    <w:rsid w:val="003C52C7"/>
    <w:rsid w:val="003C58BF"/>
    <w:rsid w:val="003D0E74"/>
    <w:rsid w:val="003D30E5"/>
    <w:rsid w:val="003D451D"/>
    <w:rsid w:val="003F2DD8"/>
    <w:rsid w:val="003F3F2D"/>
    <w:rsid w:val="003F50B2"/>
    <w:rsid w:val="00400CCF"/>
    <w:rsid w:val="00400DE4"/>
    <w:rsid w:val="00401BFF"/>
    <w:rsid w:val="0040216D"/>
    <w:rsid w:val="00404424"/>
    <w:rsid w:val="0041156B"/>
    <w:rsid w:val="004122C5"/>
    <w:rsid w:val="00413B78"/>
    <w:rsid w:val="004140F5"/>
    <w:rsid w:val="00416DDE"/>
    <w:rsid w:val="00431733"/>
    <w:rsid w:val="00432C39"/>
    <w:rsid w:val="00437FA4"/>
    <w:rsid w:val="004426E4"/>
    <w:rsid w:val="0044411E"/>
    <w:rsid w:val="00452003"/>
    <w:rsid w:val="00453435"/>
    <w:rsid w:val="00460089"/>
    <w:rsid w:val="00460A3F"/>
    <w:rsid w:val="00462ED4"/>
    <w:rsid w:val="00466398"/>
    <w:rsid w:val="004669BA"/>
    <w:rsid w:val="00470067"/>
    <w:rsid w:val="0047098C"/>
    <w:rsid w:val="00470C66"/>
    <w:rsid w:val="0047306D"/>
    <w:rsid w:val="00473791"/>
    <w:rsid w:val="00476E48"/>
    <w:rsid w:val="00481DE9"/>
    <w:rsid w:val="00482A5F"/>
    <w:rsid w:val="0049128B"/>
    <w:rsid w:val="00493B49"/>
    <w:rsid w:val="00495501"/>
    <w:rsid w:val="00497AE7"/>
    <w:rsid w:val="004A0545"/>
    <w:rsid w:val="004A070A"/>
    <w:rsid w:val="004A320E"/>
    <w:rsid w:val="004A44B2"/>
    <w:rsid w:val="004A4E9C"/>
    <w:rsid w:val="004A7237"/>
    <w:rsid w:val="004B1A3C"/>
    <w:rsid w:val="004C0D61"/>
    <w:rsid w:val="004C283F"/>
    <w:rsid w:val="004D1A0E"/>
    <w:rsid w:val="004D2CC3"/>
    <w:rsid w:val="004D2F0B"/>
    <w:rsid w:val="004D35CB"/>
    <w:rsid w:val="004D7066"/>
    <w:rsid w:val="004D7DAB"/>
    <w:rsid w:val="004E20E5"/>
    <w:rsid w:val="004E64EA"/>
    <w:rsid w:val="004E7828"/>
    <w:rsid w:val="004F46AA"/>
    <w:rsid w:val="004F4CFD"/>
    <w:rsid w:val="004F6A70"/>
    <w:rsid w:val="00500587"/>
    <w:rsid w:val="00500AD7"/>
    <w:rsid w:val="005013A7"/>
    <w:rsid w:val="00502ABF"/>
    <w:rsid w:val="0050325B"/>
    <w:rsid w:val="00503A56"/>
    <w:rsid w:val="00504DB0"/>
    <w:rsid w:val="00507C35"/>
    <w:rsid w:val="00510735"/>
    <w:rsid w:val="00512F77"/>
    <w:rsid w:val="00514D2F"/>
    <w:rsid w:val="00536F33"/>
    <w:rsid w:val="005419CE"/>
    <w:rsid w:val="0054420E"/>
    <w:rsid w:val="00544D1B"/>
    <w:rsid w:val="005456B9"/>
    <w:rsid w:val="00545DC0"/>
    <w:rsid w:val="00545F6C"/>
    <w:rsid w:val="005477D9"/>
    <w:rsid w:val="00547E9A"/>
    <w:rsid w:val="00550DB7"/>
    <w:rsid w:val="0055720C"/>
    <w:rsid w:val="00561796"/>
    <w:rsid w:val="005632DD"/>
    <w:rsid w:val="005633B3"/>
    <w:rsid w:val="0056423B"/>
    <w:rsid w:val="00567576"/>
    <w:rsid w:val="00573424"/>
    <w:rsid w:val="0057402F"/>
    <w:rsid w:val="00581653"/>
    <w:rsid w:val="005849D6"/>
    <w:rsid w:val="00585367"/>
    <w:rsid w:val="005871A1"/>
    <w:rsid w:val="0058737E"/>
    <w:rsid w:val="005875AA"/>
    <w:rsid w:val="00590FB2"/>
    <w:rsid w:val="00592518"/>
    <w:rsid w:val="00592E3E"/>
    <w:rsid w:val="00592E87"/>
    <w:rsid w:val="0059420B"/>
    <w:rsid w:val="00594C4D"/>
    <w:rsid w:val="00595331"/>
    <w:rsid w:val="005959F7"/>
    <w:rsid w:val="0059775D"/>
    <w:rsid w:val="005A33B0"/>
    <w:rsid w:val="005A43D0"/>
    <w:rsid w:val="005B0770"/>
    <w:rsid w:val="005C2DC2"/>
    <w:rsid w:val="005C304A"/>
    <w:rsid w:val="005C3D69"/>
    <w:rsid w:val="005C52B8"/>
    <w:rsid w:val="005C5459"/>
    <w:rsid w:val="005C7C98"/>
    <w:rsid w:val="005D1315"/>
    <w:rsid w:val="005D2C3A"/>
    <w:rsid w:val="005D402A"/>
    <w:rsid w:val="005D55A4"/>
    <w:rsid w:val="005D57C8"/>
    <w:rsid w:val="005D61B4"/>
    <w:rsid w:val="005D672A"/>
    <w:rsid w:val="005D6EE7"/>
    <w:rsid w:val="005D7761"/>
    <w:rsid w:val="005E0278"/>
    <w:rsid w:val="005E056F"/>
    <w:rsid w:val="005E090D"/>
    <w:rsid w:val="005E106B"/>
    <w:rsid w:val="005E3A8B"/>
    <w:rsid w:val="005E3CA0"/>
    <w:rsid w:val="005E44B1"/>
    <w:rsid w:val="005E582A"/>
    <w:rsid w:val="005E67B0"/>
    <w:rsid w:val="005E7047"/>
    <w:rsid w:val="005E777F"/>
    <w:rsid w:val="005F1CA7"/>
    <w:rsid w:val="005F43DD"/>
    <w:rsid w:val="005F51A9"/>
    <w:rsid w:val="005F6655"/>
    <w:rsid w:val="005F6BE1"/>
    <w:rsid w:val="005F7416"/>
    <w:rsid w:val="00600C11"/>
    <w:rsid w:val="00605A90"/>
    <w:rsid w:val="00606B89"/>
    <w:rsid w:val="00611EAF"/>
    <w:rsid w:val="00612100"/>
    <w:rsid w:val="0061463F"/>
    <w:rsid w:val="0061650B"/>
    <w:rsid w:val="006176EE"/>
    <w:rsid w:val="00620EEC"/>
    <w:rsid w:val="00623F30"/>
    <w:rsid w:val="00625FB8"/>
    <w:rsid w:val="006261BD"/>
    <w:rsid w:val="006262C0"/>
    <w:rsid w:val="0062681A"/>
    <w:rsid w:val="0063189D"/>
    <w:rsid w:val="00631D82"/>
    <w:rsid w:val="006354A1"/>
    <w:rsid w:val="00635EDB"/>
    <w:rsid w:val="00637472"/>
    <w:rsid w:val="0064734E"/>
    <w:rsid w:val="00650137"/>
    <w:rsid w:val="00650386"/>
    <w:rsid w:val="006509D7"/>
    <w:rsid w:val="00651CE8"/>
    <w:rsid w:val="0065521B"/>
    <w:rsid w:val="00664B17"/>
    <w:rsid w:val="00671EF6"/>
    <w:rsid w:val="0067205B"/>
    <w:rsid w:val="006748F8"/>
    <w:rsid w:val="00680489"/>
    <w:rsid w:val="00683C32"/>
    <w:rsid w:val="00684A64"/>
    <w:rsid w:val="00685CAF"/>
    <w:rsid w:val="00690BB2"/>
    <w:rsid w:val="0069265C"/>
    <w:rsid w:val="00693D09"/>
    <w:rsid w:val="006A5E03"/>
    <w:rsid w:val="006A6549"/>
    <w:rsid w:val="006A7710"/>
    <w:rsid w:val="006A7A61"/>
    <w:rsid w:val="006B1E59"/>
    <w:rsid w:val="006B2FFB"/>
    <w:rsid w:val="006B4E8D"/>
    <w:rsid w:val="006C10A2"/>
    <w:rsid w:val="006C1538"/>
    <w:rsid w:val="006C1F18"/>
    <w:rsid w:val="006C3562"/>
    <w:rsid w:val="006D40D5"/>
    <w:rsid w:val="006E1E84"/>
    <w:rsid w:val="006E6F73"/>
    <w:rsid w:val="006E7A29"/>
    <w:rsid w:val="006F009A"/>
    <w:rsid w:val="006F3D93"/>
    <w:rsid w:val="006F7F45"/>
    <w:rsid w:val="007019B1"/>
    <w:rsid w:val="007033C5"/>
    <w:rsid w:val="0070787F"/>
    <w:rsid w:val="00711D17"/>
    <w:rsid w:val="007128F8"/>
    <w:rsid w:val="00715CCF"/>
    <w:rsid w:val="00720A88"/>
    <w:rsid w:val="00721657"/>
    <w:rsid w:val="0072754D"/>
    <w:rsid w:val="007279A8"/>
    <w:rsid w:val="00727B1A"/>
    <w:rsid w:val="00731232"/>
    <w:rsid w:val="00741337"/>
    <w:rsid w:val="00752258"/>
    <w:rsid w:val="007529E1"/>
    <w:rsid w:val="00753CDE"/>
    <w:rsid w:val="00755F48"/>
    <w:rsid w:val="00762880"/>
    <w:rsid w:val="00762AD6"/>
    <w:rsid w:val="00762E02"/>
    <w:rsid w:val="0076415C"/>
    <w:rsid w:val="00770B69"/>
    <w:rsid w:val="00772290"/>
    <w:rsid w:val="00773010"/>
    <w:rsid w:val="00777265"/>
    <w:rsid w:val="00777851"/>
    <w:rsid w:val="007805E7"/>
    <w:rsid w:val="0078222A"/>
    <w:rsid w:val="00785641"/>
    <w:rsid w:val="00787D48"/>
    <w:rsid w:val="00792CB4"/>
    <w:rsid w:val="00795294"/>
    <w:rsid w:val="00797BF2"/>
    <w:rsid w:val="007A36AB"/>
    <w:rsid w:val="007A4E50"/>
    <w:rsid w:val="007A525C"/>
    <w:rsid w:val="007A684A"/>
    <w:rsid w:val="007B18A7"/>
    <w:rsid w:val="007B250E"/>
    <w:rsid w:val="007C27FC"/>
    <w:rsid w:val="007C32D0"/>
    <w:rsid w:val="007C51FF"/>
    <w:rsid w:val="007D4CA1"/>
    <w:rsid w:val="007D50E4"/>
    <w:rsid w:val="007E00EF"/>
    <w:rsid w:val="007E1AF9"/>
    <w:rsid w:val="007E2DC5"/>
    <w:rsid w:val="007F1CC7"/>
    <w:rsid w:val="007F2125"/>
    <w:rsid w:val="007F35D0"/>
    <w:rsid w:val="007F41CA"/>
    <w:rsid w:val="007F6C3D"/>
    <w:rsid w:val="007F6EA8"/>
    <w:rsid w:val="007F76F7"/>
    <w:rsid w:val="0080041D"/>
    <w:rsid w:val="00800CB8"/>
    <w:rsid w:val="00801D9C"/>
    <w:rsid w:val="008027AC"/>
    <w:rsid w:val="008028CE"/>
    <w:rsid w:val="0080332E"/>
    <w:rsid w:val="00807021"/>
    <w:rsid w:val="008073EA"/>
    <w:rsid w:val="008141E0"/>
    <w:rsid w:val="00816EE1"/>
    <w:rsid w:val="00816F88"/>
    <w:rsid w:val="00821996"/>
    <w:rsid w:val="00822323"/>
    <w:rsid w:val="00827077"/>
    <w:rsid w:val="00827722"/>
    <w:rsid w:val="00827BC6"/>
    <w:rsid w:val="008300AD"/>
    <w:rsid w:val="00833024"/>
    <w:rsid w:val="008419B1"/>
    <w:rsid w:val="00844A56"/>
    <w:rsid w:val="00845B11"/>
    <w:rsid w:val="00845CA2"/>
    <w:rsid w:val="00852081"/>
    <w:rsid w:val="008520C7"/>
    <w:rsid w:val="00864D82"/>
    <w:rsid w:val="00872B6E"/>
    <w:rsid w:val="00874DFD"/>
    <w:rsid w:val="00876F54"/>
    <w:rsid w:val="00877124"/>
    <w:rsid w:val="008802F9"/>
    <w:rsid w:val="0088297D"/>
    <w:rsid w:val="00883086"/>
    <w:rsid w:val="00883828"/>
    <w:rsid w:val="0088718D"/>
    <w:rsid w:val="008879FD"/>
    <w:rsid w:val="00894C37"/>
    <w:rsid w:val="008A00EA"/>
    <w:rsid w:val="008A068B"/>
    <w:rsid w:val="008A3F93"/>
    <w:rsid w:val="008A41D7"/>
    <w:rsid w:val="008A592C"/>
    <w:rsid w:val="008A6236"/>
    <w:rsid w:val="008A6E1C"/>
    <w:rsid w:val="008A72FD"/>
    <w:rsid w:val="008B1B4D"/>
    <w:rsid w:val="008B2E0B"/>
    <w:rsid w:val="008B2EDF"/>
    <w:rsid w:val="008B4236"/>
    <w:rsid w:val="008B47C7"/>
    <w:rsid w:val="008B54CB"/>
    <w:rsid w:val="008B5A3D"/>
    <w:rsid w:val="008B663C"/>
    <w:rsid w:val="008C4010"/>
    <w:rsid w:val="008C40F6"/>
    <w:rsid w:val="008C4FDF"/>
    <w:rsid w:val="008C6B1F"/>
    <w:rsid w:val="008C7C04"/>
    <w:rsid w:val="008D3FDE"/>
    <w:rsid w:val="008D52C4"/>
    <w:rsid w:val="008D5E4F"/>
    <w:rsid w:val="008E11F7"/>
    <w:rsid w:val="008F11DD"/>
    <w:rsid w:val="008F14F5"/>
    <w:rsid w:val="008F20C8"/>
    <w:rsid w:val="008F393C"/>
    <w:rsid w:val="008F71C1"/>
    <w:rsid w:val="00902D41"/>
    <w:rsid w:val="00902E95"/>
    <w:rsid w:val="00902F49"/>
    <w:rsid w:val="00904230"/>
    <w:rsid w:val="00912D60"/>
    <w:rsid w:val="00914004"/>
    <w:rsid w:val="00922EC1"/>
    <w:rsid w:val="00923CF1"/>
    <w:rsid w:val="00930003"/>
    <w:rsid w:val="009301F1"/>
    <w:rsid w:val="009307DF"/>
    <w:rsid w:val="009359B8"/>
    <w:rsid w:val="00935ABD"/>
    <w:rsid w:val="00935FF0"/>
    <w:rsid w:val="00941BF8"/>
    <w:rsid w:val="009431F8"/>
    <w:rsid w:val="00943DC9"/>
    <w:rsid w:val="00947A35"/>
    <w:rsid w:val="00947DA4"/>
    <w:rsid w:val="00951EB6"/>
    <w:rsid w:val="00953E78"/>
    <w:rsid w:val="0096201B"/>
    <w:rsid w:val="00962081"/>
    <w:rsid w:val="00966CB5"/>
    <w:rsid w:val="00975786"/>
    <w:rsid w:val="0098137B"/>
    <w:rsid w:val="00981CB7"/>
    <w:rsid w:val="00982705"/>
    <w:rsid w:val="00983E1F"/>
    <w:rsid w:val="009928CD"/>
    <w:rsid w:val="00993F46"/>
    <w:rsid w:val="00994EF6"/>
    <w:rsid w:val="00997358"/>
    <w:rsid w:val="009A0DF7"/>
    <w:rsid w:val="009A452B"/>
    <w:rsid w:val="009B050C"/>
    <w:rsid w:val="009B087F"/>
    <w:rsid w:val="009B2AF4"/>
    <w:rsid w:val="009B4DC3"/>
    <w:rsid w:val="009C110B"/>
    <w:rsid w:val="009C1387"/>
    <w:rsid w:val="009C2A70"/>
    <w:rsid w:val="009C3E82"/>
    <w:rsid w:val="009C42DA"/>
    <w:rsid w:val="009C5441"/>
    <w:rsid w:val="009C5BD9"/>
    <w:rsid w:val="009C7DCE"/>
    <w:rsid w:val="009D119F"/>
    <w:rsid w:val="009D49A2"/>
    <w:rsid w:val="009D7388"/>
    <w:rsid w:val="009E3BBE"/>
    <w:rsid w:val="009F1CCE"/>
    <w:rsid w:val="009F3940"/>
    <w:rsid w:val="009F3EB2"/>
    <w:rsid w:val="009F52BE"/>
    <w:rsid w:val="009F6EB1"/>
    <w:rsid w:val="009F7317"/>
    <w:rsid w:val="00A00F4D"/>
    <w:rsid w:val="00A0330C"/>
    <w:rsid w:val="00A06AAA"/>
    <w:rsid w:val="00A1029F"/>
    <w:rsid w:val="00A1186D"/>
    <w:rsid w:val="00A11D05"/>
    <w:rsid w:val="00A13162"/>
    <w:rsid w:val="00A14FE4"/>
    <w:rsid w:val="00A20267"/>
    <w:rsid w:val="00A21787"/>
    <w:rsid w:val="00A229E5"/>
    <w:rsid w:val="00A22CFD"/>
    <w:rsid w:val="00A2517B"/>
    <w:rsid w:val="00A270B2"/>
    <w:rsid w:val="00A27AE3"/>
    <w:rsid w:val="00A3158C"/>
    <w:rsid w:val="00A320B9"/>
    <w:rsid w:val="00A32DF3"/>
    <w:rsid w:val="00A33E32"/>
    <w:rsid w:val="00A35E20"/>
    <w:rsid w:val="00A3607C"/>
    <w:rsid w:val="00A36F6D"/>
    <w:rsid w:val="00A3764E"/>
    <w:rsid w:val="00A422C1"/>
    <w:rsid w:val="00A50CA0"/>
    <w:rsid w:val="00A525CC"/>
    <w:rsid w:val="00A53E7C"/>
    <w:rsid w:val="00A57870"/>
    <w:rsid w:val="00A60087"/>
    <w:rsid w:val="00A661E7"/>
    <w:rsid w:val="00A705E8"/>
    <w:rsid w:val="00A721F4"/>
    <w:rsid w:val="00A85A09"/>
    <w:rsid w:val="00A87452"/>
    <w:rsid w:val="00A91E70"/>
    <w:rsid w:val="00A9392C"/>
    <w:rsid w:val="00A9462B"/>
    <w:rsid w:val="00A97276"/>
    <w:rsid w:val="00A97D59"/>
    <w:rsid w:val="00AA3E09"/>
    <w:rsid w:val="00AA4BEF"/>
    <w:rsid w:val="00AA75FA"/>
    <w:rsid w:val="00AB1659"/>
    <w:rsid w:val="00AB1F17"/>
    <w:rsid w:val="00AB3DFC"/>
    <w:rsid w:val="00AB4962"/>
    <w:rsid w:val="00AB6B40"/>
    <w:rsid w:val="00AB734E"/>
    <w:rsid w:val="00AB740F"/>
    <w:rsid w:val="00AB7F4B"/>
    <w:rsid w:val="00AC5AFA"/>
    <w:rsid w:val="00AC6F14"/>
    <w:rsid w:val="00AC7221"/>
    <w:rsid w:val="00AD04D0"/>
    <w:rsid w:val="00AD359C"/>
    <w:rsid w:val="00AD5CA2"/>
    <w:rsid w:val="00AE2F66"/>
    <w:rsid w:val="00AE3915"/>
    <w:rsid w:val="00AE5961"/>
    <w:rsid w:val="00AE5ACF"/>
    <w:rsid w:val="00AE7515"/>
    <w:rsid w:val="00AF0745"/>
    <w:rsid w:val="00AF277A"/>
    <w:rsid w:val="00AF3B01"/>
    <w:rsid w:val="00AF4971"/>
    <w:rsid w:val="00AF5276"/>
    <w:rsid w:val="00AF6061"/>
    <w:rsid w:val="00AF7C86"/>
    <w:rsid w:val="00B01046"/>
    <w:rsid w:val="00B0690B"/>
    <w:rsid w:val="00B235AA"/>
    <w:rsid w:val="00B310F9"/>
    <w:rsid w:val="00B37328"/>
    <w:rsid w:val="00B37866"/>
    <w:rsid w:val="00B412FB"/>
    <w:rsid w:val="00B4576B"/>
    <w:rsid w:val="00B46350"/>
    <w:rsid w:val="00B46DF3"/>
    <w:rsid w:val="00B521CF"/>
    <w:rsid w:val="00B53197"/>
    <w:rsid w:val="00B5553D"/>
    <w:rsid w:val="00B628A7"/>
    <w:rsid w:val="00B648C7"/>
    <w:rsid w:val="00B66E8F"/>
    <w:rsid w:val="00B7169F"/>
    <w:rsid w:val="00B7396B"/>
    <w:rsid w:val="00B80157"/>
    <w:rsid w:val="00B82AED"/>
    <w:rsid w:val="00B83D5E"/>
    <w:rsid w:val="00B8460A"/>
    <w:rsid w:val="00B8650D"/>
    <w:rsid w:val="00B879B4"/>
    <w:rsid w:val="00B90F07"/>
    <w:rsid w:val="00B94C88"/>
    <w:rsid w:val="00B97BB9"/>
    <w:rsid w:val="00BA0009"/>
    <w:rsid w:val="00BA382A"/>
    <w:rsid w:val="00BB0D94"/>
    <w:rsid w:val="00BB1863"/>
    <w:rsid w:val="00BB25EE"/>
    <w:rsid w:val="00BB363A"/>
    <w:rsid w:val="00BB3DE0"/>
    <w:rsid w:val="00BB4196"/>
    <w:rsid w:val="00BB4B55"/>
    <w:rsid w:val="00BC10A0"/>
    <w:rsid w:val="00BC207E"/>
    <w:rsid w:val="00BC3401"/>
    <w:rsid w:val="00BC3991"/>
    <w:rsid w:val="00BC512C"/>
    <w:rsid w:val="00BC55E6"/>
    <w:rsid w:val="00BC7BA2"/>
    <w:rsid w:val="00BD426B"/>
    <w:rsid w:val="00BD79F0"/>
    <w:rsid w:val="00BE2B4D"/>
    <w:rsid w:val="00BF14E9"/>
    <w:rsid w:val="00BF546F"/>
    <w:rsid w:val="00BF5BED"/>
    <w:rsid w:val="00BF6345"/>
    <w:rsid w:val="00C00995"/>
    <w:rsid w:val="00C015F8"/>
    <w:rsid w:val="00C070C7"/>
    <w:rsid w:val="00C07E26"/>
    <w:rsid w:val="00C1011C"/>
    <w:rsid w:val="00C12F94"/>
    <w:rsid w:val="00C1624F"/>
    <w:rsid w:val="00C164F1"/>
    <w:rsid w:val="00C177C5"/>
    <w:rsid w:val="00C30F8F"/>
    <w:rsid w:val="00C34EC3"/>
    <w:rsid w:val="00C4038C"/>
    <w:rsid w:val="00C42BA2"/>
    <w:rsid w:val="00C44066"/>
    <w:rsid w:val="00C44E13"/>
    <w:rsid w:val="00C51A5C"/>
    <w:rsid w:val="00C600F4"/>
    <w:rsid w:val="00C60312"/>
    <w:rsid w:val="00C60A41"/>
    <w:rsid w:val="00C62DE8"/>
    <w:rsid w:val="00C62DFB"/>
    <w:rsid w:val="00C630E6"/>
    <w:rsid w:val="00C63812"/>
    <w:rsid w:val="00C64AF3"/>
    <w:rsid w:val="00C64BED"/>
    <w:rsid w:val="00C66F4D"/>
    <w:rsid w:val="00C67BB5"/>
    <w:rsid w:val="00C72713"/>
    <w:rsid w:val="00C848EF"/>
    <w:rsid w:val="00C858F4"/>
    <w:rsid w:val="00C86600"/>
    <w:rsid w:val="00C87BCA"/>
    <w:rsid w:val="00C87EED"/>
    <w:rsid w:val="00C9036A"/>
    <w:rsid w:val="00C94506"/>
    <w:rsid w:val="00C954BC"/>
    <w:rsid w:val="00CA1627"/>
    <w:rsid w:val="00CA1F0B"/>
    <w:rsid w:val="00CA7BF0"/>
    <w:rsid w:val="00CB110F"/>
    <w:rsid w:val="00CB131B"/>
    <w:rsid w:val="00CB2A2E"/>
    <w:rsid w:val="00CB338A"/>
    <w:rsid w:val="00CB79C5"/>
    <w:rsid w:val="00CC32C1"/>
    <w:rsid w:val="00CC411F"/>
    <w:rsid w:val="00CC4B75"/>
    <w:rsid w:val="00CC732E"/>
    <w:rsid w:val="00CD02AF"/>
    <w:rsid w:val="00CD2FCD"/>
    <w:rsid w:val="00CD7053"/>
    <w:rsid w:val="00CD7207"/>
    <w:rsid w:val="00CE0422"/>
    <w:rsid w:val="00CE0DBE"/>
    <w:rsid w:val="00CE5E4D"/>
    <w:rsid w:val="00CE60F2"/>
    <w:rsid w:val="00CF02C4"/>
    <w:rsid w:val="00CF167F"/>
    <w:rsid w:val="00CF53FF"/>
    <w:rsid w:val="00CF72E5"/>
    <w:rsid w:val="00D013EE"/>
    <w:rsid w:val="00D01F54"/>
    <w:rsid w:val="00D040F7"/>
    <w:rsid w:val="00D04A76"/>
    <w:rsid w:val="00D10FC7"/>
    <w:rsid w:val="00D12277"/>
    <w:rsid w:val="00D122BF"/>
    <w:rsid w:val="00D1519F"/>
    <w:rsid w:val="00D20E99"/>
    <w:rsid w:val="00D21C83"/>
    <w:rsid w:val="00D23A13"/>
    <w:rsid w:val="00D262FA"/>
    <w:rsid w:val="00D263F8"/>
    <w:rsid w:val="00D30BE0"/>
    <w:rsid w:val="00D32DE6"/>
    <w:rsid w:val="00D34F34"/>
    <w:rsid w:val="00D35BDD"/>
    <w:rsid w:val="00D3701A"/>
    <w:rsid w:val="00D45F2A"/>
    <w:rsid w:val="00D47853"/>
    <w:rsid w:val="00D52812"/>
    <w:rsid w:val="00D56C4D"/>
    <w:rsid w:val="00D57D4B"/>
    <w:rsid w:val="00D615B7"/>
    <w:rsid w:val="00D63006"/>
    <w:rsid w:val="00D646DE"/>
    <w:rsid w:val="00D648DA"/>
    <w:rsid w:val="00D67676"/>
    <w:rsid w:val="00D71101"/>
    <w:rsid w:val="00D72301"/>
    <w:rsid w:val="00D7295D"/>
    <w:rsid w:val="00D838BE"/>
    <w:rsid w:val="00D87716"/>
    <w:rsid w:val="00D87F37"/>
    <w:rsid w:val="00D911DE"/>
    <w:rsid w:val="00D91B97"/>
    <w:rsid w:val="00D91E02"/>
    <w:rsid w:val="00D93ACC"/>
    <w:rsid w:val="00D93BBA"/>
    <w:rsid w:val="00D93C08"/>
    <w:rsid w:val="00D95DAC"/>
    <w:rsid w:val="00D9669D"/>
    <w:rsid w:val="00D97E93"/>
    <w:rsid w:val="00DA0B53"/>
    <w:rsid w:val="00DA10E0"/>
    <w:rsid w:val="00DA1D65"/>
    <w:rsid w:val="00DA3B35"/>
    <w:rsid w:val="00DB1171"/>
    <w:rsid w:val="00DB1519"/>
    <w:rsid w:val="00DB2020"/>
    <w:rsid w:val="00DB2840"/>
    <w:rsid w:val="00DB7467"/>
    <w:rsid w:val="00DC07CE"/>
    <w:rsid w:val="00DC1220"/>
    <w:rsid w:val="00DC1BD3"/>
    <w:rsid w:val="00DC2C1A"/>
    <w:rsid w:val="00DC4CF9"/>
    <w:rsid w:val="00DC6A5A"/>
    <w:rsid w:val="00DD66B4"/>
    <w:rsid w:val="00DE1972"/>
    <w:rsid w:val="00DE27AB"/>
    <w:rsid w:val="00DF2AB3"/>
    <w:rsid w:val="00DF2D33"/>
    <w:rsid w:val="00DF7250"/>
    <w:rsid w:val="00E00CAA"/>
    <w:rsid w:val="00E0150B"/>
    <w:rsid w:val="00E030B3"/>
    <w:rsid w:val="00E03EBF"/>
    <w:rsid w:val="00E05209"/>
    <w:rsid w:val="00E11BCF"/>
    <w:rsid w:val="00E14291"/>
    <w:rsid w:val="00E2258E"/>
    <w:rsid w:val="00E260C2"/>
    <w:rsid w:val="00E278D4"/>
    <w:rsid w:val="00E32596"/>
    <w:rsid w:val="00E32660"/>
    <w:rsid w:val="00E368F7"/>
    <w:rsid w:val="00E36EB8"/>
    <w:rsid w:val="00E37FB8"/>
    <w:rsid w:val="00E40B07"/>
    <w:rsid w:val="00E42326"/>
    <w:rsid w:val="00E42AE5"/>
    <w:rsid w:val="00E43544"/>
    <w:rsid w:val="00E44D89"/>
    <w:rsid w:val="00E477EA"/>
    <w:rsid w:val="00E51A44"/>
    <w:rsid w:val="00E55807"/>
    <w:rsid w:val="00E63B14"/>
    <w:rsid w:val="00E642A9"/>
    <w:rsid w:val="00E642E3"/>
    <w:rsid w:val="00E65510"/>
    <w:rsid w:val="00E65CA0"/>
    <w:rsid w:val="00E70D04"/>
    <w:rsid w:val="00E70D9F"/>
    <w:rsid w:val="00E71A04"/>
    <w:rsid w:val="00E775D1"/>
    <w:rsid w:val="00E83810"/>
    <w:rsid w:val="00E8404C"/>
    <w:rsid w:val="00E86933"/>
    <w:rsid w:val="00E92B0A"/>
    <w:rsid w:val="00E94B76"/>
    <w:rsid w:val="00E95405"/>
    <w:rsid w:val="00E9605B"/>
    <w:rsid w:val="00E96D77"/>
    <w:rsid w:val="00E97298"/>
    <w:rsid w:val="00E97753"/>
    <w:rsid w:val="00EA0C51"/>
    <w:rsid w:val="00EA50C1"/>
    <w:rsid w:val="00EA7DE7"/>
    <w:rsid w:val="00EB2E91"/>
    <w:rsid w:val="00EB7A8A"/>
    <w:rsid w:val="00EC1B9D"/>
    <w:rsid w:val="00EC6FED"/>
    <w:rsid w:val="00EC7F3B"/>
    <w:rsid w:val="00ED11A1"/>
    <w:rsid w:val="00ED1D0A"/>
    <w:rsid w:val="00ED4F7D"/>
    <w:rsid w:val="00EE3A64"/>
    <w:rsid w:val="00EE50E5"/>
    <w:rsid w:val="00EF01CF"/>
    <w:rsid w:val="00EF1168"/>
    <w:rsid w:val="00EF2C46"/>
    <w:rsid w:val="00EF5D90"/>
    <w:rsid w:val="00EF753D"/>
    <w:rsid w:val="00F0099D"/>
    <w:rsid w:val="00F03590"/>
    <w:rsid w:val="00F03622"/>
    <w:rsid w:val="00F0486A"/>
    <w:rsid w:val="00F077FD"/>
    <w:rsid w:val="00F16A1E"/>
    <w:rsid w:val="00F204F3"/>
    <w:rsid w:val="00F218AB"/>
    <w:rsid w:val="00F238B3"/>
    <w:rsid w:val="00F24FED"/>
    <w:rsid w:val="00F25586"/>
    <w:rsid w:val="00F2651D"/>
    <w:rsid w:val="00F27362"/>
    <w:rsid w:val="00F31498"/>
    <w:rsid w:val="00F32FEF"/>
    <w:rsid w:val="00F41B1C"/>
    <w:rsid w:val="00F42E13"/>
    <w:rsid w:val="00F42F1C"/>
    <w:rsid w:val="00F4307E"/>
    <w:rsid w:val="00F43B44"/>
    <w:rsid w:val="00F440E5"/>
    <w:rsid w:val="00F448F6"/>
    <w:rsid w:val="00F46399"/>
    <w:rsid w:val="00F476E2"/>
    <w:rsid w:val="00F52741"/>
    <w:rsid w:val="00F52D4E"/>
    <w:rsid w:val="00F53D8A"/>
    <w:rsid w:val="00F626F7"/>
    <w:rsid w:val="00F64784"/>
    <w:rsid w:val="00F64CB8"/>
    <w:rsid w:val="00F65A2F"/>
    <w:rsid w:val="00F67157"/>
    <w:rsid w:val="00F736F9"/>
    <w:rsid w:val="00F73833"/>
    <w:rsid w:val="00F771D0"/>
    <w:rsid w:val="00F7771F"/>
    <w:rsid w:val="00F86886"/>
    <w:rsid w:val="00F91FE3"/>
    <w:rsid w:val="00F9211C"/>
    <w:rsid w:val="00FA095D"/>
    <w:rsid w:val="00FA5677"/>
    <w:rsid w:val="00FA6C8B"/>
    <w:rsid w:val="00FA6CDA"/>
    <w:rsid w:val="00FA71F2"/>
    <w:rsid w:val="00FA7C89"/>
    <w:rsid w:val="00FB4139"/>
    <w:rsid w:val="00FB476E"/>
    <w:rsid w:val="00FC0D90"/>
    <w:rsid w:val="00FC6887"/>
    <w:rsid w:val="00FC7D8C"/>
    <w:rsid w:val="00FD3980"/>
    <w:rsid w:val="00FD431E"/>
    <w:rsid w:val="00FD5A2C"/>
    <w:rsid w:val="00FE0D47"/>
    <w:rsid w:val="00FE1B85"/>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3B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ru-RU"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ru-RU"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876F54"/>
    <w:rPr>
      <w:rFonts w:asciiTheme="minorHAnsi" w:hAnsiTheme="minorHAnsi"/>
      <w:sz w:val="24"/>
      <w:lang w:val="ru-RU"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ru-RU"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ru-RU" w:eastAsia="en-US"/>
    </w:rPr>
  </w:style>
  <w:style w:type="character" w:customStyle="1" w:styleId="UnresolvedMention1">
    <w:name w:val="Unresolved Mention1"/>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ru-RU" w:eastAsia="en-US"/>
    </w:rPr>
  </w:style>
  <w:style w:type="paragraph" w:customStyle="1" w:styleId="Default">
    <w:name w:val="Default"/>
    <w:rsid w:val="009D7388"/>
    <w:pPr>
      <w:autoSpaceDE w:val="0"/>
      <w:autoSpaceDN w:val="0"/>
      <w:adjustRightInd w:val="0"/>
    </w:pPr>
    <w:rPr>
      <w:rFonts w:ascii="Georgia" w:eastAsiaTheme="minorHAnsi" w:hAnsi="Georgia" w:cs="Georgia"/>
      <w:color w:val="000000"/>
      <w:sz w:val="24"/>
      <w:szCs w:val="24"/>
      <w:lang w:eastAsia="en-US"/>
    </w:rPr>
  </w:style>
  <w:style w:type="character" w:customStyle="1" w:styleId="href">
    <w:name w:val="href"/>
    <w:basedOn w:val="DefaultParagraphFont"/>
    <w:uiPriority w:val="99"/>
    <w:rsid w:val="00DB746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C-0037/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2" ma:contentTypeDescription="Create a new document." ma:contentTypeScope="" ma:versionID="f82838ed58d6b88e51768136d050af18">
  <xsd:schema xmlns:xsd="http://www.w3.org/2001/XMLSchema" xmlns:xs="http://www.w3.org/2001/XMLSchema" xmlns:p="http://schemas.microsoft.com/office/2006/metadata/properties" xmlns:ns3="5db1b76a-bb5e-4623-8f90-860a60479885" xmlns:ns4="cf4b30ba-e706-4f8d-87aa-ab933dfd973f" targetNamespace="http://schemas.microsoft.com/office/2006/metadata/properties" ma:root="true" ma:fieldsID="0d3a949fcf464ef952f72dd98c6fce07" ns3:_="" ns4:_="">
    <xsd:import namespace="5db1b76a-bb5e-4623-8f90-860a60479885"/>
    <xsd:import namespace="cf4b30ba-e706-4f8d-87aa-ab933dfd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b30ba-e706-4f8d-87aa-ab933dfd97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86BA-09E9-46B2-A0A5-1EDCE8E5CBF8}">
  <ds:schemaRefs>
    <ds:schemaRef ds:uri="http://schemas.microsoft.com/office/2006/metadata/properties"/>
    <ds:schemaRef ds:uri="5db1b76a-bb5e-4623-8f90-860a60479885"/>
    <ds:schemaRef ds:uri="http://purl.org/dc/terms/"/>
    <ds:schemaRef ds:uri="http://purl.org/dc/dcmitype/"/>
    <ds:schemaRef ds:uri="cf4b30ba-e706-4f8d-87aa-ab933dfd973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857444-5C09-4205-8287-836012371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cf4b30ba-e706-4f8d-87aa-ab933dfd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2073A-FE92-4A5F-AC82-BCA09947BB80}">
  <ds:schemaRefs>
    <ds:schemaRef ds:uri="http://schemas.microsoft.com/sharepoint/v3/contenttype/forms"/>
  </ds:schemaRefs>
</ds:datastoreItem>
</file>

<file path=customXml/itemProps4.xml><?xml version="1.0" encoding="utf-8"?>
<ds:datastoreItem xmlns:ds="http://schemas.openxmlformats.org/officeDocument/2006/customXml" ds:itemID="{A7223C47-96C9-46ED-B906-85133EF5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4207</Words>
  <Characters>30280</Characters>
  <Application>Microsoft Office Word</Application>
  <DocSecurity>0</DocSecurity>
  <Lines>252</Lines>
  <Paragraphs>68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patricia.lusweti@itu.int</dc:creator>
  <cp:lastModifiedBy>BDT-nd</cp:lastModifiedBy>
  <cp:revision>27</cp:revision>
  <cp:lastPrinted>2014-11-04T09:22:00Z</cp:lastPrinted>
  <dcterms:created xsi:type="dcterms:W3CDTF">2020-05-13T11:25:00Z</dcterms:created>
  <dcterms:modified xsi:type="dcterms:W3CDTF">2020-05-25T09:51:00Z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0x01010060A63D03CADEE7408CE0872F6B311359</vt:lpwstr>
  </property>
</Properties>
</file>