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923"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663"/>
        <w:gridCol w:w="425"/>
        <w:gridCol w:w="2800"/>
        <w:gridCol w:w="35"/>
      </w:tblGrid>
      <w:tr w:rsidR="00D20099" w14:paraId="72A55B00" w14:textId="77777777" w:rsidTr="00D20099">
        <w:trPr>
          <w:cantSplit/>
          <w:trHeight w:val="1134"/>
        </w:trPr>
        <w:tc>
          <w:tcPr>
            <w:tcW w:w="7088" w:type="dxa"/>
            <w:gridSpan w:val="2"/>
          </w:tcPr>
          <w:p w14:paraId="6B1C78F5" w14:textId="77777777" w:rsidR="00D20099" w:rsidRDefault="00D20099" w:rsidP="00D20099">
            <w:pPr>
              <w:tabs>
                <w:tab w:val="clear" w:pos="1191"/>
                <w:tab w:val="clear" w:pos="1588"/>
                <w:tab w:val="clear" w:pos="1985"/>
              </w:tabs>
              <w:ind w:left="34" w:right="-142"/>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3E594D7C" w14:textId="77777777" w:rsidR="00D20099" w:rsidRPr="00844A56" w:rsidRDefault="00EE0CA8" w:rsidP="00977AF0">
            <w:pPr>
              <w:tabs>
                <w:tab w:val="clear" w:pos="1191"/>
                <w:tab w:val="clear" w:pos="1588"/>
                <w:tab w:val="clear" w:pos="1985"/>
              </w:tabs>
              <w:spacing w:before="100" w:after="120"/>
              <w:ind w:left="34" w:right="-142"/>
              <w:rPr>
                <w:rFonts w:ascii="Verdana" w:hAnsi="Verdana"/>
                <w:sz w:val="28"/>
                <w:szCs w:val="28"/>
              </w:rPr>
            </w:pPr>
            <w:r w:rsidRPr="00EE0CA8">
              <w:rPr>
                <w:b/>
                <w:bCs/>
                <w:sz w:val="26"/>
                <w:szCs w:val="26"/>
              </w:rPr>
              <w:t>25th Meeting, Geneva, 2-5 June 2020</w:t>
            </w:r>
          </w:p>
        </w:tc>
        <w:tc>
          <w:tcPr>
            <w:tcW w:w="2835" w:type="dxa"/>
            <w:gridSpan w:val="2"/>
          </w:tcPr>
          <w:p w14:paraId="02FE58E7" w14:textId="77777777" w:rsidR="00D20099" w:rsidRPr="00683C32" w:rsidRDefault="002A7DEE" w:rsidP="00255A4F">
            <w:pPr>
              <w:spacing w:before="0"/>
              <w:jc w:val="right"/>
            </w:pPr>
            <w:r>
              <w:rPr>
                <w:noProof/>
                <w:lang w:val="en-US"/>
              </w:rPr>
              <w:drawing>
                <wp:inline distT="0" distB="0" distL="0" distR="0" wp14:anchorId="3BD0496E" wp14:editId="409DD628">
                  <wp:extent cx="838200" cy="838200"/>
                  <wp:effectExtent l="0" t="0" r="0" b="0"/>
                  <wp:docPr id="1" name="Picture 1" descr="C:\Users\comas\AppData\Local\Temp\Rar$DRa0.735\jpg\ITU official logo_blue_RGB.jpg"/>
                  <wp:cNvGraphicFramePr/>
                  <a:graphic xmlns:a="http://schemas.openxmlformats.org/drawingml/2006/main">
                    <a:graphicData uri="http://schemas.openxmlformats.org/drawingml/2006/picture">
                      <pic:pic xmlns:pic="http://schemas.openxmlformats.org/drawingml/2006/picture">
                        <pic:nvPicPr>
                          <pic:cNvPr id="1" name="Picture 1" descr="C:\Users\comas\AppData\Local\Temp\Rar$DRa0.735\jpg\ITU official logo_blue_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c>
      </w:tr>
      <w:tr w:rsidR="00683C32" w:rsidRPr="00997358" w14:paraId="797DAA84" w14:textId="77777777" w:rsidTr="00D20099">
        <w:trPr>
          <w:gridAfter w:val="1"/>
          <w:wAfter w:w="35" w:type="dxa"/>
          <w:cantSplit/>
        </w:trPr>
        <w:tc>
          <w:tcPr>
            <w:tcW w:w="6663" w:type="dxa"/>
            <w:tcBorders>
              <w:top w:val="single" w:sz="12" w:space="0" w:color="auto"/>
            </w:tcBorders>
          </w:tcPr>
          <w:p w14:paraId="4CA0FAF9" w14:textId="77777777" w:rsidR="00683C32" w:rsidRPr="00997358" w:rsidRDefault="00683C32" w:rsidP="00D20099">
            <w:pPr>
              <w:spacing w:before="0"/>
              <w:ind w:left="34" w:right="-142"/>
              <w:rPr>
                <w:rFonts w:cs="Arial"/>
                <w:b/>
                <w:bCs/>
                <w:sz w:val="20"/>
              </w:rPr>
            </w:pPr>
          </w:p>
        </w:tc>
        <w:tc>
          <w:tcPr>
            <w:tcW w:w="3225" w:type="dxa"/>
            <w:gridSpan w:val="2"/>
            <w:tcBorders>
              <w:top w:val="single" w:sz="12" w:space="0" w:color="auto"/>
            </w:tcBorders>
          </w:tcPr>
          <w:p w14:paraId="56C9097B" w14:textId="77777777" w:rsidR="00683C32" w:rsidRPr="00997358" w:rsidRDefault="00683C32" w:rsidP="00D20099">
            <w:pPr>
              <w:spacing w:before="0"/>
              <w:ind w:left="34" w:right="-142"/>
              <w:rPr>
                <w:b/>
                <w:bCs/>
                <w:sz w:val="20"/>
              </w:rPr>
            </w:pPr>
          </w:p>
        </w:tc>
      </w:tr>
      <w:tr w:rsidR="00683C32" w:rsidRPr="00002716" w14:paraId="3603CD8F" w14:textId="77777777" w:rsidTr="00D20099">
        <w:trPr>
          <w:gridAfter w:val="1"/>
          <w:wAfter w:w="35" w:type="dxa"/>
          <w:cantSplit/>
        </w:trPr>
        <w:tc>
          <w:tcPr>
            <w:tcW w:w="6663" w:type="dxa"/>
          </w:tcPr>
          <w:p w14:paraId="65038D4D" w14:textId="77777777" w:rsidR="00683C32" w:rsidRPr="007F1CC7" w:rsidRDefault="00683C32" w:rsidP="00D20099">
            <w:pPr>
              <w:pStyle w:val="Committee"/>
              <w:spacing w:before="0"/>
              <w:ind w:left="34" w:right="-142"/>
              <w:rPr>
                <w:b w:val="0"/>
                <w:szCs w:val="24"/>
              </w:rPr>
            </w:pPr>
          </w:p>
        </w:tc>
        <w:tc>
          <w:tcPr>
            <w:tcW w:w="3225" w:type="dxa"/>
            <w:gridSpan w:val="2"/>
          </w:tcPr>
          <w:p w14:paraId="5450ACD8" w14:textId="4AD2D6CC" w:rsidR="00683C32" w:rsidRPr="007F1CC7" w:rsidRDefault="0096201B" w:rsidP="00D20099">
            <w:pPr>
              <w:spacing w:before="0"/>
              <w:ind w:left="34" w:right="-142"/>
              <w:jc w:val="both"/>
              <w:rPr>
                <w:bCs/>
                <w:szCs w:val="24"/>
                <w:lang w:val="en-US"/>
              </w:rPr>
            </w:pPr>
            <w:r w:rsidRPr="00002716">
              <w:rPr>
                <w:b/>
                <w:bCs/>
                <w:lang w:val="en-US"/>
              </w:rPr>
              <w:t>Document</w:t>
            </w:r>
            <w:bookmarkStart w:id="0" w:name="DocRef1"/>
            <w:bookmarkEnd w:id="0"/>
            <w:r w:rsidR="00997C55">
              <w:rPr>
                <w:b/>
                <w:bCs/>
                <w:lang w:val="en-US"/>
              </w:rPr>
              <w:t xml:space="preserve"> TDAG-20</w:t>
            </w:r>
            <w:r w:rsidR="00997C55" w:rsidRPr="00A54E72">
              <w:rPr>
                <w:b/>
                <w:bCs/>
                <w:lang w:val="en-US"/>
              </w:rPr>
              <w:t>/</w:t>
            </w:r>
            <w:bookmarkStart w:id="1" w:name="DocNo1"/>
            <w:bookmarkEnd w:id="1"/>
            <w:r w:rsidR="00997C55">
              <w:rPr>
                <w:b/>
                <w:bCs/>
                <w:lang w:val="en-US"/>
              </w:rPr>
              <w:t>52-E</w:t>
            </w:r>
          </w:p>
        </w:tc>
      </w:tr>
      <w:tr w:rsidR="00683C32" w14:paraId="71B00D79" w14:textId="77777777" w:rsidTr="00D20099">
        <w:trPr>
          <w:gridAfter w:val="1"/>
          <w:wAfter w:w="35" w:type="dxa"/>
          <w:cantSplit/>
        </w:trPr>
        <w:tc>
          <w:tcPr>
            <w:tcW w:w="6663" w:type="dxa"/>
          </w:tcPr>
          <w:p w14:paraId="4AF1C0CA" w14:textId="77777777" w:rsidR="00683C32" w:rsidRPr="007F1CC7" w:rsidRDefault="00683C32" w:rsidP="00D20099">
            <w:pPr>
              <w:spacing w:before="0"/>
              <w:ind w:left="34" w:right="-142"/>
              <w:rPr>
                <w:b/>
                <w:bCs/>
                <w:smallCaps/>
                <w:szCs w:val="24"/>
                <w:lang w:val="en-US"/>
              </w:rPr>
            </w:pPr>
          </w:p>
        </w:tc>
        <w:tc>
          <w:tcPr>
            <w:tcW w:w="3225" w:type="dxa"/>
            <w:gridSpan w:val="2"/>
          </w:tcPr>
          <w:p w14:paraId="377DD70E" w14:textId="7F412B59" w:rsidR="00683C32" w:rsidRPr="007F1CC7" w:rsidRDefault="003E5A6E" w:rsidP="00D20099">
            <w:pPr>
              <w:spacing w:before="0"/>
              <w:ind w:left="34" w:right="-142"/>
              <w:rPr>
                <w:b/>
                <w:szCs w:val="24"/>
              </w:rPr>
            </w:pPr>
            <w:bookmarkStart w:id="2" w:name="CreationDate"/>
            <w:bookmarkEnd w:id="2"/>
            <w:r>
              <w:rPr>
                <w:b/>
                <w:szCs w:val="24"/>
              </w:rPr>
              <w:t>2</w:t>
            </w:r>
            <w:r w:rsidR="00997C55">
              <w:rPr>
                <w:b/>
                <w:szCs w:val="24"/>
              </w:rPr>
              <w:t>0</w:t>
            </w:r>
            <w:r>
              <w:rPr>
                <w:b/>
                <w:szCs w:val="24"/>
              </w:rPr>
              <w:t xml:space="preserve"> May 2020</w:t>
            </w:r>
          </w:p>
        </w:tc>
      </w:tr>
      <w:tr w:rsidR="00683C32" w14:paraId="1C0BC804" w14:textId="77777777" w:rsidTr="00D20099">
        <w:trPr>
          <w:gridAfter w:val="1"/>
          <w:wAfter w:w="35" w:type="dxa"/>
          <w:cantSplit/>
        </w:trPr>
        <w:tc>
          <w:tcPr>
            <w:tcW w:w="6663" w:type="dxa"/>
          </w:tcPr>
          <w:p w14:paraId="0A01CF8D" w14:textId="77777777" w:rsidR="00683C32" w:rsidRPr="007F1CC7" w:rsidRDefault="00683C32" w:rsidP="00D20099">
            <w:pPr>
              <w:spacing w:before="0"/>
              <w:ind w:left="34" w:right="-142"/>
              <w:rPr>
                <w:b/>
                <w:bCs/>
                <w:smallCaps/>
                <w:szCs w:val="24"/>
              </w:rPr>
            </w:pPr>
          </w:p>
        </w:tc>
        <w:tc>
          <w:tcPr>
            <w:tcW w:w="3225" w:type="dxa"/>
            <w:gridSpan w:val="2"/>
          </w:tcPr>
          <w:p w14:paraId="0283F99E" w14:textId="34F4EE67" w:rsidR="00514D2F" w:rsidRPr="007F1CC7" w:rsidRDefault="003E5A6E" w:rsidP="00D20099">
            <w:pPr>
              <w:spacing w:before="0"/>
              <w:ind w:left="34" w:right="-142"/>
              <w:rPr>
                <w:szCs w:val="24"/>
              </w:rPr>
            </w:pPr>
            <w:bookmarkStart w:id="3" w:name="Original"/>
            <w:bookmarkEnd w:id="3"/>
            <w:r>
              <w:rPr>
                <w:b/>
              </w:rPr>
              <w:t>English</w:t>
            </w:r>
            <w:r w:rsidR="004B6D00">
              <w:rPr>
                <w:b/>
              </w:rPr>
              <w:t xml:space="preserve"> only</w:t>
            </w:r>
          </w:p>
        </w:tc>
      </w:tr>
      <w:tr w:rsidR="00A13162" w14:paraId="59436AFA" w14:textId="77777777" w:rsidTr="00BD4FC6">
        <w:trPr>
          <w:gridAfter w:val="1"/>
          <w:wAfter w:w="35" w:type="dxa"/>
          <w:cantSplit/>
          <w:trHeight w:val="852"/>
        </w:trPr>
        <w:tc>
          <w:tcPr>
            <w:tcW w:w="9888" w:type="dxa"/>
            <w:gridSpan w:val="3"/>
            <w:vAlign w:val="center"/>
          </w:tcPr>
          <w:p w14:paraId="0B04FBFA" w14:textId="77777777" w:rsidR="00A13162" w:rsidRPr="0030353C" w:rsidRDefault="003E5A6E" w:rsidP="00BD4FC6">
            <w:pPr>
              <w:pStyle w:val="Source"/>
              <w:spacing w:before="240" w:after="240"/>
              <w:ind w:left="34" w:right="-142"/>
            </w:pPr>
            <w:bookmarkStart w:id="4" w:name="Source"/>
            <w:bookmarkEnd w:id="4"/>
            <w:r>
              <w:t>United States of America</w:t>
            </w:r>
          </w:p>
        </w:tc>
      </w:tr>
      <w:tr w:rsidR="00AC6F14" w:rsidRPr="002E6963" w14:paraId="694063BD" w14:textId="77777777" w:rsidTr="00D20099">
        <w:trPr>
          <w:gridAfter w:val="1"/>
          <w:wAfter w:w="35" w:type="dxa"/>
          <w:cantSplit/>
        </w:trPr>
        <w:tc>
          <w:tcPr>
            <w:tcW w:w="9888" w:type="dxa"/>
            <w:gridSpan w:val="3"/>
          </w:tcPr>
          <w:p w14:paraId="0A6BEBC4" w14:textId="77777777" w:rsidR="00AC6F14" w:rsidRPr="0030353C" w:rsidRDefault="003E5A6E" w:rsidP="00997C55">
            <w:pPr>
              <w:pStyle w:val="Title1"/>
              <w:spacing w:before="120" w:after="120"/>
              <w:ind w:left="34" w:right="-142"/>
            </w:pPr>
            <w:bookmarkStart w:id="5" w:name="Title"/>
            <w:bookmarkEnd w:id="5"/>
            <w:r>
              <w:t>WTDC REFORM AND INNOVATION</w:t>
            </w:r>
          </w:p>
        </w:tc>
      </w:tr>
      <w:tr w:rsidR="00A721F4" w:rsidRPr="002E6963" w14:paraId="250454D4" w14:textId="77777777" w:rsidTr="003708C3">
        <w:trPr>
          <w:gridAfter w:val="1"/>
          <w:wAfter w:w="35" w:type="dxa"/>
          <w:cantSplit/>
        </w:trPr>
        <w:tc>
          <w:tcPr>
            <w:tcW w:w="9888" w:type="dxa"/>
            <w:gridSpan w:val="3"/>
            <w:tcBorders>
              <w:bottom w:val="single" w:sz="4" w:space="0" w:color="auto"/>
            </w:tcBorders>
          </w:tcPr>
          <w:p w14:paraId="663F49EF" w14:textId="77777777" w:rsidR="00A721F4" w:rsidRPr="00A721F4" w:rsidRDefault="00A721F4" w:rsidP="00D20099">
            <w:pPr>
              <w:ind w:left="34" w:right="-142"/>
            </w:pPr>
          </w:p>
        </w:tc>
      </w:tr>
      <w:tr w:rsidR="00A721F4" w:rsidRPr="002E6963" w14:paraId="19A3001B" w14:textId="77777777" w:rsidTr="003708C3">
        <w:trPr>
          <w:gridAfter w:val="1"/>
          <w:wAfter w:w="35" w:type="dxa"/>
          <w:cantSplit/>
        </w:trPr>
        <w:tc>
          <w:tcPr>
            <w:tcW w:w="9888" w:type="dxa"/>
            <w:gridSpan w:val="3"/>
            <w:tcBorders>
              <w:top w:val="single" w:sz="4" w:space="0" w:color="auto"/>
              <w:left w:val="single" w:sz="4" w:space="0" w:color="auto"/>
              <w:bottom w:val="single" w:sz="4" w:space="0" w:color="auto"/>
              <w:right w:val="single" w:sz="4" w:space="0" w:color="auto"/>
            </w:tcBorders>
          </w:tcPr>
          <w:p w14:paraId="32371E49" w14:textId="77777777" w:rsidR="00A721F4" w:rsidRPr="00D9621A" w:rsidRDefault="00A721F4" w:rsidP="00997C55">
            <w:pPr>
              <w:spacing w:after="120"/>
              <w:rPr>
                <w:b/>
                <w:bCs/>
                <w:szCs w:val="24"/>
              </w:rPr>
            </w:pPr>
            <w:r w:rsidRPr="00D9621A">
              <w:rPr>
                <w:b/>
                <w:bCs/>
                <w:szCs w:val="24"/>
              </w:rPr>
              <w:t>Summary:</w:t>
            </w:r>
          </w:p>
          <w:p w14:paraId="0791A520" w14:textId="4119115E" w:rsidR="00A721F4" w:rsidRPr="00D9621A" w:rsidRDefault="003E5A6E" w:rsidP="00997C55">
            <w:pPr>
              <w:spacing w:after="120"/>
              <w:rPr>
                <w:szCs w:val="24"/>
              </w:rPr>
            </w:pPr>
            <w:bookmarkStart w:id="6" w:name="Abstract"/>
            <w:bookmarkEnd w:id="6"/>
            <w:r>
              <w:rPr>
                <w:szCs w:val="24"/>
              </w:rPr>
              <w:t>The United States would like to support ongoing discussions through the TDAG Web Dialogues which have been exploring ways in which to improve the planning and preparations processes for WTDC-21 as well as the conference structure.</w:t>
            </w:r>
            <w:r w:rsidR="008A7954">
              <w:rPr>
                <w:szCs w:val="24"/>
              </w:rPr>
              <w:t xml:space="preserve"> </w:t>
            </w:r>
            <w:r>
              <w:rPr>
                <w:szCs w:val="24"/>
              </w:rPr>
              <w:t>The aim is to help increase the focus of the conference on development challenges and priorities and bridging the digital divide, which will further help the Membership attain better outcomes and a more fit4purpose BDT.</w:t>
            </w:r>
            <w:r w:rsidR="008A7954">
              <w:rPr>
                <w:szCs w:val="24"/>
              </w:rPr>
              <w:t xml:space="preserve"> </w:t>
            </w:r>
            <w:r>
              <w:rPr>
                <w:szCs w:val="24"/>
              </w:rPr>
              <w:t xml:space="preserve">The United States supports these Web Dialogues, and believes that it is necessary to continue the dialogue between TDAG-20 and TDAG-21 to identify concrete proposals and ideas that will support Member States and the BDT in preparing for WTDC-21. </w:t>
            </w:r>
          </w:p>
          <w:p w14:paraId="79785E7D" w14:textId="77777777" w:rsidR="00A721F4" w:rsidRPr="00D9621A" w:rsidRDefault="00A721F4" w:rsidP="00997C55">
            <w:pPr>
              <w:spacing w:after="120"/>
              <w:rPr>
                <w:b/>
                <w:bCs/>
                <w:szCs w:val="24"/>
              </w:rPr>
            </w:pPr>
            <w:r w:rsidRPr="005E090D">
              <w:rPr>
                <w:b/>
                <w:bCs/>
              </w:rPr>
              <w:t>Action required:</w:t>
            </w:r>
          </w:p>
          <w:p w14:paraId="1B354268" w14:textId="77777777" w:rsidR="00327058" w:rsidRPr="00327058" w:rsidRDefault="00327058" w:rsidP="00327058">
            <w:pPr>
              <w:spacing w:after="120"/>
              <w:rPr>
                <w:szCs w:val="24"/>
              </w:rPr>
            </w:pPr>
            <w:bookmarkStart w:id="7" w:name="ActionRequired"/>
            <w:bookmarkEnd w:id="7"/>
            <w:r w:rsidRPr="00327058">
              <w:rPr>
                <w:szCs w:val="24"/>
              </w:rPr>
              <w:t>TDAG is requested to examine this contribution and endorse the proposed WTDC-21 reform and innovation ad hoc group with a targeted focus on regional preparations and conference program. </w:t>
            </w:r>
            <w:r w:rsidRPr="00327058">
              <w:rPr>
                <w:szCs w:val="24"/>
                <w:lang w:val="en-US"/>
              </w:rPr>
              <w:t xml:space="preserve"> </w:t>
            </w:r>
          </w:p>
          <w:p w14:paraId="0AEA8F0F" w14:textId="2FFD260F" w:rsidR="00A721F4" w:rsidRPr="00D9621A" w:rsidRDefault="00A721F4" w:rsidP="00997C55">
            <w:pPr>
              <w:spacing w:after="120"/>
              <w:rPr>
                <w:b/>
                <w:bCs/>
                <w:szCs w:val="24"/>
              </w:rPr>
            </w:pPr>
            <w:r w:rsidRPr="00D9621A">
              <w:rPr>
                <w:b/>
                <w:bCs/>
                <w:szCs w:val="24"/>
              </w:rPr>
              <w:t>References:</w:t>
            </w:r>
          </w:p>
          <w:p w14:paraId="637EFC54" w14:textId="4250FC39" w:rsidR="00A721F4" w:rsidRPr="00D9621A" w:rsidRDefault="00327058" w:rsidP="00327058">
            <w:pPr>
              <w:spacing w:after="120"/>
            </w:pPr>
            <w:bookmarkStart w:id="8" w:name="References"/>
            <w:bookmarkEnd w:id="8"/>
            <w:r>
              <w:t>WTDC Resolutions 1 (Rev. Buenos Aires, 2017) and 31 (Rev. Buenos Aires, 2017)</w:t>
            </w:r>
          </w:p>
        </w:tc>
      </w:tr>
    </w:tbl>
    <w:p w14:paraId="431C24DB" w14:textId="77777777" w:rsidR="00AC6F14" w:rsidRDefault="00AC6F14" w:rsidP="00D20099">
      <w:pPr>
        <w:ind w:left="34" w:right="-142"/>
      </w:pPr>
    </w:p>
    <w:p w14:paraId="4C57D602" w14:textId="77777777" w:rsidR="008C6D6E" w:rsidRDefault="008C6D6E">
      <w:pPr>
        <w:tabs>
          <w:tab w:val="clear" w:pos="794"/>
          <w:tab w:val="clear" w:pos="1191"/>
          <w:tab w:val="clear" w:pos="1588"/>
          <w:tab w:val="clear" w:pos="1985"/>
        </w:tabs>
        <w:overflowPunct/>
        <w:autoSpaceDE/>
        <w:autoSpaceDN/>
        <w:adjustRightInd/>
        <w:spacing w:before="0"/>
        <w:textAlignment w:val="auto"/>
      </w:pPr>
      <w:bookmarkStart w:id="9" w:name="Proposal"/>
      <w:bookmarkEnd w:id="9"/>
      <w:r>
        <w:br w:type="page"/>
      </w:r>
    </w:p>
    <w:p w14:paraId="60B9F952" w14:textId="77777777" w:rsidR="008C6D6E" w:rsidRPr="00544BEC" w:rsidRDefault="008C6D6E" w:rsidP="008C6D6E">
      <w:pPr>
        <w:tabs>
          <w:tab w:val="clear" w:pos="794"/>
          <w:tab w:val="clear" w:pos="1191"/>
          <w:tab w:val="clear" w:pos="1588"/>
          <w:tab w:val="clear" w:pos="1985"/>
        </w:tabs>
        <w:spacing w:after="120"/>
        <w:ind w:right="-142"/>
        <w:rPr>
          <w:b/>
        </w:rPr>
      </w:pPr>
      <w:r w:rsidRPr="00544BEC">
        <w:rPr>
          <w:b/>
        </w:rPr>
        <w:lastRenderedPageBreak/>
        <w:t>Discussion</w:t>
      </w:r>
    </w:p>
    <w:p w14:paraId="599EA7FD" w14:textId="390880A6" w:rsidR="008C6D6E" w:rsidRDefault="008C6D6E" w:rsidP="008C6D6E">
      <w:pPr>
        <w:tabs>
          <w:tab w:val="clear" w:pos="794"/>
          <w:tab w:val="clear" w:pos="1191"/>
          <w:tab w:val="clear" w:pos="1588"/>
          <w:tab w:val="clear" w:pos="1985"/>
        </w:tabs>
        <w:spacing w:after="120"/>
        <w:ind w:right="-142"/>
      </w:pPr>
      <w:r>
        <w:t>In order to advance discussions regarding WTDC-21 preparations and innovation, the BDT organized two TDAG Web Dialogues on WTDC. During the course of these Web Dialogues participants were able to engage in informal exchanges regarding ways to make WTDC-21 a more effective conference. During the web dialogue</w:t>
      </w:r>
      <w:r w:rsidR="00C54360">
        <w:t>s</w:t>
      </w:r>
      <w:r>
        <w:t>, participants were able to explore ideas aimed at improving the preparatory process, format and content of the conference in the lead up to TDAG-20. In order to capitalize on the momentum generated by these groups, we recommend that TDAG-20 establish a working group or ad hoc group to elaborate upon these ideas and develop clear recommendations for action.</w:t>
      </w:r>
    </w:p>
    <w:p w14:paraId="1D8B0BDF" w14:textId="77777777" w:rsidR="008C6D6E" w:rsidRPr="00544BEC" w:rsidRDefault="008C6D6E" w:rsidP="008C6D6E">
      <w:pPr>
        <w:tabs>
          <w:tab w:val="clear" w:pos="794"/>
          <w:tab w:val="clear" w:pos="1191"/>
          <w:tab w:val="clear" w:pos="1588"/>
          <w:tab w:val="clear" w:pos="1985"/>
        </w:tabs>
        <w:spacing w:after="120"/>
        <w:ind w:right="-142"/>
        <w:rPr>
          <w:b/>
        </w:rPr>
      </w:pPr>
      <w:r w:rsidRPr="00544BEC">
        <w:rPr>
          <w:b/>
        </w:rPr>
        <w:t>Proposal</w:t>
      </w:r>
    </w:p>
    <w:p w14:paraId="7A53384F" w14:textId="6BA89141" w:rsidR="008C6D6E" w:rsidRDefault="008C6D6E" w:rsidP="008C6D6E">
      <w:pPr>
        <w:tabs>
          <w:tab w:val="clear" w:pos="794"/>
          <w:tab w:val="clear" w:pos="1191"/>
          <w:tab w:val="clear" w:pos="1588"/>
          <w:tab w:val="clear" w:pos="1985"/>
        </w:tabs>
        <w:spacing w:after="120"/>
        <w:ind w:right="-142"/>
      </w:pPr>
      <w:r>
        <w:t>Building upon the ad hoc group proposed by Canada in document 37, and taking into account the discussions of the two WTDC Web Dialogues, it is proposed that a working group or ad hoc group of TDAG be established, and be assigned responsibility to examine and provide recommendations to TDAG-21 on regional preparations, conference program structure, and conference participation consistent with Resolution 1 (Rev. Buenos Aires</w:t>
      </w:r>
      <w:r w:rsidR="00A92800">
        <w:t>,</w:t>
      </w:r>
      <w:r>
        <w:t xml:space="preserve"> 2017) and Resolution 31 (Rev. Buenos Aires</w:t>
      </w:r>
      <w:r w:rsidR="00A92800">
        <w:t>,</w:t>
      </w:r>
      <w:bookmarkStart w:id="10" w:name="_GoBack"/>
      <w:bookmarkEnd w:id="10"/>
      <w:r>
        <w:t xml:space="preserve"> 2017).</w:t>
      </w:r>
      <w:r w:rsidR="008A7954">
        <w:t xml:space="preserve"> </w:t>
      </w:r>
    </w:p>
    <w:p w14:paraId="659711E0" w14:textId="77777777" w:rsidR="008C6D6E" w:rsidRDefault="008C6D6E" w:rsidP="008C6D6E">
      <w:pPr>
        <w:tabs>
          <w:tab w:val="clear" w:pos="794"/>
          <w:tab w:val="clear" w:pos="1191"/>
          <w:tab w:val="clear" w:pos="1588"/>
          <w:tab w:val="clear" w:pos="1985"/>
        </w:tabs>
        <w:spacing w:after="120"/>
        <w:ind w:right="-142"/>
      </w:pPr>
      <w:r>
        <w:t>The following is proposed to help develop the terms of reference of the working group or ad hoc group to help facilitate the development of clear recommendations and proposals to guide BDT and Member States in the lead up to WTDC-21.</w:t>
      </w:r>
    </w:p>
    <w:p w14:paraId="5A19DAD9" w14:textId="77777777" w:rsidR="008C6D6E" w:rsidRPr="00544BEC" w:rsidRDefault="008C6D6E" w:rsidP="00C54360">
      <w:pPr>
        <w:keepNext/>
        <w:tabs>
          <w:tab w:val="clear" w:pos="794"/>
          <w:tab w:val="clear" w:pos="1191"/>
          <w:tab w:val="clear" w:pos="1588"/>
          <w:tab w:val="clear" w:pos="1985"/>
        </w:tabs>
        <w:spacing w:before="240" w:after="120"/>
        <w:ind w:left="29" w:right="-144"/>
        <w:rPr>
          <w:b/>
        </w:rPr>
      </w:pPr>
      <w:r w:rsidRPr="00544BEC">
        <w:rPr>
          <w:b/>
        </w:rPr>
        <w:t>Regional Preparations</w:t>
      </w:r>
    </w:p>
    <w:p w14:paraId="2CED9E4F" w14:textId="77777777" w:rsidR="008C6D6E" w:rsidRDefault="008C6D6E" w:rsidP="00C54360">
      <w:pPr>
        <w:pStyle w:val="ListParagraph"/>
        <w:numPr>
          <w:ilvl w:val="0"/>
          <w:numId w:val="2"/>
        </w:numPr>
        <w:spacing w:after="120"/>
        <w:ind w:left="567" w:right="-144" w:hanging="567"/>
        <w:contextualSpacing w:val="0"/>
      </w:pPr>
      <w:r>
        <w:t>Process of Regional Preparatory Meetings (RPMS):</w:t>
      </w:r>
    </w:p>
    <w:p w14:paraId="32DF109F" w14:textId="23230E32" w:rsidR="008C6D6E" w:rsidRDefault="00C54360" w:rsidP="00C54360">
      <w:pPr>
        <w:pStyle w:val="ListParagraph"/>
        <w:numPr>
          <w:ilvl w:val="1"/>
          <w:numId w:val="2"/>
        </w:numPr>
        <w:spacing w:before="40" w:after="40"/>
        <w:ind w:left="1134" w:right="-144" w:hanging="567"/>
        <w:contextualSpacing w:val="0"/>
      </w:pPr>
      <w:r>
        <w:t>What does m</w:t>
      </w:r>
      <w:r w:rsidR="008C6D6E">
        <w:t>embership want from RPMs? What purpose do they serve? What is the optimum role for RTOs? For RPMs?</w:t>
      </w:r>
    </w:p>
    <w:p w14:paraId="328D6806" w14:textId="77777777" w:rsidR="008C6D6E" w:rsidRDefault="008C6D6E" w:rsidP="00C54360">
      <w:pPr>
        <w:pStyle w:val="ListParagraph"/>
        <w:numPr>
          <w:ilvl w:val="1"/>
          <w:numId w:val="2"/>
        </w:numPr>
        <w:spacing w:before="40" w:after="40"/>
        <w:ind w:left="1134" w:right="-144" w:hanging="567"/>
        <w:contextualSpacing w:val="0"/>
      </w:pPr>
      <w:r>
        <w:t>What role should Sector Members or other stakeholders play?</w:t>
      </w:r>
    </w:p>
    <w:p w14:paraId="75DC73DC" w14:textId="77777777" w:rsidR="008C6D6E" w:rsidRDefault="008C6D6E" w:rsidP="00C54360">
      <w:pPr>
        <w:pStyle w:val="ListParagraph"/>
        <w:numPr>
          <w:ilvl w:val="1"/>
          <w:numId w:val="2"/>
        </w:numPr>
        <w:spacing w:before="40" w:after="40"/>
        <w:ind w:left="1134" w:right="-144" w:hanging="567"/>
        <w:contextualSpacing w:val="0"/>
      </w:pPr>
      <w:r>
        <w:t>Within the scope of Res. 31 (Rev. Buenos Aires, 2017), how can the RPMs achieve greater efficiency and better outcomes?</w:t>
      </w:r>
    </w:p>
    <w:p w14:paraId="2555BC47" w14:textId="77777777" w:rsidR="008C6D6E" w:rsidRDefault="008C6D6E" w:rsidP="00C54360">
      <w:pPr>
        <w:pStyle w:val="ListParagraph"/>
        <w:numPr>
          <w:ilvl w:val="1"/>
          <w:numId w:val="2"/>
        </w:numPr>
        <w:spacing w:before="40" w:after="40"/>
        <w:ind w:left="1134" w:right="-144" w:hanging="567"/>
        <w:contextualSpacing w:val="0"/>
      </w:pPr>
      <w:r>
        <w:t>Should each region continue to propose up to five regional initiatives, or should the regions just identify their main priorities (may include cross-cutting priorities with other regions)?</w:t>
      </w:r>
    </w:p>
    <w:p w14:paraId="6524C549" w14:textId="77777777" w:rsidR="008C6D6E" w:rsidRDefault="008C6D6E" w:rsidP="00C54360">
      <w:pPr>
        <w:pStyle w:val="ListParagraph"/>
        <w:numPr>
          <w:ilvl w:val="1"/>
          <w:numId w:val="2"/>
        </w:numPr>
        <w:spacing w:before="40" w:after="40"/>
        <w:ind w:left="1134" w:right="-144" w:hanging="567"/>
        <w:contextualSpacing w:val="0"/>
      </w:pPr>
      <w:r>
        <w:t>How to structure the regional priorities to attract donor support, maximize effective and efficient use of BDT seed money and increase impact in developing countries on the ground?</w:t>
      </w:r>
    </w:p>
    <w:p w14:paraId="4EB16506" w14:textId="77777777" w:rsidR="008C6D6E" w:rsidRDefault="008C6D6E" w:rsidP="00C54360">
      <w:pPr>
        <w:pStyle w:val="ListParagraph"/>
        <w:numPr>
          <w:ilvl w:val="0"/>
          <w:numId w:val="2"/>
        </w:numPr>
        <w:spacing w:after="120"/>
        <w:ind w:left="567" w:right="-144" w:hanging="567"/>
        <w:contextualSpacing w:val="0"/>
      </w:pPr>
      <w:r>
        <w:t>Inter-regional Meeting:</w:t>
      </w:r>
    </w:p>
    <w:p w14:paraId="067D796A" w14:textId="77777777" w:rsidR="008C6D6E" w:rsidRDefault="008C6D6E" w:rsidP="00C54360">
      <w:pPr>
        <w:pStyle w:val="ListParagraph"/>
        <w:numPr>
          <w:ilvl w:val="1"/>
          <w:numId w:val="2"/>
        </w:numPr>
        <w:spacing w:before="40" w:after="40"/>
        <w:ind w:left="1134" w:right="-144" w:hanging="567"/>
        <w:contextualSpacing w:val="0"/>
      </w:pPr>
      <w:r>
        <w:t>If the BDT were to organize an inter-regional meeting(s), what could be the format, agenda and objectives?</w:t>
      </w:r>
    </w:p>
    <w:p w14:paraId="16A79002" w14:textId="77777777" w:rsidR="008C6D6E" w:rsidRDefault="008C6D6E" w:rsidP="00C54360">
      <w:pPr>
        <w:pStyle w:val="ListParagraph"/>
        <w:numPr>
          <w:ilvl w:val="1"/>
          <w:numId w:val="2"/>
        </w:numPr>
        <w:spacing w:before="40" w:after="40"/>
        <w:ind w:left="1134" w:right="-144" w:hanging="567"/>
        <w:contextualSpacing w:val="0"/>
      </w:pPr>
      <w:r>
        <w:t>How best to approach cross cutting regional priorities?</w:t>
      </w:r>
    </w:p>
    <w:p w14:paraId="354C4E8E" w14:textId="77777777" w:rsidR="008C6D6E" w:rsidRPr="00544BEC" w:rsidRDefault="008C6D6E" w:rsidP="00C54360">
      <w:pPr>
        <w:keepNext/>
        <w:spacing w:before="240" w:after="120"/>
        <w:ind w:left="29" w:right="-144"/>
        <w:rPr>
          <w:b/>
        </w:rPr>
      </w:pPr>
      <w:r w:rsidRPr="00544BEC">
        <w:rPr>
          <w:b/>
        </w:rPr>
        <w:t>WTDC Declaration:</w:t>
      </w:r>
    </w:p>
    <w:p w14:paraId="4B6E6F68" w14:textId="77777777" w:rsidR="008C6D6E" w:rsidRDefault="008C6D6E" w:rsidP="00C54360">
      <w:pPr>
        <w:pStyle w:val="ListParagraph"/>
        <w:numPr>
          <w:ilvl w:val="0"/>
          <w:numId w:val="2"/>
        </w:numPr>
        <w:spacing w:after="120"/>
        <w:ind w:left="567" w:right="-144" w:hanging="567"/>
        <w:contextualSpacing w:val="0"/>
      </w:pPr>
      <w:r>
        <w:t>Is there a continued need for a Declaration?</w:t>
      </w:r>
    </w:p>
    <w:p w14:paraId="66B4D01B" w14:textId="77777777" w:rsidR="008C6D6E" w:rsidRDefault="008C6D6E" w:rsidP="00C54360">
      <w:pPr>
        <w:pStyle w:val="ListParagraph"/>
        <w:numPr>
          <w:ilvl w:val="0"/>
          <w:numId w:val="2"/>
        </w:numPr>
        <w:spacing w:after="120"/>
        <w:ind w:left="567" w:right="-144" w:hanging="567"/>
        <w:contextualSpacing w:val="0"/>
      </w:pPr>
      <w:r>
        <w:t>Within the scope of the Res. 1 (Rev. Buenos Aires, 2017) 1.8.2 call for a declaration, how best to develop, or eliminate the need for, a declaration?</w:t>
      </w:r>
    </w:p>
    <w:p w14:paraId="41A08828" w14:textId="77777777" w:rsidR="008C6D6E" w:rsidRDefault="008C6D6E" w:rsidP="00C54360">
      <w:pPr>
        <w:pStyle w:val="ListParagraph"/>
        <w:numPr>
          <w:ilvl w:val="0"/>
          <w:numId w:val="2"/>
        </w:numPr>
        <w:spacing w:after="120"/>
        <w:ind w:left="567" w:right="-144" w:hanging="567"/>
        <w:contextualSpacing w:val="0"/>
      </w:pPr>
      <w:r>
        <w:lastRenderedPageBreak/>
        <w:t>If it continues, what format should the declaration take and what would be the best approach to limit time spent negotiating the declaration at the WTDC?</w:t>
      </w:r>
    </w:p>
    <w:p w14:paraId="46943308" w14:textId="504CC3D5" w:rsidR="008C6D6E" w:rsidRPr="00751A32" w:rsidRDefault="008C6D6E" w:rsidP="008C6D6E">
      <w:pPr>
        <w:tabs>
          <w:tab w:val="clear" w:pos="794"/>
          <w:tab w:val="clear" w:pos="1191"/>
          <w:tab w:val="clear" w:pos="1588"/>
          <w:tab w:val="clear" w:pos="1985"/>
        </w:tabs>
        <w:spacing w:after="120"/>
        <w:ind w:left="34" w:right="-142"/>
        <w:rPr>
          <w:b/>
        </w:rPr>
      </w:pPr>
      <w:r w:rsidRPr="00544BEC">
        <w:rPr>
          <w:b/>
        </w:rPr>
        <w:t>Draft ITU Strategic Plan:</w:t>
      </w:r>
      <w:r w:rsidR="008A7954">
        <w:rPr>
          <w:b/>
        </w:rPr>
        <w:t xml:space="preserve"> </w:t>
      </w:r>
      <w:r>
        <w:t>Noting both the CS provisions and Res.1 at 1.8.2, is a total review of the ITU-D’s contribution to the draft Strategic Plan necessary, except to identify possible areas for modification to be communicated to PP-22?</w:t>
      </w:r>
    </w:p>
    <w:p w14:paraId="68AC99EC" w14:textId="77777777" w:rsidR="008C6D6E" w:rsidRPr="00544BEC" w:rsidRDefault="008C6D6E" w:rsidP="00C54360">
      <w:pPr>
        <w:keepNext/>
        <w:tabs>
          <w:tab w:val="clear" w:pos="794"/>
          <w:tab w:val="clear" w:pos="1191"/>
          <w:tab w:val="clear" w:pos="1588"/>
          <w:tab w:val="clear" w:pos="1985"/>
        </w:tabs>
        <w:spacing w:before="240" w:after="120"/>
        <w:ind w:left="29" w:right="-144"/>
        <w:rPr>
          <w:b/>
        </w:rPr>
      </w:pPr>
      <w:r w:rsidRPr="00544BEC">
        <w:rPr>
          <w:b/>
        </w:rPr>
        <w:t>Conference Program</w:t>
      </w:r>
    </w:p>
    <w:p w14:paraId="4099F15D" w14:textId="5443287B" w:rsidR="008C6D6E" w:rsidRDefault="008C6D6E" w:rsidP="00C54360">
      <w:pPr>
        <w:pStyle w:val="ListParagraph"/>
        <w:numPr>
          <w:ilvl w:val="0"/>
          <w:numId w:val="3"/>
        </w:numPr>
        <w:spacing w:after="120"/>
        <w:ind w:left="567" w:right="-144" w:hanging="567"/>
        <w:contextualSpacing w:val="0"/>
      </w:pPr>
      <w:r w:rsidRPr="00751A32">
        <w:t>Organization and structure of the Conference:</w:t>
      </w:r>
      <w:r w:rsidR="008A7954">
        <w:t xml:space="preserve"> </w:t>
      </w:r>
      <w:r>
        <w:t>How can the work of the committees and working groups be structured or organized to optimize or find greater efficiencies?</w:t>
      </w:r>
    </w:p>
    <w:p w14:paraId="6CCD5593" w14:textId="77777777" w:rsidR="008C6D6E" w:rsidRDefault="008C6D6E" w:rsidP="00C54360">
      <w:pPr>
        <w:pStyle w:val="ListParagraph"/>
        <w:numPr>
          <w:ilvl w:val="0"/>
          <w:numId w:val="3"/>
        </w:numPr>
        <w:spacing w:after="120"/>
        <w:ind w:left="567" w:right="-144" w:hanging="567"/>
        <w:contextualSpacing w:val="0"/>
      </w:pPr>
      <w:r>
        <w:t>Stakeholder Engagement:</w:t>
      </w:r>
    </w:p>
    <w:p w14:paraId="1C58CB9C" w14:textId="77777777" w:rsidR="008C6D6E" w:rsidRDefault="008C6D6E" w:rsidP="00C54360">
      <w:pPr>
        <w:pStyle w:val="ListParagraph"/>
        <w:numPr>
          <w:ilvl w:val="1"/>
          <w:numId w:val="3"/>
        </w:numPr>
        <w:spacing w:before="40" w:after="40"/>
        <w:ind w:left="1134" w:right="-144" w:hanging="567"/>
        <w:contextualSpacing w:val="0"/>
      </w:pPr>
      <w:r>
        <w:t>What types of new stakeholders do we want to attract and invite to WTDC-21? (e.g., donor organizations, development banks and financial institutions, private sector executives)</w:t>
      </w:r>
    </w:p>
    <w:p w14:paraId="1587E608" w14:textId="77777777" w:rsidR="008C6D6E" w:rsidRDefault="008C6D6E" w:rsidP="00C54360">
      <w:pPr>
        <w:pStyle w:val="ListParagraph"/>
        <w:numPr>
          <w:ilvl w:val="1"/>
          <w:numId w:val="3"/>
        </w:numPr>
        <w:spacing w:before="40" w:after="40"/>
        <w:ind w:left="1134" w:right="-144" w:hanging="567"/>
        <w:contextualSpacing w:val="0"/>
      </w:pPr>
      <w:r>
        <w:t>What are recommended approaches for having such new stakeholders be more involved regional Conference preparations?</w:t>
      </w:r>
    </w:p>
    <w:p w14:paraId="199089E4" w14:textId="77777777" w:rsidR="008C6D6E" w:rsidRDefault="008C6D6E" w:rsidP="00C54360">
      <w:pPr>
        <w:pStyle w:val="ListParagraph"/>
        <w:numPr>
          <w:ilvl w:val="0"/>
          <w:numId w:val="3"/>
        </w:numPr>
        <w:spacing w:after="120"/>
        <w:ind w:left="567" w:right="-144" w:hanging="567"/>
        <w:contextualSpacing w:val="0"/>
      </w:pPr>
      <w:r>
        <w:t>Activities/Events/Thematic Workshops:</w:t>
      </w:r>
    </w:p>
    <w:p w14:paraId="5906A028" w14:textId="77777777" w:rsidR="008C6D6E" w:rsidRDefault="008C6D6E" w:rsidP="00C54360">
      <w:pPr>
        <w:pStyle w:val="ListParagraph"/>
        <w:numPr>
          <w:ilvl w:val="1"/>
          <w:numId w:val="3"/>
        </w:numPr>
        <w:spacing w:before="40" w:after="40"/>
        <w:ind w:left="1134" w:right="-144" w:hanging="567"/>
        <w:contextualSpacing w:val="0"/>
      </w:pPr>
      <w:r>
        <w:t>What types of programs or events might help draw additional stakeholders and allow for the WTDC to be more focused on development topics and priorities?</w:t>
      </w:r>
    </w:p>
    <w:p w14:paraId="6E3AFE70" w14:textId="77777777" w:rsidR="008C6D6E" w:rsidRDefault="008C6D6E" w:rsidP="00C54360">
      <w:pPr>
        <w:pStyle w:val="ListParagraph"/>
        <w:numPr>
          <w:ilvl w:val="1"/>
          <w:numId w:val="3"/>
        </w:numPr>
        <w:spacing w:before="40" w:after="40"/>
        <w:ind w:left="1134" w:right="-144" w:hanging="567"/>
        <w:contextualSpacing w:val="0"/>
      </w:pPr>
      <w:r>
        <w:t>How many thematic workshops or roundtables should there be, when should they occur, and how to balance these with the work on the Member proposals? How can such activities be more incorporated into the substantive work of WTDC-21?</w:t>
      </w:r>
    </w:p>
    <w:p w14:paraId="683FFBB5" w14:textId="77777777" w:rsidR="008C6D6E" w:rsidRDefault="008C6D6E" w:rsidP="00C54360">
      <w:pPr>
        <w:pStyle w:val="ListParagraph"/>
        <w:numPr>
          <w:ilvl w:val="1"/>
          <w:numId w:val="3"/>
        </w:numPr>
        <w:spacing w:before="40" w:after="40"/>
        <w:ind w:left="1134" w:right="-144" w:hanging="567"/>
        <w:contextualSpacing w:val="0"/>
      </w:pPr>
      <w:r>
        <w:t>What should the goals and format of these sessions be?</w:t>
      </w:r>
    </w:p>
    <w:p w14:paraId="79A833AE" w14:textId="77777777" w:rsidR="008C6D6E" w:rsidRDefault="008C6D6E" w:rsidP="00C54360">
      <w:pPr>
        <w:pStyle w:val="ListParagraph"/>
        <w:numPr>
          <w:ilvl w:val="1"/>
          <w:numId w:val="3"/>
        </w:numPr>
        <w:spacing w:before="40" w:after="40"/>
        <w:ind w:left="1134" w:right="-144" w:hanging="567"/>
        <w:contextualSpacing w:val="0"/>
      </w:pPr>
      <w:r>
        <w:t>What is the recommended preparatory process for these workshops? What type of follow-up process is recommended?</w:t>
      </w:r>
    </w:p>
    <w:p w14:paraId="44D38DC0" w14:textId="77777777" w:rsidR="008C6D6E" w:rsidRDefault="008C6D6E" w:rsidP="00C54360">
      <w:pPr>
        <w:pStyle w:val="ListParagraph"/>
        <w:numPr>
          <w:ilvl w:val="0"/>
          <w:numId w:val="3"/>
        </w:numPr>
        <w:spacing w:after="120"/>
        <w:ind w:left="567" w:right="-144" w:hanging="567"/>
        <w:contextualSpacing w:val="0"/>
      </w:pPr>
      <w:r>
        <w:t>Should High Level Policy statements continue? What are other ways to attract senior-level principals and incorporate their participation?</w:t>
      </w:r>
    </w:p>
    <w:p w14:paraId="6C9F7173" w14:textId="77777777" w:rsidR="002770B1" w:rsidRDefault="003C58BF" w:rsidP="00D20099">
      <w:pPr>
        <w:tabs>
          <w:tab w:val="clear" w:pos="794"/>
          <w:tab w:val="clear" w:pos="1191"/>
          <w:tab w:val="clear" w:pos="1588"/>
          <w:tab w:val="clear" w:pos="1985"/>
        </w:tabs>
        <w:spacing w:after="120"/>
        <w:ind w:left="34" w:right="-142"/>
        <w:jc w:val="center"/>
      </w:pPr>
      <w:r>
        <w:t>_____________</w:t>
      </w:r>
      <w:r w:rsidR="004122C5">
        <w:t>_</w:t>
      </w:r>
      <w:r w:rsidR="00922EC1">
        <w:t>_</w:t>
      </w:r>
    </w:p>
    <w:sectPr w:rsidR="002770B1" w:rsidSect="00D20099">
      <w:headerReference w:type="even" r:id="rId9"/>
      <w:headerReference w:type="default" r:id="rId10"/>
      <w:footerReference w:type="even" r:id="rId11"/>
      <w:footerReference w:type="default" r:id="rId12"/>
      <w:headerReference w:type="first" r:id="rId13"/>
      <w:footerReference w:type="first" r:id="rId14"/>
      <w:pgSz w:w="11907" w:h="16834" w:code="9"/>
      <w:pgMar w:top="1418" w:right="992"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F6920" w14:textId="77777777" w:rsidR="003E5A6E" w:rsidRDefault="003E5A6E">
      <w:r>
        <w:separator/>
      </w:r>
    </w:p>
  </w:endnote>
  <w:endnote w:type="continuationSeparator" w:id="0">
    <w:p w14:paraId="3295F62B" w14:textId="77777777" w:rsidR="003E5A6E" w:rsidRDefault="003E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FF" w:usb1="C0007841"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C5B2" w14:textId="77777777" w:rsidR="00860C26" w:rsidRDefault="00860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95204" w14:textId="77777777" w:rsidR="00860C26" w:rsidRDefault="00860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Look w:val="04A0" w:firstRow="1" w:lastRow="0" w:firstColumn="1" w:lastColumn="0" w:noHBand="0" w:noVBand="1"/>
    </w:tblPr>
    <w:tblGrid>
      <w:gridCol w:w="1526"/>
      <w:gridCol w:w="2410"/>
      <w:gridCol w:w="5987"/>
    </w:tblGrid>
    <w:tr w:rsidR="0006061C" w:rsidRPr="004D495C" w14:paraId="5C2F3865" w14:textId="77777777" w:rsidTr="00CF44F0">
      <w:tc>
        <w:tcPr>
          <w:tcW w:w="1526" w:type="dxa"/>
          <w:tcBorders>
            <w:top w:val="single" w:sz="4" w:space="0" w:color="000000"/>
          </w:tcBorders>
          <w:shd w:val="clear" w:color="auto" w:fill="auto"/>
        </w:tcPr>
        <w:p w14:paraId="3A5B5406" w14:textId="77777777" w:rsidR="0006061C" w:rsidRPr="004D495C" w:rsidRDefault="0006061C" w:rsidP="0006061C">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14:paraId="5CB34A76" w14:textId="77777777" w:rsidR="0006061C" w:rsidRPr="004D495C" w:rsidRDefault="0006061C" w:rsidP="0006061C">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14:paraId="653C7A5D" w14:textId="0F931A69" w:rsidR="0006061C" w:rsidRPr="00255A4F" w:rsidRDefault="00997C55" w:rsidP="00997C55">
          <w:pPr>
            <w:pStyle w:val="FirstFooter"/>
            <w:tabs>
              <w:tab w:val="left" w:pos="2302"/>
            </w:tabs>
            <w:rPr>
              <w:sz w:val="18"/>
              <w:szCs w:val="18"/>
              <w:lang w:val="en-US"/>
            </w:rPr>
          </w:pPr>
          <w:bookmarkStart w:id="11" w:name="OrgName"/>
          <w:bookmarkEnd w:id="11"/>
          <w:proofErr w:type="spellStart"/>
          <w:r>
            <w:rPr>
              <w:sz w:val="18"/>
              <w:szCs w:val="18"/>
              <w:lang w:val="en-US"/>
            </w:rPr>
            <w:t>Mr</w:t>
          </w:r>
          <w:proofErr w:type="spellEnd"/>
          <w:r>
            <w:rPr>
              <w:sz w:val="18"/>
              <w:szCs w:val="18"/>
              <w:lang w:val="en-US"/>
            </w:rPr>
            <w:t xml:space="preserve"> </w:t>
          </w:r>
          <w:r w:rsidR="003E5A6E">
            <w:rPr>
              <w:sz w:val="18"/>
              <w:szCs w:val="18"/>
              <w:lang w:val="en-US"/>
            </w:rPr>
            <w:t xml:space="preserve">Paul Najarian, </w:t>
          </w:r>
          <w:r w:rsidRPr="00997C55">
            <w:rPr>
              <w:sz w:val="18"/>
              <w:szCs w:val="18"/>
              <w:lang w:val="en-US"/>
            </w:rPr>
            <w:t>Cyber and International Communications and Information Policy (CIP</w:t>
          </w:r>
          <w:r>
            <w:rPr>
              <w:sz w:val="18"/>
              <w:szCs w:val="18"/>
              <w:lang w:val="en-US"/>
            </w:rPr>
            <w:t>)</w:t>
          </w:r>
          <w:r w:rsidR="003E5A6E">
            <w:rPr>
              <w:sz w:val="18"/>
              <w:szCs w:val="18"/>
              <w:lang w:val="en-US"/>
            </w:rPr>
            <w:t>, United States</w:t>
          </w:r>
          <w:r w:rsidR="00860C26">
            <w:rPr>
              <w:sz w:val="18"/>
              <w:szCs w:val="18"/>
              <w:lang w:val="en-US"/>
            </w:rPr>
            <w:t xml:space="preserve"> of America</w:t>
          </w:r>
        </w:p>
      </w:tc>
    </w:tr>
    <w:tr w:rsidR="0006061C" w:rsidRPr="004D495C" w14:paraId="0C2A4A05" w14:textId="77777777" w:rsidTr="00CF44F0">
      <w:tc>
        <w:tcPr>
          <w:tcW w:w="1526" w:type="dxa"/>
          <w:shd w:val="clear" w:color="auto" w:fill="auto"/>
        </w:tcPr>
        <w:p w14:paraId="1A936923"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24353384" w14:textId="77777777" w:rsidR="0006061C" w:rsidRPr="004D495C" w:rsidRDefault="0006061C" w:rsidP="0006061C">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14:paraId="28061397" w14:textId="270B8D97" w:rsidR="0006061C" w:rsidRPr="001647C3" w:rsidRDefault="003E5A6E" w:rsidP="0006061C">
          <w:pPr>
            <w:pStyle w:val="FirstFooter"/>
            <w:tabs>
              <w:tab w:val="left" w:pos="2302"/>
            </w:tabs>
            <w:rPr>
              <w:sz w:val="18"/>
              <w:szCs w:val="18"/>
              <w:lang w:val="en-US"/>
            </w:rPr>
          </w:pPr>
          <w:bookmarkStart w:id="12" w:name="PhoneNo"/>
          <w:bookmarkEnd w:id="12"/>
          <w:r>
            <w:rPr>
              <w:sz w:val="18"/>
              <w:szCs w:val="18"/>
              <w:lang w:val="en-US"/>
            </w:rPr>
            <w:t>+1</w:t>
          </w:r>
          <w:r w:rsidR="00997C55">
            <w:rPr>
              <w:sz w:val="18"/>
              <w:szCs w:val="18"/>
              <w:lang w:val="en-US"/>
            </w:rPr>
            <w:t xml:space="preserve"> </w:t>
          </w:r>
          <w:r>
            <w:rPr>
              <w:sz w:val="18"/>
              <w:szCs w:val="18"/>
              <w:lang w:val="en-US"/>
            </w:rPr>
            <w:t>202</w:t>
          </w:r>
          <w:r w:rsidR="00997C55">
            <w:rPr>
              <w:sz w:val="18"/>
              <w:szCs w:val="18"/>
              <w:lang w:val="en-US"/>
            </w:rPr>
            <w:t xml:space="preserve"> </w:t>
          </w:r>
          <w:r>
            <w:rPr>
              <w:sz w:val="18"/>
              <w:szCs w:val="18"/>
              <w:lang w:val="en-US"/>
            </w:rPr>
            <w:t>550</w:t>
          </w:r>
          <w:r w:rsidR="00997C55">
            <w:rPr>
              <w:sz w:val="18"/>
              <w:szCs w:val="18"/>
              <w:lang w:val="en-US"/>
            </w:rPr>
            <w:t xml:space="preserve"> </w:t>
          </w:r>
          <w:r>
            <w:rPr>
              <w:sz w:val="18"/>
              <w:szCs w:val="18"/>
              <w:lang w:val="en-US"/>
            </w:rPr>
            <w:t>6386</w:t>
          </w:r>
        </w:p>
      </w:tc>
    </w:tr>
    <w:tr w:rsidR="0006061C" w:rsidRPr="004D495C" w14:paraId="2CF2D66B" w14:textId="77777777" w:rsidTr="00CF44F0">
      <w:tc>
        <w:tcPr>
          <w:tcW w:w="1526" w:type="dxa"/>
          <w:shd w:val="clear" w:color="auto" w:fill="auto"/>
        </w:tcPr>
        <w:p w14:paraId="4D666434" w14:textId="77777777" w:rsidR="0006061C" w:rsidRPr="004D495C" w:rsidRDefault="0006061C" w:rsidP="0006061C">
          <w:pPr>
            <w:pStyle w:val="FirstFooter"/>
            <w:tabs>
              <w:tab w:val="left" w:pos="1559"/>
              <w:tab w:val="left" w:pos="3828"/>
            </w:tabs>
            <w:rPr>
              <w:sz w:val="20"/>
              <w:lang w:val="en-US"/>
            </w:rPr>
          </w:pPr>
        </w:p>
      </w:tc>
      <w:tc>
        <w:tcPr>
          <w:tcW w:w="2410" w:type="dxa"/>
          <w:shd w:val="clear" w:color="auto" w:fill="auto"/>
        </w:tcPr>
        <w:p w14:paraId="6C1EF62E" w14:textId="77777777" w:rsidR="0006061C" w:rsidRPr="004D495C" w:rsidRDefault="0006061C" w:rsidP="0006061C">
          <w:pPr>
            <w:pStyle w:val="FirstFooter"/>
            <w:tabs>
              <w:tab w:val="left" w:pos="2302"/>
            </w:tabs>
            <w:rPr>
              <w:sz w:val="18"/>
              <w:szCs w:val="18"/>
              <w:lang w:val="en-US"/>
            </w:rPr>
          </w:pPr>
          <w:r w:rsidRPr="004D495C">
            <w:rPr>
              <w:sz w:val="18"/>
              <w:szCs w:val="18"/>
              <w:lang w:val="en-US"/>
            </w:rPr>
            <w:t>E-mail:</w:t>
          </w:r>
        </w:p>
      </w:tc>
      <w:bookmarkStart w:id="13" w:name="Email"/>
      <w:bookmarkEnd w:id="13"/>
      <w:tc>
        <w:tcPr>
          <w:tcW w:w="5987" w:type="dxa"/>
          <w:shd w:val="clear" w:color="auto" w:fill="auto"/>
        </w:tcPr>
        <w:p w14:paraId="7AD73400" w14:textId="679DEED3" w:rsidR="0006061C" w:rsidRPr="001647C3" w:rsidRDefault="00997C55" w:rsidP="0006061C">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"mailto:najarianpb@state.gov" </w:instrText>
          </w:r>
          <w:r>
            <w:rPr>
              <w:sz w:val="18"/>
              <w:szCs w:val="18"/>
              <w:lang w:val="en-US"/>
            </w:rPr>
            <w:fldChar w:fldCharType="separate"/>
          </w:r>
          <w:r w:rsidRPr="00F01CA1">
            <w:rPr>
              <w:rStyle w:val="Hyperlink"/>
              <w:sz w:val="18"/>
              <w:szCs w:val="18"/>
              <w:lang w:val="en-US"/>
            </w:rPr>
            <w:t>najarianpb@state.gov</w:t>
          </w:r>
          <w:r>
            <w:rPr>
              <w:sz w:val="18"/>
              <w:szCs w:val="18"/>
              <w:lang w:val="en-US"/>
            </w:rPr>
            <w:fldChar w:fldCharType="end"/>
          </w:r>
          <w:r>
            <w:rPr>
              <w:sz w:val="18"/>
              <w:szCs w:val="18"/>
              <w:lang w:val="en-US"/>
            </w:rPr>
            <w:t xml:space="preserve"> </w:t>
          </w:r>
        </w:p>
      </w:tc>
    </w:tr>
  </w:tbl>
  <w:p w14:paraId="7B18886E" w14:textId="77777777" w:rsidR="0006061C" w:rsidRPr="00D83BF5" w:rsidRDefault="00A92800" w:rsidP="0006061C">
    <w:pPr>
      <w:jc w:val="center"/>
    </w:pPr>
    <w:hyperlink r:id="rId1" w:history="1">
      <w:r w:rsidR="0006061C" w:rsidRPr="001E252D">
        <w:rPr>
          <w:rStyle w:val="Hyperlink"/>
          <w:sz w:val="20"/>
        </w:rPr>
        <w:t>TDAG</w:t>
      </w:r>
    </w:hyperlink>
  </w:p>
  <w:p w14:paraId="7736E1B0" w14:textId="77777777" w:rsidR="00721657" w:rsidRPr="0006061C" w:rsidRDefault="00721657" w:rsidP="0006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0B9D" w14:textId="77777777" w:rsidR="003E5A6E" w:rsidRDefault="003E5A6E">
      <w:r>
        <w:t>____________________</w:t>
      </w:r>
    </w:p>
  </w:footnote>
  <w:footnote w:type="continuationSeparator" w:id="0">
    <w:p w14:paraId="41685930" w14:textId="77777777" w:rsidR="003E5A6E" w:rsidRDefault="003E5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A73D0" w14:textId="77777777" w:rsidR="00860C26" w:rsidRDefault="00860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907B5" w14:textId="64AA0D86" w:rsidR="00721657" w:rsidRPr="00997C55" w:rsidRDefault="00997C55" w:rsidP="00997C55">
    <w:pPr>
      <w:tabs>
        <w:tab w:val="clear" w:pos="794"/>
        <w:tab w:val="clear" w:pos="1191"/>
        <w:tab w:val="clear" w:pos="1588"/>
        <w:tab w:val="clear" w:pos="1985"/>
        <w:tab w:val="center" w:pos="4820"/>
        <w:tab w:val="right" w:pos="9639"/>
      </w:tabs>
      <w:spacing w:before="0" w:after="120"/>
      <w:ind w:right="1"/>
      <w:rPr>
        <w:rStyle w:val="PageNumber"/>
      </w:rPr>
    </w:pPr>
    <w:r w:rsidRPr="00972BCD">
      <w:rPr>
        <w:sz w:val="22"/>
        <w:szCs w:val="22"/>
      </w:rPr>
      <w:tab/>
    </w:r>
    <w:r w:rsidRPr="00A54E72">
      <w:rPr>
        <w:sz w:val="22"/>
        <w:szCs w:val="22"/>
        <w:lang w:val="de-CH"/>
      </w:rPr>
      <w:t>TDAG</w:t>
    </w:r>
    <w:r>
      <w:rPr>
        <w:sz w:val="22"/>
        <w:szCs w:val="22"/>
        <w:lang w:val="de-CH"/>
      </w:rPr>
      <w:t>-20</w:t>
    </w:r>
    <w:r w:rsidRPr="00A54E72">
      <w:rPr>
        <w:sz w:val="22"/>
        <w:szCs w:val="22"/>
        <w:lang w:val="de-CH"/>
      </w:rPr>
      <w:t>/</w:t>
    </w:r>
    <w:r>
      <w:rPr>
        <w:sz w:val="22"/>
        <w:szCs w:val="22"/>
        <w:lang w:val="de-CH"/>
      </w:rPr>
      <w:t>52</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A92800">
      <w:rPr>
        <w:noProof/>
        <w:sz w:val="22"/>
        <w:szCs w:val="22"/>
        <w:lang w:val="de-CH"/>
      </w:rPr>
      <w:t>3</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70D92" w14:textId="77777777" w:rsidR="00860C26" w:rsidRDefault="00860C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0531A"/>
    <w:multiLevelType w:val="hybridMultilevel"/>
    <w:tmpl w:val="6A4426A0"/>
    <w:lvl w:ilvl="0" w:tplc="D8AA70EE">
      <w:start w:val="1"/>
      <w:numFmt w:val="bullet"/>
      <w:lvlText w:val=""/>
      <w:lvlJc w:val="left"/>
      <w:pPr>
        <w:ind w:left="394" w:hanging="360"/>
      </w:pPr>
      <w:rPr>
        <w:rFonts w:ascii="Symbol" w:hAnsi="Symbol" w:hint="default"/>
      </w:rPr>
    </w:lvl>
    <w:lvl w:ilvl="1" w:tplc="04090001">
      <w:start w:val="1"/>
      <w:numFmt w:val="bullet"/>
      <w:lvlText w:val=""/>
      <w:lvlJc w:val="left"/>
      <w:pPr>
        <w:ind w:left="1114" w:hanging="360"/>
      </w:pPr>
      <w:rPr>
        <w:rFonts w:ascii="Symbol" w:hAnsi="Symbol" w:hint="default"/>
      </w:rPr>
    </w:lvl>
    <w:lvl w:ilvl="2" w:tplc="04090005">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 w15:restartNumberingAfterBreak="0">
    <w:nsid w:val="51F20658"/>
    <w:multiLevelType w:val="hybridMultilevel"/>
    <w:tmpl w:val="6C486A1C"/>
    <w:lvl w:ilvl="0" w:tplc="D8AA70EE">
      <w:start w:val="1"/>
      <w:numFmt w:val="bullet"/>
      <w:lvlText w:val=""/>
      <w:lvlJc w:val="left"/>
      <w:pPr>
        <w:ind w:left="394" w:hanging="360"/>
      </w:pPr>
      <w:rPr>
        <w:rFonts w:ascii="Symbol" w:hAnsi="Symbol" w:hint="default"/>
      </w:rPr>
    </w:lvl>
    <w:lvl w:ilvl="1" w:tplc="04090001">
      <w:start w:val="1"/>
      <w:numFmt w:val="bullet"/>
      <w:lvlText w:val=""/>
      <w:lvlJc w:val="left"/>
      <w:pPr>
        <w:ind w:left="1114" w:hanging="360"/>
      </w:pPr>
      <w:rPr>
        <w:rFonts w:ascii="Symbol" w:hAnsi="Symbol"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6E"/>
    <w:rsid w:val="00002716"/>
    <w:rsid w:val="00005791"/>
    <w:rsid w:val="00010827"/>
    <w:rsid w:val="00012580"/>
    <w:rsid w:val="00015089"/>
    <w:rsid w:val="0002520B"/>
    <w:rsid w:val="00037A9E"/>
    <w:rsid w:val="00037F91"/>
    <w:rsid w:val="000539F1"/>
    <w:rsid w:val="00054747"/>
    <w:rsid w:val="0005521D"/>
    <w:rsid w:val="00055A2A"/>
    <w:rsid w:val="0006061C"/>
    <w:rsid w:val="000615C1"/>
    <w:rsid w:val="00061675"/>
    <w:rsid w:val="00073308"/>
    <w:rsid w:val="000743AA"/>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63091"/>
    <w:rsid w:val="001645CB"/>
    <w:rsid w:val="001647C3"/>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F23E6"/>
    <w:rsid w:val="001F4238"/>
    <w:rsid w:val="00200A38"/>
    <w:rsid w:val="00200A46"/>
    <w:rsid w:val="00211B6F"/>
    <w:rsid w:val="00217CC3"/>
    <w:rsid w:val="00220AB6"/>
    <w:rsid w:val="0022120F"/>
    <w:rsid w:val="0022754A"/>
    <w:rsid w:val="00231D64"/>
    <w:rsid w:val="00236560"/>
    <w:rsid w:val="0023662E"/>
    <w:rsid w:val="00245D0F"/>
    <w:rsid w:val="002548C3"/>
    <w:rsid w:val="00255A4F"/>
    <w:rsid w:val="00257ACD"/>
    <w:rsid w:val="00262908"/>
    <w:rsid w:val="002650F4"/>
    <w:rsid w:val="002715FD"/>
    <w:rsid w:val="002770B1"/>
    <w:rsid w:val="00285B33"/>
    <w:rsid w:val="00287A3C"/>
    <w:rsid w:val="002A2FC6"/>
    <w:rsid w:val="002A7DEE"/>
    <w:rsid w:val="002C1EC7"/>
    <w:rsid w:val="002C4342"/>
    <w:rsid w:val="002C7EA3"/>
    <w:rsid w:val="002D20AE"/>
    <w:rsid w:val="002D6C61"/>
    <w:rsid w:val="002E2104"/>
    <w:rsid w:val="002E2DAC"/>
    <w:rsid w:val="002E6963"/>
    <w:rsid w:val="002E6F8F"/>
    <w:rsid w:val="002F05D8"/>
    <w:rsid w:val="002F2DE0"/>
    <w:rsid w:val="002F5E25"/>
    <w:rsid w:val="0030353C"/>
    <w:rsid w:val="003125C3"/>
    <w:rsid w:val="00312AE6"/>
    <w:rsid w:val="00317D1A"/>
    <w:rsid w:val="003211FF"/>
    <w:rsid w:val="00327058"/>
    <w:rsid w:val="00327247"/>
    <w:rsid w:val="00327A9D"/>
    <w:rsid w:val="0033130E"/>
    <w:rsid w:val="0033269C"/>
    <w:rsid w:val="0035516C"/>
    <w:rsid w:val="00355A4C"/>
    <w:rsid w:val="003604FB"/>
    <w:rsid w:val="00360B73"/>
    <w:rsid w:val="003708C3"/>
    <w:rsid w:val="00380B71"/>
    <w:rsid w:val="0038365A"/>
    <w:rsid w:val="00386A89"/>
    <w:rsid w:val="0039648E"/>
    <w:rsid w:val="003A5AFE"/>
    <w:rsid w:val="003A5D5F"/>
    <w:rsid w:val="003A7FFE"/>
    <w:rsid w:val="003B0A63"/>
    <w:rsid w:val="003B50E1"/>
    <w:rsid w:val="003C1746"/>
    <w:rsid w:val="003C2AA9"/>
    <w:rsid w:val="003C58BF"/>
    <w:rsid w:val="003D451D"/>
    <w:rsid w:val="003E5A6E"/>
    <w:rsid w:val="003F2DD8"/>
    <w:rsid w:val="003F3F2D"/>
    <w:rsid w:val="003F50B2"/>
    <w:rsid w:val="00400CCF"/>
    <w:rsid w:val="00401BFF"/>
    <w:rsid w:val="00404424"/>
    <w:rsid w:val="0041156B"/>
    <w:rsid w:val="004122C5"/>
    <w:rsid w:val="00413B78"/>
    <w:rsid w:val="00416DDE"/>
    <w:rsid w:val="004258F6"/>
    <w:rsid w:val="00431AAD"/>
    <w:rsid w:val="0044411E"/>
    <w:rsid w:val="00453435"/>
    <w:rsid w:val="00466398"/>
    <w:rsid w:val="0047306D"/>
    <w:rsid w:val="00473791"/>
    <w:rsid w:val="00476E48"/>
    <w:rsid w:val="00481DE9"/>
    <w:rsid w:val="0049128B"/>
    <w:rsid w:val="004933BE"/>
    <w:rsid w:val="00493B49"/>
    <w:rsid w:val="00495501"/>
    <w:rsid w:val="004A070A"/>
    <w:rsid w:val="004A320E"/>
    <w:rsid w:val="004A4E9C"/>
    <w:rsid w:val="004B1A3C"/>
    <w:rsid w:val="004B6D00"/>
    <w:rsid w:val="004D2CC3"/>
    <w:rsid w:val="004D35C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32DD"/>
    <w:rsid w:val="0056423B"/>
    <w:rsid w:val="00570AE8"/>
    <w:rsid w:val="00573424"/>
    <w:rsid w:val="0057402F"/>
    <w:rsid w:val="005849D6"/>
    <w:rsid w:val="00585367"/>
    <w:rsid w:val="005871A1"/>
    <w:rsid w:val="0058737E"/>
    <w:rsid w:val="00592518"/>
    <w:rsid w:val="00592E87"/>
    <w:rsid w:val="00594C4D"/>
    <w:rsid w:val="005A315A"/>
    <w:rsid w:val="005A33B0"/>
    <w:rsid w:val="005C2DC2"/>
    <w:rsid w:val="005C304A"/>
    <w:rsid w:val="005C3D69"/>
    <w:rsid w:val="005C7C98"/>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3D93"/>
    <w:rsid w:val="007019B1"/>
    <w:rsid w:val="00721657"/>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A5F1F"/>
    <w:rsid w:val="007B18A7"/>
    <w:rsid w:val="007B250E"/>
    <w:rsid w:val="007C27FC"/>
    <w:rsid w:val="007C51FF"/>
    <w:rsid w:val="007D50E4"/>
    <w:rsid w:val="007E2DC5"/>
    <w:rsid w:val="007F1CC7"/>
    <w:rsid w:val="008027AC"/>
    <w:rsid w:val="008028CE"/>
    <w:rsid w:val="0080332E"/>
    <w:rsid w:val="008141E0"/>
    <w:rsid w:val="00816EE1"/>
    <w:rsid w:val="00816F88"/>
    <w:rsid w:val="00822323"/>
    <w:rsid w:val="00827BC6"/>
    <w:rsid w:val="008300AD"/>
    <w:rsid w:val="00833024"/>
    <w:rsid w:val="008419B1"/>
    <w:rsid w:val="00844A56"/>
    <w:rsid w:val="00845B11"/>
    <w:rsid w:val="00852081"/>
    <w:rsid w:val="00860C26"/>
    <w:rsid w:val="00872B6E"/>
    <w:rsid w:val="00874DFD"/>
    <w:rsid w:val="008802F9"/>
    <w:rsid w:val="00883086"/>
    <w:rsid w:val="008879FD"/>
    <w:rsid w:val="00894C37"/>
    <w:rsid w:val="008A00EA"/>
    <w:rsid w:val="008A3F93"/>
    <w:rsid w:val="008A6236"/>
    <w:rsid w:val="008A6E1C"/>
    <w:rsid w:val="008A72FD"/>
    <w:rsid w:val="008A7954"/>
    <w:rsid w:val="008B2EDF"/>
    <w:rsid w:val="008B53D1"/>
    <w:rsid w:val="008B54CB"/>
    <w:rsid w:val="008B5A3D"/>
    <w:rsid w:val="008C4010"/>
    <w:rsid w:val="008C4FDF"/>
    <w:rsid w:val="008C6B1F"/>
    <w:rsid w:val="008C6D6E"/>
    <w:rsid w:val="008D5E4F"/>
    <w:rsid w:val="008F14F5"/>
    <w:rsid w:val="008F71C1"/>
    <w:rsid w:val="00902D41"/>
    <w:rsid w:val="00902F49"/>
    <w:rsid w:val="00914004"/>
    <w:rsid w:val="00914279"/>
    <w:rsid w:val="00922EC1"/>
    <w:rsid w:val="009301F1"/>
    <w:rsid w:val="009307DF"/>
    <w:rsid w:val="009359B8"/>
    <w:rsid w:val="00935FF0"/>
    <w:rsid w:val="009431F8"/>
    <w:rsid w:val="00947A35"/>
    <w:rsid w:val="0096201B"/>
    <w:rsid w:val="00962081"/>
    <w:rsid w:val="00966CB5"/>
    <w:rsid w:val="00975786"/>
    <w:rsid w:val="00977AF0"/>
    <w:rsid w:val="00981CB7"/>
    <w:rsid w:val="00983E1F"/>
    <w:rsid w:val="00993F46"/>
    <w:rsid w:val="00997358"/>
    <w:rsid w:val="00997C55"/>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60087"/>
    <w:rsid w:val="00A705E8"/>
    <w:rsid w:val="00A721F4"/>
    <w:rsid w:val="00A73DCA"/>
    <w:rsid w:val="00A8762A"/>
    <w:rsid w:val="00A92800"/>
    <w:rsid w:val="00A9392C"/>
    <w:rsid w:val="00A9462B"/>
    <w:rsid w:val="00A97D59"/>
    <w:rsid w:val="00AA3E09"/>
    <w:rsid w:val="00AA4BEF"/>
    <w:rsid w:val="00AB1659"/>
    <w:rsid w:val="00AB4962"/>
    <w:rsid w:val="00AB734E"/>
    <w:rsid w:val="00AB740F"/>
    <w:rsid w:val="00AC6F14"/>
    <w:rsid w:val="00AC7221"/>
    <w:rsid w:val="00AE5961"/>
    <w:rsid w:val="00AF0745"/>
    <w:rsid w:val="00AF4971"/>
    <w:rsid w:val="00AF5276"/>
    <w:rsid w:val="00AF7C86"/>
    <w:rsid w:val="00B01046"/>
    <w:rsid w:val="00B15F49"/>
    <w:rsid w:val="00B310F9"/>
    <w:rsid w:val="00B37866"/>
    <w:rsid w:val="00B412FB"/>
    <w:rsid w:val="00B41EFD"/>
    <w:rsid w:val="00B4576B"/>
    <w:rsid w:val="00B46350"/>
    <w:rsid w:val="00B46DF3"/>
    <w:rsid w:val="00B656E3"/>
    <w:rsid w:val="00B66E8F"/>
    <w:rsid w:val="00B80157"/>
    <w:rsid w:val="00B83D5E"/>
    <w:rsid w:val="00B8460A"/>
    <w:rsid w:val="00B8650D"/>
    <w:rsid w:val="00B879B4"/>
    <w:rsid w:val="00B9021E"/>
    <w:rsid w:val="00B90F07"/>
    <w:rsid w:val="00B97BB9"/>
    <w:rsid w:val="00BA0009"/>
    <w:rsid w:val="00BB1863"/>
    <w:rsid w:val="00BB25EE"/>
    <w:rsid w:val="00BB363A"/>
    <w:rsid w:val="00BC10A0"/>
    <w:rsid w:val="00BC7BA2"/>
    <w:rsid w:val="00BD426B"/>
    <w:rsid w:val="00BD4FC6"/>
    <w:rsid w:val="00BD79F0"/>
    <w:rsid w:val="00BE2B4D"/>
    <w:rsid w:val="00C015F8"/>
    <w:rsid w:val="00C07E26"/>
    <w:rsid w:val="00C1011C"/>
    <w:rsid w:val="00C12F94"/>
    <w:rsid w:val="00C177C5"/>
    <w:rsid w:val="00C34EC3"/>
    <w:rsid w:val="00C4038C"/>
    <w:rsid w:val="00C42BA2"/>
    <w:rsid w:val="00C44066"/>
    <w:rsid w:val="00C44E13"/>
    <w:rsid w:val="00C54360"/>
    <w:rsid w:val="00C60A41"/>
    <w:rsid w:val="00C623B7"/>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20099"/>
    <w:rsid w:val="00D20E99"/>
    <w:rsid w:val="00D21C83"/>
    <w:rsid w:val="00D35BDD"/>
    <w:rsid w:val="00D63006"/>
    <w:rsid w:val="00D72301"/>
    <w:rsid w:val="00D911DE"/>
    <w:rsid w:val="00D91B97"/>
    <w:rsid w:val="00D93ACC"/>
    <w:rsid w:val="00D93C08"/>
    <w:rsid w:val="00D95DAC"/>
    <w:rsid w:val="00DA0B53"/>
    <w:rsid w:val="00DB1171"/>
    <w:rsid w:val="00DB1519"/>
    <w:rsid w:val="00DB2840"/>
    <w:rsid w:val="00DC1BD3"/>
    <w:rsid w:val="00DC2C1A"/>
    <w:rsid w:val="00DD66B4"/>
    <w:rsid w:val="00DE1972"/>
    <w:rsid w:val="00DE27AB"/>
    <w:rsid w:val="00DF2AB3"/>
    <w:rsid w:val="00DF7250"/>
    <w:rsid w:val="00E00CAA"/>
    <w:rsid w:val="00E03EBF"/>
    <w:rsid w:val="00E05209"/>
    <w:rsid w:val="00E11BCF"/>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7DE7"/>
    <w:rsid w:val="00EB7A8A"/>
    <w:rsid w:val="00EC454C"/>
    <w:rsid w:val="00EE0CA8"/>
    <w:rsid w:val="00EE3A64"/>
    <w:rsid w:val="00EE50E5"/>
    <w:rsid w:val="00EF01CF"/>
    <w:rsid w:val="00F03590"/>
    <w:rsid w:val="00F03622"/>
    <w:rsid w:val="00F05E9A"/>
    <w:rsid w:val="00F077FD"/>
    <w:rsid w:val="00F124FF"/>
    <w:rsid w:val="00F204F3"/>
    <w:rsid w:val="00F218AB"/>
    <w:rsid w:val="00F238B3"/>
    <w:rsid w:val="00F24FED"/>
    <w:rsid w:val="00F25586"/>
    <w:rsid w:val="00F2651D"/>
    <w:rsid w:val="00F27362"/>
    <w:rsid w:val="00F31498"/>
    <w:rsid w:val="00F32FEF"/>
    <w:rsid w:val="00F36036"/>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3EC1"/>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E54C21C"/>
  <w15:docId w15:val="{3E9BCB81-2512-492B-BEE2-882BD212A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30353C"/>
    <w:pPr>
      <w:spacing w:before="840"/>
      <w:jc w:val="center"/>
    </w:pPr>
    <w:rPr>
      <w:b/>
      <w:sz w:val="28"/>
    </w:rPr>
  </w:style>
  <w:style w:type="paragraph" w:customStyle="1" w:styleId="Title1">
    <w:name w:val="Title 1"/>
    <w:basedOn w:val="Source"/>
    <w:next w:val="Title2"/>
    <w:rsid w:val="0030353C"/>
    <w:pPr>
      <w:tabs>
        <w:tab w:val="clear" w:pos="794"/>
        <w:tab w:val="clear" w:pos="1191"/>
        <w:tab w:val="clear" w:pos="1588"/>
        <w:tab w:val="clear" w:pos="1985"/>
        <w:tab w:val="left" w:pos="567"/>
        <w:tab w:val="left" w:pos="1134"/>
        <w:tab w:val="left" w:pos="1701"/>
        <w:tab w:val="left" w:pos="2268"/>
        <w:tab w:val="left" w:pos="2835"/>
      </w:tabs>
      <w:spacing w:before="24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basedOn w:val="DefaultParagraphFon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character" w:customStyle="1" w:styleId="UnresolvedMention">
    <w:name w:val="Unresolved Mention"/>
    <w:basedOn w:val="DefaultParagraphFont"/>
    <w:uiPriority w:val="99"/>
    <w:semiHidden/>
    <w:unhideWhenUsed/>
    <w:rsid w:val="00997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TDAG/Pages/TDAG19/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ALLBDT\TDAG\2020\PE_TD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1D425-AB76-4390-8C06-8C990C9AE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PE_TDAG20.dotm</Template>
  <TotalTime>6</TotalTime>
  <Pages>3</Pages>
  <Words>833</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TDAG17</vt:lpstr>
    </vt:vector>
  </TitlesOfParts>
  <Manager>General Secretariat - Pool</Manager>
  <Company>International Telecommunication Union (ITU)</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TDAG17</dc:title>
  <dc:creator>BDT-nd</dc:creator>
  <cp:lastModifiedBy>Comas Barnes, Maite</cp:lastModifiedBy>
  <cp:revision>6</cp:revision>
  <cp:lastPrinted>2014-11-04T09:22:00Z</cp:lastPrinted>
  <dcterms:created xsi:type="dcterms:W3CDTF">2020-05-21T09:23:00Z</dcterms:created>
  <dcterms:modified xsi:type="dcterms:W3CDTF">2020-05-21T09:30:00Z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