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425"/>
        <w:gridCol w:w="2800"/>
        <w:gridCol w:w="35"/>
      </w:tblGrid>
      <w:tr w:rsidR="009D3C99" w14:paraId="44A1EC60" w14:textId="77777777" w:rsidTr="00D20099">
        <w:trPr>
          <w:cantSplit/>
          <w:trHeight w:val="1134"/>
        </w:trPr>
        <w:tc>
          <w:tcPr>
            <w:tcW w:w="7088" w:type="dxa"/>
            <w:gridSpan w:val="2"/>
          </w:tcPr>
          <w:p w14:paraId="315CE91B" w14:textId="500B17B2" w:rsidR="009D3C99" w:rsidRDefault="009D3C99" w:rsidP="009D3C99">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C9BD010" w14:textId="0D0567DB" w:rsidR="009D3C99" w:rsidRPr="00844A56" w:rsidRDefault="009D3C99" w:rsidP="009D3C99">
            <w:pPr>
              <w:tabs>
                <w:tab w:val="clear" w:pos="1191"/>
                <w:tab w:val="clear" w:pos="1588"/>
                <w:tab w:val="clear" w:pos="1985"/>
              </w:tabs>
              <w:spacing w:before="100" w:after="120"/>
              <w:ind w:left="34" w:right="-142"/>
              <w:rPr>
                <w:rFonts w:ascii="Verdana" w:hAnsi="Verdana"/>
                <w:sz w:val="28"/>
                <w:szCs w:val="28"/>
              </w:rPr>
            </w:pPr>
            <w:r>
              <w:rPr>
                <w:b/>
                <w:bCs/>
                <w:sz w:val="26"/>
                <w:szCs w:val="26"/>
              </w:rPr>
              <w:t xml:space="preserve">25th Meeting, Geneva, </w:t>
            </w:r>
            <w:r w:rsidR="004650F8">
              <w:rPr>
                <w:b/>
                <w:bCs/>
                <w:sz w:val="26"/>
                <w:szCs w:val="26"/>
              </w:rPr>
              <w:t>2-5</w:t>
            </w:r>
            <w:r>
              <w:rPr>
                <w:b/>
                <w:bCs/>
                <w:sz w:val="26"/>
                <w:szCs w:val="26"/>
              </w:rPr>
              <w:t xml:space="preserve"> </w:t>
            </w:r>
            <w:r w:rsidR="004650F8">
              <w:rPr>
                <w:b/>
                <w:bCs/>
                <w:sz w:val="26"/>
                <w:szCs w:val="26"/>
              </w:rPr>
              <w:t>June</w:t>
            </w:r>
            <w:r>
              <w:rPr>
                <w:b/>
                <w:bCs/>
                <w:sz w:val="26"/>
                <w:szCs w:val="26"/>
              </w:rPr>
              <w:t xml:space="preserve"> 2020</w:t>
            </w:r>
          </w:p>
        </w:tc>
        <w:tc>
          <w:tcPr>
            <w:tcW w:w="2835" w:type="dxa"/>
            <w:gridSpan w:val="2"/>
          </w:tcPr>
          <w:p w14:paraId="0089E1A3" w14:textId="63F542E0" w:rsidR="009D3C99" w:rsidRPr="00683C32" w:rsidRDefault="009D3C99" w:rsidP="009D3C99">
            <w:pPr>
              <w:spacing w:before="0"/>
              <w:jc w:val="right"/>
            </w:pPr>
            <w:r w:rsidRPr="008E52B1">
              <w:rPr>
                <w:noProof/>
                <w:color w:val="3399FF"/>
                <w:lang w:val="en-CA" w:eastAsia="en-CA"/>
              </w:rPr>
              <w:drawing>
                <wp:inline distT="0" distB="0" distL="0" distR="0" wp14:anchorId="5313777F" wp14:editId="2CDC211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F910C04" w14:textId="77777777" w:rsidTr="00D20099">
        <w:trPr>
          <w:gridAfter w:val="1"/>
          <w:wAfter w:w="35" w:type="dxa"/>
          <w:cantSplit/>
        </w:trPr>
        <w:tc>
          <w:tcPr>
            <w:tcW w:w="6663" w:type="dxa"/>
            <w:tcBorders>
              <w:top w:val="single" w:sz="12" w:space="0" w:color="auto"/>
            </w:tcBorders>
          </w:tcPr>
          <w:p w14:paraId="12F607A1" w14:textId="77777777" w:rsidR="00683C32" w:rsidRPr="00997358" w:rsidRDefault="00683C32" w:rsidP="00D20099">
            <w:pPr>
              <w:spacing w:before="0"/>
              <w:ind w:left="34" w:right="-142"/>
              <w:rPr>
                <w:rFonts w:cs="Arial"/>
                <w:b/>
                <w:bCs/>
                <w:sz w:val="20"/>
              </w:rPr>
            </w:pPr>
          </w:p>
        </w:tc>
        <w:tc>
          <w:tcPr>
            <w:tcW w:w="3225" w:type="dxa"/>
            <w:gridSpan w:val="2"/>
            <w:tcBorders>
              <w:top w:val="single" w:sz="12" w:space="0" w:color="auto"/>
            </w:tcBorders>
          </w:tcPr>
          <w:p w14:paraId="038F67E2" w14:textId="77777777" w:rsidR="00683C32" w:rsidRPr="00997358" w:rsidRDefault="00683C32" w:rsidP="00D20099">
            <w:pPr>
              <w:spacing w:before="0"/>
              <w:ind w:left="34" w:right="-142"/>
              <w:rPr>
                <w:b/>
                <w:bCs/>
                <w:sz w:val="20"/>
              </w:rPr>
            </w:pPr>
          </w:p>
        </w:tc>
      </w:tr>
      <w:tr w:rsidR="00683C32" w:rsidRPr="00002716" w14:paraId="4EBA5443" w14:textId="77777777" w:rsidTr="00D20099">
        <w:trPr>
          <w:gridAfter w:val="1"/>
          <w:wAfter w:w="35" w:type="dxa"/>
          <w:cantSplit/>
        </w:trPr>
        <w:tc>
          <w:tcPr>
            <w:tcW w:w="6663" w:type="dxa"/>
          </w:tcPr>
          <w:p w14:paraId="6A86B0CB" w14:textId="77777777" w:rsidR="00683C32" w:rsidRPr="007F1CC7" w:rsidRDefault="00683C32" w:rsidP="00D20099">
            <w:pPr>
              <w:pStyle w:val="Committee"/>
              <w:spacing w:before="0"/>
              <w:ind w:left="34" w:right="-142"/>
              <w:rPr>
                <w:b w:val="0"/>
                <w:szCs w:val="24"/>
              </w:rPr>
            </w:pPr>
          </w:p>
        </w:tc>
        <w:tc>
          <w:tcPr>
            <w:tcW w:w="3225" w:type="dxa"/>
            <w:gridSpan w:val="2"/>
          </w:tcPr>
          <w:p w14:paraId="4C39568E" w14:textId="24856C07" w:rsidR="00683C32" w:rsidRPr="007F1CC7" w:rsidRDefault="0096201B" w:rsidP="00D20099">
            <w:pPr>
              <w:spacing w:before="0"/>
              <w:ind w:left="34" w:right="-142"/>
              <w:jc w:val="both"/>
              <w:rPr>
                <w:bCs/>
                <w:szCs w:val="24"/>
                <w:lang w:val="en-US"/>
              </w:rPr>
            </w:pPr>
            <w:r w:rsidRPr="00002716">
              <w:rPr>
                <w:b/>
                <w:bCs/>
                <w:lang w:val="en-US"/>
              </w:rPr>
              <w:t>Document</w:t>
            </w:r>
            <w:bookmarkStart w:id="0" w:name="DocRef1"/>
            <w:bookmarkEnd w:id="0"/>
            <w:r w:rsidR="009D3C99">
              <w:rPr>
                <w:b/>
                <w:bCs/>
                <w:lang w:val="en-US"/>
              </w:rPr>
              <w:t xml:space="preserve"> TDAG-20</w:t>
            </w:r>
            <w:r w:rsidR="009D3C99" w:rsidRPr="00A54E72">
              <w:rPr>
                <w:b/>
                <w:bCs/>
                <w:lang w:val="en-US"/>
              </w:rPr>
              <w:t>/</w:t>
            </w:r>
            <w:bookmarkStart w:id="1" w:name="DocNo1"/>
            <w:bookmarkEnd w:id="1"/>
            <w:r w:rsidR="00D52816">
              <w:rPr>
                <w:b/>
                <w:bCs/>
                <w:lang w:val="en-US"/>
              </w:rPr>
              <w:t>51</w:t>
            </w:r>
            <w:r w:rsidR="00C94F28">
              <w:rPr>
                <w:b/>
                <w:bCs/>
                <w:lang w:val="en-US"/>
              </w:rPr>
              <w:t>-E</w:t>
            </w:r>
          </w:p>
        </w:tc>
      </w:tr>
      <w:tr w:rsidR="00683C32" w14:paraId="51CA9284" w14:textId="77777777" w:rsidTr="00D20099">
        <w:trPr>
          <w:gridAfter w:val="1"/>
          <w:wAfter w:w="35" w:type="dxa"/>
          <w:cantSplit/>
        </w:trPr>
        <w:tc>
          <w:tcPr>
            <w:tcW w:w="6663" w:type="dxa"/>
          </w:tcPr>
          <w:p w14:paraId="5D3F5D8A" w14:textId="77777777" w:rsidR="00683C32" w:rsidRPr="007F1CC7" w:rsidRDefault="00683C32" w:rsidP="00D20099">
            <w:pPr>
              <w:spacing w:before="0"/>
              <w:ind w:left="34" w:right="-142"/>
              <w:rPr>
                <w:b/>
                <w:bCs/>
                <w:smallCaps/>
                <w:szCs w:val="24"/>
                <w:lang w:val="en-US"/>
              </w:rPr>
            </w:pPr>
          </w:p>
        </w:tc>
        <w:tc>
          <w:tcPr>
            <w:tcW w:w="3225" w:type="dxa"/>
            <w:gridSpan w:val="2"/>
          </w:tcPr>
          <w:p w14:paraId="62F450BF" w14:textId="432ECCC6" w:rsidR="00683C32" w:rsidRPr="007F1CC7" w:rsidRDefault="00D43CFA" w:rsidP="001B2305">
            <w:pPr>
              <w:spacing w:before="0"/>
              <w:ind w:left="34" w:right="-142"/>
              <w:rPr>
                <w:b/>
                <w:szCs w:val="24"/>
              </w:rPr>
            </w:pPr>
            <w:bookmarkStart w:id="2" w:name="CreationDate"/>
            <w:bookmarkEnd w:id="2"/>
            <w:r>
              <w:rPr>
                <w:b/>
                <w:szCs w:val="24"/>
              </w:rPr>
              <w:t xml:space="preserve">19 </w:t>
            </w:r>
            <w:r w:rsidR="00EF6CE5">
              <w:rPr>
                <w:b/>
                <w:szCs w:val="24"/>
              </w:rPr>
              <w:t>May</w:t>
            </w:r>
            <w:r w:rsidR="001B2305">
              <w:rPr>
                <w:b/>
                <w:szCs w:val="24"/>
              </w:rPr>
              <w:t xml:space="preserve"> </w:t>
            </w:r>
            <w:r w:rsidR="009D3C99">
              <w:rPr>
                <w:b/>
                <w:szCs w:val="24"/>
              </w:rPr>
              <w:t>2020</w:t>
            </w:r>
          </w:p>
        </w:tc>
      </w:tr>
      <w:tr w:rsidR="00683C32" w14:paraId="161C12E1" w14:textId="77777777" w:rsidTr="00D20099">
        <w:trPr>
          <w:gridAfter w:val="1"/>
          <w:wAfter w:w="35" w:type="dxa"/>
          <w:cantSplit/>
        </w:trPr>
        <w:tc>
          <w:tcPr>
            <w:tcW w:w="6663" w:type="dxa"/>
          </w:tcPr>
          <w:p w14:paraId="6363B7B4" w14:textId="77777777" w:rsidR="00683C32" w:rsidRPr="007F1CC7" w:rsidRDefault="00683C32" w:rsidP="00D20099">
            <w:pPr>
              <w:spacing w:before="0"/>
              <w:ind w:left="34" w:right="-142"/>
              <w:rPr>
                <w:b/>
                <w:bCs/>
                <w:smallCaps/>
                <w:szCs w:val="24"/>
              </w:rPr>
            </w:pPr>
          </w:p>
        </w:tc>
        <w:tc>
          <w:tcPr>
            <w:tcW w:w="3225" w:type="dxa"/>
            <w:gridSpan w:val="2"/>
          </w:tcPr>
          <w:p w14:paraId="038B67DC" w14:textId="04E5C20A" w:rsidR="00514D2F" w:rsidRPr="007F1CC7" w:rsidRDefault="004650F8" w:rsidP="00D20099">
            <w:pPr>
              <w:spacing w:before="0"/>
              <w:ind w:left="34" w:right="-142"/>
              <w:rPr>
                <w:szCs w:val="24"/>
              </w:rPr>
            </w:pPr>
            <w:bookmarkStart w:id="3" w:name="Original"/>
            <w:bookmarkEnd w:id="3"/>
            <w:r>
              <w:rPr>
                <w:b/>
              </w:rPr>
              <w:t xml:space="preserve">Original: </w:t>
            </w:r>
            <w:r w:rsidR="009D3C99">
              <w:rPr>
                <w:b/>
              </w:rPr>
              <w:t>English</w:t>
            </w:r>
          </w:p>
        </w:tc>
      </w:tr>
      <w:tr w:rsidR="00A13162" w14:paraId="63980019" w14:textId="77777777" w:rsidTr="00D20099">
        <w:trPr>
          <w:gridAfter w:val="1"/>
          <w:wAfter w:w="35" w:type="dxa"/>
          <w:cantSplit/>
          <w:trHeight w:val="852"/>
        </w:trPr>
        <w:tc>
          <w:tcPr>
            <w:tcW w:w="9888" w:type="dxa"/>
            <w:gridSpan w:val="3"/>
          </w:tcPr>
          <w:p w14:paraId="4E0CFECE" w14:textId="75728D89" w:rsidR="00A13162" w:rsidRPr="0030353C" w:rsidRDefault="00A52CC2" w:rsidP="009D3C99">
            <w:pPr>
              <w:pStyle w:val="Source"/>
              <w:spacing w:before="240" w:after="240"/>
              <w:ind w:left="34" w:right="-142"/>
            </w:pPr>
            <w:bookmarkStart w:id="4" w:name="Source"/>
            <w:bookmarkEnd w:id="4"/>
            <w:r>
              <w:t>Director, Telecommunications Development Bureau</w:t>
            </w:r>
          </w:p>
        </w:tc>
      </w:tr>
      <w:tr w:rsidR="00AC6F14" w:rsidRPr="002E6963" w14:paraId="527E17A1" w14:textId="77777777" w:rsidTr="00D20099">
        <w:trPr>
          <w:gridAfter w:val="1"/>
          <w:wAfter w:w="35" w:type="dxa"/>
          <w:cantSplit/>
        </w:trPr>
        <w:tc>
          <w:tcPr>
            <w:tcW w:w="9888" w:type="dxa"/>
            <w:gridSpan w:val="3"/>
          </w:tcPr>
          <w:p w14:paraId="5948A210" w14:textId="24008431" w:rsidR="00AC6F14" w:rsidRPr="009D3C99" w:rsidRDefault="00A52CC2" w:rsidP="009D3C99">
            <w:pPr>
              <w:pStyle w:val="Title1"/>
              <w:spacing w:after="120"/>
              <w:ind w:left="34" w:right="-142"/>
              <w:rPr>
                <w:caps/>
              </w:rPr>
            </w:pPr>
            <w:bookmarkStart w:id="5" w:name="Title"/>
            <w:bookmarkEnd w:id="5"/>
            <w:r>
              <w:rPr>
                <w:caps/>
              </w:rPr>
              <w:t>WEB DIALOGUES ON WTDC RE</w:t>
            </w:r>
            <w:bookmarkStart w:id="6" w:name="_GoBack"/>
            <w:bookmarkEnd w:id="6"/>
            <w:r>
              <w:rPr>
                <w:caps/>
              </w:rPr>
              <w:t>FORM</w:t>
            </w:r>
          </w:p>
        </w:tc>
      </w:tr>
      <w:tr w:rsidR="00A721F4" w:rsidRPr="002E6963" w14:paraId="78F2D0F2" w14:textId="77777777" w:rsidTr="003708C3">
        <w:trPr>
          <w:gridAfter w:val="1"/>
          <w:wAfter w:w="35" w:type="dxa"/>
          <w:cantSplit/>
        </w:trPr>
        <w:tc>
          <w:tcPr>
            <w:tcW w:w="9888" w:type="dxa"/>
            <w:gridSpan w:val="3"/>
            <w:tcBorders>
              <w:bottom w:val="single" w:sz="4" w:space="0" w:color="auto"/>
            </w:tcBorders>
          </w:tcPr>
          <w:p w14:paraId="4A5D50D5" w14:textId="77777777" w:rsidR="00A721F4" w:rsidRPr="00A721F4" w:rsidRDefault="00A721F4" w:rsidP="00D20099">
            <w:pPr>
              <w:ind w:left="34" w:right="-142"/>
            </w:pPr>
          </w:p>
        </w:tc>
      </w:tr>
      <w:tr w:rsidR="00A721F4" w:rsidRPr="002E6963" w14:paraId="5B90B54A" w14:textId="77777777" w:rsidTr="003708C3">
        <w:trPr>
          <w:gridAfter w:val="1"/>
          <w:wAfter w:w="35" w:type="dxa"/>
          <w:cantSplit/>
        </w:trPr>
        <w:tc>
          <w:tcPr>
            <w:tcW w:w="9888" w:type="dxa"/>
            <w:gridSpan w:val="3"/>
            <w:tcBorders>
              <w:top w:val="single" w:sz="4" w:space="0" w:color="auto"/>
              <w:left w:val="single" w:sz="4" w:space="0" w:color="auto"/>
              <w:bottom w:val="single" w:sz="4" w:space="0" w:color="auto"/>
              <w:right w:val="single" w:sz="4" w:space="0" w:color="auto"/>
            </w:tcBorders>
          </w:tcPr>
          <w:p w14:paraId="1646BE64" w14:textId="77777777" w:rsidR="00A721F4" w:rsidRPr="00D9621A" w:rsidRDefault="00A721F4" w:rsidP="00C94F28">
            <w:pPr>
              <w:spacing w:after="120"/>
              <w:rPr>
                <w:b/>
                <w:bCs/>
                <w:szCs w:val="24"/>
              </w:rPr>
            </w:pPr>
            <w:r w:rsidRPr="00D9621A">
              <w:rPr>
                <w:b/>
                <w:bCs/>
                <w:szCs w:val="24"/>
              </w:rPr>
              <w:t>Summary:</w:t>
            </w:r>
          </w:p>
          <w:p w14:paraId="05326496" w14:textId="5235DC2E" w:rsidR="006F27EC" w:rsidRPr="00D9621A" w:rsidRDefault="006F27EC" w:rsidP="00C94F28">
            <w:pPr>
              <w:spacing w:after="120"/>
              <w:rPr>
                <w:szCs w:val="24"/>
              </w:rPr>
            </w:pPr>
            <w:bookmarkStart w:id="7" w:name="Abstract"/>
            <w:bookmarkEnd w:id="7"/>
            <w:r>
              <w:rPr>
                <w:szCs w:val="24"/>
              </w:rPr>
              <w:t xml:space="preserve">This document </w:t>
            </w:r>
            <w:r w:rsidR="00BF459F">
              <w:rPr>
                <w:szCs w:val="24"/>
              </w:rPr>
              <w:t xml:space="preserve">provides a </w:t>
            </w:r>
            <w:r w:rsidR="00365732">
              <w:rPr>
                <w:szCs w:val="24"/>
              </w:rPr>
              <w:t>report on</w:t>
            </w:r>
            <w:r w:rsidR="00BF459F">
              <w:rPr>
                <w:szCs w:val="24"/>
              </w:rPr>
              <w:t xml:space="preserve"> Web Dialogues conducted by BDT</w:t>
            </w:r>
            <w:r w:rsidR="004326C7">
              <w:rPr>
                <w:szCs w:val="24"/>
              </w:rPr>
              <w:t xml:space="preserve"> relating to reform of </w:t>
            </w:r>
            <w:r>
              <w:rPr>
                <w:szCs w:val="24"/>
              </w:rPr>
              <w:t>the World Telecommunication Development Conference</w:t>
            </w:r>
            <w:r w:rsidR="004326C7">
              <w:rPr>
                <w:szCs w:val="24"/>
              </w:rPr>
              <w:t xml:space="preserve"> (WTDC), including </w:t>
            </w:r>
            <w:r>
              <w:rPr>
                <w:szCs w:val="24"/>
              </w:rPr>
              <w:t>WTDC-21</w:t>
            </w:r>
            <w:r w:rsidR="004326C7">
              <w:rPr>
                <w:szCs w:val="24"/>
              </w:rPr>
              <w:t>, and proposals by the Director based on the discussions during those dialogues</w:t>
            </w:r>
            <w:r>
              <w:rPr>
                <w:szCs w:val="24"/>
              </w:rPr>
              <w:t>.</w:t>
            </w:r>
          </w:p>
          <w:p w14:paraId="0AAC2A03" w14:textId="77777777" w:rsidR="00A721F4" w:rsidRPr="00D9621A" w:rsidRDefault="00A721F4" w:rsidP="00C94F28">
            <w:pPr>
              <w:spacing w:after="120"/>
              <w:rPr>
                <w:b/>
                <w:bCs/>
                <w:szCs w:val="24"/>
              </w:rPr>
            </w:pPr>
            <w:r w:rsidRPr="005E090D">
              <w:rPr>
                <w:b/>
                <w:bCs/>
              </w:rPr>
              <w:t>Action required:</w:t>
            </w:r>
          </w:p>
          <w:p w14:paraId="09D45F47" w14:textId="46424860" w:rsidR="00A721F4" w:rsidRPr="00D9621A" w:rsidRDefault="00365732" w:rsidP="00C94F28">
            <w:pPr>
              <w:spacing w:after="120"/>
              <w:rPr>
                <w:szCs w:val="24"/>
              </w:rPr>
            </w:pPr>
            <w:bookmarkStart w:id="8" w:name="ActionRequired"/>
            <w:bookmarkEnd w:id="8"/>
            <w:r>
              <w:rPr>
                <w:szCs w:val="24"/>
              </w:rPr>
              <w:t xml:space="preserve">TDAG is invited to note the contents of the </w:t>
            </w:r>
            <w:proofErr w:type="gramStart"/>
            <w:r>
              <w:rPr>
                <w:szCs w:val="24"/>
              </w:rPr>
              <w:t>report, and</w:t>
            </w:r>
            <w:proofErr w:type="gramEnd"/>
            <w:r>
              <w:rPr>
                <w:szCs w:val="24"/>
              </w:rPr>
              <w:t xml:space="preserve"> advise </w:t>
            </w:r>
            <w:r w:rsidR="00056744">
              <w:rPr>
                <w:szCs w:val="24"/>
              </w:rPr>
              <w:t xml:space="preserve">and make recommendations to </w:t>
            </w:r>
            <w:r>
              <w:rPr>
                <w:szCs w:val="24"/>
              </w:rPr>
              <w:t xml:space="preserve">the Director on </w:t>
            </w:r>
            <w:r w:rsidR="00056744">
              <w:rPr>
                <w:szCs w:val="24"/>
              </w:rPr>
              <w:t>next steps in preparation for WTDC-21 and reform of WTDC generally</w:t>
            </w:r>
            <w:r w:rsidR="007C3491">
              <w:rPr>
                <w:szCs w:val="24"/>
              </w:rPr>
              <w:t>.</w:t>
            </w:r>
          </w:p>
          <w:p w14:paraId="3357E463" w14:textId="3A656F11" w:rsidR="00A721F4" w:rsidRPr="00D9621A" w:rsidRDefault="00A721F4" w:rsidP="00C94F28">
            <w:pPr>
              <w:spacing w:after="120"/>
              <w:rPr>
                <w:b/>
                <w:bCs/>
                <w:szCs w:val="24"/>
              </w:rPr>
            </w:pPr>
            <w:r w:rsidRPr="00D9621A">
              <w:rPr>
                <w:b/>
                <w:bCs/>
                <w:szCs w:val="24"/>
              </w:rPr>
              <w:t>References:</w:t>
            </w:r>
          </w:p>
          <w:p w14:paraId="4DE16947" w14:textId="6676C854" w:rsidR="0085165A" w:rsidRPr="00D9621A" w:rsidRDefault="007C47F2" w:rsidP="00C94F28">
            <w:pPr>
              <w:spacing w:after="120"/>
            </w:pPr>
            <w:bookmarkStart w:id="9" w:name="References"/>
            <w:bookmarkEnd w:id="9"/>
            <w:r>
              <w:t>n/a</w:t>
            </w:r>
          </w:p>
        </w:tc>
      </w:tr>
    </w:tbl>
    <w:p w14:paraId="6E6F7086" w14:textId="77777777" w:rsidR="00AC6F14" w:rsidRDefault="00AC6F14" w:rsidP="00D20099">
      <w:pPr>
        <w:ind w:left="34" w:right="-142"/>
      </w:pPr>
    </w:p>
    <w:p w14:paraId="5FA6A393" w14:textId="77777777" w:rsidR="00AA087E" w:rsidRDefault="00AA087E">
      <w:pPr>
        <w:tabs>
          <w:tab w:val="clear" w:pos="794"/>
          <w:tab w:val="clear" w:pos="1191"/>
          <w:tab w:val="clear" w:pos="1588"/>
          <w:tab w:val="clear" w:pos="1985"/>
        </w:tabs>
        <w:overflowPunct/>
        <w:autoSpaceDE/>
        <w:autoSpaceDN/>
        <w:adjustRightInd/>
        <w:spacing w:before="0"/>
        <w:textAlignment w:val="auto"/>
      </w:pPr>
      <w:bookmarkStart w:id="10" w:name="Proposal"/>
      <w:bookmarkEnd w:id="10"/>
      <w:r>
        <w:br w:type="page"/>
      </w:r>
    </w:p>
    <w:p w14:paraId="02C5FAB4" w14:textId="77777777" w:rsidR="00352CFE" w:rsidRPr="00C94F28" w:rsidRDefault="00352CFE" w:rsidP="00F02830">
      <w:pPr>
        <w:tabs>
          <w:tab w:val="clear" w:pos="794"/>
          <w:tab w:val="clear" w:pos="1191"/>
          <w:tab w:val="clear" w:pos="1588"/>
          <w:tab w:val="clear" w:pos="1985"/>
        </w:tabs>
        <w:ind w:left="34" w:right="-142"/>
        <w:jc w:val="center"/>
        <w:rPr>
          <w:rFonts w:cstheme="minorHAnsi"/>
          <w:b/>
          <w:bCs/>
          <w:szCs w:val="24"/>
        </w:rPr>
      </w:pPr>
      <w:r w:rsidRPr="00C94F28">
        <w:rPr>
          <w:rFonts w:cstheme="minorHAnsi"/>
          <w:b/>
          <w:bCs/>
          <w:szCs w:val="24"/>
        </w:rPr>
        <w:lastRenderedPageBreak/>
        <w:t>World Telecommunication Development Conferences</w:t>
      </w:r>
    </w:p>
    <w:p w14:paraId="002F817E" w14:textId="1304580A" w:rsidR="00352CFE" w:rsidRPr="00C94F28" w:rsidRDefault="00A52CC2" w:rsidP="00F02830">
      <w:pPr>
        <w:tabs>
          <w:tab w:val="clear" w:pos="794"/>
          <w:tab w:val="clear" w:pos="1191"/>
          <w:tab w:val="clear" w:pos="1588"/>
          <w:tab w:val="clear" w:pos="1985"/>
        </w:tabs>
        <w:ind w:left="34" w:right="-142"/>
        <w:jc w:val="center"/>
        <w:rPr>
          <w:rFonts w:cstheme="minorHAnsi"/>
          <w:b/>
          <w:bCs/>
          <w:szCs w:val="24"/>
        </w:rPr>
      </w:pPr>
      <w:r w:rsidRPr="00C94F28">
        <w:rPr>
          <w:rFonts w:cstheme="minorHAnsi"/>
          <w:b/>
          <w:bCs/>
          <w:szCs w:val="24"/>
        </w:rPr>
        <w:t>Director’s Report on Web Dialogues</w:t>
      </w:r>
    </w:p>
    <w:p w14:paraId="1C252092" w14:textId="1076D524" w:rsidR="00352CFE" w:rsidRPr="00F02830" w:rsidRDefault="00352CFE" w:rsidP="00F54239">
      <w:pPr>
        <w:pStyle w:val="ListParagraph"/>
        <w:keepNext/>
        <w:numPr>
          <w:ilvl w:val="0"/>
          <w:numId w:val="9"/>
        </w:numPr>
        <w:tabs>
          <w:tab w:val="clear" w:pos="1134"/>
          <w:tab w:val="clear" w:pos="1871"/>
          <w:tab w:val="clear" w:pos="2268"/>
        </w:tabs>
        <w:spacing w:before="240"/>
        <w:ind w:left="720" w:hanging="720"/>
        <w:contextualSpacing w:val="0"/>
        <w:jc w:val="both"/>
        <w:rPr>
          <w:rFonts w:cstheme="minorHAnsi"/>
          <w:b/>
          <w:bCs/>
          <w:szCs w:val="24"/>
        </w:rPr>
      </w:pPr>
      <w:r w:rsidRPr="00F02830">
        <w:rPr>
          <w:rFonts w:cstheme="minorHAnsi"/>
          <w:b/>
          <w:bCs/>
          <w:szCs w:val="24"/>
        </w:rPr>
        <w:t>Introduction</w:t>
      </w:r>
    </w:p>
    <w:p w14:paraId="28B23FF1" w14:textId="0B264183" w:rsidR="00A52CC2" w:rsidRPr="00F02830" w:rsidRDefault="00111B88" w:rsidP="00E169CC">
      <w:pPr>
        <w:tabs>
          <w:tab w:val="clear" w:pos="794"/>
          <w:tab w:val="clear" w:pos="1191"/>
          <w:tab w:val="clear" w:pos="1588"/>
          <w:tab w:val="clear" w:pos="1985"/>
        </w:tabs>
        <w:ind w:left="720" w:hanging="720"/>
        <w:jc w:val="both"/>
        <w:rPr>
          <w:rFonts w:cstheme="minorHAnsi"/>
          <w:szCs w:val="24"/>
        </w:rPr>
      </w:pPr>
      <w:r w:rsidRPr="00F02830">
        <w:rPr>
          <w:rFonts w:cstheme="minorHAnsi"/>
          <w:szCs w:val="24"/>
        </w:rPr>
        <w:t>1.1</w:t>
      </w:r>
      <w:r w:rsidRPr="00F02830">
        <w:rPr>
          <w:rFonts w:cstheme="minorHAnsi"/>
          <w:szCs w:val="24"/>
        </w:rPr>
        <w:tab/>
      </w:r>
      <w:r w:rsidR="00A52CC2" w:rsidRPr="00F02830">
        <w:rPr>
          <w:rFonts w:cstheme="minorHAnsi"/>
          <w:szCs w:val="24"/>
        </w:rPr>
        <w:t>The World Telecommunication Development Conference (“WTDC”) is held every four years and sets the development agenda of the Telecommunication Development Sector (“ITU-D”). WTDC further offers a unique opportunity for the international community to come together and discuss the future of the ICT sector and its contribution to social and economic development.</w:t>
      </w:r>
    </w:p>
    <w:p w14:paraId="7B31F8AB" w14:textId="6B90F0EB" w:rsidR="00F11BBE" w:rsidRPr="00F02830" w:rsidRDefault="00111B88" w:rsidP="00E169CC">
      <w:pPr>
        <w:tabs>
          <w:tab w:val="clear" w:pos="794"/>
          <w:tab w:val="clear" w:pos="1191"/>
          <w:tab w:val="clear" w:pos="1588"/>
          <w:tab w:val="clear" w:pos="1985"/>
        </w:tabs>
        <w:ind w:left="720" w:hanging="720"/>
        <w:jc w:val="both"/>
        <w:rPr>
          <w:rFonts w:cstheme="minorHAnsi"/>
          <w:szCs w:val="24"/>
        </w:rPr>
      </w:pPr>
      <w:r w:rsidRPr="00F02830">
        <w:rPr>
          <w:rFonts w:cstheme="minorHAnsi"/>
          <w:szCs w:val="24"/>
        </w:rPr>
        <w:t>1.2</w:t>
      </w:r>
      <w:r w:rsidRPr="00F02830">
        <w:rPr>
          <w:rFonts w:cstheme="minorHAnsi"/>
          <w:szCs w:val="24"/>
        </w:rPr>
        <w:tab/>
      </w:r>
      <w:r w:rsidR="00024164" w:rsidRPr="00F02830">
        <w:rPr>
          <w:rFonts w:cstheme="minorHAnsi"/>
          <w:szCs w:val="24"/>
        </w:rPr>
        <w:t xml:space="preserve">During TDAG-19, BDT held several </w:t>
      </w:r>
      <w:r w:rsidR="003111C0" w:rsidRPr="00F02830">
        <w:rPr>
          <w:rFonts w:cstheme="minorHAnsi"/>
          <w:szCs w:val="24"/>
        </w:rPr>
        <w:t xml:space="preserve">Breakout Sessions </w:t>
      </w:r>
      <w:r w:rsidR="00024164" w:rsidRPr="00F02830">
        <w:rPr>
          <w:rFonts w:cstheme="minorHAnsi"/>
          <w:szCs w:val="24"/>
        </w:rPr>
        <w:t xml:space="preserve">focussed on possible reforms to WTDC, based on input from members regarding the need for change. </w:t>
      </w:r>
      <w:r w:rsidR="00694037" w:rsidRPr="00F02830">
        <w:rPr>
          <w:rFonts w:cstheme="minorHAnsi"/>
          <w:szCs w:val="24"/>
        </w:rPr>
        <w:t xml:space="preserve">It was proposed to continue this process </w:t>
      </w:r>
      <w:r w:rsidR="00065F73" w:rsidRPr="00F02830">
        <w:rPr>
          <w:rFonts w:cstheme="minorHAnsi"/>
          <w:szCs w:val="24"/>
        </w:rPr>
        <w:t xml:space="preserve">with sessions on WTDC Reform </w:t>
      </w:r>
      <w:r w:rsidR="00694037" w:rsidRPr="00F02830">
        <w:rPr>
          <w:rFonts w:cstheme="minorHAnsi"/>
          <w:szCs w:val="24"/>
        </w:rPr>
        <w:t xml:space="preserve">at TDAG-20’s proposed physical meeting which was due to be held in March 2020, however due to the lockdowns caused as a result of Covid-19 </w:t>
      </w:r>
      <w:r w:rsidR="00065F73" w:rsidRPr="00F02830">
        <w:rPr>
          <w:rFonts w:cstheme="minorHAnsi"/>
          <w:szCs w:val="24"/>
        </w:rPr>
        <w:t xml:space="preserve">those sessions could not be held. </w:t>
      </w:r>
    </w:p>
    <w:p w14:paraId="594BBEE4" w14:textId="0F660D4B" w:rsidR="00A52CC2" w:rsidRPr="00F02830" w:rsidRDefault="00F11BBE" w:rsidP="00E169CC">
      <w:pPr>
        <w:tabs>
          <w:tab w:val="clear" w:pos="794"/>
          <w:tab w:val="clear" w:pos="1191"/>
          <w:tab w:val="clear" w:pos="1588"/>
          <w:tab w:val="clear" w:pos="1985"/>
        </w:tabs>
        <w:ind w:left="720" w:hanging="720"/>
        <w:jc w:val="both"/>
        <w:rPr>
          <w:rFonts w:cstheme="minorHAnsi"/>
          <w:szCs w:val="24"/>
        </w:rPr>
      </w:pPr>
      <w:r w:rsidRPr="00F02830">
        <w:rPr>
          <w:rFonts w:cstheme="minorHAnsi"/>
          <w:szCs w:val="24"/>
        </w:rPr>
        <w:t>1.3</w:t>
      </w:r>
      <w:r w:rsidRPr="00F02830">
        <w:rPr>
          <w:rFonts w:cstheme="minorHAnsi"/>
          <w:szCs w:val="24"/>
        </w:rPr>
        <w:tab/>
      </w:r>
      <w:r w:rsidR="00065F73" w:rsidRPr="00F02830">
        <w:rPr>
          <w:rFonts w:cstheme="minorHAnsi"/>
          <w:szCs w:val="24"/>
        </w:rPr>
        <w:t>It was decided to engage membership on WTDC reform through virtual sessions so o</w:t>
      </w:r>
      <w:r w:rsidR="00A52CC2" w:rsidRPr="00F02830">
        <w:rPr>
          <w:rFonts w:cstheme="minorHAnsi"/>
          <w:szCs w:val="24"/>
        </w:rPr>
        <w:t xml:space="preserve">n 24 March 2020, BDT organized </w:t>
      </w:r>
      <w:r w:rsidR="00024164" w:rsidRPr="00F02830">
        <w:rPr>
          <w:rFonts w:cstheme="minorHAnsi"/>
          <w:szCs w:val="24"/>
        </w:rPr>
        <w:t>the</w:t>
      </w:r>
      <w:r w:rsidR="00A52CC2" w:rsidRPr="00F02830">
        <w:rPr>
          <w:rFonts w:cstheme="minorHAnsi"/>
          <w:szCs w:val="24"/>
        </w:rPr>
        <w:t xml:space="preserve"> first </w:t>
      </w:r>
      <w:hyperlink r:id="rId12" w:history="1">
        <w:r w:rsidR="00A52CC2" w:rsidRPr="00F02830">
          <w:rPr>
            <w:rStyle w:val="Hyperlink"/>
            <w:rFonts w:cstheme="minorHAnsi"/>
            <w:szCs w:val="24"/>
          </w:rPr>
          <w:t>Web Dialogue on WTDC</w:t>
        </w:r>
      </w:hyperlink>
      <w:r w:rsidR="00A52CC2" w:rsidRPr="00F02830">
        <w:rPr>
          <w:rFonts w:cstheme="minorHAnsi"/>
          <w:szCs w:val="24"/>
        </w:rPr>
        <w:t xml:space="preserve"> where participants had the opportunity to discuss and provide their input on how to improve the effectiveness of WTDC-21. Although circumstances dictated that the membership was unable to gather in person, over 200 participants actively took part in the discussions. A Summary Report of the First Web Dialogue is available at </w:t>
      </w:r>
      <w:hyperlink r:id="rId13" w:history="1">
        <w:r w:rsidR="00A15EA6" w:rsidRPr="00A15EA6">
          <w:rPr>
            <w:rStyle w:val="Hyperlink"/>
            <w:rFonts w:cstheme="minorHAnsi"/>
            <w:szCs w:val="24"/>
          </w:rPr>
          <w:t>this link</w:t>
        </w:r>
      </w:hyperlink>
      <w:r w:rsidR="00A15EA6">
        <w:rPr>
          <w:rFonts w:cstheme="minorHAnsi"/>
          <w:szCs w:val="24"/>
        </w:rPr>
        <w:t>.</w:t>
      </w:r>
    </w:p>
    <w:p w14:paraId="0A9D5841" w14:textId="623B418A" w:rsidR="00111B88" w:rsidRPr="00311EA8" w:rsidRDefault="00111B88" w:rsidP="00E169CC">
      <w:pPr>
        <w:tabs>
          <w:tab w:val="clear" w:pos="794"/>
          <w:tab w:val="clear" w:pos="1191"/>
          <w:tab w:val="clear" w:pos="1588"/>
          <w:tab w:val="clear" w:pos="1985"/>
        </w:tabs>
        <w:ind w:left="720" w:hanging="720"/>
        <w:jc w:val="both"/>
        <w:rPr>
          <w:rFonts w:cstheme="minorHAnsi"/>
          <w:szCs w:val="24"/>
        </w:rPr>
      </w:pPr>
      <w:r w:rsidRPr="00F02830">
        <w:rPr>
          <w:rFonts w:cstheme="minorHAnsi"/>
          <w:szCs w:val="24"/>
        </w:rPr>
        <w:t>1.</w:t>
      </w:r>
      <w:r w:rsidR="003111C0" w:rsidRPr="00F02830">
        <w:rPr>
          <w:rFonts w:cstheme="minorHAnsi"/>
          <w:szCs w:val="24"/>
        </w:rPr>
        <w:t>4</w:t>
      </w:r>
      <w:r w:rsidRPr="00F02830">
        <w:rPr>
          <w:rFonts w:cstheme="minorHAnsi"/>
          <w:szCs w:val="24"/>
        </w:rPr>
        <w:tab/>
      </w:r>
      <w:r w:rsidR="00A52CC2" w:rsidRPr="00311EA8">
        <w:rPr>
          <w:rFonts w:cstheme="minorHAnsi"/>
          <w:szCs w:val="24"/>
        </w:rPr>
        <w:t>Building on the outcomes of the first event, the membership was again invited to come together on 30 April 2020 for the Second Web Dialogue on WTDC. T</w:t>
      </w:r>
      <w:r w:rsidR="00A52CC2" w:rsidRPr="00311EA8">
        <w:rPr>
          <w:rFonts w:cstheme="minorHAnsi"/>
          <w:szCs w:val="24"/>
          <w:shd w:val="clear" w:color="auto" w:fill="FFFFFF"/>
        </w:rPr>
        <w:t xml:space="preserve">he objective of the 2nd Web Dialogue was to further discuss and refine proposals for consideration of the TDAG-20 to ensure that the World Telecommunication Development Conference will be a solutions-based conference that addresses the real challenges in the development of telecommunications/ICTs. </w:t>
      </w:r>
      <w:r w:rsidR="00A52CC2" w:rsidRPr="00311EA8">
        <w:rPr>
          <w:rFonts w:cstheme="minorHAnsi"/>
          <w:szCs w:val="24"/>
        </w:rPr>
        <w:t xml:space="preserve">Over </w:t>
      </w:r>
      <w:r w:rsidR="001F3003" w:rsidRPr="00311EA8">
        <w:rPr>
          <w:rFonts w:cstheme="minorHAnsi"/>
          <w:szCs w:val="24"/>
        </w:rPr>
        <w:t>200</w:t>
      </w:r>
      <w:r w:rsidR="00A52CC2" w:rsidRPr="00311EA8">
        <w:rPr>
          <w:rFonts w:cstheme="minorHAnsi"/>
          <w:szCs w:val="24"/>
        </w:rPr>
        <w:t xml:space="preserve"> members participated in the event, and the Summary Report </w:t>
      </w:r>
      <w:r w:rsidR="009A3772" w:rsidRPr="00311EA8">
        <w:rPr>
          <w:rFonts w:cstheme="minorHAnsi"/>
          <w:szCs w:val="24"/>
        </w:rPr>
        <w:t xml:space="preserve">for the dialogue </w:t>
      </w:r>
      <w:r w:rsidR="00A52CC2" w:rsidRPr="00311EA8">
        <w:rPr>
          <w:rFonts w:cstheme="minorHAnsi"/>
          <w:szCs w:val="24"/>
        </w:rPr>
        <w:t xml:space="preserve">is available at </w:t>
      </w:r>
      <w:hyperlink r:id="rId14" w:history="1">
        <w:r w:rsidR="00F9290F" w:rsidRPr="00A90CD4">
          <w:rPr>
            <w:rStyle w:val="Hyperlink"/>
            <w:rFonts w:cstheme="minorHAnsi"/>
            <w:szCs w:val="24"/>
          </w:rPr>
          <w:t>this link</w:t>
        </w:r>
      </w:hyperlink>
      <w:r w:rsidR="00A52CC2" w:rsidRPr="00311EA8">
        <w:rPr>
          <w:rFonts w:cstheme="minorHAnsi"/>
          <w:szCs w:val="24"/>
        </w:rPr>
        <w:t xml:space="preserve">. </w:t>
      </w:r>
    </w:p>
    <w:p w14:paraId="403555FB" w14:textId="2E4689B5" w:rsidR="00A52CC2" w:rsidRPr="00F02830" w:rsidRDefault="00111B88" w:rsidP="00E169CC">
      <w:pPr>
        <w:tabs>
          <w:tab w:val="clear" w:pos="794"/>
          <w:tab w:val="clear" w:pos="1191"/>
          <w:tab w:val="clear" w:pos="1588"/>
          <w:tab w:val="clear" w:pos="1985"/>
        </w:tabs>
        <w:ind w:left="720" w:hanging="720"/>
        <w:jc w:val="both"/>
        <w:rPr>
          <w:rFonts w:cstheme="minorHAnsi"/>
          <w:szCs w:val="24"/>
        </w:rPr>
      </w:pPr>
      <w:r w:rsidRPr="00F02830">
        <w:rPr>
          <w:rFonts w:cstheme="minorHAnsi"/>
          <w:szCs w:val="24"/>
        </w:rPr>
        <w:t>1.</w:t>
      </w:r>
      <w:r w:rsidR="003111C0" w:rsidRPr="00F02830">
        <w:rPr>
          <w:rFonts w:cstheme="minorHAnsi"/>
          <w:szCs w:val="24"/>
        </w:rPr>
        <w:t>5</w:t>
      </w:r>
      <w:r w:rsidRPr="00F02830">
        <w:rPr>
          <w:rFonts w:cstheme="minorHAnsi"/>
          <w:szCs w:val="24"/>
        </w:rPr>
        <w:tab/>
      </w:r>
      <w:r w:rsidR="000F635A" w:rsidRPr="00F02830">
        <w:rPr>
          <w:rFonts w:cstheme="minorHAnsi"/>
          <w:szCs w:val="24"/>
        </w:rPr>
        <w:t>Participants were very engaged in the dialogues, and over the two events, the following clear themes emerged:</w:t>
      </w:r>
    </w:p>
    <w:p w14:paraId="0077DA9E" w14:textId="76EABA33" w:rsidR="000F635A" w:rsidRPr="00F02830" w:rsidRDefault="000F635A" w:rsidP="00E169CC">
      <w:pPr>
        <w:pStyle w:val="ListParagraph"/>
        <w:numPr>
          <w:ilvl w:val="0"/>
          <w:numId w:val="8"/>
        </w:numPr>
        <w:tabs>
          <w:tab w:val="clear" w:pos="1134"/>
          <w:tab w:val="clear" w:pos="1871"/>
          <w:tab w:val="clear" w:pos="2268"/>
        </w:tabs>
        <w:ind w:left="1287" w:hanging="567"/>
        <w:contextualSpacing w:val="0"/>
        <w:jc w:val="both"/>
        <w:rPr>
          <w:rFonts w:cstheme="minorHAnsi"/>
          <w:szCs w:val="24"/>
        </w:rPr>
      </w:pPr>
      <w:r w:rsidRPr="00F02830">
        <w:rPr>
          <w:rFonts w:cstheme="minorHAnsi"/>
          <w:szCs w:val="24"/>
        </w:rPr>
        <w:t xml:space="preserve">There was virtually unanimous support for reform to WTDC to ensure that future WTDC conferences (starting with WTDC-21) are reframed as more </w:t>
      </w:r>
      <w:r w:rsidR="00706075" w:rsidRPr="00F02830">
        <w:rPr>
          <w:rFonts w:cstheme="minorHAnsi"/>
          <w:szCs w:val="24"/>
        </w:rPr>
        <w:t>solutions-based</w:t>
      </w:r>
      <w:r w:rsidRPr="00F02830">
        <w:rPr>
          <w:rFonts w:cstheme="minorHAnsi"/>
          <w:szCs w:val="24"/>
        </w:rPr>
        <w:t xml:space="preserve"> conferences dealing with development issues and less focussed on the administrative issues which have characterised past </w:t>
      </w:r>
      <w:proofErr w:type="gramStart"/>
      <w:r w:rsidRPr="00F02830">
        <w:rPr>
          <w:rFonts w:cstheme="minorHAnsi"/>
          <w:szCs w:val="24"/>
        </w:rPr>
        <w:t>conferences;</w:t>
      </w:r>
      <w:proofErr w:type="gramEnd"/>
    </w:p>
    <w:p w14:paraId="1284AB95" w14:textId="19A655CB" w:rsidR="000F635A" w:rsidRPr="00F02830" w:rsidRDefault="000F635A" w:rsidP="00E169CC">
      <w:pPr>
        <w:pStyle w:val="ListParagraph"/>
        <w:numPr>
          <w:ilvl w:val="0"/>
          <w:numId w:val="8"/>
        </w:numPr>
        <w:tabs>
          <w:tab w:val="clear" w:pos="1134"/>
          <w:tab w:val="clear" w:pos="1871"/>
          <w:tab w:val="clear" w:pos="2268"/>
        </w:tabs>
        <w:ind w:left="1287" w:hanging="567"/>
        <w:contextualSpacing w:val="0"/>
        <w:jc w:val="both"/>
        <w:rPr>
          <w:rFonts w:cstheme="minorHAnsi"/>
          <w:szCs w:val="24"/>
        </w:rPr>
      </w:pPr>
      <w:r w:rsidRPr="00F02830">
        <w:rPr>
          <w:rFonts w:cstheme="minorHAnsi"/>
          <w:szCs w:val="24"/>
        </w:rPr>
        <w:t xml:space="preserve">The reform of WTDC </w:t>
      </w:r>
      <w:r w:rsidR="00706075" w:rsidRPr="00F02830">
        <w:rPr>
          <w:rFonts w:cstheme="minorHAnsi"/>
          <w:szCs w:val="24"/>
        </w:rPr>
        <w:t xml:space="preserve">should </w:t>
      </w:r>
      <w:r w:rsidRPr="00F02830">
        <w:rPr>
          <w:rFonts w:cstheme="minorHAnsi"/>
          <w:szCs w:val="24"/>
        </w:rPr>
        <w:t>start with the preparatory process, which participants felt was not effective in refining and framing the narrative for WTDC, thereby resulting in reduce</w:t>
      </w:r>
      <w:r w:rsidR="007C3491">
        <w:rPr>
          <w:rFonts w:cstheme="minorHAnsi"/>
          <w:szCs w:val="24"/>
        </w:rPr>
        <w:t>d</w:t>
      </w:r>
      <w:r w:rsidRPr="00F02830">
        <w:rPr>
          <w:rFonts w:cstheme="minorHAnsi"/>
          <w:szCs w:val="24"/>
        </w:rPr>
        <w:t xml:space="preserve"> focus at the </w:t>
      </w:r>
      <w:proofErr w:type="gramStart"/>
      <w:r w:rsidRPr="00F02830">
        <w:rPr>
          <w:rFonts w:cstheme="minorHAnsi"/>
          <w:szCs w:val="24"/>
        </w:rPr>
        <w:t>conference;</w:t>
      </w:r>
      <w:proofErr w:type="gramEnd"/>
    </w:p>
    <w:p w14:paraId="2AB3CA62" w14:textId="2BEBF9B1" w:rsidR="000F635A" w:rsidRPr="00F02830" w:rsidRDefault="000F635A" w:rsidP="00E169CC">
      <w:pPr>
        <w:pStyle w:val="ListParagraph"/>
        <w:numPr>
          <w:ilvl w:val="0"/>
          <w:numId w:val="8"/>
        </w:numPr>
        <w:tabs>
          <w:tab w:val="clear" w:pos="1134"/>
          <w:tab w:val="clear" w:pos="1871"/>
          <w:tab w:val="clear" w:pos="2268"/>
        </w:tabs>
        <w:ind w:left="1287" w:hanging="567"/>
        <w:contextualSpacing w:val="0"/>
        <w:jc w:val="both"/>
        <w:rPr>
          <w:rFonts w:cstheme="minorHAnsi"/>
          <w:szCs w:val="24"/>
        </w:rPr>
      </w:pPr>
      <w:r w:rsidRPr="00F02830">
        <w:rPr>
          <w:rFonts w:cstheme="minorHAnsi"/>
          <w:szCs w:val="24"/>
        </w:rPr>
        <w:t xml:space="preserve">The current WTDC does not engage the key stakeholders that are needed to ensure that WTDC leads to a transformative development agenda for </w:t>
      </w:r>
      <w:r w:rsidR="00706075" w:rsidRPr="00F02830">
        <w:rPr>
          <w:rFonts w:cstheme="minorHAnsi"/>
          <w:szCs w:val="24"/>
        </w:rPr>
        <w:t>ITU-D</w:t>
      </w:r>
      <w:r w:rsidRPr="00F02830">
        <w:rPr>
          <w:rFonts w:cstheme="minorHAnsi"/>
          <w:szCs w:val="24"/>
        </w:rPr>
        <w:t xml:space="preserve"> and the </w:t>
      </w:r>
      <w:proofErr w:type="gramStart"/>
      <w:r w:rsidRPr="00F02830">
        <w:rPr>
          <w:rFonts w:cstheme="minorHAnsi"/>
          <w:szCs w:val="24"/>
        </w:rPr>
        <w:t>BDT;</w:t>
      </w:r>
      <w:proofErr w:type="gramEnd"/>
    </w:p>
    <w:p w14:paraId="498EA136" w14:textId="3E3728F2" w:rsidR="000F635A" w:rsidRPr="00F02830" w:rsidRDefault="000F635A" w:rsidP="00E169CC">
      <w:pPr>
        <w:pStyle w:val="ListParagraph"/>
        <w:numPr>
          <w:ilvl w:val="0"/>
          <w:numId w:val="8"/>
        </w:numPr>
        <w:tabs>
          <w:tab w:val="clear" w:pos="1134"/>
          <w:tab w:val="clear" w:pos="1871"/>
          <w:tab w:val="clear" w:pos="2268"/>
        </w:tabs>
        <w:ind w:left="1287" w:hanging="567"/>
        <w:contextualSpacing w:val="0"/>
        <w:jc w:val="both"/>
        <w:rPr>
          <w:rFonts w:cstheme="minorHAnsi"/>
          <w:szCs w:val="24"/>
        </w:rPr>
      </w:pPr>
      <w:r w:rsidRPr="00F02830">
        <w:rPr>
          <w:rFonts w:cstheme="minorHAnsi"/>
          <w:szCs w:val="24"/>
        </w:rPr>
        <w:t xml:space="preserve">The “Side Events” traditionally convened at WTDC should be integrated into the conference itself, and rebranded to engage key stakeholders, including civil society, funding partners, sector members, and industry. </w:t>
      </w:r>
    </w:p>
    <w:p w14:paraId="652AA1DB" w14:textId="25BAEB4D" w:rsidR="005D49D9" w:rsidRPr="00F02830" w:rsidRDefault="009E7F8D" w:rsidP="00F54239">
      <w:pPr>
        <w:pStyle w:val="ListParagraph"/>
        <w:keepNext/>
        <w:numPr>
          <w:ilvl w:val="0"/>
          <w:numId w:val="9"/>
        </w:numPr>
        <w:tabs>
          <w:tab w:val="clear" w:pos="1134"/>
          <w:tab w:val="clear" w:pos="1871"/>
          <w:tab w:val="clear" w:pos="2268"/>
        </w:tabs>
        <w:spacing w:before="240"/>
        <w:ind w:left="720" w:hanging="720"/>
        <w:contextualSpacing w:val="0"/>
        <w:jc w:val="both"/>
        <w:rPr>
          <w:rFonts w:cstheme="minorHAnsi"/>
          <w:b/>
          <w:bCs/>
          <w:szCs w:val="24"/>
        </w:rPr>
      </w:pPr>
      <w:r w:rsidRPr="00F02830">
        <w:rPr>
          <w:rFonts w:cstheme="minorHAnsi"/>
          <w:b/>
          <w:bCs/>
          <w:szCs w:val="24"/>
        </w:rPr>
        <w:t>Proposals for WTDC Reform</w:t>
      </w:r>
    </w:p>
    <w:p w14:paraId="1172EC52" w14:textId="6CC18386" w:rsidR="003D0769" w:rsidRPr="00F02830" w:rsidRDefault="003D0769" w:rsidP="00F54239">
      <w:pPr>
        <w:tabs>
          <w:tab w:val="clear" w:pos="794"/>
          <w:tab w:val="clear" w:pos="1191"/>
          <w:tab w:val="clear" w:pos="1588"/>
          <w:tab w:val="clear" w:pos="1985"/>
        </w:tabs>
        <w:ind w:left="720" w:hanging="720"/>
        <w:jc w:val="both"/>
        <w:rPr>
          <w:rFonts w:cstheme="minorHAnsi"/>
          <w:szCs w:val="24"/>
        </w:rPr>
      </w:pPr>
      <w:r w:rsidRPr="00F02830">
        <w:rPr>
          <w:rFonts w:cstheme="minorHAnsi"/>
          <w:szCs w:val="24"/>
        </w:rPr>
        <w:t>2.1</w:t>
      </w:r>
      <w:r w:rsidRPr="00F02830">
        <w:rPr>
          <w:rFonts w:cstheme="minorHAnsi"/>
          <w:szCs w:val="24"/>
        </w:rPr>
        <w:tab/>
        <w:t>T</w:t>
      </w:r>
      <w:r w:rsidR="009E7F8D" w:rsidRPr="00F02830">
        <w:rPr>
          <w:rFonts w:cstheme="minorHAnsi"/>
          <w:szCs w:val="24"/>
        </w:rPr>
        <w:t xml:space="preserve">he </w:t>
      </w:r>
      <w:r w:rsidR="009E7F8D" w:rsidRPr="00F54239">
        <w:rPr>
          <w:rFonts w:cstheme="minorHAnsi"/>
          <w:color w:val="444444"/>
          <w:szCs w:val="24"/>
          <w:shd w:val="clear" w:color="auto" w:fill="FFFFFF"/>
        </w:rPr>
        <w:t>Web</w:t>
      </w:r>
      <w:r w:rsidR="009E7F8D" w:rsidRPr="00F02830">
        <w:rPr>
          <w:rFonts w:cstheme="minorHAnsi"/>
          <w:szCs w:val="24"/>
        </w:rPr>
        <w:t xml:space="preserve"> Dialogues</w:t>
      </w:r>
      <w:r w:rsidRPr="00F02830">
        <w:rPr>
          <w:rFonts w:cstheme="minorHAnsi"/>
          <w:szCs w:val="24"/>
        </w:rPr>
        <w:t xml:space="preserve"> considered TDAG reform under the umbrella of four topics:</w:t>
      </w:r>
    </w:p>
    <w:p w14:paraId="47727FE9" w14:textId="04E50094" w:rsidR="003D0769" w:rsidRPr="00F02830" w:rsidRDefault="003D0769" w:rsidP="00B96075">
      <w:pPr>
        <w:tabs>
          <w:tab w:val="clear" w:pos="794"/>
          <w:tab w:val="clear" w:pos="1191"/>
          <w:tab w:val="clear" w:pos="1588"/>
          <w:tab w:val="clear" w:pos="1985"/>
        </w:tabs>
        <w:spacing w:before="60"/>
        <w:ind w:left="1287"/>
        <w:jc w:val="both"/>
        <w:rPr>
          <w:rFonts w:cstheme="minorHAnsi"/>
          <w:szCs w:val="24"/>
        </w:rPr>
      </w:pPr>
      <w:r w:rsidRPr="00F02830">
        <w:rPr>
          <w:rFonts w:cstheme="minorHAnsi"/>
          <w:szCs w:val="24"/>
        </w:rPr>
        <w:lastRenderedPageBreak/>
        <w:t>Topic 1: The Preparatory Process</w:t>
      </w:r>
    </w:p>
    <w:p w14:paraId="779E83FD" w14:textId="6053D121" w:rsidR="003D0769" w:rsidRPr="00F02830" w:rsidRDefault="003D0769" w:rsidP="00B96075">
      <w:pPr>
        <w:tabs>
          <w:tab w:val="clear" w:pos="794"/>
          <w:tab w:val="clear" w:pos="1191"/>
          <w:tab w:val="clear" w:pos="1588"/>
          <w:tab w:val="clear" w:pos="1985"/>
        </w:tabs>
        <w:spacing w:before="60"/>
        <w:ind w:left="1287"/>
        <w:jc w:val="both"/>
        <w:rPr>
          <w:rFonts w:cstheme="minorHAnsi"/>
          <w:szCs w:val="24"/>
        </w:rPr>
      </w:pPr>
      <w:r w:rsidRPr="00F02830">
        <w:rPr>
          <w:rFonts w:cstheme="minorHAnsi"/>
          <w:szCs w:val="24"/>
        </w:rPr>
        <w:t>Topic 2: Content and Structure</w:t>
      </w:r>
    </w:p>
    <w:p w14:paraId="4FD02671" w14:textId="0A8AD501" w:rsidR="003D0769" w:rsidRPr="00F02830" w:rsidRDefault="003D0769" w:rsidP="00B96075">
      <w:pPr>
        <w:tabs>
          <w:tab w:val="clear" w:pos="794"/>
          <w:tab w:val="clear" w:pos="1191"/>
          <w:tab w:val="clear" w:pos="1588"/>
          <w:tab w:val="clear" w:pos="1985"/>
        </w:tabs>
        <w:spacing w:before="60"/>
        <w:ind w:left="1287"/>
        <w:jc w:val="both"/>
        <w:rPr>
          <w:rFonts w:cstheme="minorHAnsi"/>
          <w:szCs w:val="24"/>
        </w:rPr>
      </w:pPr>
      <w:r w:rsidRPr="00F02830">
        <w:rPr>
          <w:rFonts w:cstheme="minorHAnsi"/>
          <w:szCs w:val="24"/>
        </w:rPr>
        <w:t>Topic 3: Stakeholder Engagement</w:t>
      </w:r>
    </w:p>
    <w:p w14:paraId="22ABFDD4" w14:textId="0B1A3E11" w:rsidR="003D0769" w:rsidRPr="00F02830" w:rsidRDefault="003D0769" w:rsidP="00B96075">
      <w:pPr>
        <w:tabs>
          <w:tab w:val="clear" w:pos="794"/>
          <w:tab w:val="clear" w:pos="1191"/>
          <w:tab w:val="clear" w:pos="1588"/>
          <w:tab w:val="clear" w:pos="1985"/>
        </w:tabs>
        <w:spacing w:before="60"/>
        <w:ind w:left="1287"/>
        <w:jc w:val="both"/>
        <w:rPr>
          <w:rFonts w:cstheme="minorHAnsi"/>
          <w:szCs w:val="24"/>
        </w:rPr>
      </w:pPr>
      <w:r w:rsidRPr="00F02830">
        <w:rPr>
          <w:rFonts w:cstheme="minorHAnsi"/>
          <w:szCs w:val="24"/>
        </w:rPr>
        <w:t>Topic 4: Side Events</w:t>
      </w:r>
    </w:p>
    <w:p w14:paraId="31DD1DD9" w14:textId="0C514011" w:rsidR="003D0769" w:rsidRPr="00F02830" w:rsidRDefault="00111B88" w:rsidP="00F54239">
      <w:pPr>
        <w:tabs>
          <w:tab w:val="clear" w:pos="794"/>
          <w:tab w:val="clear" w:pos="1191"/>
          <w:tab w:val="clear" w:pos="1588"/>
          <w:tab w:val="clear" w:pos="1985"/>
        </w:tabs>
        <w:ind w:left="720" w:hanging="720"/>
        <w:jc w:val="both"/>
        <w:rPr>
          <w:rFonts w:cstheme="minorHAnsi"/>
          <w:szCs w:val="24"/>
        </w:rPr>
      </w:pPr>
      <w:r w:rsidRPr="00F02830">
        <w:rPr>
          <w:rFonts w:cstheme="minorHAnsi"/>
          <w:szCs w:val="24"/>
        </w:rPr>
        <w:t>2.2</w:t>
      </w:r>
      <w:r w:rsidRPr="00F02830">
        <w:rPr>
          <w:rFonts w:cstheme="minorHAnsi"/>
          <w:szCs w:val="24"/>
        </w:rPr>
        <w:tab/>
      </w:r>
      <w:r w:rsidR="003D0769" w:rsidRPr="00F02830">
        <w:rPr>
          <w:rFonts w:cstheme="minorHAnsi"/>
          <w:szCs w:val="24"/>
        </w:rPr>
        <w:t>Based on the outcomes from the discussions, the Secretariat noted that the proposals presented would more concisely be grouped into two broad areas, namely, proposals related to the preparations for WTDC, and proposals for reform to the conference itself.</w:t>
      </w:r>
    </w:p>
    <w:p w14:paraId="0EE1B939" w14:textId="24247A1C" w:rsidR="009E7F8D" w:rsidRPr="00F02830" w:rsidRDefault="00111B88" w:rsidP="00F54239">
      <w:pPr>
        <w:tabs>
          <w:tab w:val="clear" w:pos="794"/>
          <w:tab w:val="clear" w:pos="1191"/>
          <w:tab w:val="clear" w:pos="1588"/>
          <w:tab w:val="clear" w:pos="1985"/>
        </w:tabs>
        <w:ind w:left="720" w:hanging="720"/>
        <w:jc w:val="both"/>
        <w:rPr>
          <w:rFonts w:cstheme="minorHAnsi"/>
          <w:szCs w:val="24"/>
        </w:rPr>
      </w:pPr>
      <w:r w:rsidRPr="00F02830">
        <w:rPr>
          <w:rFonts w:cstheme="minorHAnsi"/>
          <w:szCs w:val="24"/>
        </w:rPr>
        <w:t>2.3</w:t>
      </w:r>
      <w:r w:rsidRPr="00F02830">
        <w:rPr>
          <w:rFonts w:cstheme="minorHAnsi"/>
          <w:szCs w:val="24"/>
        </w:rPr>
        <w:tab/>
      </w:r>
      <w:r w:rsidR="003D0769" w:rsidRPr="00F02830">
        <w:rPr>
          <w:rFonts w:cstheme="minorHAnsi"/>
          <w:szCs w:val="24"/>
        </w:rPr>
        <w:t>T</w:t>
      </w:r>
      <w:r w:rsidR="009E7F8D" w:rsidRPr="00F02830">
        <w:rPr>
          <w:rFonts w:cstheme="minorHAnsi"/>
          <w:szCs w:val="24"/>
        </w:rPr>
        <w:t>he</w:t>
      </w:r>
      <w:r w:rsidR="003D0769" w:rsidRPr="00F02830">
        <w:rPr>
          <w:rFonts w:cstheme="minorHAnsi"/>
          <w:szCs w:val="24"/>
        </w:rPr>
        <w:t>refore, the Director submits the</w:t>
      </w:r>
      <w:r w:rsidR="009E7F8D" w:rsidRPr="00F02830">
        <w:rPr>
          <w:rFonts w:cstheme="minorHAnsi"/>
          <w:szCs w:val="24"/>
        </w:rPr>
        <w:t xml:space="preserve"> following proposals for WTDC reform for consideration by</w:t>
      </w:r>
      <w:r w:rsidR="003D0769" w:rsidRPr="00F02830">
        <w:rPr>
          <w:rFonts w:cstheme="minorHAnsi"/>
          <w:szCs w:val="24"/>
        </w:rPr>
        <w:t>,</w:t>
      </w:r>
      <w:r w:rsidR="009E7F8D" w:rsidRPr="00F02830">
        <w:rPr>
          <w:rFonts w:cstheme="minorHAnsi"/>
          <w:szCs w:val="24"/>
        </w:rPr>
        <w:t xml:space="preserve"> and </w:t>
      </w:r>
      <w:r w:rsidR="003D0769" w:rsidRPr="00F02830">
        <w:rPr>
          <w:rFonts w:cstheme="minorHAnsi"/>
          <w:szCs w:val="24"/>
        </w:rPr>
        <w:t xml:space="preserve">the </w:t>
      </w:r>
      <w:r w:rsidR="009E7F8D" w:rsidRPr="00F02830">
        <w:rPr>
          <w:rFonts w:cstheme="minorHAnsi"/>
          <w:szCs w:val="24"/>
        </w:rPr>
        <w:t>advice of</w:t>
      </w:r>
      <w:r w:rsidR="003D0769" w:rsidRPr="00F02830">
        <w:rPr>
          <w:rFonts w:cstheme="minorHAnsi"/>
          <w:szCs w:val="24"/>
        </w:rPr>
        <w:t>,</w:t>
      </w:r>
      <w:r w:rsidR="009E7F8D" w:rsidRPr="00F02830">
        <w:rPr>
          <w:rFonts w:cstheme="minorHAnsi"/>
          <w:szCs w:val="24"/>
        </w:rPr>
        <w:t xml:space="preserve"> TDAG:</w:t>
      </w:r>
    </w:p>
    <w:p w14:paraId="3D387360" w14:textId="00AE36CA" w:rsidR="009E7F8D" w:rsidRPr="00F02830" w:rsidRDefault="00111B88" w:rsidP="00F54239">
      <w:pPr>
        <w:tabs>
          <w:tab w:val="clear" w:pos="794"/>
          <w:tab w:val="clear" w:pos="1191"/>
          <w:tab w:val="clear" w:pos="1588"/>
          <w:tab w:val="clear" w:pos="1985"/>
        </w:tabs>
        <w:ind w:left="720" w:hanging="720"/>
        <w:jc w:val="both"/>
        <w:rPr>
          <w:rFonts w:cstheme="minorHAnsi"/>
          <w:bCs/>
          <w:szCs w:val="24"/>
        </w:rPr>
      </w:pPr>
      <w:r w:rsidRPr="00F54239">
        <w:rPr>
          <w:rFonts w:cstheme="minorHAnsi"/>
          <w:szCs w:val="24"/>
        </w:rPr>
        <w:t>2.4</w:t>
      </w:r>
      <w:r w:rsidRPr="00F54239">
        <w:rPr>
          <w:rFonts w:cstheme="minorHAnsi"/>
          <w:szCs w:val="24"/>
        </w:rPr>
        <w:tab/>
        <w:t>B</w:t>
      </w:r>
      <w:r w:rsidR="009E7F8D" w:rsidRPr="00F54239">
        <w:rPr>
          <w:rFonts w:cstheme="minorHAnsi"/>
          <w:szCs w:val="24"/>
        </w:rPr>
        <w:t>efore the Conference</w:t>
      </w:r>
      <w:r w:rsidRPr="00F02830">
        <w:rPr>
          <w:rFonts w:cstheme="minorHAnsi"/>
          <w:bCs/>
          <w:szCs w:val="24"/>
          <w:u w:val="single"/>
        </w:rPr>
        <w:t>:</w:t>
      </w:r>
    </w:p>
    <w:p w14:paraId="1C9F1795" w14:textId="5EFD6FE2" w:rsidR="003D0769" w:rsidRPr="00F02830" w:rsidRDefault="00111B88" w:rsidP="00F02830">
      <w:pPr>
        <w:tabs>
          <w:tab w:val="clear" w:pos="794"/>
          <w:tab w:val="clear" w:pos="1191"/>
          <w:tab w:val="clear" w:pos="1588"/>
          <w:tab w:val="clear" w:pos="1985"/>
        </w:tabs>
        <w:ind w:left="709" w:hanging="672"/>
        <w:jc w:val="both"/>
        <w:rPr>
          <w:rFonts w:cstheme="minorHAnsi"/>
          <w:bCs/>
          <w:szCs w:val="24"/>
        </w:rPr>
      </w:pPr>
      <w:r w:rsidRPr="00F02830">
        <w:rPr>
          <w:rFonts w:cstheme="minorHAnsi"/>
          <w:bCs/>
          <w:szCs w:val="24"/>
        </w:rPr>
        <w:tab/>
      </w:r>
      <w:r w:rsidR="00F539D2" w:rsidRPr="00F02830">
        <w:rPr>
          <w:rFonts w:cstheme="minorHAnsi"/>
          <w:bCs/>
          <w:szCs w:val="24"/>
        </w:rPr>
        <w:t>Consideration should be given to the following approaches</w:t>
      </w:r>
      <w:r w:rsidR="003D0769" w:rsidRPr="00F02830">
        <w:rPr>
          <w:rFonts w:cstheme="minorHAnsi"/>
          <w:bCs/>
          <w:szCs w:val="24"/>
        </w:rPr>
        <w:t xml:space="preserve">: </w:t>
      </w:r>
    </w:p>
    <w:p w14:paraId="15D6D2E8" w14:textId="6D65C2F4" w:rsidR="003D0769" w:rsidRPr="00F02830" w:rsidRDefault="003D0769" w:rsidP="00E169CC">
      <w:pPr>
        <w:pStyle w:val="ListParagraph"/>
        <w:numPr>
          <w:ilvl w:val="0"/>
          <w:numId w:val="10"/>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Implement a comprehensive preparatory process that introduces formal inter-regional coordination meetings (IRMs).  These meetings should have a clearly defined format and clear agendas. Outcomes of IRMs would be non-binding as Member States have the sovereign right to submit proposals at the Conference.</w:t>
      </w:r>
    </w:p>
    <w:p w14:paraId="7B017A14" w14:textId="7EAEE010" w:rsidR="009E7F8D" w:rsidRPr="00F02830" w:rsidRDefault="009E7F8D" w:rsidP="00E169CC">
      <w:pPr>
        <w:pStyle w:val="ListParagraph"/>
        <w:numPr>
          <w:ilvl w:val="0"/>
          <w:numId w:val="10"/>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Define the number of representatives from each region to attend IRMs and decide on the chairmanship of IRMs.</w:t>
      </w:r>
    </w:p>
    <w:p w14:paraId="6C5FBDC9" w14:textId="1D3602C6" w:rsidR="00050D32" w:rsidRPr="00F02830" w:rsidRDefault="00050D32" w:rsidP="00E169CC">
      <w:pPr>
        <w:pStyle w:val="ListParagraph"/>
        <w:numPr>
          <w:ilvl w:val="0"/>
          <w:numId w:val="10"/>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Define target lists by constituent group, and a focus on funding entities and beneficiaries of ITU-D activities (youth, women, representatives from LDCs, persons from indigenous communities, etc.).</w:t>
      </w:r>
    </w:p>
    <w:p w14:paraId="02B53872" w14:textId="660BC3B4" w:rsidR="009E7F8D" w:rsidRPr="00F02830" w:rsidRDefault="009E7F8D" w:rsidP="00E169CC">
      <w:pPr>
        <w:pStyle w:val="ListParagraph"/>
        <w:numPr>
          <w:ilvl w:val="0"/>
          <w:numId w:val="10"/>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Ensure proper planning and coordination between RPMs, IRMs and RTO preparatory meetings to safeguard the efficiency of the Conference preparatory process.</w:t>
      </w:r>
    </w:p>
    <w:p w14:paraId="7D432588" w14:textId="5E3FE35B" w:rsidR="009E7F8D" w:rsidRPr="00F02830" w:rsidRDefault="009E7F8D" w:rsidP="00E169CC">
      <w:pPr>
        <w:pStyle w:val="ListParagraph"/>
        <w:numPr>
          <w:ilvl w:val="0"/>
          <w:numId w:val="10"/>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Establish, in collaboration with the Secretariat, a list of coordinators from each region for each topic on the Conference agenda.</w:t>
      </w:r>
    </w:p>
    <w:p w14:paraId="5401F851" w14:textId="3BBA26D1" w:rsidR="00050D32" w:rsidRPr="00F02830" w:rsidRDefault="00050D32" w:rsidP="00E169CC">
      <w:pPr>
        <w:pStyle w:val="ListParagraph"/>
        <w:numPr>
          <w:ilvl w:val="0"/>
          <w:numId w:val="10"/>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 xml:space="preserve">Leverage on a </w:t>
      </w:r>
      <w:proofErr w:type="gramStart"/>
      <w:r w:rsidRPr="00F02830">
        <w:rPr>
          <w:rFonts w:cstheme="minorHAnsi"/>
          <w:bCs/>
          <w:szCs w:val="24"/>
        </w:rPr>
        <w:t xml:space="preserve">selected basis other </w:t>
      </w:r>
      <w:r w:rsidR="00706075" w:rsidRPr="00F02830">
        <w:rPr>
          <w:rFonts w:cstheme="minorHAnsi"/>
          <w:bCs/>
          <w:szCs w:val="24"/>
        </w:rPr>
        <w:t>high-profile</w:t>
      </w:r>
      <w:r w:rsidRPr="00F02830">
        <w:rPr>
          <w:rFonts w:cstheme="minorHAnsi"/>
          <w:bCs/>
          <w:szCs w:val="24"/>
        </w:rPr>
        <w:t xml:space="preserve"> fora</w:t>
      </w:r>
      <w:proofErr w:type="gramEnd"/>
      <w:r w:rsidRPr="00F02830">
        <w:rPr>
          <w:rFonts w:cstheme="minorHAnsi"/>
          <w:bCs/>
          <w:szCs w:val="24"/>
        </w:rPr>
        <w:t xml:space="preserve"> to raise awareness and interest on WTDC</w:t>
      </w:r>
      <w:r w:rsidR="000D4A5E" w:rsidRPr="00F02830">
        <w:rPr>
          <w:rFonts w:cstheme="minorHAnsi"/>
          <w:bCs/>
          <w:szCs w:val="24"/>
        </w:rPr>
        <w:t>.</w:t>
      </w:r>
    </w:p>
    <w:p w14:paraId="4FA9FF1A" w14:textId="2860552A" w:rsidR="003D0769" w:rsidRPr="00F02830" w:rsidRDefault="00111B88" w:rsidP="00F54239">
      <w:pPr>
        <w:tabs>
          <w:tab w:val="clear" w:pos="794"/>
          <w:tab w:val="clear" w:pos="1191"/>
          <w:tab w:val="clear" w:pos="1588"/>
          <w:tab w:val="clear" w:pos="1985"/>
        </w:tabs>
        <w:ind w:left="720" w:hanging="720"/>
        <w:jc w:val="both"/>
        <w:rPr>
          <w:rFonts w:cstheme="minorHAnsi"/>
          <w:bCs/>
          <w:szCs w:val="24"/>
        </w:rPr>
      </w:pPr>
      <w:r w:rsidRPr="00F02830">
        <w:rPr>
          <w:rFonts w:cstheme="minorHAnsi"/>
          <w:bCs/>
          <w:szCs w:val="24"/>
        </w:rPr>
        <w:t>2.5</w:t>
      </w:r>
      <w:r w:rsidRPr="00F02830">
        <w:rPr>
          <w:rFonts w:cstheme="minorHAnsi"/>
          <w:bCs/>
          <w:szCs w:val="24"/>
        </w:rPr>
        <w:tab/>
      </w:r>
      <w:r w:rsidR="003D0769" w:rsidRPr="00AC7B28">
        <w:rPr>
          <w:rFonts w:cstheme="minorHAnsi"/>
          <w:bCs/>
          <w:szCs w:val="24"/>
          <w:u w:val="single"/>
        </w:rPr>
        <w:t xml:space="preserve">During the </w:t>
      </w:r>
      <w:r w:rsidR="003D0769" w:rsidRPr="00AC7B28">
        <w:rPr>
          <w:rFonts w:cstheme="minorHAnsi"/>
          <w:szCs w:val="24"/>
          <w:u w:val="single"/>
        </w:rPr>
        <w:t>Conference</w:t>
      </w:r>
      <w:r w:rsidRPr="00AC7B28">
        <w:rPr>
          <w:rFonts w:cstheme="minorHAnsi"/>
          <w:bCs/>
          <w:szCs w:val="24"/>
          <w:u w:val="single"/>
        </w:rPr>
        <w:t>:</w:t>
      </w:r>
    </w:p>
    <w:p w14:paraId="3D0F4780" w14:textId="321BF06D" w:rsidR="003D0769" w:rsidRPr="00F02830" w:rsidRDefault="00F539D2" w:rsidP="00F02830">
      <w:pPr>
        <w:tabs>
          <w:tab w:val="clear" w:pos="794"/>
          <w:tab w:val="clear" w:pos="1191"/>
          <w:tab w:val="clear" w:pos="1588"/>
          <w:tab w:val="clear" w:pos="1985"/>
        </w:tabs>
        <w:ind w:left="709"/>
        <w:jc w:val="both"/>
        <w:rPr>
          <w:rFonts w:cstheme="minorHAnsi"/>
          <w:bCs/>
          <w:szCs w:val="24"/>
        </w:rPr>
      </w:pPr>
      <w:r w:rsidRPr="00F02830">
        <w:rPr>
          <w:rFonts w:cstheme="minorHAnsi"/>
          <w:bCs/>
          <w:szCs w:val="24"/>
        </w:rPr>
        <w:t xml:space="preserve">Consideration should be given to </w:t>
      </w:r>
      <w:r w:rsidR="003D0769" w:rsidRPr="00F02830">
        <w:rPr>
          <w:rFonts w:cstheme="minorHAnsi"/>
          <w:bCs/>
          <w:szCs w:val="24"/>
        </w:rPr>
        <w:t>merg</w:t>
      </w:r>
      <w:r w:rsidRPr="00F02830">
        <w:rPr>
          <w:rFonts w:cstheme="minorHAnsi"/>
          <w:bCs/>
          <w:szCs w:val="24"/>
        </w:rPr>
        <w:t>ing</w:t>
      </w:r>
      <w:r w:rsidR="003D0769" w:rsidRPr="00F02830">
        <w:rPr>
          <w:rFonts w:cstheme="minorHAnsi"/>
          <w:bCs/>
          <w:szCs w:val="24"/>
        </w:rPr>
        <w:t xml:space="preserve"> the high-level segment and the side-events into thematic events, a “Development Track” as follows:</w:t>
      </w:r>
    </w:p>
    <w:p w14:paraId="69C28655" w14:textId="7B654B00" w:rsidR="003D0769" w:rsidRPr="00F02830" w:rsidRDefault="003D0769" w:rsidP="00E169CC">
      <w:pPr>
        <w:pStyle w:val="ListParagraph"/>
        <w:numPr>
          <w:ilvl w:val="0"/>
          <w:numId w:val="13"/>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 xml:space="preserve">Carefully select themes to match the WTDC </w:t>
      </w:r>
      <w:proofErr w:type="gramStart"/>
      <w:r w:rsidRPr="00F02830">
        <w:rPr>
          <w:rFonts w:cstheme="minorHAnsi"/>
          <w:bCs/>
          <w:szCs w:val="24"/>
        </w:rPr>
        <w:t>agenda, and</w:t>
      </w:r>
      <w:proofErr w:type="gramEnd"/>
      <w:r w:rsidRPr="00F02830">
        <w:rPr>
          <w:rFonts w:cstheme="minorHAnsi"/>
          <w:bCs/>
          <w:szCs w:val="24"/>
        </w:rPr>
        <w:t xml:space="preserve"> establish a clear agenda and value proposition with the intention of addressing development challenges and membership priorities, and obtaining funding/pledges to complement the ITU budget</w:t>
      </w:r>
      <w:r w:rsidR="00050D32" w:rsidRPr="00F02830">
        <w:rPr>
          <w:rFonts w:cstheme="minorHAnsi"/>
          <w:bCs/>
          <w:szCs w:val="24"/>
        </w:rPr>
        <w:t>.</w:t>
      </w:r>
    </w:p>
    <w:p w14:paraId="475644B4" w14:textId="45D862B0" w:rsidR="00050D32" w:rsidRPr="00F02830" w:rsidRDefault="00050D32" w:rsidP="00E169CC">
      <w:pPr>
        <w:pStyle w:val="ListParagraph"/>
        <w:numPr>
          <w:ilvl w:val="0"/>
          <w:numId w:val="13"/>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Invite high-level participants to chair and/or deliver key-note speeches on the theme(s) selected.</w:t>
      </w:r>
    </w:p>
    <w:p w14:paraId="66A85F9D" w14:textId="1DAF6DCF" w:rsidR="003D0769" w:rsidRPr="00F02830" w:rsidRDefault="00050D32" w:rsidP="00C703DA">
      <w:pPr>
        <w:pStyle w:val="ListParagraph"/>
        <w:numPr>
          <w:ilvl w:val="0"/>
          <w:numId w:val="13"/>
        </w:numPr>
        <w:tabs>
          <w:tab w:val="clear" w:pos="1134"/>
          <w:tab w:val="clear" w:pos="1871"/>
          <w:tab w:val="clear" w:pos="2268"/>
        </w:tabs>
        <w:ind w:left="1287" w:hanging="567"/>
        <w:contextualSpacing w:val="0"/>
        <w:jc w:val="both"/>
        <w:rPr>
          <w:rFonts w:cstheme="minorHAnsi"/>
          <w:bCs/>
          <w:szCs w:val="24"/>
        </w:rPr>
      </w:pPr>
      <w:r w:rsidRPr="00F02830">
        <w:rPr>
          <w:rFonts w:cstheme="minorHAnsi"/>
          <w:bCs/>
          <w:szCs w:val="24"/>
        </w:rPr>
        <w:t>Organize t</w:t>
      </w:r>
      <w:r w:rsidR="003D0769" w:rsidRPr="00F02830">
        <w:rPr>
          <w:rFonts w:cstheme="minorHAnsi"/>
          <w:bCs/>
          <w:szCs w:val="24"/>
        </w:rPr>
        <w:t xml:space="preserve">hematic </w:t>
      </w:r>
      <w:r w:rsidRPr="00F02830">
        <w:rPr>
          <w:rFonts w:cstheme="minorHAnsi"/>
          <w:bCs/>
          <w:szCs w:val="24"/>
        </w:rPr>
        <w:t>tracks</w:t>
      </w:r>
      <w:r w:rsidR="003D0769" w:rsidRPr="00F02830">
        <w:rPr>
          <w:rFonts w:cstheme="minorHAnsi"/>
          <w:bCs/>
          <w:szCs w:val="24"/>
        </w:rPr>
        <w:t xml:space="preserve"> to be </w:t>
      </w:r>
      <w:r w:rsidRPr="00F02830">
        <w:rPr>
          <w:rFonts w:cstheme="minorHAnsi"/>
          <w:bCs/>
          <w:szCs w:val="24"/>
        </w:rPr>
        <w:t xml:space="preserve">separate </w:t>
      </w:r>
      <w:r w:rsidR="003D0769" w:rsidRPr="00F02830">
        <w:rPr>
          <w:rFonts w:cstheme="minorHAnsi"/>
          <w:bCs/>
          <w:szCs w:val="24"/>
        </w:rPr>
        <w:t>from the “administrative” part of the conference.</w:t>
      </w:r>
    </w:p>
    <w:p w14:paraId="75F61A12" w14:textId="107E06C8" w:rsidR="009E7F8D" w:rsidRPr="00F02830" w:rsidRDefault="007C3491" w:rsidP="00F02830">
      <w:pPr>
        <w:tabs>
          <w:tab w:val="clear" w:pos="794"/>
          <w:tab w:val="clear" w:pos="1191"/>
          <w:tab w:val="clear" w:pos="1588"/>
          <w:tab w:val="clear" w:pos="1985"/>
        </w:tabs>
        <w:ind w:left="709"/>
        <w:jc w:val="both"/>
        <w:rPr>
          <w:rFonts w:cstheme="minorHAnsi"/>
          <w:szCs w:val="24"/>
        </w:rPr>
      </w:pPr>
      <w:r>
        <w:rPr>
          <w:rFonts w:cstheme="minorHAnsi"/>
          <w:bCs/>
          <w:szCs w:val="24"/>
        </w:rPr>
        <w:t xml:space="preserve">Following the practice of the other sectors, </w:t>
      </w:r>
      <w:r w:rsidR="003D0769" w:rsidRPr="00F02830">
        <w:rPr>
          <w:rFonts w:cstheme="minorHAnsi"/>
          <w:bCs/>
          <w:szCs w:val="24"/>
        </w:rPr>
        <w:t>the ITU-D contribution to the ITU Strategic Plan</w:t>
      </w:r>
      <w:r>
        <w:rPr>
          <w:rFonts w:cstheme="minorHAnsi"/>
          <w:bCs/>
          <w:szCs w:val="24"/>
        </w:rPr>
        <w:t xml:space="preserve"> should be the </w:t>
      </w:r>
      <w:r w:rsidR="003D0769" w:rsidRPr="00F02830">
        <w:rPr>
          <w:rFonts w:cstheme="minorHAnsi"/>
          <w:bCs/>
          <w:szCs w:val="24"/>
        </w:rPr>
        <w:t xml:space="preserve">responsibility </w:t>
      </w:r>
      <w:r>
        <w:rPr>
          <w:rFonts w:cstheme="minorHAnsi"/>
          <w:bCs/>
          <w:szCs w:val="24"/>
        </w:rPr>
        <w:t xml:space="preserve">of the </w:t>
      </w:r>
      <w:r w:rsidR="003D0769" w:rsidRPr="00F02830">
        <w:rPr>
          <w:rFonts w:cstheme="minorHAnsi"/>
          <w:bCs/>
          <w:szCs w:val="24"/>
        </w:rPr>
        <w:t>TDAG (revision of WTDC Resolutions 1 and 31 required).</w:t>
      </w:r>
    </w:p>
    <w:p w14:paraId="7C42B231" w14:textId="76E4F4B8" w:rsidR="009E7F8D" w:rsidRPr="00F02830" w:rsidRDefault="00D223D9" w:rsidP="00F54239">
      <w:pPr>
        <w:pStyle w:val="ListParagraph"/>
        <w:keepNext/>
        <w:numPr>
          <w:ilvl w:val="0"/>
          <w:numId w:val="9"/>
        </w:numPr>
        <w:tabs>
          <w:tab w:val="clear" w:pos="1134"/>
          <w:tab w:val="clear" w:pos="1871"/>
          <w:tab w:val="clear" w:pos="2268"/>
        </w:tabs>
        <w:spacing w:before="240"/>
        <w:ind w:left="720" w:hanging="720"/>
        <w:contextualSpacing w:val="0"/>
        <w:jc w:val="both"/>
        <w:rPr>
          <w:rFonts w:cstheme="minorHAnsi"/>
          <w:b/>
          <w:bCs/>
          <w:szCs w:val="24"/>
        </w:rPr>
      </w:pPr>
      <w:r w:rsidRPr="00F02830">
        <w:rPr>
          <w:rFonts w:cstheme="minorHAnsi"/>
          <w:b/>
          <w:bCs/>
          <w:szCs w:val="24"/>
        </w:rPr>
        <w:lastRenderedPageBreak/>
        <w:t>Recommended TDAG Groups</w:t>
      </w:r>
    </w:p>
    <w:p w14:paraId="488D286F" w14:textId="44F90FCD" w:rsidR="00D223D9" w:rsidRPr="00F02830" w:rsidRDefault="00065F73" w:rsidP="00F54239">
      <w:pPr>
        <w:pStyle w:val="ListParagraph"/>
        <w:numPr>
          <w:ilvl w:val="1"/>
          <w:numId w:val="9"/>
        </w:numPr>
        <w:ind w:hanging="720"/>
        <w:contextualSpacing w:val="0"/>
        <w:jc w:val="both"/>
        <w:rPr>
          <w:rFonts w:cstheme="minorHAnsi"/>
          <w:szCs w:val="24"/>
        </w:rPr>
      </w:pPr>
      <w:r w:rsidRPr="00F02830">
        <w:rPr>
          <w:rFonts w:cstheme="minorHAnsi"/>
          <w:szCs w:val="24"/>
        </w:rPr>
        <w:t xml:space="preserve">Based on the proposals set out in 2 above, it is recommended that TDAG establish </w:t>
      </w:r>
      <w:r w:rsidR="00C47975" w:rsidRPr="00F02830">
        <w:rPr>
          <w:rFonts w:cstheme="minorHAnsi"/>
          <w:szCs w:val="24"/>
        </w:rPr>
        <w:t xml:space="preserve">two </w:t>
      </w:r>
      <w:r w:rsidR="00281EC8" w:rsidRPr="00F02830">
        <w:rPr>
          <w:rFonts w:cstheme="minorHAnsi"/>
          <w:szCs w:val="24"/>
        </w:rPr>
        <w:t xml:space="preserve">working </w:t>
      </w:r>
      <w:r w:rsidRPr="00F02830">
        <w:rPr>
          <w:rFonts w:cstheme="minorHAnsi"/>
          <w:szCs w:val="24"/>
        </w:rPr>
        <w:t>groups</w:t>
      </w:r>
      <w:r w:rsidR="00281EC8" w:rsidRPr="00F02830">
        <w:rPr>
          <w:rFonts w:cstheme="minorHAnsi"/>
          <w:szCs w:val="24"/>
        </w:rPr>
        <w:t>,</w:t>
      </w:r>
      <w:r w:rsidRPr="00F02830">
        <w:rPr>
          <w:rFonts w:cstheme="minorHAnsi"/>
          <w:szCs w:val="24"/>
        </w:rPr>
        <w:t xml:space="preserve"> to </w:t>
      </w:r>
      <w:r w:rsidR="00296D10" w:rsidRPr="00F02830">
        <w:rPr>
          <w:rFonts w:cstheme="minorHAnsi"/>
          <w:szCs w:val="24"/>
        </w:rPr>
        <w:t xml:space="preserve">advise the Director on the implementation of </w:t>
      </w:r>
      <w:r w:rsidRPr="00F02830">
        <w:rPr>
          <w:rFonts w:cstheme="minorHAnsi"/>
          <w:szCs w:val="24"/>
        </w:rPr>
        <w:t>the proposals and prepar</w:t>
      </w:r>
      <w:r w:rsidR="00296D10" w:rsidRPr="00F02830">
        <w:rPr>
          <w:rFonts w:cstheme="minorHAnsi"/>
          <w:szCs w:val="24"/>
        </w:rPr>
        <w:t>ation</w:t>
      </w:r>
      <w:r w:rsidRPr="00F02830">
        <w:rPr>
          <w:rFonts w:cstheme="minorHAnsi"/>
          <w:szCs w:val="24"/>
        </w:rPr>
        <w:t xml:space="preserve"> for WTDC-21</w:t>
      </w:r>
      <w:r w:rsidR="00C47975" w:rsidRPr="00F02830">
        <w:rPr>
          <w:rFonts w:cstheme="minorHAnsi"/>
          <w:szCs w:val="24"/>
        </w:rPr>
        <w:t xml:space="preserve">, as </w:t>
      </w:r>
      <w:r w:rsidR="00296D10" w:rsidRPr="00F02830">
        <w:rPr>
          <w:rFonts w:cstheme="minorHAnsi"/>
          <w:szCs w:val="24"/>
        </w:rPr>
        <w:t>set out below.</w:t>
      </w:r>
    </w:p>
    <w:p w14:paraId="4AFD89E4" w14:textId="1EE8AB79" w:rsidR="00C47975" w:rsidRPr="00F02830" w:rsidRDefault="00C41670" w:rsidP="00C703DA">
      <w:pPr>
        <w:pStyle w:val="ListParagraph"/>
        <w:numPr>
          <w:ilvl w:val="1"/>
          <w:numId w:val="9"/>
        </w:numPr>
        <w:ind w:hanging="720"/>
        <w:contextualSpacing w:val="0"/>
        <w:jc w:val="both"/>
        <w:rPr>
          <w:rFonts w:cstheme="minorHAnsi"/>
          <w:szCs w:val="24"/>
          <w:u w:val="single"/>
        </w:rPr>
      </w:pPr>
      <w:r w:rsidRPr="00F02830">
        <w:rPr>
          <w:rFonts w:cstheme="minorHAnsi"/>
          <w:szCs w:val="24"/>
          <w:u w:val="single"/>
        </w:rPr>
        <w:t>TDAG Working Group on WTDC Reform</w:t>
      </w:r>
    </w:p>
    <w:p w14:paraId="08CDA41A" w14:textId="77777777" w:rsidR="00625777" w:rsidRPr="00F02830" w:rsidRDefault="00625777" w:rsidP="00C703DA">
      <w:pPr>
        <w:pStyle w:val="ListParagraph"/>
        <w:numPr>
          <w:ilvl w:val="0"/>
          <w:numId w:val="17"/>
        </w:numPr>
        <w:tabs>
          <w:tab w:val="clear" w:pos="1134"/>
          <w:tab w:val="clear" w:pos="1871"/>
          <w:tab w:val="clear" w:pos="2268"/>
          <w:tab w:val="left" w:pos="1191"/>
          <w:tab w:val="left" w:pos="1588"/>
          <w:tab w:val="left" w:pos="1985"/>
        </w:tabs>
        <w:ind w:left="1287" w:hanging="567"/>
        <w:contextualSpacing w:val="0"/>
        <w:jc w:val="both"/>
        <w:rPr>
          <w:rFonts w:cstheme="minorHAnsi"/>
          <w:szCs w:val="24"/>
        </w:rPr>
      </w:pPr>
      <w:r w:rsidRPr="00F02830">
        <w:rPr>
          <w:rFonts w:cstheme="minorHAnsi"/>
          <w:szCs w:val="24"/>
        </w:rPr>
        <w:t>To review WTDC preliminary proposals, which were discussed during the two TDAG web dialogues on WTDC held in March and April 2020.</w:t>
      </w:r>
    </w:p>
    <w:p w14:paraId="541D3E87" w14:textId="368CEAA2" w:rsidR="00625777" w:rsidRPr="00F02830" w:rsidRDefault="00625777" w:rsidP="00C703DA">
      <w:pPr>
        <w:pStyle w:val="ListParagraph"/>
        <w:numPr>
          <w:ilvl w:val="0"/>
          <w:numId w:val="17"/>
        </w:numPr>
        <w:tabs>
          <w:tab w:val="clear" w:pos="1134"/>
          <w:tab w:val="clear" w:pos="1871"/>
          <w:tab w:val="clear" w:pos="2268"/>
          <w:tab w:val="left" w:pos="794"/>
          <w:tab w:val="left" w:pos="1191"/>
          <w:tab w:val="left" w:pos="1588"/>
          <w:tab w:val="left" w:pos="1985"/>
        </w:tabs>
        <w:ind w:left="1287" w:hanging="567"/>
        <w:contextualSpacing w:val="0"/>
        <w:jc w:val="both"/>
        <w:rPr>
          <w:rFonts w:cstheme="minorHAnsi"/>
          <w:szCs w:val="24"/>
        </w:rPr>
      </w:pPr>
      <w:r w:rsidRPr="00F02830">
        <w:rPr>
          <w:rFonts w:cstheme="minorHAnsi"/>
          <w:szCs w:val="24"/>
        </w:rPr>
        <w:t xml:space="preserve">To </w:t>
      </w:r>
      <w:bookmarkStart w:id="11" w:name="_Hlk40286689"/>
      <w:r w:rsidR="005A454D" w:rsidRPr="00F02830">
        <w:rPr>
          <w:rFonts w:cstheme="minorHAnsi"/>
          <w:szCs w:val="24"/>
        </w:rPr>
        <w:t xml:space="preserve">advise and assist the Director with arrangements for </w:t>
      </w:r>
      <w:r w:rsidR="00EA4D3B" w:rsidRPr="00F02830">
        <w:rPr>
          <w:rFonts w:cstheme="minorHAnsi"/>
          <w:szCs w:val="24"/>
        </w:rPr>
        <w:t xml:space="preserve">preparatory </w:t>
      </w:r>
      <w:r w:rsidR="00F23FAD" w:rsidRPr="00F02830">
        <w:rPr>
          <w:rFonts w:cstheme="minorHAnsi"/>
          <w:szCs w:val="24"/>
        </w:rPr>
        <w:t>m</w:t>
      </w:r>
      <w:r w:rsidR="005A454D" w:rsidRPr="00F02830">
        <w:rPr>
          <w:rFonts w:cstheme="minorHAnsi"/>
          <w:szCs w:val="24"/>
        </w:rPr>
        <w:t xml:space="preserve">eetings and </w:t>
      </w:r>
      <w:r w:rsidR="00EA4D3B" w:rsidRPr="00F02830">
        <w:rPr>
          <w:rFonts w:cstheme="minorHAnsi"/>
          <w:szCs w:val="24"/>
        </w:rPr>
        <w:t xml:space="preserve">promotional </w:t>
      </w:r>
      <w:r w:rsidR="00F23FAD" w:rsidRPr="00F02830">
        <w:rPr>
          <w:rFonts w:cstheme="minorHAnsi"/>
          <w:szCs w:val="24"/>
        </w:rPr>
        <w:t>e</w:t>
      </w:r>
      <w:r w:rsidR="005A454D" w:rsidRPr="00F02830">
        <w:rPr>
          <w:rFonts w:cstheme="minorHAnsi"/>
          <w:szCs w:val="24"/>
        </w:rPr>
        <w:t xml:space="preserve">vents prior to the </w:t>
      </w:r>
      <w:proofErr w:type="gramStart"/>
      <w:r w:rsidR="005A454D" w:rsidRPr="00F02830">
        <w:rPr>
          <w:rFonts w:cstheme="minorHAnsi"/>
          <w:szCs w:val="24"/>
        </w:rPr>
        <w:t>conference;</w:t>
      </w:r>
      <w:proofErr w:type="gramEnd"/>
    </w:p>
    <w:bookmarkEnd w:id="11"/>
    <w:p w14:paraId="76380BC2" w14:textId="30E298B6" w:rsidR="005A454D" w:rsidRPr="00F02830" w:rsidRDefault="005A454D" w:rsidP="00C703DA">
      <w:pPr>
        <w:pStyle w:val="ListParagraph"/>
        <w:numPr>
          <w:ilvl w:val="0"/>
          <w:numId w:val="17"/>
        </w:numPr>
        <w:tabs>
          <w:tab w:val="clear" w:pos="1134"/>
          <w:tab w:val="clear" w:pos="1871"/>
          <w:tab w:val="clear" w:pos="2268"/>
          <w:tab w:val="left" w:pos="794"/>
          <w:tab w:val="left" w:pos="1191"/>
          <w:tab w:val="left" w:pos="1588"/>
          <w:tab w:val="left" w:pos="1985"/>
        </w:tabs>
        <w:ind w:left="1287" w:hanging="567"/>
        <w:contextualSpacing w:val="0"/>
        <w:jc w:val="both"/>
        <w:rPr>
          <w:rFonts w:cstheme="minorHAnsi"/>
          <w:szCs w:val="24"/>
        </w:rPr>
      </w:pPr>
      <w:r w:rsidRPr="00F02830">
        <w:rPr>
          <w:rFonts w:cstheme="minorHAnsi"/>
          <w:szCs w:val="24"/>
        </w:rPr>
        <w:t>To advise and assist the Director with arrangements for the work of the conference, including:</w:t>
      </w:r>
    </w:p>
    <w:p w14:paraId="5102DA96" w14:textId="5E0A4B05" w:rsidR="00EA4D3B" w:rsidRPr="00F02830" w:rsidRDefault="00EA4D3B" w:rsidP="00C703DA">
      <w:pPr>
        <w:pStyle w:val="ListParagraph"/>
        <w:numPr>
          <w:ilvl w:val="1"/>
          <w:numId w:val="17"/>
        </w:numPr>
        <w:tabs>
          <w:tab w:val="clear" w:pos="1134"/>
          <w:tab w:val="clear" w:pos="1871"/>
          <w:tab w:val="clear" w:pos="2268"/>
        </w:tabs>
        <w:ind w:left="1854" w:hanging="567"/>
        <w:contextualSpacing w:val="0"/>
        <w:jc w:val="both"/>
        <w:rPr>
          <w:rFonts w:cstheme="minorHAnsi"/>
          <w:szCs w:val="24"/>
        </w:rPr>
      </w:pPr>
      <w:r w:rsidRPr="00F02830">
        <w:rPr>
          <w:rFonts w:cstheme="minorHAnsi"/>
          <w:szCs w:val="24"/>
        </w:rPr>
        <w:t xml:space="preserve">Conference </w:t>
      </w:r>
      <w:proofErr w:type="gramStart"/>
      <w:r w:rsidRPr="00F02830">
        <w:rPr>
          <w:rFonts w:cstheme="minorHAnsi"/>
          <w:szCs w:val="24"/>
        </w:rPr>
        <w:t>agenda;</w:t>
      </w:r>
      <w:proofErr w:type="gramEnd"/>
    </w:p>
    <w:p w14:paraId="46A9B2E6" w14:textId="245CF28E" w:rsidR="00EA4D3B" w:rsidRPr="00F02830" w:rsidRDefault="00EA4D3B" w:rsidP="00C703DA">
      <w:pPr>
        <w:pStyle w:val="ListParagraph"/>
        <w:numPr>
          <w:ilvl w:val="1"/>
          <w:numId w:val="17"/>
        </w:numPr>
        <w:tabs>
          <w:tab w:val="clear" w:pos="1134"/>
          <w:tab w:val="clear" w:pos="1871"/>
          <w:tab w:val="clear" w:pos="2268"/>
        </w:tabs>
        <w:ind w:left="1854" w:hanging="567"/>
        <w:contextualSpacing w:val="0"/>
        <w:jc w:val="both"/>
        <w:rPr>
          <w:rFonts w:cstheme="minorHAnsi"/>
          <w:szCs w:val="24"/>
        </w:rPr>
      </w:pPr>
      <w:r w:rsidRPr="00F02830">
        <w:rPr>
          <w:rFonts w:cstheme="minorHAnsi"/>
          <w:szCs w:val="24"/>
        </w:rPr>
        <w:t>Determination of conference</w:t>
      </w:r>
      <w:r w:rsidR="005A454D" w:rsidRPr="00F02830">
        <w:rPr>
          <w:rFonts w:cstheme="minorHAnsi"/>
          <w:szCs w:val="24"/>
        </w:rPr>
        <w:t xml:space="preserve"> </w:t>
      </w:r>
      <w:r w:rsidRPr="00F02830">
        <w:rPr>
          <w:rFonts w:cstheme="minorHAnsi"/>
          <w:szCs w:val="24"/>
        </w:rPr>
        <w:t>t</w:t>
      </w:r>
      <w:r w:rsidR="005A454D" w:rsidRPr="00F02830">
        <w:rPr>
          <w:rFonts w:cstheme="minorHAnsi"/>
          <w:szCs w:val="24"/>
        </w:rPr>
        <w:t>heme</w:t>
      </w:r>
      <w:r w:rsidRPr="00F02830">
        <w:rPr>
          <w:rFonts w:cstheme="minorHAnsi"/>
          <w:szCs w:val="24"/>
        </w:rPr>
        <w:t>(s</w:t>
      </w:r>
      <w:proofErr w:type="gramStart"/>
      <w:r w:rsidRPr="00F02830">
        <w:rPr>
          <w:rFonts w:cstheme="minorHAnsi"/>
          <w:szCs w:val="24"/>
        </w:rPr>
        <w:t>);</w:t>
      </w:r>
      <w:proofErr w:type="gramEnd"/>
    </w:p>
    <w:p w14:paraId="5F52B82C" w14:textId="1432770E" w:rsidR="005A454D" w:rsidRPr="00F02830" w:rsidRDefault="00EA4D3B" w:rsidP="00C703DA">
      <w:pPr>
        <w:pStyle w:val="ListParagraph"/>
        <w:numPr>
          <w:ilvl w:val="1"/>
          <w:numId w:val="17"/>
        </w:numPr>
        <w:tabs>
          <w:tab w:val="clear" w:pos="1134"/>
          <w:tab w:val="clear" w:pos="1871"/>
          <w:tab w:val="clear" w:pos="2268"/>
        </w:tabs>
        <w:ind w:left="1854" w:hanging="567"/>
        <w:contextualSpacing w:val="0"/>
        <w:jc w:val="both"/>
        <w:rPr>
          <w:rFonts w:cstheme="minorHAnsi"/>
          <w:szCs w:val="24"/>
        </w:rPr>
      </w:pPr>
      <w:r w:rsidRPr="00F02830">
        <w:rPr>
          <w:rFonts w:cstheme="minorHAnsi"/>
          <w:szCs w:val="24"/>
        </w:rPr>
        <w:t xml:space="preserve">Design of the Thematic </w:t>
      </w:r>
      <w:proofErr w:type="gramStart"/>
      <w:r w:rsidRPr="00F02830">
        <w:rPr>
          <w:rFonts w:cstheme="minorHAnsi"/>
          <w:szCs w:val="24"/>
        </w:rPr>
        <w:t>tracks</w:t>
      </w:r>
      <w:r w:rsidR="005A454D" w:rsidRPr="00F02830">
        <w:rPr>
          <w:rFonts w:cstheme="minorHAnsi"/>
          <w:szCs w:val="24"/>
        </w:rPr>
        <w:t>;</w:t>
      </w:r>
      <w:proofErr w:type="gramEnd"/>
      <w:r w:rsidR="005A454D" w:rsidRPr="00F02830">
        <w:rPr>
          <w:rFonts w:cstheme="minorHAnsi"/>
          <w:szCs w:val="24"/>
        </w:rPr>
        <w:t xml:space="preserve"> </w:t>
      </w:r>
    </w:p>
    <w:p w14:paraId="0561853A" w14:textId="0AB9FCA4" w:rsidR="00EA4D3B" w:rsidRPr="00F02830" w:rsidRDefault="00EA4D3B" w:rsidP="00C703DA">
      <w:pPr>
        <w:pStyle w:val="ListParagraph"/>
        <w:numPr>
          <w:ilvl w:val="1"/>
          <w:numId w:val="17"/>
        </w:numPr>
        <w:tabs>
          <w:tab w:val="clear" w:pos="1134"/>
          <w:tab w:val="clear" w:pos="1871"/>
          <w:tab w:val="clear" w:pos="2268"/>
        </w:tabs>
        <w:ind w:left="1854" w:hanging="567"/>
        <w:contextualSpacing w:val="0"/>
        <w:jc w:val="both"/>
        <w:rPr>
          <w:rFonts w:cstheme="minorHAnsi"/>
          <w:szCs w:val="24"/>
        </w:rPr>
      </w:pPr>
      <w:r w:rsidRPr="00F02830">
        <w:rPr>
          <w:rFonts w:cstheme="minorHAnsi"/>
          <w:szCs w:val="24"/>
        </w:rPr>
        <w:t>K</w:t>
      </w:r>
      <w:r w:rsidR="005A454D" w:rsidRPr="00F02830">
        <w:rPr>
          <w:rFonts w:cstheme="minorHAnsi"/>
          <w:szCs w:val="24"/>
        </w:rPr>
        <w:t xml:space="preserve">ey </w:t>
      </w:r>
      <w:r w:rsidRPr="00F02830">
        <w:rPr>
          <w:rFonts w:cstheme="minorHAnsi"/>
          <w:szCs w:val="24"/>
        </w:rPr>
        <w:t>partners, including high level participants and potential funding partners</w:t>
      </w:r>
      <w:r w:rsidR="00F539D2" w:rsidRPr="00F02830">
        <w:rPr>
          <w:rFonts w:cstheme="minorHAnsi"/>
          <w:szCs w:val="24"/>
        </w:rPr>
        <w:t>.</w:t>
      </w:r>
    </w:p>
    <w:p w14:paraId="6DB84910" w14:textId="1AAC24C6" w:rsidR="00065F73" w:rsidRPr="00F02830" w:rsidRDefault="00281EC8" w:rsidP="00F54239">
      <w:pPr>
        <w:pStyle w:val="ListParagraph"/>
        <w:numPr>
          <w:ilvl w:val="1"/>
          <w:numId w:val="9"/>
        </w:numPr>
        <w:ind w:hanging="720"/>
        <w:contextualSpacing w:val="0"/>
        <w:jc w:val="both"/>
        <w:rPr>
          <w:rFonts w:cstheme="minorHAnsi"/>
          <w:szCs w:val="24"/>
        </w:rPr>
      </w:pPr>
      <w:r w:rsidRPr="00F02830">
        <w:rPr>
          <w:rFonts w:cstheme="minorHAnsi"/>
          <w:szCs w:val="24"/>
        </w:rPr>
        <w:t>TDAG</w:t>
      </w:r>
      <w:r w:rsidR="00296D10" w:rsidRPr="00F02830">
        <w:rPr>
          <w:rFonts w:cstheme="minorHAnsi"/>
          <w:szCs w:val="24"/>
        </w:rPr>
        <w:t xml:space="preserve"> Working Group on </w:t>
      </w:r>
      <w:r w:rsidR="005B7E12" w:rsidRPr="00F02830">
        <w:rPr>
          <w:rFonts w:cstheme="minorHAnsi"/>
          <w:szCs w:val="24"/>
        </w:rPr>
        <w:t>Resolutions</w:t>
      </w:r>
      <w:r w:rsidR="00C45DA7" w:rsidRPr="00F02830">
        <w:rPr>
          <w:rFonts w:cstheme="minorHAnsi"/>
          <w:szCs w:val="24"/>
        </w:rPr>
        <w:t xml:space="preserve"> and Declaration</w:t>
      </w:r>
      <w:r w:rsidR="001F3003">
        <w:rPr>
          <w:rFonts w:cstheme="minorHAnsi"/>
          <w:szCs w:val="24"/>
        </w:rPr>
        <w:t>:</w:t>
      </w:r>
    </w:p>
    <w:p w14:paraId="59881AC0" w14:textId="589B2475" w:rsidR="00F539D2" w:rsidRPr="00F02830" w:rsidRDefault="00F539D2" w:rsidP="00C703DA">
      <w:pPr>
        <w:pStyle w:val="ListParagraph"/>
        <w:numPr>
          <w:ilvl w:val="0"/>
          <w:numId w:val="18"/>
        </w:numPr>
        <w:tabs>
          <w:tab w:val="clear" w:pos="1134"/>
          <w:tab w:val="clear" w:pos="1871"/>
          <w:tab w:val="clear" w:pos="2268"/>
          <w:tab w:val="left" w:pos="794"/>
          <w:tab w:val="left" w:pos="1191"/>
          <w:tab w:val="left" w:pos="1588"/>
          <w:tab w:val="left" w:pos="1985"/>
        </w:tabs>
        <w:ind w:left="1287" w:hanging="567"/>
        <w:contextualSpacing w:val="0"/>
        <w:jc w:val="both"/>
        <w:rPr>
          <w:rFonts w:cstheme="minorHAnsi"/>
          <w:szCs w:val="24"/>
        </w:rPr>
      </w:pPr>
      <w:r w:rsidRPr="00F02830">
        <w:rPr>
          <w:rFonts w:cstheme="minorHAnsi"/>
          <w:szCs w:val="24"/>
        </w:rPr>
        <w:t xml:space="preserve">To review WTDC resolutions, examine their number and subject matter, </w:t>
      </w:r>
      <w:r w:rsidR="00F23FAD" w:rsidRPr="00F02830">
        <w:rPr>
          <w:rFonts w:cstheme="minorHAnsi"/>
          <w:szCs w:val="24"/>
        </w:rPr>
        <w:t>and</w:t>
      </w:r>
      <w:r w:rsidRPr="00F02830">
        <w:rPr>
          <w:rFonts w:cstheme="minorHAnsi"/>
          <w:szCs w:val="24"/>
        </w:rPr>
        <w:t xml:space="preserve"> consider streamlining</w:t>
      </w:r>
      <w:r w:rsidR="00F23FAD" w:rsidRPr="00F02830">
        <w:rPr>
          <w:rFonts w:cstheme="minorHAnsi"/>
          <w:szCs w:val="24"/>
        </w:rPr>
        <w:t>, to avoid repetitions and duplication with the Resolutions of the Plenipotentiary Conference.</w:t>
      </w:r>
    </w:p>
    <w:p w14:paraId="6833F2D1" w14:textId="1909F4BF" w:rsidR="00F23FAD" w:rsidRPr="00F02830" w:rsidRDefault="00281EC8" w:rsidP="00C703DA">
      <w:pPr>
        <w:pStyle w:val="ListParagraph"/>
        <w:numPr>
          <w:ilvl w:val="0"/>
          <w:numId w:val="18"/>
        </w:numPr>
        <w:tabs>
          <w:tab w:val="clear" w:pos="1134"/>
          <w:tab w:val="clear" w:pos="1871"/>
          <w:tab w:val="clear" w:pos="2268"/>
        </w:tabs>
        <w:ind w:left="1287" w:hanging="567"/>
        <w:contextualSpacing w:val="0"/>
        <w:jc w:val="both"/>
        <w:rPr>
          <w:rFonts w:cstheme="minorHAnsi"/>
          <w:szCs w:val="24"/>
        </w:rPr>
      </w:pPr>
      <w:r w:rsidRPr="00F02830">
        <w:rPr>
          <w:rFonts w:cstheme="minorHAnsi"/>
          <w:szCs w:val="24"/>
        </w:rPr>
        <w:t xml:space="preserve">To </w:t>
      </w:r>
      <w:r w:rsidR="00F539D2" w:rsidRPr="00F02830">
        <w:rPr>
          <w:rFonts w:cstheme="minorHAnsi"/>
          <w:szCs w:val="24"/>
        </w:rPr>
        <w:t>align the</w:t>
      </w:r>
      <w:r w:rsidRPr="00F02830">
        <w:rPr>
          <w:rFonts w:cstheme="minorHAnsi"/>
          <w:szCs w:val="24"/>
        </w:rPr>
        <w:t xml:space="preserve"> </w:t>
      </w:r>
      <w:r w:rsidR="00F23FAD" w:rsidRPr="00F02830">
        <w:rPr>
          <w:rFonts w:cstheme="minorHAnsi"/>
          <w:szCs w:val="24"/>
        </w:rPr>
        <w:t xml:space="preserve">BDT </w:t>
      </w:r>
      <w:r w:rsidRPr="00F02830">
        <w:rPr>
          <w:rFonts w:cstheme="minorHAnsi"/>
          <w:szCs w:val="24"/>
        </w:rPr>
        <w:t>thematic priorities</w:t>
      </w:r>
      <w:r w:rsidR="00F539D2" w:rsidRPr="00F02830">
        <w:rPr>
          <w:rFonts w:cstheme="minorHAnsi"/>
          <w:szCs w:val="24"/>
        </w:rPr>
        <w:t>,</w:t>
      </w:r>
      <w:r w:rsidRPr="00F02830">
        <w:rPr>
          <w:rFonts w:cstheme="minorHAnsi"/>
          <w:szCs w:val="24"/>
        </w:rPr>
        <w:t xml:space="preserve"> </w:t>
      </w:r>
      <w:r w:rsidR="00F23FAD" w:rsidRPr="00F02830">
        <w:rPr>
          <w:rFonts w:cstheme="minorHAnsi"/>
          <w:szCs w:val="24"/>
        </w:rPr>
        <w:t xml:space="preserve">proposed </w:t>
      </w:r>
      <w:r w:rsidR="00F539D2" w:rsidRPr="00F02830">
        <w:rPr>
          <w:rFonts w:cstheme="minorHAnsi"/>
          <w:szCs w:val="24"/>
        </w:rPr>
        <w:t xml:space="preserve">regional priorities </w:t>
      </w:r>
      <w:r w:rsidRPr="00F02830">
        <w:rPr>
          <w:rFonts w:cstheme="minorHAnsi"/>
          <w:szCs w:val="24"/>
        </w:rPr>
        <w:t xml:space="preserve">and </w:t>
      </w:r>
      <w:r w:rsidR="00F23FAD" w:rsidRPr="00F02830">
        <w:rPr>
          <w:rFonts w:cstheme="minorHAnsi"/>
          <w:szCs w:val="24"/>
        </w:rPr>
        <w:t xml:space="preserve">proposed </w:t>
      </w:r>
      <w:r w:rsidRPr="00F02830">
        <w:rPr>
          <w:rFonts w:cstheme="minorHAnsi"/>
          <w:szCs w:val="24"/>
        </w:rPr>
        <w:t>study group questions</w:t>
      </w:r>
      <w:r w:rsidR="00F539D2" w:rsidRPr="00F02830">
        <w:rPr>
          <w:rFonts w:cstheme="minorHAnsi"/>
          <w:szCs w:val="24"/>
        </w:rPr>
        <w:t xml:space="preserve"> having regard to the 2030 Sustainable Development Goals and </w:t>
      </w:r>
      <w:r w:rsidR="00F23FAD" w:rsidRPr="00F02830">
        <w:rPr>
          <w:rFonts w:cstheme="minorHAnsi"/>
          <w:szCs w:val="24"/>
        </w:rPr>
        <w:t>taking into consideration the WSIS Action Lines (C2, C5 and C6) for which ITU has lead responsibility</w:t>
      </w:r>
      <w:r w:rsidRPr="00F02830">
        <w:rPr>
          <w:rFonts w:cstheme="minorHAnsi"/>
          <w:szCs w:val="24"/>
        </w:rPr>
        <w:t>.</w:t>
      </w:r>
    </w:p>
    <w:p w14:paraId="3748F5B7" w14:textId="57851A63" w:rsidR="00281EC8" w:rsidRPr="00C703DA" w:rsidRDefault="00281EC8" w:rsidP="00C703DA">
      <w:pPr>
        <w:pStyle w:val="ListParagraph"/>
        <w:numPr>
          <w:ilvl w:val="0"/>
          <w:numId w:val="18"/>
        </w:numPr>
        <w:tabs>
          <w:tab w:val="clear" w:pos="1134"/>
          <w:tab w:val="clear" w:pos="1871"/>
          <w:tab w:val="clear" w:pos="2268"/>
        </w:tabs>
        <w:ind w:left="1287" w:hanging="567"/>
        <w:contextualSpacing w:val="0"/>
        <w:jc w:val="both"/>
        <w:rPr>
          <w:rFonts w:cstheme="minorHAnsi"/>
          <w:szCs w:val="24"/>
        </w:rPr>
      </w:pPr>
      <w:r w:rsidRPr="00F02830">
        <w:rPr>
          <w:rFonts w:cstheme="minorHAnsi"/>
          <w:szCs w:val="24"/>
        </w:rPr>
        <w:t xml:space="preserve">To propose elements </w:t>
      </w:r>
      <w:r w:rsidR="00F23FAD" w:rsidRPr="00F02830">
        <w:rPr>
          <w:rFonts w:cstheme="minorHAnsi"/>
          <w:szCs w:val="24"/>
        </w:rPr>
        <w:t xml:space="preserve">and make recommendations to membership </w:t>
      </w:r>
      <w:r w:rsidRPr="00F02830">
        <w:rPr>
          <w:rFonts w:cstheme="minorHAnsi"/>
          <w:szCs w:val="24"/>
        </w:rPr>
        <w:t>for the future draft Declaration.</w:t>
      </w:r>
    </w:p>
    <w:p w14:paraId="6E2B7BC6" w14:textId="6FF3C003" w:rsidR="00D223D9" w:rsidRPr="00C703DA" w:rsidRDefault="00281EC8" w:rsidP="00F54239">
      <w:pPr>
        <w:pStyle w:val="ListParagraph"/>
        <w:numPr>
          <w:ilvl w:val="1"/>
          <w:numId w:val="9"/>
        </w:numPr>
        <w:tabs>
          <w:tab w:val="clear" w:pos="1134"/>
          <w:tab w:val="clear" w:pos="1871"/>
          <w:tab w:val="clear" w:pos="2268"/>
        </w:tabs>
        <w:ind w:hanging="720"/>
        <w:contextualSpacing w:val="0"/>
        <w:jc w:val="both"/>
        <w:rPr>
          <w:rFonts w:cstheme="minorHAnsi"/>
          <w:szCs w:val="24"/>
        </w:rPr>
      </w:pPr>
      <w:r w:rsidRPr="00C703DA">
        <w:rPr>
          <w:rFonts w:cstheme="minorHAnsi"/>
          <w:szCs w:val="24"/>
        </w:rPr>
        <w:t>The composition and terms of reference of the groups would be as determined by TDAG.</w:t>
      </w:r>
    </w:p>
    <w:p w14:paraId="751A2607" w14:textId="4DD6E898" w:rsidR="00B06E96" w:rsidRPr="00F02830" w:rsidRDefault="00B06E96" w:rsidP="00F54239">
      <w:pPr>
        <w:pStyle w:val="ListParagraph"/>
        <w:keepNext/>
        <w:numPr>
          <w:ilvl w:val="0"/>
          <w:numId w:val="9"/>
        </w:numPr>
        <w:tabs>
          <w:tab w:val="clear" w:pos="1134"/>
          <w:tab w:val="clear" w:pos="1871"/>
          <w:tab w:val="clear" w:pos="2268"/>
        </w:tabs>
        <w:spacing w:before="240"/>
        <w:ind w:left="720" w:hanging="720"/>
        <w:contextualSpacing w:val="0"/>
        <w:jc w:val="both"/>
        <w:rPr>
          <w:rFonts w:cstheme="minorHAnsi"/>
          <w:b/>
          <w:bCs/>
          <w:szCs w:val="24"/>
        </w:rPr>
      </w:pPr>
      <w:r w:rsidRPr="00F02830">
        <w:rPr>
          <w:rFonts w:cstheme="minorHAnsi"/>
          <w:b/>
          <w:bCs/>
          <w:szCs w:val="24"/>
        </w:rPr>
        <w:t>Schedule of Preparations toward WT</w:t>
      </w:r>
      <w:r w:rsidR="007C3491">
        <w:rPr>
          <w:rFonts w:cstheme="minorHAnsi"/>
          <w:b/>
          <w:bCs/>
          <w:szCs w:val="24"/>
        </w:rPr>
        <w:t>D</w:t>
      </w:r>
      <w:r w:rsidRPr="00F02830">
        <w:rPr>
          <w:rFonts w:cstheme="minorHAnsi"/>
          <w:b/>
          <w:bCs/>
          <w:szCs w:val="24"/>
        </w:rPr>
        <w:t>C-21</w:t>
      </w:r>
    </w:p>
    <w:p w14:paraId="1D79589C" w14:textId="5FD339D1" w:rsidR="00B06E96" w:rsidRPr="00F02830" w:rsidRDefault="00B06E96" w:rsidP="00F54239">
      <w:pPr>
        <w:tabs>
          <w:tab w:val="clear" w:pos="794"/>
          <w:tab w:val="clear" w:pos="1191"/>
          <w:tab w:val="clear" w:pos="1588"/>
          <w:tab w:val="clear" w:pos="1985"/>
        </w:tabs>
        <w:ind w:left="720" w:hanging="720"/>
        <w:jc w:val="both"/>
        <w:rPr>
          <w:rFonts w:cstheme="minorHAnsi"/>
          <w:szCs w:val="24"/>
        </w:rPr>
      </w:pPr>
      <w:r w:rsidRPr="00F02830">
        <w:rPr>
          <w:rFonts w:cstheme="minorHAnsi"/>
          <w:szCs w:val="24"/>
        </w:rPr>
        <w:t>4.1</w:t>
      </w:r>
      <w:r w:rsidRPr="00F02830">
        <w:rPr>
          <w:rFonts w:cstheme="minorHAnsi"/>
          <w:szCs w:val="24"/>
        </w:rPr>
        <w:tab/>
        <w:t xml:space="preserve">Based on the current state of preparations, and scheduling of various ITU events and </w:t>
      </w:r>
      <w:r w:rsidR="004F3FE3" w:rsidRPr="00F02830">
        <w:rPr>
          <w:rFonts w:cstheme="minorHAnsi"/>
          <w:szCs w:val="24"/>
        </w:rPr>
        <w:t xml:space="preserve">important religious observances, a proposed timeline for the preparatory process leading up to WTDC-21 is attached as Annex </w:t>
      </w:r>
      <w:r w:rsidR="009A3772" w:rsidRPr="00F02830">
        <w:rPr>
          <w:rFonts w:cstheme="minorHAnsi"/>
          <w:szCs w:val="24"/>
        </w:rPr>
        <w:t>1</w:t>
      </w:r>
      <w:r w:rsidR="004F3FE3" w:rsidRPr="00F02830">
        <w:rPr>
          <w:rFonts w:cstheme="minorHAnsi"/>
          <w:szCs w:val="24"/>
        </w:rPr>
        <w:t>.</w:t>
      </w:r>
    </w:p>
    <w:p w14:paraId="6ED71B5E" w14:textId="304653C7" w:rsidR="001F6259" w:rsidRPr="00F02830" w:rsidRDefault="003C58BF" w:rsidP="00567053">
      <w:pPr>
        <w:tabs>
          <w:tab w:val="clear" w:pos="794"/>
          <w:tab w:val="clear" w:pos="1191"/>
          <w:tab w:val="clear" w:pos="1588"/>
          <w:tab w:val="clear" w:pos="1985"/>
        </w:tabs>
        <w:ind w:left="34" w:right="-142"/>
        <w:jc w:val="center"/>
        <w:rPr>
          <w:rFonts w:cstheme="minorHAnsi"/>
          <w:szCs w:val="24"/>
        </w:rPr>
      </w:pPr>
      <w:r w:rsidRPr="00F02830">
        <w:rPr>
          <w:rFonts w:cstheme="minorHAnsi"/>
          <w:szCs w:val="24"/>
        </w:rPr>
        <w:t>_____________</w:t>
      </w:r>
      <w:r w:rsidR="004122C5" w:rsidRPr="00F02830">
        <w:rPr>
          <w:rFonts w:cstheme="minorHAnsi"/>
          <w:szCs w:val="24"/>
        </w:rPr>
        <w:t>_</w:t>
      </w:r>
      <w:r w:rsidR="00922EC1" w:rsidRPr="00F02830">
        <w:rPr>
          <w:rFonts w:cstheme="minorHAnsi"/>
          <w:szCs w:val="24"/>
        </w:rPr>
        <w:t>_</w:t>
      </w:r>
    </w:p>
    <w:sectPr w:rsidR="001F6259" w:rsidRPr="00F02830" w:rsidSect="00567053">
      <w:headerReference w:type="default" r:id="rId15"/>
      <w:footerReference w:type="first" r:id="rId16"/>
      <w:pgSz w:w="11907" w:h="16834"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A67B7" w14:textId="77777777" w:rsidR="00D94BCB" w:rsidRDefault="00D94BCB">
      <w:r>
        <w:separator/>
      </w:r>
    </w:p>
  </w:endnote>
  <w:endnote w:type="continuationSeparator" w:id="0">
    <w:p w14:paraId="33358CBB" w14:textId="77777777" w:rsidR="00D94BCB" w:rsidRDefault="00D9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A377C" w:rsidRPr="004D495C" w14:paraId="426A07E7" w14:textId="77777777" w:rsidTr="005B3BBA">
      <w:tc>
        <w:tcPr>
          <w:tcW w:w="1526" w:type="dxa"/>
          <w:tcBorders>
            <w:top w:val="single" w:sz="4" w:space="0" w:color="000000"/>
          </w:tcBorders>
          <w:shd w:val="clear" w:color="auto" w:fill="auto"/>
        </w:tcPr>
        <w:p w14:paraId="38905C23" w14:textId="77777777" w:rsidR="005A377C" w:rsidRPr="004D495C" w:rsidRDefault="005A377C" w:rsidP="005A377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52B6C35" w14:textId="77777777" w:rsidR="005A377C" w:rsidRPr="004D495C" w:rsidRDefault="005A377C" w:rsidP="005A377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DE2D74A" w14:textId="77777777" w:rsidR="005A377C" w:rsidRPr="00D8064E" w:rsidRDefault="005A377C" w:rsidP="005A377C">
          <w:pPr>
            <w:pStyle w:val="FirstFooter"/>
            <w:tabs>
              <w:tab w:val="left" w:pos="2302"/>
            </w:tabs>
            <w:rPr>
              <w:sz w:val="18"/>
              <w:szCs w:val="18"/>
              <w:lang w:val="en-US"/>
            </w:rPr>
          </w:pPr>
          <w:proofErr w:type="spellStart"/>
          <w:r w:rsidRPr="00D8064E">
            <w:rPr>
              <w:sz w:val="18"/>
              <w:szCs w:val="18"/>
              <w:lang w:val="en-US"/>
            </w:rPr>
            <w:t>Ms</w:t>
          </w:r>
          <w:proofErr w:type="spellEnd"/>
          <w:r w:rsidRPr="00D8064E">
            <w:rPr>
              <w:sz w:val="18"/>
              <w:szCs w:val="18"/>
              <w:lang w:val="en-US"/>
            </w:rPr>
            <w:t xml:space="preserve"> Doreen Bogdan-Martin, Director, </w:t>
          </w:r>
          <w:r w:rsidRPr="00D8064E">
            <w:rPr>
              <w:sz w:val="18"/>
              <w:szCs w:val="18"/>
              <w:lang w:val="en-GB"/>
            </w:rPr>
            <w:t>Telecommunication Development Bureau</w:t>
          </w:r>
        </w:p>
      </w:tc>
      <w:bookmarkStart w:id="12" w:name="OrgName"/>
      <w:bookmarkEnd w:id="12"/>
    </w:tr>
    <w:tr w:rsidR="005A377C" w:rsidRPr="004D495C" w14:paraId="5D3A27A7" w14:textId="77777777" w:rsidTr="005B3BBA">
      <w:tc>
        <w:tcPr>
          <w:tcW w:w="1526" w:type="dxa"/>
          <w:shd w:val="clear" w:color="auto" w:fill="auto"/>
        </w:tcPr>
        <w:p w14:paraId="78BDF079" w14:textId="77777777" w:rsidR="005A377C" w:rsidRPr="004D495C" w:rsidRDefault="005A377C" w:rsidP="005A377C">
          <w:pPr>
            <w:pStyle w:val="FirstFooter"/>
            <w:tabs>
              <w:tab w:val="left" w:pos="1559"/>
              <w:tab w:val="left" w:pos="3828"/>
            </w:tabs>
            <w:rPr>
              <w:sz w:val="20"/>
              <w:lang w:val="en-US"/>
            </w:rPr>
          </w:pPr>
        </w:p>
      </w:tc>
      <w:tc>
        <w:tcPr>
          <w:tcW w:w="2410" w:type="dxa"/>
          <w:shd w:val="clear" w:color="auto" w:fill="auto"/>
        </w:tcPr>
        <w:p w14:paraId="29BF3DB5" w14:textId="77777777" w:rsidR="005A377C" w:rsidRPr="004D495C" w:rsidRDefault="005A377C" w:rsidP="005A377C">
          <w:pPr>
            <w:pStyle w:val="FirstFooter"/>
            <w:tabs>
              <w:tab w:val="left" w:pos="2302"/>
            </w:tabs>
            <w:rPr>
              <w:sz w:val="18"/>
              <w:szCs w:val="18"/>
              <w:lang w:val="en-US"/>
            </w:rPr>
          </w:pPr>
          <w:r w:rsidRPr="004D495C">
            <w:rPr>
              <w:sz w:val="18"/>
              <w:szCs w:val="18"/>
              <w:lang w:val="en-US"/>
            </w:rPr>
            <w:t>Phone number:</w:t>
          </w:r>
        </w:p>
      </w:tc>
      <w:tc>
        <w:tcPr>
          <w:tcW w:w="5987" w:type="dxa"/>
        </w:tcPr>
        <w:p w14:paraId="28AF0406" w14:textId="77777777" w:rsidR="005A377C" w:rsidRPr="00D8064E" w:rsidRDefault="005A377C" w:rsidP="005A377C">
          <w:pPr>
            <w:pStyle w:val="FirstFooter"/>
            <w:tabs>
              <w:tab w:val="left" w:pos="2302"/>
            </w:tabs>
            <w:rPr>
              <w:sz w:val="18"/>
              <w:szCs w:val="18"/>
              <w:lang w:val="en-US"/>
            </w:rPr>
          </w:pPr>
          <w:r w:rsidRPr="00D8064E">
            <w:rPr>
              <w:sz w:val="18"/>
              <w:szCs w:val="18"/>
              <w:lang w:val="en-US"/>
            </w:rPr>
            <w:t>+41 22 730 5533</w:t>
          </w:r>
        </w:p>
      </w:tc>
      <w:bookmarkStart w:id="13" w:name="PhoneNo"/>
      <w:bookmarkEnd w:id="13"/>
    </w:tr>
    <w:tr w:rsidR="005A377C" w:rsidRPr="004D495C" w14:paraId="5D3BF9E5" w14:textId="77777777" w:rsidTr="005B3BBA">
      <w:trPr>
        <w:trHeight w:val="217"/>
      </w:trPr>
      <w:tc>
        <w:tcPr>
          <w:tcW w:w="1526" w:type="dxa"/>
          <w:shd w:val="clear" w:color="auto" w:fill="auto"/>
        </w:tcPr>
        <w:p w14:paraId="1B102AD4" w14:textId="77777777" w:rsidR="005A377C" w:rsidRPr="004D495C" w:rsidRDefault="005A377C" w:rsidP="005A377C">
          <w:pPr>
            <w:pStyle w:val="FirstFooter"/>
            <w:tabs>
              <w:tab w:val="left" w:pos="1559"/>
              <w:tab w:val="left" w:pos="3828"/>
            </w:tabs>
            <w:rPr>
              <w:sz w:val="20"/>
              <w:lang w:val="en-US"/>
            </w:rPr>
          </w:pPr>
        </w:p>
      </w:tc>
      <w:tc>
        <w:tcPr>
          <w:tcW w:w="2410" w:type="dxa"/>
          <w:shd w:val="clear" w:color="auto" w:fill="auto"/>
        </w:tcPr>
        <w:p w14:paraId="5647D5D7" w14:textId="77777777" w:rsidR="005A377C" w:rsidRPr="004D495C" w:rsidRDefault="005A377C" w:rsidP="005A377C">
          <w:pPr>
            <w:pStyle w:val="FirstFooter"/>
            <w:tabs>
              <w:tab w:val="left" w:pos="2302"/>
            </w:tabs>
            <w:rPr>
              <w:sz w:val="18"/>
              <w:szCs w:val="18"/>
              <w:lang w:val="en-US"/>
            </w:rPr>
          </w:pPr>
          <w:r w:rsidRPr="004D495C">
            <w:rPr>
              <w:sz w:val="18"/>
              <w:szCs w:val="18"/>
              <w:lang w:val="en-US"/>
            </w:rPr>
            <w:t>E-mail:</w:t>
          </w:r>
        </w:p>
      </w:tc>
      <w:tc>
        <w:tcPr>
          <w:tcW w:w="5987" w:type="dxa"/>
        </w:tcPr>
        <w:p w14:paraId="1CE3763E" w14:textId="77777777" w:rsidR="005A377C" w:rsidRPr="00D8064E" w:rsidRDefault="005A377C" w:rsidP="005A377C">
          <w:pPr>
            <w:pStyle w:val="FirstFooter"/>
            <w:tabs>
              <w:tab w:val="left" w:pos="2302"/>
            </w:tabs>
            <w:rPr>
              <w:sz w:val="18"/>
              <w:szCs w:val="18"/>
              <w:lang w:val="en-US"/>
            </w:rPr>
          </w:pPr>
          <w:hyperlink r:id="rId1" w:history="1">
            <w:r>
              <w:rPr>
                <w:rStyle w:val="Hyperlink"/>
                <w:sz w:val="18"/>
                <w:szCs w:val="18"/>
              </w:rPr>
              <w:t>bdtdir@itu.int</w:t>
            </w:r>
          </w:hyperlink>
        </w:p>
      </w:tc>
      <w:bookmarkStart w:id="14" w:name="Email"/>
      <w:bookmarkEnd w:id="14"/>
    </w:tr>
  </w:tbl>
  <w:p w14:paraId="60EEAA12" w14:textId="77777777" w:rsidR="005A377C" w:rsidRDefault="005A377C" w:rsidP="005A377C">
    <w:pPr>
      <w:pStyle w:val="Footer"/>
      <w:jc w:val="center"/>
      <w:rPr>
        <w:lang w:val="en-GB"/>
      </w:rPr>
    </w:pPr>
  </w:p>
  <w:p w14:paraId="48A3588C" w14:textId="762BBDB9" w:rsidR="005A377C" w:rsidRPr="005A377C" w:rsidRDefault="005A377C" w:rsidP="005A377C">
    <w:pPr>
      <w:pStyle w:val="Footer"/>
      <w:jc w:val="center"/>
      <w:rPr>
        <w:lang w:val="en-GB"/>
      </w:rPr>
    </w:pPr>
    <w:hyperlink r:id="rId2" w:history="1">
      <w:r>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418EF" w14:textId="77777777" w:rsidR="00D94BCB" w:rsidRDefault="00D94BCB">
      <w:r>
        <w:t>____________________</w:t>
      </w:r>
    </w:p>
  </w:footnote>
  <w:footnote w:type="continuationSeparator" w:id="0">
    <w:p w14:paraId="40BA0DF8" w14:textId="77777777" w:rsidR="00D94BCB" w:rsidRDefault="00D9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2B1B" w14:textId="09D76515" w:rsidR="00721657" w:rsidRPr="00096577" w:rsidRDefault="00096577" w:rsidP="00096577">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sidR="00D52816">
      <w:rPr>
        <w:sz w:val="22"/>
        <w:szCs w:val="22"/>
        <w:lang w:val="es-ES_tradnl"/>
      </w:rPr>
      <w:t>51</w:t>
    </w:r>
    <w:r w:rsidR="00A52CC2">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2305">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F72E5A3C"/>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Wingdings" w:hAnsi="Wingding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07B13911"/>
    <w:multiLevelType w:val="hybridMultilevel"/>
    <w:tmpl w:val="0C5202CE"/>
    <w:lvl w:ilvl="0" w:tplc="D8AA70E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ED6386"/>
    <w:multiLevelType w:val="hybridMultilevel"/>
    <w:tmpl w:val="CAE2FEF2"/>
    <w:lvl w:ilvl="0" w:tplc="D8AA70EE">
      <w:start w:val="1"/>
      <w:numFmt w:val="bullet"/>
      <w:lvlText w:val=""/>
      <w:lvlJc w:val="left"/>
      <w:pPr>
        <w:ind w:left="717" w:hanging="360"/>
      </w:pPr>
      <w:rPr>
        <w:rFonts w:ascii="Symbol" w:hAnsi="Symbol" w:hint="default"/>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3" w15:restartNumberingAfterBreak="0">
    <w:nsid w:val="110A5EAD"/>
    <w:multiLevelType w:val="hybridMultilevel"/>
    <w:tmpl w:val="C5C84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206F17"/>
    <w:multiLevelType w:val="hybridMultilevel"/>
    <w:tmpl w:val="09E0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C0F6E"/>
    <w:multiLevelType w:val="hybridMultilevel"/>
    <w:tmpl w:val="33A48E28"/>
    <w:lvl w:ilvl="0" w:tplc="20000001">
      <w:start w:val="1"/>
      <w:numFmt w:val="bullet"/>
      <w:lvlText w:val=""/>
      <w:lvlJc w:val="left"/>
      <w:pPr>
        <w:ind w:left="754" w:hanging="360"/>
      </w:pPr>
      <w:rPr>
        <w:rFonts w:ascii="Symbol" w:hAnsi="Symbol" w:hint="default"/>
      </w:rPr>
    </w:lvl>
    <w:lvl w:ilvl="1" w:tplc="20000003" w:tentative="1">
      <w:start w:val="1"/>
      <w:numFmt w:val="bullet"/>
      <w:lvlText w:val="o"/>
      <w:lvlJc w:val="left"/>
      <w:pPr>
        <w:ind w:left="1474" w:hanging="360"/>
      </w:pPr>
      <w:rPr>
        <w:rFonts w:ascii="Courier New" w:hAnsi="Courier New" w:cs="Courier New" w:hint="default"/>
      </w:rPr>
    </w:lvl>
    <w:lvl w:ilvl="2" w:tplc="20000005" w:tentative="1">
      <w:start w:val="1"/>
      <w:numFmt w:val="bullet"/>
      <w:lvlText w:val=""/>
      <w:lvlJc w:val="left"/>
      <w:pPr>
        <w:ind w:left="2194" w:hanging="360"/>
      </w:pPr>
      <w:rPr>
        <w:rFonts w:ascii="Wingdings" w:hAnsi="Wingdings" w:hint="default"/>
      </w:rPr>
    </w:lvl>
    <w:lvl w:ilvl="3" w:tplc="20000001" w:tentative="1">
      <w:start w:val="1"/>
      <w:numFmt w:val="bullet"/>
      <w:lvlText w:val=""/>
      <w:lvlJc w:val="left"/>
      <w:pPr>
        <w:ind w:left="2914" w:hanging="360"/>
      </w:pPr>
      <w:rPr>
        <w:rFonts w:ascii="Symbol" w:hAnsi="Symbol" w:hint="default"/>
      </w:rPr>
    </w:lvl>
    <w:lvl w:ilvl="4" w:tplc="20000003" w:tentative="1">
      <w:start w:val="1"/>
      <w:numFmt w:val="bullet"/>
      <w:lvlText w:val="o"/>
      <w:lvlJc w:val="left"/>
      <w:pPr>
        <w:ind w:left="3634" w:hanging="360"/>
      </w:pPr>
      <w:rPr>
        <w:rFonts w:ascii="Courier New" w:hAnsi="Courier New" w:cs="Courier New" w:hint="default"/>
      </w:rPr>
    </w:lvl>
    <w:lvl w:ilvl="5" w:tplc="20000005" w:tentative="1">
      <w:start w:val="1"/>
      <w:numFmt w:val="bullet"/>
      <w:lvlText w:val=""/>
      <w:lvlJc w:val="left"/>
      <w:pPr>
        <w:ind w:left="4354" w:hanging="360"/>
      </w:pPr>
      <w:rPr>
        <w:rFonts w:ascii="Wingdings" w:hAnsi="Wingdings" w:hint="default"/>
      </w:rPr>
    </w:lvl>
    <w:lvl w:ilvl="6" w:tplc="20000001" w:tentative="1">
      <w:start w:val="1"/>
      <w:numFmt w:val="bullet"/>
      <w:lvlText w:val=""/>
      <w:lvlJc w:val="left"/>
      <w:pPr>
        <w:ind w:left="5074" w:hanging="360"/>
      </w:pPr>
      <w:rPr>
        <w:rFonts w:ascii="Symbol" w:hAnsi="Symbol" w:hint="default"/>
      </w:rPr>
    </w:lvl>
    <w:lvl w:ilvl="7" w:tplc="20000003" w:tentative="1">
      <w:start w:val="1"/>
      <w:numFmt w:val="bullet"/>
      <w:lvlText w:val="o"/>
      <w:lvlJc w:val="left"/>
      <w:pPr>
        <w:ind w:left="5794" w:hanging="360"/>
      </w:pPr>
      <w:rPr>
        <w:rFonts w:ascii="Courier New" w:hAnsi="Courier New" w:cs="Courier New" w:hint="default"/>
      </w:rPr>
    </w:lvl>
    <w:lvl w:ilvl="8" w:tplc="20000005" w:tentative="1">
      <w:start w:val="1"/>
      <w:numFmt w:val="bullet"/>
      <w:lvlText w:val=""/>
      <w:lvlJc w:val="left"/>
      <w:pPr>
        <w:ind w:left="6514" w:hanging="360"/>
      </w:pPr>
      <w:rPr>
        <w:rFonts w:ascii="Wingdings" w:hAnsi="Wingdings" w:hint="default"/>
      </w:rPr>
    </w:lvl>
  </w:abstractNum>
  <w:abstractNum w:abstractNumId="6"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7" w15:restartNumberingAfterBreak="0">
    <w:nsid w:val="27A81703"/>
    <w:multiLevelType w:val="hybridMultilevel"/>
    <w:tmpl w:val="02EA0F9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F20155"/>
    <w:multiLevelType w:val="hybridMultilevel"/>
    <w:tmpl w:val="752A58A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0" w15:restartNumberingAfterBreak="0">
    <w:nsid w:val="3DAB0EEA"/>
    <w:multiLevelType w:val="hybridMultilevel"/>
    <w:tmpl w:val="D53E3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21813"/>
    <w:multiLevelType w:val="hybridMultilevel"/>
    <w:tmpl w:val="8A7648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A00215"/>
    <w:multiLevelType w:val="hybridMultilevel"/>
    <w:tmpl w:val="058C14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BA1306"/>
    <w:multiLevelType w:val="hybridMultilevel"/>
    <w:tmpl w:val="07B4C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2795116"/>
    <w:multiLevelType w:val="hybridMultilevel"/>
    <w:tmpl w:val="396C342C"/>
    <w:lvl w:ilvl="0" w:tplc="6936BB18">
      <w:start w:val="1"/>
      <w:numFmt w:val="decimal"/>
      <w:lvlText w:val="%1."/>
      <w:lvlJc w:val="left"/>
      <w:pPr>
        <w:ind w:left="1155" w:hanging="360"/>
      </w:pPr>
      <w:rPr>
        <w:rFonts w:hint="default"/>
      </w:rPr>
    </w:lvl>
    <w:lvl w:ilvl="1" w:tplc="20000019" w:tentative="1">
      <w:start w:val="1"/>
      <w:numFmt w:val="lowerLetter"/>
      <w:lvlText w:val="%2."/>
      <w:lvlJc w:val="left"/>
      <w:pPr>
        <w:ind w:left="1875" w:hanging="360"/>
      </w:pPr>
    </w:lvl>
    <w:lvl w:ilvl="2" w:tplc="2000001B" w:tentative="1">
      <w:start w:val="1"/>
      <w:numFmt w:val="lowerRoman"/>
      <w:lvlText w:val="%3."/>
      <w:lvlJc w:val="right"/>
      <w:pPr>
        <w:ind w:left="2595" w:hanging="180"/>
      </w:pPr>
    </w:lvl>
    <w:lvl w:ilvl="3" w:tplc="2000000F" w:tentative="1">
      <w:start w:val="1"/>
      <w:numFmt w:val="decimal"/>
      <w:lvlText w:val="%4."/>
      <w:lvlJc w:val="left"/>
      <w:pPr>
        <w:ind w:left="3315" w:hanging="360"/>
      </w:pPr>
    </w:lvl>
    <w:lvl w:ilvl="4" w:tplc="20000019" w:tentative="1">
      <w:start w:val="1"/>
      <w:numFmt w:val="lowerLetter"/>
      <w:lvlText w:val="%5."/>
      <w:lvlJc w:val="left"/>
      <w:pPr>
        <w:ind w:left="4035" w:hanging="360"/>
      </w:pPr>
    </w:lvl>
    <w:lvl w:ilvl="5" w:tplc="2000001B" w:tentative="1">
      <w:start w:val="1"/>
      <w:numFmt w:val="lowerRoman"/>
      <w:lvlText w:val="%6."/>
      <w:lvlJc w:val="right"/>
      <w:pPr>
        <w:ind w:left="4755" w:hanging="180"/>
      </w:pPr>
    </w:lvl>
    <w:lvl w:ilvl="6" w:tplc="2000000F" w:tentative="1">
      <w:start w:val="1"/>
      <w:numFmt w:val="decimal"/>
      <w:lvlText w:val="%7."/>
      <w:lvlJc w:val="left"/>
      <w:pPr>
        <w:ind w:left="5475" w:hanging="360"/>
      </w:pPr>
    </w:lvl>
    <w:lvl w:ilvl="7" w:tplc="20000019" w:tentative="1">
      <w:start w:val="1"/>
      <w:numFmt w:val="lowerLetter"/>
      <w:lvlText w:val="%8."/>
      <w:lvlJc w:val="left"/>
      <w:pPr>
        <w:ind w:left="6195" w:hanging="360"/>
      </w:pPr>
    </w:lvl>
    <w:lvl w:ilvl="8" w:tplc="2000001B" w:tentative="1">
      <w:start w:val="1"/>
      <w:numFmt w:val="lowerRoman"/>
      <w:lvlText w:val="%9."/>
      <w:lvlJc w:val="right"/>
      <w:pPr>
        <w:ind w:left="6915" w:hanging="180"/>
      </w:pPr>
    </w:lvl>
  </w:abstractNum>
  <w:abstractNum w:abstractNumId="16" w15:restartNumberingAfterBreak="0">
    <w:nsid w:val="78407DAA"/>
    <w:multiLevelType w:val="hybridMultilevel"/>
    <w:tmpl w:val="62A26DFC"/>
    <w:lvl w:ilvl="0" w:tplc="B092740C">
      <w:numFmt w:val="bullet"/>
      <w:lvlText w:val="•"/>
      <w:lvlJc w:val="left"/>
      <w:pPr>
        <w:ind w:left="394" w:hanging="360"/>
      </w:pPr>
      <w:rPr>
        <w:rFonts w:ascii="Calibri" w:eastAsia="Times New Roman" w:hAnsi="Calibri" w:cs="Calibri" w:hint="default"/>
      </w:rPr>
    </w:lvl>
    <w:lvl w:ilvl="1" w:tplc="20000003" w:tentative="1">
      <w:start w:val="1"/>
      <w:numFmt w:val="bullet"/>
      <w:lvlText w:val="o"/>
      <w:lvlJc w:val="left"/>
      <w:pPr>
        <w:ind w:left="1114" w:hanging="360"/>
      </w:pPr>
      <w:rPr>
        <w:rFonts w:ascii="Courier New" w:hAnsi="Courier New" w:cs="Courier New" w:hint="default"/>
      </w:rPr>
    </w:lvl>
    <w:lvl w:ilvl="2" w:tplc="20000005" w:tentative="1">
      <w:start w:val="1"/>
      <w:numFmt w:val="bullet"/>
      <w:lvlText w:val=""/>
      <w:lvlJc w:val="left"/>
      <w:pPr>
        <w:ind w:left="1834" w:hanging="360"/>
      </w:pPr>
      <w:rPr>
        <w:rFonts w:ascii="Wingdings" w:hAnsi="Wingdings" w:hint="default"/>
      </w:rPr>
    </w:lvl>
    <w:lvl w:ilvl="3" w:tplc="20000001" w:tentative="1">
      <w:start w:val="1"/>
      <w:numFmt w:val="bullet"/>
      <w:lvlText w:val=""/>
      <w:lvlJc w:val="left"/>
      <w:pPr>
        <w:ind w:left="2554" w:hanging="360"/>
      </w:pPr>
      <w:rPr>
        <w:rFonts w:ascii="Symbol" w:hAnsi="Symbol" w:hint="default"/>
      </w:rPr>
    </w:lvl>
    <w:lvl w:ilvl="4" w:tplc="20000003" w:tentative="1">
      <w:start w:val="1"/>
      <w:numFmt w:val="bullet"/>
      <w:lvlText w:val="o"/>
      <w:lvlJc w:val="left"/>
      <w:pPr>
        <w:ind w:left="3274" w:hanging="360"/>
      </w:pPr>
      <w:rPr>
        <w:rFonts w:ascii="Courier New" w:hAnsi="Courier New" w:cs="Courier New" w:hint="default"/>
      </w:rPr>
    </w:lvl>
    <w:lvl w:ilvl="5" w:tplc="20000005" w:tentative="1">
      <w:start w:val="1"/>
      <w:numFmt w:val="bullet"/>
      <w:lvlText w:val=""/>
      <w:lvlJc w:val="left"/>
      <w:pPr>
        <w:ind w:left="3994" w:hanging="360"/>
      </w:pPr>
      <w:rPr>
        <w:rFonts w:ascii="Wingdings" w:hAnsi="Wingdings" w:hint="default"/>
      </w:rPr>
    </w:lvl>
    <w:lvl w:ilvl="6" w:tplc="20000001" w:tentative="1">
      <w:start w:val="1"/>
      <w:numFmt w:val="bullet"/>
      <w:lvlText w:val=""/>
      <w:lvlJc w:val="left"/>
      <w:pPr>
        <w:ind w:left="4714" w:hanging="360"/>
      </w:pPr>
      <w:rPr>
        <w:rFonts w:ascii="Symbol" w:hAnsi="Symbol" w:hint="default"/>
      </w:rPr>
    </w:lvl>
    <w:lvl w:ilvl="7" w:tplc="20000003" w:tentative="1">
      <w:start w:val="1"/>
      <w:numFmt w:val="bullet"/>
      <w:lvlText w:val="o"/>
      <w:lvlJc w:val="left"/>
      <w:pPr>
        <w:ind w:left="5434" w:hanging="360"/>
      </w:pPr>
      <w:rPr>
        <w:rFonts w:ascii="Courier New" w:hAnsi="Courier New" w:cs="Courier New" w:hint="default"/>
      </w:rPr>
    </w:lvl>
    <w:lvl w:ilvl="8" w:tplc="20000005" w:tentative="1">
      <w:start w:val="1"/>
      <w:numFmt w:val="bullet"/>
      <w:lvlText w:val=""/>
      <w:lvlJc w:val="left"/>
      <w:pPr>
        <w:ind w:left="6154" w:hanging="360"/>
      </w:pPr>
      <w:rPr>
        <w:rFonts w:ascii="Wingdings" w:hAnsi="Wingdings" w:hint="default"/>
      </w:rPr>
    </w:lvl>
  </w:abstractNum>
  <w:abstractNum w:abstractNumId="17" w15:restartNumberingAfterBreak="0">
    <w:nsid w:val="78773D0F"/>
    <w:multiLevelType w:val="hybridMultilevel"/>
    <w:tmpl w:val="4302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2"/>
  </w:num>
  <w:num w:numId="5">
    <w:abstractNumId w:val="1"/>
  </w:num>
  <w:num w:numId="6">
    <w:abstractNumId w:val="17"/>
  </w:num>
  <w:num w:numId="7">
    <w:abstractNumId w:val="10"/>
  </w:num>
  <w:num w:numId="8">
    <w:abstractNumId w:val="3"/>
  </w:num>
  <w:num w:numId="9">
    <w:abstractNumId w:val="9"/>
  </w:num>
  <w:num w:numId="10">
    <w:abstractNumId w:val="8"/>
  </w:num>
  <w:num w:numId="11">
    <w:abstractNumId w:val="11"/>
  </w:num>
  <w:num w:numId="12">
    <w:abstractNumId w:val="4"/>
  </w:num>
  <w:num w:numId="13">
    <w:abstractNumId w:val="13"/>
  </w:num>
  <w:num w:numId="14">
    <w:abstractNumId w:val="15"/>
  </w:num>
  <w:num w:numId="15">
    <w:abstractNumId w:val="12"/>
  </w:num>
  <w:num w:numId="16">
    <w:abstractNumId w:val="7"/>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99"/>
    <w:rsid w:val="00001396"/>
    <w:rsid w:val="00002716"/>
    <w:rsid w:val="00002A5C"/>
    <w:rsid w:val="00005791"/>
    <w:rsid w:val="00010827"/>
    <w:rsid w:val="00015089"/>
    <w:rsid w:val="0002065A"/>
    <w:rsid w:val="00024164"/>
    <w:rsid w:val="0002520B"/>
    <w:rsid w:val="00032C33"/>
    <w:rsid w:val="00037A9E"/>
    <w:rsid w:val="00037F91"/>
    <w:rsid w:val="00044D2C"/>
    <w:rsid w:val="00050D32"/>
    <w:rsid w:val="000536CB"/>
    <w:rsid w:val="000539F1"/>
    <w:rsid w:val="00054747"/>
    <w:rsid w:val="0005521D"/>
    <w:rsid w:val="00055A2A"/>
    <w:rsid w:val="00056744"/>
    <w:rsid w:val="0006061C"/>
    <w:rsid w:val="000615C1"/>
    <w:rsid w:val="00061675"/>
    <w:rsid w:val="00065F73"/>
    <w:rsid w:val="00073308"/>
    <w:rsid w:val="000743AA"/>
    <w:rsid w:val="00091C11"/>
    <w:rsid w:val="0009225C"/>
    <w:rsid w:val="00096577"/>
    <w:rsid w:val="000A17C4"/>
    <w:rsid w:val="000A36A4"/>
    <w:rsid w:val="000B2352"/>
    <w:rsid w:val="000B5D7C"/>
    <w:rsid w:val="000C7039"/>
    <w:rsid w:val="000C7B84"/>
    <w:rsid w:val="000D114D"/>
    <w:rsid w:val="000D261B"/>
    <w:rsid w:val="000D4A5E"/>
    <w:rsid w:val="000D58A3"/>
    <w:rsid w:val="000E3ED4"/>
    <w:rsid w:val="000E3F9C"/>
    <w:rsid w:val="000F1550"/>
    <w:rsid w:val="000F251B"/>
    <w:rsid w:val="000F5FE8"/>
    <w:rsid w:val="000F635A"/>
    <w:rsid w:val="000F6644"/>
    <w:rsid w:val="00100833"/>
    <w:rsid w:val="00102F72"/>
    <w:rsid w:val="00103963"/>
    <w:rsid w:val="00107E85"/>
    <w:rsid w:val="00111B88"/>
    <w:rsid w:val="00113EE8"/>
    <w:rsid w:val="0011455A"/>
    <w:rsid w:val="00114A65"/>
    <w:rsid w:val="00133061"/>
    <w:rsid w:val="00141699"/>
    <w:rsid w:val="00145A8C"/>
    <w:rsid w:val="00147000"/>
    <w:rsid w:val="0015036F"/>
    <w:rsid w:val="00163091"/>
    <w:rsid w:val="001645CB"/>
    <w:rsid w:val="001647C3"/>
    <w:rsid w:val="00166305"/>
    <w:rsid w:val="00167545"/>
    <w:rsid w:val="001703C6"/>
    <w:rsid w:val="00173781"/>
    <w:rsid w:val="0017470C"/>
    <w:rsid w:val="00175ADF"/>
    <w:rsid w:val="00175CAE"/>
    <w:rsid w:val="001828DB"/>
    <w:rsid w:val="001850FE"/>
    <w:rsid w:val="00185135"/>
    <w:rsid w:val="0019037C"/>
    <w:rsid w:val="001905A9"/>
    <w:rsid w:val="00191273"/>
    <w:rsid w:val="001942A7"/>
    <w:rsid w:val="0019587B"/>
    <w:rsid w:val="001A163D"/>
    <w:rsid w:val="001A441E"/>
    <w:rsid w:val="001A6733"/>
    <w:rsid w:val="001B2305"/>
    <w:rsid w:val="001B357F"/>
    <w:rsid w:val="001B408C"/>
    <w:rsid w:val="001C3444"/>
    <w:rsid w:val="001C3702"/>
    <w:rsid w:val="001C4656"/>
    <w:rsid w:val="001C46BC"/>
    <w:rsid w:val="001D0794"/>
    <w:rsid w:val="001D552A"/>
    <w:rsid w:val="001F23E6"/>
    <w:rsid w:val="001F3003"/>
    <w:rsid w:val="001F4238"/>
    <w:rsid w:val="001F6259"/>
    <w:rsid w:val="00200A38"/>
    <w:rsid w:val="00200A46"/>
    <w:rsid w:val="00211B6F"/>
    <w:rsid w:val="00217CC3"/>
    <w:rsid w:val="00220AB6"/>
    <w:rsid w:val="0022120F"/>
    <w:rsid w:val="0022754A"/>
    <w:rsid w:val="00231D64"/>
    <w:rsid w:val="00233087"/>
    <w:rsid w:val="002333CA"/>
    <w:rsid w:val="00236560"/>
    <w:rsid w:val="0023662E"/>
    <w:rsid w:val="00245D0F"/>
    <w:rsid w:val="002548C3"/>
    <w:rsid w:val="002554CE"/>
    <w:rsid w:val="00255A4F"/>
    <w:rsid w:val="002566A4"/>
    <w:rsid w:val="002578AC"/>
    <w:rsid w:val="00257ACD"/>
    <w:rsid w:val="00262908"/>
    <w:rsid w:val="002650F4"/>
    <w:rsid w:val="00265387"/>
    <w:rsid w:val="002715FD"/>
    <w:rsid w:val="002770B1"/>
    <w:rsid w:val="00281EC8"/>
    <w:rsid w:val="00284CDC"/>
    <w:rsid w:val="00285B33"/>
    <w:rsid w:val="00287A3C"/>
    <w:rsid w:val="00293C89"/>
    <w:rsid w:val="00295D31"/>
    <w:rsid w:val="00296D10"/>
    <w:rsid w:val="002A2FC6"/>
    <w:rsid w:val="002A7DEE"/>
    <w:rsid w:val="002B5E1E"/>
    <w:rsid w:val="002C1EC7"/>
    <w:rsid w:val="002C2841"/>
    <w:rsid w:val="002C4342"/>
    <w:rsid w:val="002C7EA3"/>
    <w:rsid w:val="002D0C64"/>
    <w:rsid w:val="002D17F2"/>
    <w:rsid w:val="002D20AE"/>
    <w:rsid w:val="002D6C61"/>
    <w:rsid w:val="002E2104"/>
    <w:rsid w:val="002E2DAC"/>
    <w:rsid w:val="002E6963"/>
    <w:rsid w:val="002E6F8F"/>
    <w:rsid w:val="002F05D8"/>
    <w:rsid w:val="002F2DE0"/>
    <w:rsid w:val="002F5E25"/>
    <w:rsid w:val="0030353C"/>
    <w:rsid w:val="003111C0"/>
    <w:rsid w:val="00311EA8"/>
    <w:rsid w:val="003125C3"/>
    <w:rsid w:val="00312AE6"/>
    <w:rsid w:val="00317D1A"/>
    <w:rsid w:val="003211FF"/>
    <w:rsid w:val="00327247"/>
    <w:rsid w:val="00327A9D"/>
    <w:rsid w:val="0033130E"/>
    <w:rsid w:val="0033269C"/>
    <w:rsid w:val="003400B5"/>
    <w:rsid w:val="00352CFE"/>
    <w:rsid w:val="0035516C"/>
    <w:rsid w:val="00355A4C"/>
    <w:rsid w:val="00355CEA"/>
    <w:rsid w:val="003604FB"/>
    <w:rsid w:val="00360B73"/>
    <w:rsid w:val="00365732"/>
    <w:rsid w:val="003708C3"/>
    <w:rsid w:val="00380B71"/>
    <w:rsid w:val="0038365A"/>
    <w:rsid w:val="00386A89"/>
    <w:rsid w:val="00392198"/>
    <w:rsid w:val="0039648E"/>
    <w:rsid w:val="003A5AFE"/>
    <w:rsid w:val="003A5D5F"/>
    <w:rsid w:val="003A7FFE"/>
    <w:rsid w:val="003B0A63"/>
    <w:rsid w:val="003B50E1"/>
    <w:rsid w:val="003C1746"/>
    <w:rsid w:val="003C2AA9"/>
    <w:rsid w:val="003C52B3"/>
    <w:rsid w:val="003C58BF"/>
    <w:rsid w:val="003D0769"/>
    <w:rsid w:val="003D451D"/>
    <w:rsid w:val="003F2DD8"/>
    <w:rsid w:val="003F3F2D"/>
    <w:rsid w:val="003F50B2"/>
    <w:rsid w:val="00400CCF"/>
    <w:rsid w:val="00401BFF"/>
    <w:rsid w:val="00402C63"/>
    <w:rsid w:val="00404424"/>
    <w:rsid w:val="0041156B"/>
    <w:rsid w:val="004122C5"/>
    <w:rsid w:val="00413B78"/>
    <w:rsid w:val="00416DDE"/>
    <w:rsid w:val="004258F6"/>
    <w:rsid w:val="004326C7"/>
    <w:rsid w:val="0044411E"/>
    <w:rsid w:val="00446B55"/>
    <w:rsid w:val="004509BD"/>
    <w:rsid w:val="00453435"/>
    <w:rsid w:val="004650F8"/>
    <w:rsid w:val="00466398"/>
    <w:rsid w:val="0047306D"/>
    <w:rsid w:val="00473791"/>
    <w:rsid w:val="00476E48"/>
    <w:rsid w:val="00481DE9"/>
    <w:rsid w:val="00481FEC"/>
    <w:rsid w:val="0049128B"/>
    <w:rsid w:val="004933BE"/>
    <w:rsid w:val="004936A8"/>
    <w:rsid w:val="00493B49"/>
    <w:rsid w:val="00495501"/>
    <w:rsid w:val="004A070A"/>
    <w:rsid w:val="004A0B42"/>
    <w:rsid w:val="004A298F"/>
    <w:rsid w:val="004A320E"/>
    <w:rsid w:val="004A4E9C"/>
    <w:rsid w:val="004B1A3C"/>
    <w:rsid w:val="004D2CC3"/>
    <w:rsid w:val="004D35CB"/>
    <w:rsid w:val="004E20E5"/>
    <w:rsid w:val="004E4A0E"/>
    <w:rsid w:val="004E64EA"/>
    <w:rsid w:val="004E7828"/>
    <w:rsid w:val="004F3FE3"/>
    <w:rsid w:val="004F46AA"/>
    <w:rsid w:val="004F6A70"/>
    <w:rsid w:val="00500AD7"/>
    <w:rsid w:val="00502ABF"/>
    <w:rsid w:val="00504DB0"/>
    <w:rsid w:val="0050542F"/>
    <w:rsid w:val="00507C35"/>
    <w:rsid w:val="00510735"/>
    <w:rsid w:val="00511E85"/>
    <w:rsid w:val="00514D2F"/>
    <w:rsid w:val="005161CB"/>
    <w:rsid w:val="005255DD"/>
    <w:rsid w:val="00532B5F"/>
    <w:rsid w:val="00541A86"/>
    <w:rsid w:val="0054420E"/>
    <w:rsid w:val="0054465F"/>
    <w:rsid w:val="00544D1B"/>
    <w:rsid w:val="00545DC0"/>
    <w:rsid w:val="00545F6C"/>
    <w:rsid w:val="005477D9"/>
    <w:rsid w:val="0055720C"/>
    <w:rsid w:val="00557BCC"/>
    <w:rsid w:val="00561F7E"/>
    <w:rsid w:val="005632DD"/>
    <w:rsid w:val="0056423B"/>
    <w:rsid w:val="00567053"/>
    <w:rsid w:val="00570AE8"/>
    <w:rsid w:val="00573424"/>
    <w:rsid w:val="0057402F"/>
    <w:rsid w:val="005801BF"/>
    <w:rsid w:val="005849D6"/>
    <w:rsid w:val="00585367"/>
    <w:rsid w:val="005871A1"/>
    <w:rsid w:val="0058737E"/>
    <w:rsid w:val="00592518"/>
    <w:rsid w:val="00592E87"/>
    <w:rsid w:val="00594C4D"/>
    <w:rsid w:val="005A33B0"/>
    <w:rsid w:val="005A377C"/>
    <w:rsid w:val="005A454D"/>
    <w:rsid w:val="005B41FF"/>
    <w:rsid w:val="005B70D8"/>
    <w:rsid w:val="005B7E12"/>
    <w:rsid w:val="005C2DC2"/>
    <w:rsid w:val="005C304A"/>
    <w:rsid w:val="005C326F"/>
    <w:rsid w:val="005C3D69"/>
    <w:rsid w:val="005C7C98"/>
    <w:rsid w:val="005D11EA"/>
    <w:rsid w:val="005D49D9"/>
    <w:rsid w:val="005D55A4"/>
    <w:rsid w:val="005D57C8"/>
    <w:rsid w:val="005D7761"/>
    <w:rsid w:val="005E0278"/>
    <w:rsid w:val="005E090D"/>
    <w:rsid w:val="005E3CA0"/>
    <w:rsid w:val="005E44B1"/>
    <w:rsid w:val="005E636A"/>
    <w:rsid w:val="005E67B0"/>
    <w:rsid w:val="005E7047"/>
    <w:rsid w:val="005E777F"/>
    <w:rsid w:val="005F1CA7"/>
    <w:rsid w:val="005F43DD"/>
    <w:rsid w:val="005F4EDC"/>
    <w:rsid w:val="005F51A9"/>
    <w:rsid w:val="005F6BE1"/>
    <w:rsid w:val="005F7416"/>
    <w:rsid w:val="005F7506"/>
    <w:rsid w:val="00600C11"/>
    <w:rsid w:val="00606B89"/>
    <w:rsid w:val="00611EAF"/>
    <w:rsid w:val="00623F30"/>
    <w:rsid w:val="00625777"/>
    <w:rsid w:val="00625FB8"/>
    <w:rsid w:val="006261BD"/>
    <w:rsid w:val="006320B3"/>
    <w:rsid w:val="00635EDB"/>
    <w:rsid w:val="0064734E"/>
    <w:rsid w:val="00650137"/>
    <w:rsid w:val="006509D7"/>
    <w:rsid w:val="00651CE8"/>
    <w:rsid w:val="0065521B"/>
    <w:rsid w:val="00656673"/>
    <w:rsid w:val="00671EF6"/>
    <w:rsid w:val="0067205B"/>
    <w:rsid w:val="006748F8"/>
    <w:rsid w:val="00680489"/>
    <w:rsid w:val="00681873"/>
    <w:rsid w:val="00683C32"/>
    <w:rsid w:val="00690BB2"/>
    <w:rsid w:val="00693D09"/>
    <w:rsid w:val="00694037"/>
    <w:rsid w:val="006A6549"/>
    <w:rsid w:val="006A7710"/>
    <w:rsid w:val="006A7A61"/>
    <w:rsid w:val="006B1730"/>
    <w:rsid w:val="006B1E59"/>
    <w:rsid w:val="006B2FFB"/>
    <w:rsid w:val="006C10A2"/>
    <w:rsid w:val="006C1F18"/>
    <w:rsid w:val="006C338A"/>
    <w:rsid w:val="006D2F97"/>
    <w:rsid w:val="006D40D5"/>
    <w:rsid w:val="006E0273"/>
    <w:rsid w:val="006E0D36"/>
    <w:rsid w:val="006E7F8C"/>
    <w:rsid w:val="006F009A"/>
    <w:rsid w:val="006F27EC"/>
    <w:rsid w:val="006F3B4C"/>
    <w:rsid w:val="006F3D93"/>
    <w:rsid w:val="007019B1"/>
    <w:rsid w:val="00706075"/>
    <w:rsid w:val="00721657"/>
    <w:rsid w:val="00722E49"/>
    <w:rsid w:val="007279A8"/>
    <w:rsid w:val="00727B1A"/>
    <w:rsid w:val="00741337"/>
    <w:rsid w:val="00741C3A"/>
    <w:rsid w:val="00752258"/>
    <w:rsid w:val="007529E1"/>
    <w:rsid w:val="007579C0"/>
    <w:rsid w:val="00762880"/>
    <w:rsid w:val="00762AD6"/>
    <w:rsid w:val="00762E02"/>
    <w:rsid w:val="00772290"/>
    <w:rsid w:val="00777265"/>
    <w:rsid w:val="007805E7"/>
    <w:rsid w:val="0078222A"/>
    <w:rsid w:val="00787D48"/>
    <w:rsid w:val="00792A82"/>
    <w:rsid w:val="00795294"/>
    <w:rsid w:val="007A4E50"/>
    <w:rsid w:val="007A5F1F"/>
    <w:rsid w:val="007B18A7"/>
    <w:rsid w:val="007B250E"/>
    <w:rsid w:val="007B68EA"/>
    <w:rsid w:val="007C27FC"/>
    <w:rsid w:val="007C3491"/>
    <w:rsid w:val="007C47F2"/>
    <w:rsid w:val="007C51FF"/>
    <w:rsid w:val="007D50E4"/>
    <w:rsid w:val="007E2DC5"/>
    <w:rsid w:val="007F1CC7"/>
    <w:rsid w:val="008027AC"/>
    <w:rsid w:val="008028CE"/>
    <w:rsid w:val="0080332E"/>
    <w:rsid w:val="008141E0"/>
    <w:rsid w:val="00816EE1"/>
    <w:rsid w:val="00816F88"/>
    <w:rsid w:val="0082096C"/>
    <w:rsid w:val="00822323"/>
    <w:rsid w:val="00822F83"/>
    <w:rsid w:val="00827BC6"/>
    <w:rsid w:val="008300AD"/>
    <w:rsid w:val="00833024"/>
    <w:rsid w:val="008419B1"/>
    <w:rsid w:val="00844A56"/>
    <w:rsid w:val="00845B11"/>
    <w:rsid w:val="0085165A"/>
    <w:rsid w:val="00852081"/>
    <w:rsid w:val="00852CFC"/>
    <w:rsid w:val="00856228"/>
    <w:rsid w:val="00872639"/>
    <w:rsid w:val="00872B6E"/>
    <w:rsid w:val="00874391"/>
    <w:rsid w:val="00874DFD"/>
    <w:rsid w:val="008756AF"/>
    <w:rsid w:val="008802F9"/>
    <w:rsid w:val="00883086"/>
    <w:rsid w:val="0088730A"/>
    <w:rsid w:val="008879FD"/>
    <w:rsid w:val="00894C37"/>
    <w:rsid w:val="008A00EA"/>
    <w:rsid w:val="008A3F93"/>
    <w:rsid w:val="008A6236"/>
    <w:rsid w:val="008A6E1C"/>
    <w:rsid w:val="008A72FD"/>
    <w:rsid w:val="008B1774"/>
    <w:rsid w:val="008B2EDF"/>
    <w:rsid w:val="008B3A63"/>
    <w:rsid w:val="008B53D1"/>
    <w:rsid w:val="008B5464"/>
    <w:rsid w:val="008B54CB"/>
    <w:rsid w:val="008B5A3D"/>
    <w:rsid w:val="008C4010"/>
    <w:rsid w:val="008C4FDF"/>
    <w:rsid w:val="008C6B1F"/>
    <w:rsid w:val="008D5E4F"/>
    <w:rsid w:val="008F14F5"/>
    <w:rsid w:val="008F48A7"/>
    <w:rsid w:val="008F71C1"/>
    <w:rsid w:val="00902D41"/>
    <w:rsid w:val="00902F49"/>
    <w:rsid w:val="00914004"/>
    <w:rsid w:val="00914279"/>
    <w:rsid w:val="00922EC1"/>
    <w:rsid w:val="00924566"/>
    <w:rsid w:val="009301F1"/>
    <w:rsid w:val="009307DF"/>
    <w:rsid w:val="009359B8"/>
    <w:rsid w:val="00935FF0"/>
    <w:rsid w:val="009431F8"/>
    <w:rsid w:val="00947A35"/>
    <w:rsid w:val="009521CD"/>
    <w:rsid w:val="0095499D"/>
    <w:rsid w:val="009553B6"/>
    <w:rsid w:val="0096201B"/>
    <w:rsid w:val="00962081"/>
    <w:rsid w:val="009641CA"/>
    <w:rsid w:val="00966CB5"/>
    <w:rsid w:val="00975786"/>
    <w:rsid w:val="00977AF0"/>
    <w:rsid w:val="00981CB7"/>
    <w:rsid w:val="00983E1F"/>
    <w:rsid w:val="00993F46"/>
    <w:rsid w:val="00997358"/>
    <w:rsid w:val="009A3772"/>
    <w:rsid w:val="009A452B"/>
    <w:rsid w:val="009B050C"/>
    <w:rsid w:val="009B087F"/>
    <w:rsid w:val="009B2AF4"/>
    <w:rsid w:val="009C110B"/>
    <w:rsid w:val="009C5441"/>
    <w:rsid w:val="009D119F"/>
    <w:rsid w:val="009D3C99"/>
    <w:rsid w:val="009D49A2"/>
    <w:rsid w:val="009D7F2C"/>
    <w:rsid w:val="009E7F8D"/>
    <w:rsid w:val="009F0432"/>
    <w:rsid w:val="009F0C9A"/>
    <w:rsid w:val="009F3940"/>
    <w:rsid w:val="009F3EB2"/>
    <w:rsid w:val="009F6BB0"/>
    <w:rsid w:val="009F6EB1"/>
    <w:rsid w:val="00A11D05"/>
    <w:rsid w:val="00A13162"/>
    <w:rsid w:val="00A15EA6"/>
    <w:rsid w:val="00A17126"/>
    <w:rsid w:val="00A20267"/>
    <w:rsid w:val="00A2347F"/>
    <w:rsid w:val="00A3158C"/>
    <w:rsid w:val="00A32DF3"/>
    <w:rsid w:val="00A332A9"/>
    <w:rsid w:val="00A337FF"/>
    <w:rsid w:val="00A33E32"/>
    <w:rsid w:val="00A35E20"/>
    <w:rsid w:val="00A36F6D"/>
    <w:rsid w:val="00A50CA0"/>
    <w:rsid w:val="00A525CC"/>
    <w:rsid w:val="00A52CC2"/>
    <w:rsid w:val="00A53E7C"/>
    <w:rsid w:val="00A60087"/>
    <w:rsid w:val="00A63683"/>
    <w:rsid w:val="00A63B06"/>
    <w:rsid w:val="00A705E8"/>
    <w:rsid w:val="00A70C24"/>
    <w:rsid w:val="00A721F4"/>
    <w:rsid w:val="00A725BB"/>
    <w:rsid w:val="00A73DCA"/>
    <w:rsid w:val="00A8624E"/>
    <w:rsid w:val="00A8762A"/>
    <w:rsid w:val="00A90CD4"/>
    <w:rsid w:val="00A9392C"/>
    <w:rsid w:val="00A9462B"/>
    <w:rsid w:val="00A97D59"/>
    <w:rsid w:val="00AA087E"/>
    <w:rsid w:val="00AA3E09"/>
    <w:rsid w:val="00AA4BEF"/>
    <w:rsid w:val="00AB1659"/>
    <w:rsid w:val="00AB2EF7"/>
    <w:rsid w:val="00AB4962"/>
    <w:rsid w:val="00AB50E5"/>
    <w:rsid w:val="00AB734E"/>
    <w:rsid w:val="00AB740F"/>
    <w:rsid w:val="00AC140E"/>
    <w:rsid w:val="00AC6F14"/>
    <w:rsid w:val="00AC7221"/>
    <w:rsid w:val="00AC7B28"/>
    <w:rsid w:val="00AD5AD9"/>
    <w:rsid w:val="00AE5961"/>
    <w:rsid w:val="00AF0745"/>
    <w:rsid w:val="00AF4971"/>
    <w:rsid w:val="00AF5276"/>
    <w:rsid w:val="00AF7C86"/>
    <w:rsid w:val="00B01046"/>
    <w:rsid w:val="00B06E96"/>
    <w:rsid w:val="00B1209F"/>
    <w:rsid w:val="00B15F49"/>
    <w:rsid w:val="00B310F9"/>
    <w:rsid w:val="00B3217B"/>
    <w:rsid w:val="00B37866"/>
    <w:rsid w:val="00B40124"/>
    <w:rsid w:val="00B412FB"/>
    <w:rsid w:val="00B41EFD"/>
    <w:rsid w:val="00B4576B"/>
    <w:rsid w:val="00B46350"/>
    <w:rsid w:val="00B46658"/>
    <w:rsid w:val="00B46DF3"/>
    <w:rsid w:val="00B656E3"/>
    <w:rsid w:val="00B66E8F"/>
    <w:rsid w:val="00B71BD6"/>
    <w:rsid w:val="00B74046"/>
    <w:rsid w:val="00B80157"/>
    <w:rsid w:val="00B82549"/>
    <w:rsid w:val="00B83D5E"/>
    <w:rsid w:val="00B8460A"/>
    <w:rsid w:val="00B8650D"/>
    <w:rsid w:val="00B879B4"/>
    <w:rsid w:val="00B90F07"/>
    <w:rsid w:val="00B96075"/>
    <w:rsid w:val="00B97BB9"/>
    <w:rsid w:val="00BA0009"/>
    <w:rsid w:val="00BB1863"/>
    <w:rsid w:val="00BB25EE"/>
    <w:rsid w:val="00BB363A"/>
    <w:rsid w:val="00BB6F2E"/>
    <w:rsid w:val="00BB6F91"/>
    <w:rsid w:val="00BC10A0"/>
    <w:rsid w:val="00BC7BA2"/>
    <w:rsid w:val="00BD426B"/>
    <w:rsid w:val="00BD79F0"/>
    <w:rsid w:val="00BE2B4D"/>
    <w:rsid w:val="00BE3CB7"/>
    <w:rsid w:val="00BF2904"/>
    <w:rsid w:val="00BF3814"/>
    <w:rsid w:val="00BF3DB6"/>
    <w:rsid w:val="00BF459F"/>
    <w:rsid w:val="00C015F8"/>
    <w:rsid w:val="00C0513F"/>
    <w:rsid w:val="00C07E26"/>
    <w:rsid w:val="00C1011C"/>
    <w:rsid w:val="00C12F94"/>
    <w:rsid w:val="00C14D60"/>
    <w:rsid w:val="00C177C5"/>
    <w:rsid w:val="00C27B9A"/>
    <w:rsid w:val="00C34EC3"/>
    <w:rsid w:val="00C40286"/>
    <w:rsid w:val="00C4038C"/>
    <w:rsid w:val="00C41670"/>
    <w:rsid w:val="00C42722"/>
    <w:rsid w:val="00C42BA2"/>
    <w:rsid w:val="00C436F2"/>
    <w:rsid w:val="00C43AB4"/>
    <w:rsid w:val="00C44066"/>
    <w:rsid w:val="00C44E13"/>
    <w:rsid w:val="00C45DA7"/>
    <w:rsid w:val="00C47975"/>
    <w:rsid w:val="00C60A41"/>
    <w:rsid w:val="00C62DE8"/>
    <w:rsid w:val="00C62DFB"/>
    <w:rsid w:val="00C630E6"/>
    <w:rsid w:val="00C63812"/>
    <w:rsid w:val="00C64AF3"/>
    <w:rsid w:val="00C66F4D"/>
    <w:rsid w:val="00C67BB5"/>
    <w:rsid w:val="00C703DA"/>
    <w:rsid w:val="00C72713"/>
    <w:rsid w:val="00C848EF"/>
    <w:rsid w:val="00C86600"/>
    <w:rsid w:val="00C87BCA"/>
    <w:rsid w:val="00C87EED"/>
    <w:rsid w:val="00C94506"/>
    <w:rsid w:val="00C94F28"/>
    <w:rsid w:val="00C954BC"/>
    <w:rsid w:val="00CA151B"/>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54AC"/>
    <w:rsid w:val="00D16E54"/>
    <w:rsid w:val="00D20099"/>
    <w:rsid w:val="00D20E99"/>
    <w:rsid w:val="00D21C83"/>
    <w:rsid w:val="00D223D9"/>
    <w:rsid w:val="00D35BDD"/>
    <w:rsid w:val="00D43CFA"/>
    <w:rsid w:val="00D51CD4"/>
    <w:rsid w:val="00D51E28"/>
    <w:rsid w:val="00D52816"/>
    <w:rsid w:val="00D56E1C"/>
    <w:rsid w:val="00D57DDE"/>
    <w:rsid w:val="00D63006"/>
    <w:rsid w:val="00D72301"/>
    <w:rsid w:val="00D911DE"/>
    <w:rsid w:val="00D91B97"/>
    <w:rsid w:val="00D93ACC"/>
    <w:rsid w:val="00D93C08"/>
    <w:rsid w:val="00D94BCB"/>
    <w:rsid w:val="00D95DAC"/>
    <w:rsid w:val="00DA0B53"/>
    <w:rsid w:val="00DA4974"/>
    <w:rsid w:val="00DB1171"/>
    <w:rsid w:val="00DB12F2"/>
    <w:rsid w:val="00DB1519"/>
    <w:rsid w:val="00DB2840"/>
    <w:rsid w:val="00DC1BD3"/>
    <w:rsid w:val="00DC2C1A"/>
    <w:rsid w:val="00DC64A3"/>
    <w:rsid w:val="00DD2728"/>
    <w:rsid w:val="00DD5488"/>
    <w:rsid w:val="00DD6396"/>
    <w:rsid w:val="00DD66B4"/>
    <w:rsid w:val="00DE1972"/>
    <w:rsid w:val="00DE27AB"/>
    <w:rsid w:val="00DE2E8F"/>
    <w:rsid w:val="00DF2AB3"/>
    <w:rsid w:val="00DF7250"/>
    <w:rsid w:val="00E00CAA"/>
    <w:rsid w:val="00E03EBF"/>
    <w:rsid w:val="00E05209"/>
    <w:rsid w:val="00E06233"/>
    <w:rsid w:val="00E07CAE"/>
    <w:rsid w:val="00E1023F"/>
    <w:rsid w:val="00E11BCF"/>
    <w:rsid w:val="00E13FA5"/>
    <w:rsid w:val="00E169CC"/>
    <w:rsid w:val="00E1767E"/>
    <w:rsid w:val="00E17C52"/>
    <w:rsid w:val="00E2258E"/>
    <w:rsid w:val="00E236BE"/>
    <w:rsid w:val="00E23DC6"/>
    <w:rsid w:val="00E260C2"/>
    <w:rsid w:val="00E32596"/>
    <w:rsid w:val="00E368F7"/>
    <w:rsid w:val="00E36EB8"/>
    <w:rsid w:val="00E37FB8"/>
    <w:rsid w:val="00E40B07"/>
    <w:rsid w:val="00E42326"/>
    <w:rsid w:val="00E43544"/>
    <w:rsid w:val="00E44D89"/>
    <w:rsid w:val="00E477EA"/>
    <w:rsid w:val="00E55807"/>
    <w:rsid w:val="00E63B14"/>
    <w:rsid w:val="00E65CA0"/>
    <w:rsid w:val="00E707E7"/>
    <w:rsid w:val="00E70D9F"/>
    <w:rsid w:val="00E76BD0"/>
    <w:rsid w:val="00E76DD9"/>
    <w:rsid w:val="00E83810"/>
    <w:rsid w:val="00E86933"/>
    <w:rsid w:val="00E9605B"/>
    <w:rsid w:val="00E97298"/>
    <w:rsid w:val="00E97753"/>
    <w:rsid w:val="00EA4D3B"/>
    <w:rsid w:val="00EA7DE7"/>
    <w:rsid w:val="00EB7A8A"/>
    <w:rsid w:val="00EB7E82"/>
    <w:rsid w:val="00EC454C"/>
    <w:rsid w:val="00EE3A64"/>
    <w:rsid w:val="00EE50E5"/>
    <w:rsid w:val="00EF01CF"/>
    <w:rsid w:val="00EF6CE5"/>
    <w:rsid w:val="00F02830"/>
    <w:rsid w:val="00F03590"/>
    <w:rsid w:val="00F03622"/>
    <w:rsid w:val="00F077FD"/>
    <w:rsid w:val="00F11BBE"/>
    <w:rsid w:val="00F124FF"/>
    <w:rsid w:val="00F1606A"/>
    <w:rsid w:val="00F204F3"/>
    <w:rsid w:val="00F218AB"/>
    <w:rsid w:val="00F238B3"/>
    <w:rsid w:val="00F23FAD"/>
    <w:rsid w:val="00F24FED"/>
    <w:rsid w:val="00F25586"/>
    <w:rsid w:val="00F2651D"/>
    <w:rsid w:val="00F27362"/>
    <w:rsid w:val="00F31498"/>
    <w:rsid w:val="00F31908"/>
    <w:rsid w:val="00F324BC"/>
    <w:rsid w:val="00F32FEF"/>
    <w:rsid w:val="00F41B1C"/>
    <w:rsid w:val="00F42E13"/>
    <w:rsid w:val="00F42F1C"/>
    <w:rsid w:val="00F43B44"/>
    <w:rsid w:val="00F440E5"/>
    <w:rsid w:val="00F448F6"/>
    <w:rsid w:val="00F52741"/>
    <w:rsid w:val="00F539D2"/>
    <w:rsid w:val="00F53D8A"/>
    <w:rsid w:val="00F54239"/>
    <w:rsid w:val="00F60DAC"/>
    <w:rsid w:val="00F626F7"/>
    <w:rsid w:val="00F736F9"/>
    <w:rsid w:val="00F73833"/>
    <w:rsid w:val="00F9211C"/>
    <w:rsid w:val="00F9290F"/>
    <w:rsid w:val="00FA095D"/>
    <w:rsid w:val="00FA6C8B"/>
    <w:rsid w:val="00FA6CDA"/>
    <w:rsid w:val="00FA7C89"/>
    <w:rsid w:val="00FB4139"/>
    <w:rsid w:val="00FB476E"/>
    <w:rsid w:val="00FC0D90"/>
    <w:rsid w:val="00FC4480"/>
    <w:rsid w:val="00FC7D8C"/>
    <w:rsid w:val="00FD3980"/>
    <w:rsid w:val="00FD431E"/>
    <w:rsid w:val="00FD5A2C"/>
    <w:rsid w:val="00FE0D47"/>
    <w:rsid w:val="00FE1D5C"/>
    <w:rsid w:val="00FE2F8B"/>
    <w:rsid w:val="00FE3669"/>
    <w:rsid w:val="00FE3E11"/>
    <w:rsid w:val="00FE5204"/>
    <w:rsid w:val="00FF287F"/>
    <w:rsid w:val="00FF4DC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5856BB"/>
  <w15:docId w15:val="{B99F619B-35DE-4B9F-8B84-828AF294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uiPriority w:val="99"/>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uiPriority w:val="99"/>
    <w:rsid w:val="00B37866"/>
  </w:style>
  <w:style w:type="paragraph" w:customStyle="1" w:styleId="Resref">
    <w:name w:val="Res_ref"/>
    <w:basedOn w:val="Recref"/>
    <w:next w:val="Resdate"/>
    <w:qFormat/>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656673"/>
    <w:rPr>
      <w:color w:val="605E5C"/>
      <w:shd w:val="clear" w:color="auto" w:fill="E1DFDD"/>
    </w:rPr>
  </w:style>
  <w:style w:type="character" w:customStyle="1" w:styleId="ResNoChar">
    <w:name w:val="Res_No Char"/>
    <w:link w:val="ResNo"/>
    <w:locked/>
    <w:rsid w:val="00EB7E82"/>
    <w:rPr>
      <w:rFonts w:asciiTheme="minorHAnsi" w:hAnsiTheme="minorHAnsi"/>
      <w:caps/>
      <w:sz w:val="28"/>
      <w:lang w:val="en-GB" w:eastAsia="en-US"/>
    </w:rPr>
  </w:style>
  <w:style w:type="character" w:customStyle="1" w:styleId="RestitleChar">
    <w:name w:val="Res_title Char"/>
    <w:link w:val="Restitle"/>
    <w:uiPriority w:val="99"/>
    <w:locked/>
    <w:rsid w:val="00EB7E82"/>
    <w:rPr>
      <w:rFonts w:asciiTheme="minorHAnsi" w:hAnsiTheme="minorHAnsi"/>
      <w:b/>
      <w:sz w:val="28"/>
      <w:lang w:val="en-GB" w:eastAsia="en-US"/>
    </w:rPr>
  </w:style>
  <w:style w:type="character" w:customStyle="1" w:styleId="href">
    <w:name w:val="href"/>
    <w:basedOn w:val="DefaultParagraphFont"/>
    <w:rsid w:val="00EB7E82"/>
  </w:style>
  <w:style w:type="character" w:customStyle="1" w:styleId="CallChar">
    <w:name w:val="Call Char"/>
    <w:link w:val="Call"/>
    <w:uiPriority w:val="99"/>
    <w:locked/>
    <w:rsid w:val="00B46658"/>
    <w:rPr>
      <w:rFonts w:asciiTheme="minorHAnsi" w:hAnsiTheme="minorHAnsi"/>
      <w:i/>
      <w:sz w:val="24"/>
      <w:lang w:val="en-GB" w:eastAsia="en-US"/>
    </w:rPr>
  </w:style>
  <w:style w:type="character" w:customStyle="1" w:styleId="tlid-translation">
    <w:name w:val="tlid-translation"/>
    <w:basedOn w:val="DefaultParagraphFont"/>
    <w:rsid w:val="00B46658"/>
  </w:style>
  <w:style w:type="paragraph" w:styleId="BalloonText">
    <w:name w:val="Balloon Text"/>
    <w:basedOn w:val="Normal"/>
    <w:link w:val="BalloonTextChar"/>
    <w:semiHidden/>
    <w:unhideWhenUsed/>
    <w:rsid w:val="00E76D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6DD9"/>
    <w:rPr>
      <w:rFonts w:ascii="Segoe UI" w:hAnsi="Segoe UI" w:cs="Segoe UI"/>
      <w:sz w:val="18"/>
      <w:szCs w:val="18"/>
      <w:lang w:val="en-GB" w:eastAsia="en-US"/>
    </w:rPr>
  </w:style>
  <w:style w:type="character" w:styleId="FollowedHyperlink">
    <w:name w:val="FollowedHyperlink"/>
    <w:basedOn w:val="DefaultParagraphFont"/>
    <w:semiHidden/>
    <w:unhideWhenUsed/>
    <w:rsid w:val="00A52CC2"/>
    <w:rPr>
      <w:color w:val="800080" w:themeColor="followedHyperlink"/>
      <w:u w:val="single"/>
    </w:rPr>
  </w:style>
  <w:style w:type="character" w:styleId="UnresolvedMention">
    <w:name w:val="Unresolved Mention"/>
    <w:basedOn w:val="DefaultParagraphFont"/>
    <w:uiPriority w:val="99"/>
    <w:semiHidden/>
    <w:unhideWhenUsed/>
    <w:rsid w:val="00A52CC2"/>
    <w:rPr>
      <w:color w:val="605E5C"/>
      <w:shd w:val="clear" w:color="auto" w:fill="E1DFDD"/>
    </w:rPr>
  </w:style>
  <w:style w:type="character" w:styleId="CommentReference">
    <w:name w:val="annotation reference"/>
    <w:basedOn w:val="DefaultParagraphFont"/>
    <w:semiHidden/>
    <w:unhideWhenUsed/>
    <w:rsid w:val="005B7E12"/>
    <w:rPr>
      <w:sz w:val="16"/>
      <w:szCs w:val="16"/>
    </w:rPr>
  </w:style>
  <w:style w:type="paragraph" w:styleId="CommentText">
    <w:name w:val="annotation text"/>
    <w:basedOn w:val="Normal"/>
    <w:link w:val="CommentTextChar"/>
    <w:semiHidden/>
    <w:unhideWhenUsed/>
    <w:rsid w:val="005B7E12"/>
    <w:rPr>
      <w:sz w:val="20"/>
    </w:rPr>
  </w:style>
  <w:style w:type="character" w:customStyle="1" w:styleId="CommentTextChar">
    <w:name w:val="Comment Text Char"/>
    <w:basedOn w:val="DefaultParagraphFont"/>
    <w:link w:val="CommentText"/>
    <w:semiHidden/>
    <w:rsid w:val="005B7E1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B7E12"/>
    <w:rPr>
      <w:b/>
      <w:bCs/>
    </w:rPr>
  </w:style>
  <w:style w:type="character" w:customStyle="1" w:styleId="CommentSubjectChar">
    <w:name w:val="Comment Subject Char"/>
    <w:basedOn w:val="CommentTextChar"/>
    <w:link w:val="CommentSubject"/>
    <w:semiHidden/>
    <w:rsid w:val="005B7E12"/>
    <w:rPr>
      <w:rFonts w:asciiTheme="minorHAnsi" w:hAnsiTheme="minorHAnsi"/>
      <w:b/>
      <w:bCs/>
      <w:lang w:val="en-GB" w:eastAsia="en-US"/>
    </w:rPr>
  </w:style>
  <w:style w:type="paragraph" w:styleId="Revision">
    <w:name w:val="Revision"/>
    <w:hidden/>
    <w:uiPriority w:val="99"/>
    <w:semiHidden/>
    <w:rsid w:val="005161C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20571">
      <w:bodyDiv w:val="1"/>
      <w:marLeft w:val="0"/>
      <w:marRight w:val="0"/>
      <w:marTop w:val="0"/>
      <w:marBottom w:val="0"/>
      <w:divBdr>
        <w:top w:val="none" w:sz="0" w:space="0" w:color="auto"/>
        <w:left w:val="none" w:sz="0" w:space="0" w:color="auto"/>
        <w:bottom w:val="none" w:sz="0" w:space="0" w:color="auto"/>
        <w:right w:val="none" w:sz="0" w:space="0" w:color="auto"/>
      </w:divBdr>
    </w:div>
    <w:div w:id="693114596">
      <w:bodyDiv w:val="1"/>
      <w:marLeft w:val="0"/>
      <w:marRight w:val="0"/>
      <w:marTop w:val="0"/>
      <w:marBottom w:val="0"/>
      <w:divBdr>
        <w:top w:val="none" w:sz="0" w:space="0" w:color="auto"/>
        <w:left w:val="none" w:sz="0" w:space="0" w:color="auto"/>
        <w:bottom w:val="none" w:sz="0" w:space="0" w:color="auto"/>
        <w:right w:val="none" w:sz="0" w:space="0" w:color="auto"/>
      </w:divBdr>
    </w:div>
    <w:div w:id="1177423083">
      <w:bodyDiv w:val="1"/>
      <w:marLeft w:val="0"/>
      <w:marRight w:val="0"/>
      <w:marTop w:val="0"/>
      <w:marBottom w:val="0"/>
      <w:divBdr>
        <w:top w:val="none" w:sz="0" w:space="0" w:color="auto"/>
        <w:left w:val="none" w:sz="0" w:space="0" w:color="auto"/>
        <w:bottom w:val="none" w:sz="0" w:space="0" w:color="auto"/>
        <w:right w:val="none" w:sz="0" w:space="0" w:color="auto"/>
      </w:divBdr>
    </w:div>
    <w:div w:id="1660881732">
      <w:bodyDiv w:val="1"/>
      <w:marLeft w:val="0"/>
      <w:marRight w:val="0"/>
      <w:marTop w:val="0"/>
      <w:marBottom w:val="0"/>
      <w:divBdr>
        <w:top w:val="none" w:sz="0" w:space="0" w:color="auto"/>
        <w:left w:val="none" w:sz="0" w:space="0" w:color="auto"/>
        <w:bottom w:val="none" w:sz="0" w:space="0" w:color="auto"/>
        <w:right w:val="none" w:sz="0" w:space="0" w:color="auto"/>
      </w:divBdr>
    </w:div>
    <w:div w:id="1678574640">
      <w:bodyDiv w:val="1"/>
      <w:marLeft w:val="0"/>
      <w:marRight w:val="0"/>
      <w:marTop w:val="0"/>
      <w:marBottom w:val="0"/>
      <w:divBdr>
        <w:top w:val="none" w:sz="0" w:space="0" w:color="auto"/>
        <w:left w:val="none" w:sz="0" w:space="0" w:color="auto"/>
        <w:bottom w:val="none" w:sz="0" w:space="0" w:color="auto"/>
        <w:right w:val="none" w:sz="0" w:space="0" w:color="auto"/>
      </w:divBdr>
    </w:div>
    <w:div w:id="1889955884">
      <w:bodyDiv w:val="1"/>
      <w:marLeft w:val="0"/>
      <w:marRight w:val="0"/>
      <w:marTop w:val="0"/>
      <w:marBottom w:val="0"/>
      <w:divBdr>
        <w:top w:val="none" w:sz="0" w:space="0" w:color="auto"/>
        <w:left w:val="none" w:sz="0" w:space="0" w:color="auto"/>
        <w:bottom w:val="none" w:sz="0" w:space="0" w:color="auto"/>
        <w:right w:val="none" w:sz="0" w:space="0" w:color="auto"/>
      </w:divBdr>
    </w:div>
    <w:div w:id="19829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onferences/TDAG/Documents/2020%20TDAG/DRAFTSUMMARY-RECORD-WTDC-WEB-DIALOGUErev_clean_in%20template_final_v2.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Conferences/TDAG/Pages/TDAG25/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onferences/TDAG/Documents/2020%20TDAG/SUMMARY-RECORD-WEB-DIALOGUE-FOUR-SESSIONS-12MAY.doc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9446-C4CB-4820-9905-B5530A667DCB}">
  <ds:schemaRefs>
    <ds:schemaRef ds:uri="http://schemas.microsoft.com/sharepoint/v3/contenttype/forms"/>
  </ds:schemaRefs>
</ds:datastoreItem>
</file>

<file path=customXml/itemProps2.xml><?xml version="1.0" encoding="utf-8"?>
<ds:datastoreItem xmlns:ds="http://schemas.openxmlformats.org/officeDocument/2006/customXml" ds:itemID="{4B0BA2E6-F75E-41A9-AE1C-23BCE6219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DCBE5-1EF9-483C-A2E1-A4EFDBBF01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ED40B-31BF-4ECA-9643-CDB5172F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1176</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BDT-nd</cp:lastModifiedBy>
  <cp:revision>5</cp:revision>
  <cp:lastPrinted>2014-11-04T09:22:00Z</cp:lastPrinted>
  <dcterms:created xsi:type="dcterms:W3CDTF">2020-05-19T16:31:00Z</dcterms:created>
  <dcterms:modified xsi:type="dcterms:W3CDTF">2020-05-21T08:35:00Z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