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14:paraId="04C9DA2A" w14:textId="77777777" w:rsidTr="009E4DA0">
        <w:trPr>
          <w:cantSplit/>
          <w:trHeight w:val="1134"/>
        </w:trPr>
        <w:tc>
          <w:tcPr>
            <w:tcW w:w="6663" w:type="dxa"/>
          </w:tcPr>
          <w:p w14:paraId="41597053"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36F3ED" w14:textId="0B07B3A8" w:rsidR="00821996" w:rsidRPr="00844A56" w:rsidRDefault="002C3015" w:rsidP="00D870E6">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B32C44">
              <w:rPr>
                <w:b/>
                <w:bCs/>
                <w:sz w:val="26"/>
                <w:szCs w:val="26"/>
              </w:rPr>
              <w:t>2-5 June</w:t>
            </w:r>
            <w:r w:rsidR="00D870E6">
              <w:rPr>
                <w:b/>
                <w:bCs/>
                <w:sz w:val="26"/>
                <w:szCs w:val="26"/>
              </w:rPr>
              <w:t>2020</w:t>
            </w:r>
          </w:p>
        </w:tc>
        <w:tc>
          <w:tcPr>
            <w:tcW w:w="3225" w:type="dxa"/>
          </w:tcPr>
          <w:p w14:paraId="1A38816C"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603B69D1" wp14:editId="625765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20C1BC" w14:textId="77777777" w:rsidTr="00107E85">
        <w:trPr>
          <w:cantSplit/>
        </w:trPr>
        <w:tc>
          <w:tcPr>
            <w:tcW w:w="6663" w:type="dxa"/>
            <w:tcBorders>
              <w:top w:val="single" w:sz="12" w:space="0" w:color="auto"/>
            </w:tcBorders>
          </w:tcPr>
          <w:p w14:paraId="4EC32D23"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30A7742D" w14:textId="18A2E737" w:rsidR="00683C32" w:rsidRPr="00867FC0" w:rsidRDefault="00683C32" w:rsidP="00107E85">
            <w:pPr>
              <w:spacing w:before="0"/>
              <w:rPr>
                <w:b/>
                <w:bCs/>
                <w:szCs w:val="24"/>
              </w:rPr>
            </w:pPr>
          </w:p>
        </w:tc>
      </w:tr>
      <w:tr w:rsidR="00683C32" w:rsidRPr="00002716" w14:paraId="6875978A" w14:textId="77777777" w:rsidTr="00107E85">
        <w:trPr>
          <w:cantSplit/>
        </w:trPr>
        <w:tc>
          <w:tcPr>
            <w:tcW w:w="6663" w:type="dxa"/>
          </w:tcPr>
          <w:p w14:paraId="3AB5058A" w14:textId="77777777" w:rsidR="00683C32" w:rsidRPr="007F1CC7" w:rsidRDefault="00683C32" w:rsidP="00400CCF">
            <w:pPr>
              <w:pStyle w:val="Committee"/>
              <w:spacing w:before="0"/>
              <w:rPr>
                <w:b w:val="0"/>
                <w:szCs w:val="24"/>
              </w:rPr>
            </w:pPr>
          </w:p>
        </w:tc>
        <w:tc>
          <w:tcPr>
            <w:tcW w:w="3225" w:type="dxa"/>
          </w:tcPr>
          <w:p w14:paraId="4DA25A78" w14:textId="545D0EEB" w:rsidR="00683C32" w:rsidRPr="007F1CC7" w:rsidRDefault="0096201B" w:rsidP="00F5483C">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20</w:t>
            </w:r>
            <w:r w:rsidRPr="00A54E72">
              <w:rPr>
                <w:b/>
                <w:bCs/>
                <w:lang w:val="en-US"/>
              </w:rPr>
              <w:t>/</w:t>
            </w:r>
            <w:bookmarkStart w:id="1" w:name="DocNo1"/>
            <w:bookmarkEnd w:id="1"/>
            <w:r w:rsidR="000C529C">
              <w:rPr>
                <w:b/>
                <w:bCs/>
                <w:lang w:val="en-US"/>
              </w:rPr>
              <w:t>48</w:t>
            </w:r>
            <w:r>
              <w:rPr>
                <w:b/>
                <w:bCs/>
                <w:lang w:val="en-US"/>
              </w:rPr>
              <w:t>-E</w:t>
            </w:r>
          </w:p>
        </w:tc>
      </w:tr>
      <w:tr w:rsidR="00683C32" w14:paraId="4BDBF45D" w14:textId="77777777" w:rsidTr="00107E85">
        <w:trPr>
          <w:cantSplit/>
        </w:trPr>
        <w:tc>
          <w:tcPr>
            <w:tcW w:w="6663" w:type="dxa"/>
          </w:tcPr>
          <w:p w14:paraId="02438332" w14:textId="77777777" w:rsidR="00683C32" w:rsidRPr="007F1CC7" w:rsidRDefault="00683C32" w:rsidP="00400CCF">
            <w:pPr>
              <w:spacing w:before="0"/>
              <w:rPr>
                <w:b/>
                <w:bCs/>
                <w:smallCaps/>
                <w:szCs w:val="24"/>
                <w:lang w:val="en-US"/>
              </w:rPr>
            </w:pPr>
          </w:p>
        </w:tc>
        <w:tc>
          <w:tcPr>
            <w:tcW w:w="3225" w:type="dxa"/>
          </w:tcPr>
          <w:p w14:paraId="730CC484" w14:textId="13380839" w:rsidR="00683C32" w:rsidRPr="007F1CC7" w:rsidRDefault="006549AE" w:rsidP="00F2774E">
            <w:pPr>
              <w:spacing w:before="0"/>
              <w:rPr>
                <w:b/>
                <w:szCs w:val="24"/>
              </w:rPr>
            </w:pPr>
            <w:bookmarkStart w:id="2" w:name="CreationDate"/>
            <w:bookmarkEnd w:id="2"/>
            <w:r>
              <w:rPr>
                <w:b/>
                <w:bCs/>
                <w:szCs w:val="28"/>
              </w:rPr>
              <w:t xml:space="preserve">18 </w:t>
            </w:r>
            <w:r w:rsidR="000E7E5E">
              <w:rPr>
                <w:b/>
                <w:bCs/>
                <w:szCs w:val="28"/>
              </w:rPr>
              <w:t>May</w:t>
            </w:r>
            <w:r w:rsidR="00CE0422" w:rsidRPr="008F5D48">
              <w:rPr>
                <w:b/>
                <w:bCs/>
                <w:szCs w:val="28"/>
              </w:rPr>
              <w:t xml:space="preserve"> 20</w:t>
            </w:r>
            <w:r w:rsidR="00B648C7">
              <w:rPr>
                <w:b/>
                <w:bCs/>
                <w:szCs w:val="28"/>
              </w:rPr>
              <w:t>20</w:t>
            </w:r>
          </w:p>
        </w:tc>
      </w:tr>
      <w:tr w:rsidR="00683C32" w14:paraId="4AE0CFBA" w14:textId="77777777" w:rsidTr="00107E85">
        <w:trPr>
          <w:cantSplit/>
        </w:trPr>
        <w:tc>
          <w:tcPr>
            <w:tcW w:w="6663" w:type="dxa"/>
          </w:tcPr>
          <w:p w14:paraId="503A80A8" w14:textId="77777777" w:rsidR="00683C32" w:rsidRPr="007F1CC7" w:rsidRDefault="00683C32" w:rsidP="00400CCF">
            <w:pPr>
              <w:spacing w:before="0"/>
              <w:rPr>
                <w:b/>
                <w:bCs/>
                <w:smallCaps/>
                <w:szCs w:val="24"/>
              </w:rPr>
            </w:pPr>
          </w:p>
        </w:tc>
        <w:tc>
          <w:tcPr>
            <w:tcW w:w="3225" w:type="dxa"/>
          </w:tcPr>
          <w:p w14:paraId="6F6683F2" w14:textId="1D4A1045" w:rsidR="00514D2F" w:rsidRPr="007F1CC7" w:rsidRDefault="00F5483C" w:rsidP="00400CCF">
            <w:pPr>
              <w:spacing w:before="0"/>
              <w:rPr>
                <w:szCs w:val="24"/>
              </w:rPr>
            </w:pPr>
            <w:r>
              <w:rPr>
                <w:b/>
              </w:rPr>
              <w:t>English</w:t>
            </w:r>
            <w:r w:rsidR="00A6331A">
              <w:rPr>
                <w:b/>
              </w:rPr>
              <w:t xml:space="preserve"> only</w:t>
            </w:r>
          </w:p>
        </w:tc>
      </w:tr>
      <w:tr w:rsidR="00A13162" w14:paraId="39BBBDEB" w14:textId="77777777" w:rsidTr="00107E85">
        <w:trPr>
          <w:cantSplit/>
          <w:trHeight w:val="852"/>
        </w:trPr>
        <w:tc>
          <w:tcPr>
            <w:tcW w:w="9888" w:type="dxa"/>
            <w:gridSpan w:val="2"/>
          </w:tcPr>
          <w:p w14:paraId="2D8DF34E" w14:textId="77777777" w:rsidR="00A13162" w:rsidRPr="0030353C" w:rsidRDefault="00F5483C" w:rsidP="0030353C">
            <w:pPr>
              <w:pStyle w:val="Source"/>
            </w:pPr>
            <w:bookmarkStart w:id="3" w:name="Source"/>
            <w:bookmarkEnd w:id="3"/>
            <w:r w:rsidRPr="00C87021">
              <w:t>Director, Telecommunication Development Bureau</w:t>
            </w:r>
          </w:p>
        </w:tc>
      </w:tr>
      <w:tr w:rsidR="00AC6F14" w:rsidRPr="002E6963" w14:paraId="109CB44F" w14:textId="77777777" w:rsidTr="00107E85">
        <w:trPr>
          <w:cantSplit/>
        </w:trPr>
        <w:tc>
          <w:tcPr>
            <w:tcW w:w="9888" w:type="dxa"/>
            <w:gridSpan w:val="2"/>
          </w:tcPr>
          <w:p w14:paraId="7271BE41" w14:textId="5FDF9CD9" w:rsidR="00AC6F14" w:rsidRPr="00A6331A" w:rsidRDefault="006549AE" w:rsidP="000C529C">
            <w:pPr>
              <w:spacing w:after="120"/>
              <w:jc w:val="center"/>
              <w:rPr>
                <w:caps/>
              </w:rPr>
            </w:pPr>
            <w:bookmarkStart w:id="4" w:name="Title"/>
            <w:bookmarkEnd w:id="4"/>
            <w:r w:rsidRPr="000C529C">
              <w:rPr>
                <w:rFonts w:cstheme="minorHAnsi"/>
                <w:caps/>
                <w:sz w:val="28"/>
                <w:szCs w:val="28"/>
                <w:lang w:val="en-AU"/>
              </w:rPr>
              <w:t>Child Online Protection (COP) Guidelines</w:t>
            </w:r>
          </w:p>
        </w:tc>
      </w:tr>
      <w:tr w:rsidR="000C529C" w:rsidRPr="002E6963" w14:paraId="1F157C77" w14:textId="77777777" w:rsidTr="00107E85">
        <w:trPr>
          <w:cantSplit/>
        </w:trPr>
        <w:tc>
          <w:tcPr>
            <w:tcW w:w="9888" w:type="dxa"/>
            <w:gridSpan w:val="2"/>
          </w:tcPr>
          <w:p w14:paraId="7AC2D294" w14:textId="77777777" w:rsidR="000C529C" w:rsidRPr="000C529C" w:rsidRDefault="000C529C" w:rsidP="000C529C">
            <w:pPr>
              <w:jc w:val="center"/>
              <w:rPr>
                <w:rFonts w:cstheme="minorHAnsi"/>
                <w:caps/>
                <w:sz w:val="28"/>
                <w:szCs w:val="28"/>
                <w:lang w:val="en-AU"/>
              </w:rPr>
            </w:pPr>
          </w:p>
        </w:tc>
      </w:tr>
      <w:tr w:rsidR="00D05D2A" w:rsidRPr="002E6963" w14:paraId="6ACE99AB" w14:textId="77777777" w:rsidTr="00F06209">
        <w:trPr>
          <w:cantSplit/>
        </w:trPr>
        <w:tc>
          <w:tcPr>
            <w:tcW w:w="9888" w:type="dxa"/>
            <w:gridSpan w:val="2"/>
            <w:tcBorders>
              <w:top w:val="single" w:sz="4" w:space="0" w:color="auto"/>
              <w:left w:val="single" w:sz="4" w:space="0" w:color="auto"/>
              <w:bottom w:val="single" w:sz="4" w:space="0" w:color="auto"/>
              <w:right w:val="single" w:sz="4" w:space="0" w:color="auto"/>
            </w:tcBorders>
          </w:tcPr>
          <w:p w14:paraId="075D8F44" w14:textId="77777777" w:rsidR="00D05D2A" w:rsidRPr="006549AE" w:rsidRDefault="00D05D2A" w:rsidP="00796BE7">
            <w:pPr>
              <w:keepNext/>
              <w:spacing w:after="120"/>
              <w:rPr>
                <w:rFonts w:cstheme="minorHAnsi"/>
                <w:b/>
                <w:bCs/>
                <w:szCs w:val="24"/>
              </w:rPr>
            </w:pPr>
            <w:r w:rsidRPr="006549AE">
              <w:rPr>
                <w:rFonts w:cstheme="minorHAnsi"/>
                <w:b/>
                <w:bCs/>
                <w:szCs w:val="24"/>
              </w:rPr>
              <w:t xml:space="preserve">Summary: </w:t>
            </w:r>
          </w:p>
          <w:p w14:paraId="57B8F133" w14:textId="5AAF2E2B" w:rsidR="00844BE2" w:rsidRPr="006549AE" w:rsidRDefault="006549AE" w:rsidP="00796BE7">
            <w:pPr>
              <w:spacing w:after="120"/>
              <w:rPr>
                <w:rFonts w:eastAsia="Calibri" w:cstheme="minorHAnsi"/>
                <w:lang w:val="en-AU"/>
              </w:rPr>
            </w:pPr>
            <w:r w:rsidRPr="006549AE">
              <w:rPr>
                <w:rFonts w:cstheme="minorHAnsi"/>
                <w:lang w:val="en-AU"/>
              </w:rPr>
              <w:t xml:space="preserve">According to </w:t>
            </w:r>
            <w:hyperlink r:id="rId9">
              <w:r w:rsidRPr="006549AE">
                <w:rPr>
                  <w:rStyle w:val="Hyperlink"/>
                  <w:rFonts w:cstheme="minorHAnsi"/>
                  <w:color w:val="3789BD"/>
                  <w:lang w:val="en-AU"/>
                </w:rPr>
                <w:t>Resolution 179</w:t>
              </w:r>
            </w:hyperlink>
            <w:r w:rsidRPr="006549AE">
              <w:rPr>
                <w:rFonts w:cstheme="minorHAnsi"/>
                <w:lang w:val="en-AU"/>
              </w:rPr>
              <w:t xml:space="preserve"> (Rev. </w:t>
            </w:r>
            <w:r w:rsidRPr="006549AE">
              <w:rPr>
                <w:rFonts w:eastAsia="Calibri" w:cstheme="minorHAnsi"/>
                <w:lang w:val="en-AU"/>
              </w:rPr>
              <w:t>Dubai 2018 ) on "ITU's role in child online protection", and Resolution 67 (Buenos Aires 2017) on "The role of the ITU Telecommunication Development Sector in child online protection", a variety of activities have been undertaken through</w:t>
            </w:r>
            <w:r w:rsidR="00C25808">
              <w:rPr>
                <w:rFonts w:eastAsia="Calibri" w:cstheme="minorHAnsi"/>
                <w:lang w:val="en-AU"/>
              </w:rPr>
              <w:t xml:space="preserve"> </w:t>
            </w:r>
            <w:r w:rsidRPr="006549AE">
              <w:rPr>
                <w:rFonts w:eastAsia="Calibri" w:cstheme="minorHAnsi"/>
                <w:lang w:val="en-AU"/>
              </w:rPr>
              <w:t>various Global Cybersecurity Pillars. These include the development of tools and resources such as e.g.</w:t>
            </w:r>
            <w:r w:rsidR="00C25808">
              <w:rPr>
                <w:rFonts w:eastAsia="Calibri" w:cstheme="minorHAnsi"/>
                <w:lang w:val="en-AU"/>
              </w:rPr>
              <w:t xml:space="preserve"> </w:t>
            </w:r>
            <w:r w:rsidRPr="006549AE">
              <w:rPr>
                <w:rFonts w:eastAsia="Calibri" w:cstheme="minorHAnsi"/>
                <w:lang w:val="en-AU"/>
              </w:rPr>
              <w:t xml:space="preserve">Guidelines for Children, Parents &amp; Educators, Industry and Policy Makers. </w:t>
            </w:r>
          </w:p>
          <w:p w14:paraId="603A3371" w14:textId="5FF2F53B" w:rsidR="00844BE2" w:rsidRDefault="006549AE" w:rsidP="00796BE7">
            <w:pPr>
              <w:spacing w:after="120"/>
              <w:rPr>
                <w:rFonts w:eastAsia="Calibri" w:cstheme="minorHAnsi"/>
                <w:lang w:val="en-AU"/>
              </w:rPr>
            </w:pPr>
            <w:r w:rsidRPr="006549AE">
              <w:rPr>
                <w:rFonts w:eastAsia="Calibri" w:cstheme="minorHAnsi"/>
                <w:lang w:val="en-AU"/>
              </w:rPr>
              <w:t xml:space="preserve">A multi-stakeholder expert working group consisting of more than 50 organisations and individual experts are have reviewed the </w:t>
            </w:r>
            <w:hyperlink r:id="rId10">
              <w:r w:rsidRPr="006549AE">
                <w:rPr>
                  <w:rStyle w:val="Hyperlink"/>
                  <w:rFonts w:eastAsia="Calibri" w:cstheme="minorHAnsi"/>
                  <w:lang w:val="en-AU"/>
                </w:rPr>
                <w:t>Child Online Protection Guidelines</w:t>
              </w:r>
            </w:hyperlink>
            <w:r w:rsidRPr="006549AE">
              <w:rPr>
                <w:rFonts w:eastAsia="Calibri" w:cstheme="minorHAnsi"/>
                <w:lang w:val="en-AU"/>
              </w:rPr>
              <w:t>,</w:t>
            </w:r>
            <w:r w:rsidR="00BB7A87">
              <w:rPr>
                <w:rFonts w:eastAsia="Calibri" w:cstheme="minorHAnsi"/>
                <w:lang w:val="en-AU"/>
              </w:rPr>
              <w:t xml:space="preserve"> first</w:t>
            </w:r>
            <w:r w:rsidRPr="006549AE">
              <w:rPr>
                <w:rFonts w:cstheme="minorHAnsi"/>
              </w:rPr>
              <w:t xml:space="preserve"> </w:t>
            </w:r>
            <w:r w:rsidRPr="006549AE">
              <w:rPr>
                <w:rFonts w:eastAsia="Calibri" w:cstheme="minorHAnsi"/>
                <w:lang w:val="en-AU"/>
              </w:rPr>
              <w:t>issued in 2009.</w:t>
            </w:r>
          </w:p>
          <w:p w14:paraId="2A7A4BEE" w14:textId="291459EB" w:rsidR="00844BE2" w:rsidRDefault="00844BE2" w:rsidP="00796BE7">
            <w:pPr>
              <w:pStyle w:val="BodyText"/>
              <w:spacing w:before="120" w:line="240" w:lineRule="auto"/>
              <w:jc w:val="left"/>
              <w:rPr>
                <w:rStyle w:val="Hyperlink"/>
                <w:rFonts w:asciiTheme="minorHAnsi" w:hAnsiTheme="minorHAnsi" w:cstheme="minorHAnsi"/>
                <w:lang w:val="en-AU"/>
              </w:rPr>
            </w:pPr>
            <w:r w:rsidRPr="006549AE">
              <w:rPr>
                <w:rFonts w:asciiTheme="minorHAnsi" w:hAnsiTheme="minorHAnsi" w:cstheme="minorHAnsi"/>
                <w:lang w:val="en-AU"/>
              </w:rPr>
              <w:t>The main revisions focus on the need to include a special emphasis on new and emerging technologies and the special situation of children with disabilities. The Guidelines will be launched on 24 June 2020. They will be available,</w:t>
            </w:r>
            <w:r w:rsidR="00C25808">
              <w:rPr>
                <w:rFonts w:asciiTheme="minorHAnsi" w:hAnsiTheme="minorHAnsi" w:cstheme="minorHAnsi"/>
                <w:lang w:val="en-AU"/>
              </w:rPr>
              <w:t xml:space="preserve"> </w:t>
            </w:r>
            <w:r w:rsidRPr="006549AE">
              <w:rPr>
                <w:rFonts w:asciiTheme="minorHAnsi" w:hAnsiTheme="minorHAnsi" w:cstheme="minorHAnsi"/>
                <w:lang w:val="en-AU"/>
              </w:rPr>
              <w:t>additional material and</w:t>
            </w:r>
            <w:r w:rsidRPr="006549AE">
              <w:rPr>
                <w:rFonts w:asciiTheme="minorHAnsi" w:hAnsiTheme="minorHAnsi" w:cstheme="minorHAnsi"/>
              </w:rPr>
              <w:t xml:space="preserve"> </w:t>
            </w:r>
            <w:r w:rsidRPr="006549AE">
              <w:rPr>
                <w:rFonts w:asciiTheme="minorHAnsi" w:hAnsiTheme="minorHAnsi" w:cstheme="minorHAnsi"/>
                <w:lang w:val="en-AU"/>
              </w:rPr>
              <w:t xml:space="preserve">resources, on the new COP Guidelines </w:t>
            </w:r>
            <w:hyperlink r:id="rId11" w:history="1">
              <w:r w:rsidRPr="006549AE">
                <w:rPr>
                  <w:rStyle w:val="Hyperlink"/>
                  <w:rFonts w:asciiTheme="minorHAnsi" w:hAnsiTheme="minorHAnsi" w:cstheme="minorHAnsi"/>
                  <w:lang w:val="en-AU"/>
                </w:rPr>
                <w:t>website</w:t>
              </w:r>
            </w:hyperlink>
            <w:r w:rsidRPr="006549AE">
              <w:rPr>
                <w:rStyle w:val="Hyperlink"/>
                <w:rFonts w:asciiTheme="minorHAnsi" w:hAnsiTheme="minorHAnsi" w:cstheme="minorHAnsi"/>
                <w:lang w:val="en-AU"/>
              </w:rPr>
              <w:t>.</w:t>
            </w:r>
          </w:p>
          <w:p w14:paraId="784587C0" w14:textId="77777777" w:rsidR="00941A0D" w:rsidRPr="006549AE" w:rsidRDefault="00941A0D" w:rsidP="00796BE7">
            <w:pPr>
              <w:keepNext/>
              <w:spacing w:after="120"/>
              <w:rPr>
                <w:rFonts w:cstheme="minorHAnsi"/>
                <w:b/>
                <w:bCs/>
              </w:rPr>
            </w:pPr>
            <w:r w:rsidRPr="006549AE">
              <w:rPr>
                <w:rFonts w:cstheme="minorHAnsi"/>
                <w:b/>
                <w:bCs/>
              </w:rPr>
              <w:t xml:space="preserve">Action required: </w:t>
            </w:r>
          </w:p>
          <w:p w14:paraId="1E75BB4D" w14:textId="77777777" w:rsidR="00941A0D" w:rsidRPr="00941A0D" w:rsidRDefault="00941A0D" w:rsidP="00796BE7">
            <w:pPr>
              <w:spacing w:after="120"/>
              <w:rPr>
                <w:rFonts w:cstheme="minorHAnsi"/>
                <w:szCs w:val="24"/>
              </w:rPr>
            </w:pPr>
            <w:r w:rsidRPr="00941A0D">
              <w:rPr>
                <w:rFonts w:cstheme="minorHAnsi"/>
                <w:szCs w:val="24"/>
                <w:lang w:eastAsia="pl-PL"/>
              </w:rPr>
              <w:t>TDAG is invited to note this document and provide guidance as deemed appropriate.</w:t>
            </w:r>
          </w:p>
          <w:p w14:paraId="259F37D7" w14:textId="055E18C3" w:rsidR="00941A0D" w:rsidRPr="00941A0D" w:rsidRDefault="00941A0D" w:rsidP="00796BE7">
            <w:pPr>
              <w:keepNext/>
              <w:spacing w:after="120"/>
              <w:rPr>
                <w:rFonts w:cstheme="minorHAnsi"/>
                <w:b/>
                <w:bCs/>
              </w:rPr>
            </w:pPr>
            <w:r w:rsidRPr="00941A0D">
              <w:rPr>
                <w:rFonts w:cstheme="minorHAnsi"/>
                <w:b/>
                <w:bCs/>
              </w:rPr>
              <w:t xml:space="preserve">References: </w:t>
            </w:r>
          </w:p>
          <w:p w14:paraId="6AA22E14" w14:textId="7D0745EE" w:rsidR="005D41F7" w:rsidRPr="00941A0D" w:rsidRDefault="00BB7A87" w:rsidP="00796BE7">
            <w:pPr>
              <w:pStyle w:val="BodyText"/>
              <w:spacing w:before="120" w:line="240" w:lineRule="auto"/>
              <w:jc w:val="left"/>
              <w:rPr>
                <w:rFonts w:cstheme="minorHAnsi"/>
              </w:rPr>
            </w:pPr>
            <w:r>
              <w:rPr>
                <w:rFonts w:asciiTheme="minorHAnsi" w:hAnsiTheme="minorHAnsi" w:cstheme="minorHAnsi"/>
                <w:lang w:val="en-AU"/>
              </w:rPr>
              <w:t xml:space="preserve">PP-18 </w:t>
            </w:r>
            <w:r w:rsidR="00941A0D" w:rsidRPr="00941A0D">
              <w:rPr>
                <w:rFonts w:asciiTheme="minorHAnsi" w:hAnsiTheme="minorHAnsi" w:cstheme="minorHAnsi"/>
                <w:lang w:val="en-AU"/>
              </w:rPr>
              <w:t xml:space="preserve">Resolution, 179 (Rev. </w:t>
            </w:r>
            <w:r w:rsidR="00941A0D" w:rsidRPr="00941A0D">
              <w:rPr>
                <w:rFonts w:asciiTheme="minorHAnsi" w:eastAsia="Calibri" w:hAnsiTheme="minorHAnsi" w:cstheme="minorHAnsi"/>
                <w:lang w:val="en-AU"/>
              </w:rPr>
              <w:t xml:space="preserve">Dubai 2018) and </w:t>
            </w:r>
            <w:r>
              <w:rPr>
                <w:rFonts w:asciiTheme="minorHAnsi" w:eastAsia="Calibri" w:hAnsiTheme="minorHAnsi" w:cstheme="minorHAnsi"/>
                <w:lang w:val="en-AU"/>
              </w:rPr>
              <w:t xml:space="preserve">WTDC-17 </w:t>
            </w:r>
            <w:r w:rsidR="00941A0D" w:rsidRPr="00941A0D">
              <w:rPr>
                <w:rFonts w:asciiTheme="minorHAnsi" w:eastAsia="Calibri" w:hAnsiTheme="minorHAnsi" w:cstheme="minorHAnsi"/>
                <w:lang w:val="en-AU"/>
              </w:rPr>
              <w:t>Resolution 67 (Buenos Aires 2017)</w:t>
            </w:r>
          </w:p>
        </w:tc>
      </w:tr>
    </w:tbl>
    <w:p w14:paraId="0C632D7F" w14:textId="77777777" w:rsidR="000C529C" w:rsidRDefault="000C529C" w:rsidP="000C529C">
      <w:pPr>
        <w:jc w:val="both"/>
        <w:rPr>
          <w:rFonts w:cstheme="minorHAnsi"/>
          <w:lang w:val="en-AU"/>
        </w:rPr>
      </w:pPr>
    </w:p>
    <w:p w14:paraId="30C0F9FE" w14:textId="77777777" w:rsidR="000C529C" w:rsidRDefault="000C529C">
      <w:pPr>
        <w:tabs>
          <w:tab w:val="clear" w:pos="794"/>
          <w:tab w:val="clear" w:pos="1191"/>
          <w:tab w:val="clear" w:pos="1588"/>
          <w:tab w:val="clear" w:pos="1985"/>
        </w:tabs>
        <w:overflowPunct/>
        <w:autoSpaceDE/>
        <w:autoSpaceDN/>
        <w:adjustRightInd/>
        <w:spacing w:before="0"/>
        <w:textAlignment w:val="auto"/>
        <w:rPr>
          <w:rFonts w:cstheme="minorHAnsi"/>
          <w:lang w:val="en-AU"/>
        </w:rPr>
      </w:pPr>
      <w:r>
        <w:rPr>
          <w:rFonts w:cstheme="minorHAnsi"/>
          <w:lang w:val="en-AU"/>
        </w:rPr>
        <w:br w:type="page"/>
      </w:r>
    </w:p>
    <w:p w14:paraId="4B8F7264" w14:textId="5B8248A0" w:rsidR="000C529C" w:rsidRPr="006549AE" w:rsidRDefault="000C529C" w:rsidP="00184F54">
      <w:pPr>
        <w:spacing w:after="120"/>
        <w:rPr>
          <w:rFonts w:eastAsia="Calibri" w:cstheme="minorHAnsi"/>
          <w:lang w:val="en-AU"/>
        </w:rPr>
      </w:pPr>
      <w:r w:rsidRPr="006549AE">
        <w:rPr>
          <w:rFonts w:cstheme="minorHAnsi"/>
          <w:lang w:val="en-AU"/>
        </w:rPr>
        <w:lastRenderedPageBreak/>
        <w:t xml:space="preserve">According to </w:t>
      </w:r>
      <w:hyperlink r:id="rId12">
        <w:r w:rsidRPr="006549AE">
          <w:rPr>
            <w:rStyle w:val="Hyperlink"/>
            <w:rFonts w:cstheme="minorHAnsi"/>
            <w:color w:val="3789BD"/>
            <w:lang w:val="en-AU"/>
          </w:rPr>
          <w:t>Resolution 179</w:t>
        </w:r>
      </w:hyperlink>
      <w:r w:rsidRPr="006549AE">
        <w:rPr>
          <w:rFonts w:cstheme="minorHAnsi"/>
          <w:lang w:val="en-AU"/>
        </w:rPr>
        <w:t xml:space="preserve"> (Rev. </w:t>
      </w:r>
      <w:r w:rsidRPr="006549AE">
        <w:rPr>
          <w:rFonts w:eastAsia="Calibri" w:cstheme="minorHAnsi"/>
          <w:lang w:val="en-AU"/>
        </w:rPr>
        <w:t>Dubai 2018 ) on "ITU's role in child online protection", and Resolution 67 (Buenos Aires 2017) on "The role of the ITU Telecommunication Development Sector in child online protection", a variety of activities have been undertaken through</w:t>
      </w:r>
      <w:r w:rsidR="00C25808">
        <w:rPr>
          <w:rFonts w:eastAsia="Calibri" w:cstheme="minorHAnsi"/>
          <w:lang w:val="en-AU"/>
        </w:rPr>
        <w:t xml:space="preserve"> </w:t>
      </w:r>
      <w:r w:rsidRPr="006549AE">
        <w:rPr>
          <w:rFonts w:eastAsia="Calibri" w:cstheme="minorHAnsi"/>
          <w:lang w:val="en-AU"/>
        </w:rPr>
        <w:t>various Global Cybersecurity Pillars. These include the development of tools and resources such as e.g.</w:t>
      </w:r>
      <w:r w:rsidR="00C25808">
        <w:rPr>
          <w:rFonts w:eastAsia="Calibri" w:cstheme="minorHAnsi"/>
          <w:lang w:val="en-AU"/>
        </w:rPr>
        <w:t xml:space="preserve"> </w:t>
      </w:r>
      <w:r w:rsidRPr="006549AE">
        <w:rPr>
          <w:rFonts w:eastAsia="Calibri" w:cstheme="minorHAnsi"/>
          <w:lang w:val="en-AU"/>
        </w:rPr>
        <w:t xml:space="preserve">Guidelines for Children, Parents &amp; Educators, Industry and Policy Makers. </w:t>
      </w:r>
    </w:p>
    <w:p w14:paraId="592448B5" w14:textId="77777777" w:rsidR="000C529C" w:rsidRDefault="000C529C" w:rsidP="00184F54">
      <w:pPr>
        <w:spacing w:after="120"/>
        <w:rPr>
          <w:rFonts w:eastAsia="Calibri" w:cstheme="minorHAnsi"/>
          <w:lang w:val="en-AU"/>
        </w:rPr>
      </w:pPr>
      <w:r w:rsidRPr="006549AE">
        <w:rPr>
          <w:rFonts w:eastAsia="Calibri" w:cstheme="minorHAnsi"/>
          <w:lang w:val="en-AU"/>
        </w:rPr>
        <w:t xml:space="preserve">A multi-stakeholder expert working group consisting of more than 50 organisations and individual experts are have reviewed the </w:t>
      </w:r>
      <w:hyperlink r:id="rId13">
        <w:r w:rsidRPr="006549AE">
          <w:rPr>
            <w:rStyle w:val="Hyperlink"/>
            <w:rFonts w:eastAsia="Calibri" w:cstheme="minorHAnsi"/>
            <w:lang w:val="en-AU"/>
          </w:rPr>
          <w:t>Child Online Protection Guidelines</w:t>
        </w:r>
      </w:hyperlink>
      <w:r w:rsidRPr="006549AE">
        <w:rPr>
          <w:rFonts w:eastAsia="Calibri" w:cstheme="minorHAnsi"/>
          <w:lang w:val="en-AU"/>
        </w:rPr>
        <w:t>,</w:t>
      </w:r>
      <w:r>
        <w:rPr>
          <w:rFonts w:eastAsia="Calibri" w:cstheme="minorHAnsi"/>
          <w:lang w:val="en-AU"/>
        </w:rPr>
        <w:t xml:space="preserve"> first</w:t>
      </w:r>
      <w:r w:rsidRPr="006549AE">
        <w:rPr>
          <w:rFonts w:cstheme="minorHAnsi"/>
        </w:rPr>
        <w:t xml:space="preserve"> </w:t>
      </w:r>
      <w:r w:rsidRPr="006549AE">
        <w:rPr>
          <w:rFonts w:eastAsia="Calibri" w:cstheme="minorHAnsi"/>
          <w:lang w:val="en-AU"/>
        </w:rPr>
        <w:t>issued in 2009.</w:t>
      </w:r>
    </w:p>
    <w:p w14:paraId="691AD52B" w14:textId="32819FEF" w:rsidR="000C529C" w:rsidRDefault="000C529C" w:rsidP="00184F54">
      <w:pPr>
        <w:pStyle w:val="BodyText"/>
        <w:spacing w:before="120" w:line="240" w:lineRule="auto"/>
        <w:jc w:val="left"/>
        <w:rPr>
          <w:rStyle w:val="Hyperlink"/>
          <w:rFonts w:asciiTheme="minorHAnsi" w:hAnsiTheme="minorHAnsi" w:cstheme="minorHAnsi"/>
          <w:lang w:val="en-AU"/>
        </w:rPr>
      </w:pPr>
      <w:r w:rsidRPr="006549AE">
        <w:rPr>
          <w:rFonts w:asciiTheme="minorHAnsi" w:hAnsiTheme="minorHAnsi" w:cstheme="minorHAnsi"/>
          <w:lang w:val="en-AU"/>
        </w:rPr>
        <w:t>The main revisions focus on the need to include a special emphasis on new and emerging technologies and the special situation of children with disabilities. The Guidelines will be launched on 24 June 2020. They will be available,</w:t>
      </w:r>
      <w:r w:rsidR="00C25808">
        <w:rPr>
          <w:rFonts w:asciiTheme="minorHAnsi" w:hAnsiTheme="minorHAnsi" w:cstheme="minorHAnsi"/>
          <w:lang w:val="en-AU"/>
        </w:rPr>
        <w:t xml:space="preserve"> </w:t>
      </w:r>
      <w:r w:rsidRPr="006549AE">
        <w:rPr>
          <w:rFonts w:asciiTheme="minorHAnsi" w:hAnsiTheme="minorHAnsi" w:cstheme="minorHAnsi"/>
          <w:lang w:val="en-AU"/>
        </w:rPr>
        <w:t>additional material and</w:t>
      </w:r>
      <w:r w:rsidRPr="006549AE">
        <w:rPr>
          <w:rFonts w:asciiTheme="minorHAnsi" w:hAnsiTheme="minorHAnsi" w:cstheme="minorHAnsi"/>
        </w:rPr>
        <w:t xml:space="preserve"> </w:t>
      </w:r>
      <w:r w:rsidRPr="006549AE">
        <w:rPr>
          <w:rFonts w:asciiTheme="minorHAnsi" w:hAnsiTheme="minorHAnsi" w:cstheme="minorHAnsi"/>
          <w:lang w:val="en-AU"/>
        </w:rPr>
        <w:t xml:space="preserve">resources, on the new COP Guidelines </w:t>
      </w:r>
      <w:hyperlink r:id="rId14" w:history="1">
        <w:r w:rsidRPr="006549AE">
          <w:rPr>
            <w:rStyle w:val="Hyperlink"/>
            <w:rFonts w:asciiTheme="minorHAnsi" w:hAnsiTheme="minorHAnsi" w:cstheme="minorHAnsi"/>
            <w:lang w:val="en-AU"/>
          </w:rPr>
          <w:t>website</w:t>
        </w:r>
      </w:hyperlink>
      <w:r w:rsidRPr="006549AE">
        <w:rPr>
          <w:rStyle w:val="Hyperlink"/>
          <w:rFonts w:asciiTheme="minorHAnsi" w:hAnsiTheme="minorHAnsi" w:cstheme="minorHAnsi"/>
          <w:lang w:val="en-AU"/>
        </w:rPr>
        <w:t>.</w:t>
      </w:r>
    </w:p>
    <w:p w14:paraId="4570CB8E" w14:textId="77777777" w:rsidR="000C529C" w:rsidRPr="006549AE" w:rsidRDefault="000C529C" w:rsidP="00184F54">
      <w:pPr>
        <w:pStyle w:val="BodyText"/>
        <w:spacing w:before="120" w:line="240" w:lineRule="auto"/>
        <w:jc w:val="left"/>
        <w:rPr>
          <w:rFonts w:asciiTheme="minorHAnsi" w:eastAsiaTheme="majorEastAsia" w:hAnsiTheme="minorHAnsi" w:cstheme="minorHAnsi"/>
          <w:lang w:val="en-AU"/>
        </w:rPr>
      </w:pPr>
      <w:r w:rsidRPr="006549AE">
        <w:rPr>
          <w:rFonts w:asciiTheme="minorHAnsi" w:hAnsiTheme="minorHAnsi" w:cstheme="minorHAnsi"/>
          <w:b/>
          <w:bCs/>
          <w:lang w:val="en-AU"/>
        </w:rPr>
        <w:t>The 2020 Guidelines</w:t>
      </w:r>
    </w:p>
    <w:p w14:paraId="133DE6DF" w14:textId="77777777" w:rsidR="000C529C" w:rsidRPr="006549AE" w:rsidRDefault="000C529C" w:rsidP="00184F54">
      <w:pPr>
        <w:pStyle w:val="BodyText"/>
        <w:spacing w:before="120" w:line="240" w:lineRule="auto"/>
        <w:jc w:val="left"/>
        <w:rPr>
          <w:rFonts w:asciiTheme="minorHAnsi" w:eastAsia="Calibri" w:hAnsiTheme="minorHAnsi" w:cstheme="minorHAnsi"/>
          <w:lang w:val="en-AU"/>
        </w:rPr>
      </w:pPr>
      <w:r w:rsidRPr="006549AE">
        <w:rPr>
          <w:rFonts w:asciiTheme="minorHAnsi" w:eastAsia="Calibri" w:hAnsiTheme="minorHAnsi" w:cstheme="minorHAnsi"/>
          <w:lang w:val="en-AU"/>
        </w:rPr>
        <w:t>The 2020 Guidelines on Child Online Protection (COP) are a comprehensive new set of</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recommendations for all relevant stakeholders on how to contribute to the development of a safe and empowering online environment for children and young people and live responsibly in the online world They enhance understanding of Child Online Protection and provide resources and practical tools</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to support children and their families in the</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 xml:space="preserve">development of digital skills and digital literacy while staying safe online. The guidelines simultaneously support industry and government stakeholders in the development of corporate and national Child Online Protection policies and strategies. </w:t>
      </w:r>
    </w:p>
    <w:p w14:paraId="48CEBC26" w14:textId="77777777" w:rsidR="000C529C" w:rsidRPr="006549AE" w:rsidRDefault="000C529C" w:rsidP="00184F54">
      <w:pPr>
        <w:pStyle w:val="BodyText"/>
        <w:spacing w:before="120" w:line="240" w:lineRule="auto"/>
        <w:jc w:val="left"/>
        <w:rPr>
          <w:rFonts w:asciiTheme="minorHAnsi" w:eastAsia="Calibri" w:hAnsiTheme="minorHAnsi" w:cstheme="minorHAnsi"/>
          <w:lang w:val="en-AU"/>
        </w:rPr>
      </w:pPr>
      <w:r w:rsidRPr="006549AE">
        <w:rPr>
          <w:rFonts w:asciiTheme="minorHAnsi" w:eastAsia="Calibri" w:hAnsiTheme="minorHAnsi" w:cstheme="minorHAnsi"/>
          <w:lang w:val="en-AU"/>
        </w:rPr>
        <w:t>Targeting</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children, parents and educators, industry and policymakers the COP Guidelines are meant to</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act as a blueprint, which can be adapted and used in a consistent way in line with national or local customs and laws.</w:t>
      </w:r>
    </w:p>
    <w:p w14:paraId="3E14CE0E" w14:textId="2E78789B" w:rsidR="000C529C" w:rsidRPr="006549AE" w:rsidRDefault="000C529C" w:rsidP="00184F54">
      <w:pPr>
        <w:pStyle w:val="BodyText"/>
        <w:spacing w:before="120" w:line="240" w:lineRule="auto"/>
        <w:jc w:val="left"/>
        <w:rPr>
          <w:rFonts w:asciiTheme="minorHAnsi" w:eastAsia="Calibri" w:hAnsiTheme="minorHAnsi" w:cstheme="minorHAnsi"/>
          <w:lang w:val="en-AU"/>
        </w:rPr>
      </w:pPr>
      <w:r w:rsidRPr="006549AE">
        <w:rPr>
          <w:rFonts w:asciiTheme="minorHAnsi" w:eastAsia="Calibri" w:hAnsiTheme="minorHAnsi" w:cstheme="minorHAnsi"/>
          <w:lang w:val="en-AU"/>
        </w:rPr>
        <w:t>Defining</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key risks</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and harms for children online, including privacy issues, c</w:t>
      </w:r>
      <w:bookmarkStart w:id="5" w:name="_GoBack"/>
      <w:bookmarkEnd w:id="5"/>
      <w:r w:rsidRPr="006549AE">
        <w:rPr>
          <w:rFonts w:asciiTheme="minorHAnsi" w:eastAsia="Calibri" w:hAnsiTheme="minorHAnsi" w:cstheme="minorHAnsi"/>
          <w:lang w:val="en-AU"/>
        </w:rPr>
        <w:t>yberbullying, grooming and sexual exploitation and abuse (CSEA), the new Guidelines further dedicate</w:t>
      </w:r>
      <w:r w:rsidR="00C25808">
        <w:rPr>
          <w:rFonts w:asciiTheme="minorHAnsi" w:eastAsia="Calibri" w:hAnsiTheme="minorHAnsi" w:cstheme="minorHAnsi"/>
          <w:lang w:val="en-AU"/>
        </w:rPr>
        <w:t xml:space="preserve"> </w:t>
      </w:r>
      <w:r w:rsidRPr="006549AE">
        <w:rPr>
          <w:rFonts w:asciiTheme="minorHAnsi" w:eastAsia="Calibri" w:hAnsiTheme="minorHAnsi" w:cstheme="minorHAnsi"/>
          <w:lang w:val="en-AU"/>
        </w:rPr>
        <w:t>attention to the impact o</w:t>
      </w:r>
      <w:r>
        <w:rPr>
          <w:rFonts w:asciiTheme="minorHAnsi" w:eastAsia="Calibri" w:hAnsiTheme="minorHAnsi" w:cstheme="minorHAnsi"/>
          <w:lang w:val="en-AU"/>
        </w:rPr>
        <w:t xml:space="preserve">f </w:t>
      </w:r>
      <w:r w:rsidRPr="006549AE">
        <w:rPr>
          <w:rFonts w:asciiTheme="minorHAnsi" w:eastAsia="Calibri" w:hAnsiTheme="minorHAnsi" w:cstheme="minorHAnsi"/>
          <w:lang w:val="en-AU"/>
        </w:rPr>
        <w:t>new and emerging technologies</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on children, while addressing</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the challenges faced by</w:t>
      </w:r>
      <w:r>
        <w:rPr>
          <w:rFonts w:asciiTheme="minorHAnsi" w:eastAsia="Calibri" w:hAnsiTheme="minorHAnsi" w:cstheme="minorHAnsi"/>
          <w:lang w:val="en-AU"/>
        </w:rPr>
        <w:t xml:space="preserve"> </w:t>
      </w:r>
      <w:r w:rsidRPr="006549AE">
        <w:rPr>
          <w:rFonts w:asciiTheme="minorHAnsi" w:eastAsia="Calibri" w:hAnsiTheme="minorHAnsi" w:cstheme="minorHAnsi"/>
          <w:lang w:val="en-AU"/>
        </w:rPr>
        <w:t>children with disabilities, for whom the online world offers a particularly crucial lifeline to full – and fulfilling – social participation.</w:t>
      </w:r>
    </w:p>
    <w:p w14:paraId="3F31B72B" w14:textId="77777777" w:rsidR="000C529C" w:rsidRPr="006549AE" w:rsidRDefault="000C529C" w:rsidP="000C529C">
      <w:pPr>
        <w:pStyle w:val="BodyText"/>
        <w:spacing w:before="120" w:line="240" w:lineRule="auto"/>
        <w:jc w:val="left"/>
        <w:rPr>
          <w:rFonts w:asciiTheme="minorHAnsi" w:hAnsiTheme="minorHAnsi" w:cstheme="minorHAnsi"/>
          <w:b/>
          <w:bCs/>
          <w:lang w:val="en-AU"/>
        </w:rPr>
      </w:pPr>
      <w:r w:rsidRPr="006549AE">
        <w:rPr>
          <w:rFonts w:asciiTheme="minorHAnsi" w:hAnsiTheme="minorHAnsi" w:cstheme="minorHAnsi"/>
          <w:b/>
          <w:bCs/>
          <w:lang w:val="en-AU"/>
        </w:rPr>
        <w:t>Summary of the different set of COP Guidelines:</w:t>
      </w:r>
    </w:p>
    <w:p w14:paraId="714CBC6B" w14:textId="4C5696E0" w:rsidR="000C529C" w:rsidRPr="000C529C" w:rsidRDefault="000C529C" w:rsidP="000C529C">
      <w:pPr>
        <w:pStyle w:val="ListParagraph"/>
        <w:numPr>
          <w:ilvl w:val="0"/>
          <w:numId w:val="6"/>
        </w:numPr>
        <w:spacing w:after="120"/>
        <w:ind w:left="357" w:hanging="357"/>
        <w:contextualSpacing w:val="0"/>
        <w:rPr>
          <w:rFonts w:eastAsia="Calibri" w:cstheme="minorHAnsi"/>
          <w:lang w:val="en-AU"/>
        </w:rPr>
      </w:pPr>
      <w:r w:rsidRPr="000C529C">
        <w:rPr>
          <w:rFonts w:cstheme="minorHAnsi"/>
          <w:b/>
          <w:bCs/>
          <w:lang w:val="en-AU" w:eastAsia="en-GB"/>
        </w:rPr>
        <w:t>Children</w:t>
      </w:r>
      <w:r w:rsidRPr="000C529C">
        <w:rPr>
          <w:rFonts w:cstheme="minorHAnsi"/>
          <w:lang w:val="en-AU" w:eastAsia="en-GB"/>
        </w:rPr>
        <w:t xml:space="preserve">: </w:t>
      </w:r>
      <w:r w:rsidRPr="000C529C">
        <w:rPr>
          <w:rFonts w:eastAsia="Calibri" w:cstheme="minorHAnsi"/>
          <w:lang w:val="en-AU"/>
        </w:rPr>
        <w:t>the new guidelines have been developed in a child friendly format. Adapted to different age groups, the resources create an opportunity to learn about and strengthen young people's digital skills and knowledge, helping them learn ways to manage online risks, while at the same time empowering them to exercise their rights online and engage in opportunities that the internet presents to them. The new resources will depict Sango</w:t>
      </w:r>
      <w:r>
        <w:rPr>
          <w:rStyle w:val="FootnoteReference"/>
          <w:rFonts w:eastAsia="Calibri" w:cstheme="minorHAnsi"/>
          <w:lang w:val="en-AU"/>
        </w:rPr>
        <w:footnoteReference w:id="1"/>
      </w:r>
      <w:r w:rsidRPr="000C529C">
        <w:rPr>
          <w:rFonts w:eastAsia="Calibri" w:cstheme="minorHAnsi"/>
          <w:lang w:val="en-AU"/>
        </w:rPr>
        <w:t xml:space="preserve"> as the main character and will be developed in a child-friendly version. </w:t>
      </w:r>
    </w:p>
    <w:p w14:paraId="27E53FDF" w14:textId="669972D5" w:rsidR="000C529C" w:rsidRPr="000C529C" w:rsidRDefault="000C529C" w:rsidP="000C529C">
      <w:pPr>
        <w:pStyle w:val="ListParagraph"/>
        <w:numPr>
          <w:ilvl w:val="0"/>
          <w:numId w:val="6"/>
        </w:numPr>
        <w:spacing w:after="120"/>
        <w:ind w:left="357" w:hanging="357"/>
        <w:contextualSpacing w:val="0"/>
        <w:rPr>
          <w:rFonts w:eastAsia="Calibri" w:cstheme="minorHAnsi"/>
          <w:lang w:val="en-AU"/>
        </w:rPr>
      </w:pPr>
      <w:r w:rsidRPr="000C529C">
        <w:rPr>
          <w:rFonts w:cstheme="minorHAnsi"/>
          <w:b/>
          <w:bCs/>
          <w:lang w:val="en-AU" w:eastAsia="en-GB"/>
        </w:rPr>
        <w:t>Parents and Educators</w:t>
      </w:r>
      <w:r w:rsidRPr="000C529C">
        <w:rPr>
          <w:rFonts w:cstheme="minorHAnsi"/>
          <w:lang w:val="en-AU" w:eastAsia="en-GB"/>
        </w:rPr>
        <w:t xml:space="preserve">: </w:t>
      </w:r>
      <w:r w:rsidRPr="000C529C">
        <w:rPr>
          <w:rFonts w:eastAsia="Calibri" w:cstheme="minorHAnsi"/>
          <w:lang w:val="en-AU"/>
        </w:rPr>
        <w:t xml:space="preserve">the new guidelines aim to sensitize families to the potential risks and threats and help cultivate a healthy and empowering online environment at home and in the classroom. The Guidelines highlight key recommendations for parents and educators and </w:t>
      </w:r>
      <w:r w:rsidRPr="000C529C">
        <w:rPr>
          <w:rFonts w:eastAsia="Calibri" w:cstheme="minorHAnsi"/>
          <w:lang w:val="en-AU"/>
        </w:rPr>
        <w:lastRenderedPageBreak/>
        <w:t>emphasize the importance of open communication and ongoing dialogue with children, creating a safe space where young Internet users feel empowered to raise concerns.</w:t>
      </w:r>
    </w:p>
    <w:p w14:paraId="20D0102D" w14:textId="5E41EE7E" w:rsidR="000C529C" w:rsidRPr="000C529C" w:rsidRDefault="000C529C" w:rsidP="000C529C">
      <w:pPr>
        <w:pStyle w:val="ListParagraph"/>
        <w:numPr>
          <w:ilvl w:val="0"/>
          <w:numId w:val="6"/>
        </w:numPr>
        <w:spacing w:after="120"/>
        <w:ind w:left="357" w:hanging="357"/>
        <w:contextualSpacing w:val="0"/>
        <w:rPr>
          <w:rFonts w:eastAsia="Calibri" w:cstheme="minorHAnsi"/>
          <w:lang w:val="en-AU"/>
        </w:rPr>
      </w:pPr>
      <w:r w:rsidRPr="000C529C">
        <w:rPr>
          <w:rFonts w:cstheme="minorHAnsi"/>
          <w:b/>
          <w:bCs/>
          <w:lang w:val="en-AU" w:eastAsia="en-GB"/>
        </w:rPr>
        <w:t>Policymakers</w:t>
      </w:r>
      <w:r w:rsidRPr="000C529C">
        <w:rPr>
          <w:rFonts w:eastAsia="Calibri" w:cstheme="minorHAnsi"/>
          <w:lang w:val="en-AU"/>
        </w:rPr>
        <w:t>: the new guidelines propose a response to the global challenge of Child Online Protection, which requires a global approach based on harmonized and inclusive national strategies on Child Online Protection. The Guidelines propose concrete recommendations on developing a national strategy on COP, provide tools to identify key stakeholders to engage with and coordinate efforts as well as alignment with existing national frameworks and strategy plans.</w:t>
      </w:r>
    </w:p>
    <w:p w14:paraId="690950BB" w14:textId="45DE504A" w:rsidR="000C529C" w:rsidRPr="000C529C" w:rsidRDefault="000C529C" w:rsidP="000C529C">
      <w:pPr>
        <w:pStyle w:val="ListParagraph"/>
        <w:numPr>
          <w:ilvl w:val="0"/>
          <w:numId w:val="6"/>
        </w:numPr>
        <w:spacing w:after="120"/>
        <w:ind w:left="357" w:hanging="357"/>
        <w:contextualSpacing w:val="0"/>
        <w:rPr>
          <w:rFonts w:eastAsia="Calibri" w:cstheme="minorHAnsi"/>
          <w:lang w:val="en-AU"/>
        </w:rPr>
      </w:pPr>
      <w:r w:rsidRPr="000C529C">
        <w:rPr>
          <w:rFonts w:cstheme="minorHAnsi"/>
          <w:b/>
          <w:bCs/>
          <w:lang w:val="en-AU" w:eastAsia="en-GB"/>
        </w:rPr>
        <w:t>Industry</w:t>
      </w:r>
      <w:r w:rsidRPr="000C529C">
        <w:rPr>
          <w:rFonts w:eastAsia="Calibri" w:cstheme="minorHAnsi"/>
          <w:lang w:val="en-AU"/>
        </w:rPr>
        <w:t>: the new guidelines focus on protecting children in all areas and against all risks of the digital world and as such, highlight good practice of industry stakeholders that can be considered in the process of drafting, developing and managing businesses child online protection policies.</w:t>
      </w:r>
      <w:r w:rsidR="00C25808">
        <w:rPr>
          <w:rFonts w:eastAsia="Calibri" w:cstheme="minorHAnsi"/>
          <w:lang w:val="en-AU"/>
        </w:rPr>
        <w:t xml:space="preserve"> </w:t>
      </w:r>
      <w:r w:rsidRPr="000C529C">
        <w:rPr>
          <w:rFonts w:eastAsia="Calibri" w:cstheme="minorHAnsi"/>
          <w:lang w:val="en-AU"/>
        </w:rPr>
        <w:t xml:space="preserve">Having a major responsibility not only to help promote awareness of the online and safety agenda to the wider community and to provide a channel of participation and engagement for young people, but even by offering safe and secure online experiences throughout their services, industry plays a key role possessing the technological knowledge that policy makers need to address and understand in order to develop sustainable and effective COP strategies. </w:t>
      </w:r>
    </w:p>
    <w:p w14:paraId="256B1397" w14:textId="77777777" w:rsidR="000C529C" w:rsidRPr="006549AE" w:rsidRDefault="000C529C" w:rsidP="000C529C">
      <w:pPr>
        <w:spacing w:after="120"/>
        <w:rPr>
          <w:rFonts w:eastAsia="Calibri" w:cstheme="minorHAnsi"/>
          <w:lang w:val="en-AU"/>
        </w:rPr>
      </w:pPr>
      <w:r w:rsidRPr="006549AE">
        <w:rPr>
          <w:rFonts w:cstheme="minorHAnsi"/>
          <w:b/>
          <w:bCs/>
          <w:lang w:val="en-AU"/>
        </w:rPr>
        <w:t>Next Steps</w:t>
      </w:r>
    </w:p>
    <w:p w14:paraId="17DB52C9" w14:textId="77777777" w:rsidR="000C529C" w:rsidRPr="006549AE" w:rsidRDefault="000C529C" w:rsidP="000C529C">
      <w:pPr>
        <w:pStyle w:val="BodyText"/>
        <w:spacing w:before="120" w:line="240" w:lineRule="auto"/>
        <w:jc w:val="left"/>
        <w:rPr>
          <w:rFonts w:asciiTheme="minorHAnsi" w:eastAsia="Calibri" w:hAnsiTheme="minorHAnsi" w:cstheme="minorHAnsi"/>
          <w:lang w:val="en-AU"/>
        </w:rPr>
      </w:pPr>
      <w:r w:rsidRPr="006549AE">
        <w:rPr>
          <w:rFonts w:asciiTheme="minorHAnsi" w:eastAsia="Calibri" w:hAnsiTheme="minorHAnsi" w:cstheme="minorHAnsi"/>
          <w:lang w:val="en-AU"/>
        </w:rPr>
        <w:t>Due to the COVID-19 pandemic, the review of the COP Guidelines is timely and very much needed. Implementing the 2020 COP Guidelines by promoting child online protection measures and implementing policies that will establish a safe and empowering online environment for children, is more needed than ever to respond to the amplifying global challenge of child online safety. </w:t>
      </w:r>
    </w:p>
    <w:p w14:paraId="5403B512" w14:textId="77777777" w:rsidR="000C529C" w:rsidRPr="006549AE" w:rsidRDefault="000C529C" w:rsidP="000C529C">
      <w:pPr>
        <w:spacing w:after="120"/>
        <w:rPr>
          <w:rFonts w:eastAsia="Calibri" w:cstheme="minorHAnsi"/>
          <w:lang w:val="en-AU"/>
        </w:rPr>
      </w:pPr>
      <w:r w:rsidRPr="006549AE">
        <w:rPr>
          <w:rFonts w:eastAsia="Calibri" w:cstheme="minorHAnsi"/>
          <w:lang w:val="en-AU"/>
        </w:rPr>
        <w:t xml:space="preserve">For these reasons, ITU encourages its Membership to join and support the implementation of the COP Guidelines, by taking actionable and result based measures in order to accelerate the development and adoption of sound child online protection strategies at the national level, create a comprehensive action plans for governments, to improve online safety measures and tools for industry and to build capacity for digital learning with the aim to empower children and parents – locally and globally. </w:t>
      </w:r>
    </w:p>
    <w:p w14:paraId="58CD8A31" w14:textId="77777777" w:rsidR="009A422F" w:rsidRDefault="009A422F" w:rsidP="00A6331A">
      <w:pPr>
        <w:widowControl w:val="0"/>
        <w:tabs>
          <w:tab w:val="left" w:pos="567"/>
          <w:tab w:val="left" w:pos="1701"/>
        </w:tabs>
        <w:ind w:left="562" w:hanging="562"/>
        <w:jc w:val="center"/>
      </w:pPr>
      <w:r>
        <w:t>________________</w:t>
      </w:r>
    </w:p>
    <w:sectPr w:rsidR="009A422F"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E906" w14:textId="77777777" w:rsidR="00132436" w:rsidRDefault="00132436">
      <w:r>
        <w:separator/>
      </w:r>
    </w:p>
  </w:endnote>
  <w:endnote w:type="continuationSeparator" w:id="0">
    <w:p w14:paraId="425F35F6" w14:textId="77777777" w:rsidR="00132436" w:rsidRDefault="0013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5483C" w:rsidRPr="004D495C" w14:paraId="2FD40DDD" w14:textId="77777777" w:rsidTr="00F5483C">
      <w:tc>
        <w:tcPr>
          <w:tcW w:w="1526" w:type="dxa"/>
          <w:tcBorders>
            <w:top w:val="single" w:sz="4" w:space="0" w:color="000000"/>
          </w:tcBorders>
          <w:shd w:val="clear" w:color="auto" w:fill="auto"/>
        </w:tcPr>
        <w:p w14:paraId="6F7995A1" w14:textId="77777777" w:rsidR="00F5483C" w:rsidRPr="004D495C" w:rsidRDefault="00F5483C" w:rsidP="00F5483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66E3D92" w14:textId="77777777" w:rsidR="00F5483C" w:rsidRPr="004D495C" w:rsidRDefault="00F5483C" w:rsidP="00F5483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E3CDC15" w14:textId="77777777" w:rsidR="00F5483C" w:rsidRPr="00D8064E" w:rsidRDefault="00F5483C" w:rsidP="00F5483C">
          <w:pPr>
            <w:pStyle w:val="FirstFooter"/>
            <w:tabs>
              <w:tab w:val="left" w:pos="2302"/>
            </w:tabs>
            <w:rPr>
              <w:sz w:val="18"/>
              <w:szCs w:val="18"/>
              <w:lang w:val="en-US"/>
            </w:rPr>
          </w:pPr>
          <w:proofErr w:type="spellStart"/>
          <w:r w:rsidRPr="00D8064E">
            <w:rPr>
              <w:sz w:val="18"/>
              <w:szCs w:val="18"/>
              <w:lang w:val="en-US"/>
            </w:rPr>
            <w:t>Ms</w:t>
          </w:r>
          <w:proofErr w:type="spellEnd"/>
          <w:r w:rsidRPr="00D8064E">
            <w:rPr>
              <w:sz w:val="18"/>
              <w:szCs w:val="18"/>
              <w:lang w:val="en-US"/>
            </w:rPr>
            <w:t xml:space="preserve"> D</w:t>
          </w:r>
          <w:r w:rsidR="00FF301D" w:rsidRPr="00D8064E">
            <w:rPr>
              <w:sz w:val="18"/>
              <w:szCs w:val="18"/>
              <w:lang w:val="en-US"/>
            </w:rPr>
            <w:t>oreen Bogdan-</w:t>
          </w:r>
          <w:r w:rsidRPr="00D8064E">
            <w:rPr>
              <w:sz w:val="18"/>
              <w:szCs w:val="18"/>
              <w:lang w:val="en-US"/>
            </w:rPr>
            <w:t xml:space="preserve">Martin, Director, </w:t>
          </w:r>
          <w:r w:rsidRPr="00D8064E">
            <w:rPr>
              <w:sz w:val="18"/>
              <w:szCs w:val="18"/>
              <w:lang w:val="en-GB"/>
            </w:rPr>
            <w:t>Telecommunication Development Bureau</w:t>
          </w:r>
        </w:p>
      </w:tc>
      <w:bookmarkStart w:id="6" w:name="OrgName"/>
      <w:bookmarkEnd w:id="6"/>
    </w:tr>
    <w:tr w:rsidR="00F5483C" w:rsidRPr="004D495C" w14:paraId="44155A2F" w14:textId="77777777" w:rsidTr="00F5483C">
      <w:tc>
        <w:tcPr>
          <w:tcW w:w="1526" w:type="dxa"/>
          <w:shd w:val="clear" w:color="auto" w:fill="auto"/>
        </w:tcPr>
        <w:p w14:paraId="7524910D" w14:textId="77777777" w:rsidR="00F5483C" w:rsidRPr="004D495C" w:rsidRDefault="00F5483C" w:rsidP="00F5483C">
          <w:pPr>
            <w:pStyle w:val="FirstFooter"/>
            <w:tabs>
              <w:tab w:val="left" w:pos="1559"/>
              <w:tab w:val="left" w:pos="3828"/>
            </w:tabs>
            <w:rPr>
              <w:sz w:val="20"/>
              <w:lang w:val="en-US"/>
            </w:rPr>
          </w:pPr>
        </w:p>
      </w:tc>
      <w:tc>
        <w:tcPr>
          <w:tcW w:w="2410" w:type="dxa"/>
          <w:shd w:val="clear" w:color="auto" w:fill="auto"/>
        </w:tcPr>
        <w:p w14:paraId="16DDA1A7" w14:textId="77777777" w:rsidR="00F5483C" w:rsidRPr="004D495C" w:rsidRDefault="00F5483C" w:rsidP="00F5483C">
          <w:pPr>
            <w:pStyle w:val="FirstFooter"/>
            <w:tabs>
              <w:tab w:val="left" w:pos="2302"/>
            </w:tabs>
            <w:rPr>
              <w:sz w:val="18"/>
              <w:szCs w:val="18"/>
              <w:lang w:val="en-US"/>
            </w:rPr>
          </w:pPr>
          <w:r w:rsidRPr="004D495C">
            <w:rPr>
              <w:sz w:val="18"/>
              <w:szCs w:val="18"/>
              <w:lang w:val="en-US"/>
            </w:rPr>
            <w:t>Phone number:</w:t>
          </w:r>
        </w:p>
      </w:tc>
      <w:tc>
        <w:tcPr>
          <w:tcW w:w="5987" w:type="dxa"/>
        </w:tcPr>
        <w:p w14:paraId="4F8F35F2" w14:textId="77777777" w:rsidR="00F5483C" w:rsidRPr="00D8064E" w:rsidRDefault="00F5483C" w:rsidP="00F5483C">
          <w:pPr>
            <w:pStyle w:val="FirstFooter"/>
            <w:tabs>
              <w:tab w:val="left" w:pos="2302"/>
            </w:tabs>
            <w:rPr>
              <w:sz w:val="18"/>
              <w:szCs w:val="18"/>
              <w:lang w:val="en-US"/>
            </w:rPr>
          </w:pPr>
          <w:r w:rsidRPr="00D8064E">
            <w:rPr>
              <w:sz w:val="18"/>
              <w:szCs w:val="18"/>
              <w:lang w:val="en-US"/>
            </w:rPr>
            <w:t>+41 22 730 5533</w:t>
          </w:r>
        </w:p>
      </w:tc>
      <w:bookmarkStart w:id="7" w:name="PhoneNo"/>
      <w:bookmarkEnd w:id="7"/>
    </w:tr>
    <w:tr w:rsidR="00F5483C" w:rsidRPr="004D495C" w14:paraId="0B3316C3" w14:textId="77777777" w:rsidTr="001047F5">
      <w:trPr>
        <w:trHeight w:val="217"/>
      </w:trPr>
      <w:tc>
        <w:tcPr>
          <w:tcW w:w="1526" w:type="dxa"/>
          <w:shd w:val="clear" w:color="auto" w:fill="auto"/>
        </w:tcPr>
        <w:p w14:paraId="02318BAE" w14:textId="77777777" w:rsidR="00F5483C" w:rsidRPr="004D495C" w:rsidRDefault="00F5483C" w:rsidP="00F5483C">
          <w:pPr>
            <w:pStyle w:val="FirstFooter"/>
            <w:tabs>
              <w:tab w:val="left" w:pos="1559"/>
              <w:tab w:val="left" w:pos="3828"/>
            </w:tabs>
            <w:rPr>
              <w:sz w:val="20"/>
              <w:lang w:val="en-US"/>
            </w:rPr>
          </w:pPr>
        </w:p>
      </w:tc>
      <w:tc>
        <w:tcPr>
          <w:tcW w:w="2410" w:type="dxa"/>
          <w:shd w:val="clear" w:color="auto" w:fill="auto"/>
        </w:tcPr>
        <w:p w14:paraId="41C83414" w14:textId="77777777" w:rsidR="00F5483C" w:rsidRPr="004D495C" w:rsidRDefault="00F5483C" w:rsidP="00F5483C">
          <w:pPr>
            <w:pStyle w:val="FirstFooter"/>
            <w:tabs>
              <w:tab w:val="left" w:pos="2302"/>
            </w:tabs>
            <w:rPr>
              <w:sz w:val="18"/>
              <w:szCs w:val="18"/>
              <w:lang w:val="en-US"/>
            </w:rPr>
          </w:pPr>
          <w:r w:rsidRPr="004D495C">
            <w:rPr>
              <w:sz w:val="18"/>
              <w:szCs w:val="18"/>
              <w:lang w:val="en-US"/>
            </w:rPr>
            <w:t>E-mail:</w:t>
          </w:r>
        </w:p>
      </w:tc>
      <w:tc>
        <w:tcPr>
          <w:tcW w:w="5987" w:type="dxa"/>
        </w:tcPr>
        <w:p w14:paraId="3882C101" w14:textId="5C86CA5F" w:rsidR="00F5483C" w:rsidRPr="00D8064E" w:rsidRDefault="00184F54" w:rsidP="00F5483C">
          <w:pPr>
            <w:pStyle w:val="FirstFooter"/>
            <w:tabs>
              <w:tab w:val="left" w:pos="2302"/>
            </w:tabs>
            <w:rPr>
              <w:sz w:val="18"/>
              <w:szCs w:val="18"/>
              <w:lang w:val="en-US"/>
            </w:rPr>
          </w:pPr>
          <w:hyperlink r:id="rId1" w:history="1">
            <w:r w:rsidR="001047F5">
              <w:rPr>
                <w:rStyle w:val="Hyperlink"/>
                <w:sz w:val="18"/>
                <w:szCs w:val="18"/>
              </w:rPr>
              <w:t>bdtdir@itu.int</w:t>
            </w:r>
          </w:hyperlink>
        </w:p>
      </w:tc>
      <w:bookmarkStart w:id="8" w:name="Email"/>
      <w:bookmarkEnd w:id="8"/>
    </w:tr>
  </w:tbl>
  <w:p w14:paraId="41FCF0AF" w14:textId="77777777" w:rsidR="0059420B" w:rsidRDefault="0059420B" w:rsidP="00B80157">
    <w:pPr>
      <w:pStyle w:val="Footer"/>
      <w:jc w:val="center"/>
      <w:rPr>
        <w:lang w:val="en-GB"/>
      </w:rPr>
    </w:pPr>
  </w:p>
  <w:p w14:paraId="1FAA4C1B" w14:textId="77777777" w:rsidR="00721657" w:rsidRPr="0059420B" w:rsidRDefault="00184F54"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169F3" w14:textId="77777777" w:rsidR="00132436" w:rsidRDefault="00132436">
      <w:r>
        <w:t>____________________</w:t>
      </w:r>
    </w:p>
  </w:footnote>
  <w:footnote w:type="continuationSeparator" w:id="0">
    <w:p w14:paraId="4E42C144" w14:textId="77777777" w:rsidR="00132436" w:rsidRDefault="00132436">
      <w:r>
        <w:continuationSeparator/>
      </w:r>
    </w:p>
  </w:footnote>
  <w:footnote w:id="1">
    <w:p w14:paraId="2D465B64" w14:textId="53BE0216" w:rsidR="000C529C" w:rsidRPr="000C529C" w:rsidRDefault="000C529C" w:rsidP="000C529C">
      <w:pPr>
        <w:pStyle w:val="FootnoteText"/>
        <w:numPr>
          <w:ilvl w:val="0"/>
          <w:numId w:val="5"/>
        </w:numPr>
        <w:tabs>
          <w:tab w:val="clear" w:pos="794"/>
          <w:tab w:val="left" w:pos="142"/>
        </w:tabs>
        <w:spacing w:before="0"/>
        <w:ind w:left="0" w:firstLine="0"/>
        <w:rPr>
          <w:rFonts w:cstheme="minorHAnsi"/>
          <w:sz w:val="18"/>
          <w:szCs w:val="18"/>
          <w:lang w:val="en-US"/>
        </w:rPr>
      </w:pPr>
      <w:r w:rsidRPr="000C529C">
        <w:rPr>
          <w:rFonts w:cstheme="minorHAnsi"/>
          <w:sz w:val="18"/>
          <w:szCs w:val="18"/>
          <w:lang w:val="en-US"/>
        </w:rPr>
        <w:t xml:space="preserve"> Sango is the new Child Online Protection Mascot which was created by an energetic and motivated group of children on the occasion of the </w:t>
      </w:r>
      <w:hyperlink r:id="rId1" w:history="1">
        <w:proofErr w:type="spellStart"/>
        <w:r w:rsidRPr="000C529C">
          <w:rPr>
            <w:rStyle w:val="Hyperlink"/>
            <w:rFonts w:cstheme="minorHAnsi"/>
            <w:sz w:val="18"/>
            <w:szCs w:val="18"/>
            <w:lang w:val="en-US"/>
          </w:rPr>
          <w:t>Futurecasters</w:t>
        </w:r>
        <w:proofErr w:type="spellEnd"/>
        <w:r w:rsidRPr="000C529C">
          <w:rPr>
            <w:rStyle w:val="Hyperlink"/>
            <w:rFonts w:cstheme="minorHAnsi"/>
            <w:sz w:val="18"/>
            <w:szCs w:val="18"/>
            <w:lang w:val="en-US"/>
          </w:rPr>
          <w:t xml:space="preserve"> Global Young Visionaries Summit</w:t>
        </w:r>
      </w:hyperlink>
      <w:r w:rsidRPr="000C529C">
        <w:rPr>
          <w:rFonts w:cstheme="minorHAnsi"/>
          <w:sz w:val="18"/>
          <w:szCs w:val="18"/>
          <w:lang w:val="en-US"/>
        </w:rPr>
        <w:t>, which was</w:t>
      </w:r>
      <w:r w:rsidR="00C25808">
        <w:rPr>
          <w:rFonts w:cstheme="minorHAnsi"/>
          <w:sz w:val="18"/>
          <w:szCs w:val="18"/>
          <w:lang w:val="en-US"/>
        </w:rPr>
        <w:t xml:space="preserve"> </w:t>
      </w:r>
      <w:r w:rsidRPr="000C529C">
        <w:rPr>
          <w:rFonts w:cstheme="minorHAnsi"/>
          <w:sz w:val="18"/>
          <w:szCs w:val="18"/>
          <w:lang w:val="en-US"/>
        </w:rPr>
        <w:t xml:space="preserve">hosted and co-organized by ITU and the Model UN </w:t>
      </w:r>
      <w:proofErr w:type="spellStart"/>
      <w:r w:rsidRPr="000C529C">
        <w:rPr>
          <w:rFonts w:cstheme="minorHAnsi"/>
          <w:sz w:val="18"/>
          <w:szCs w:val="18"/>
          <w:lang w:val="en-US"/>
        </w:rPr>
        <w:t>programme</w:t>
      </w:r>
      <w:proofErr w:type="spellEnd"/>
      <w:r w:rsidRPr="000C529C">
        <w:rPr>
          <w:rFonts w:cstheme="minorHAnsi"/>
          <w:sz w:val="18"/>
          <w:szCs w:val="18"/>
          <w:lang w:val="en-US"/>
        </w:rPr>
        <w:t xml:space="preserve"> of </w:t>
      </w:r>
      <w:proofErr w:type="spellStart"/>
      <w:r w:rsidRPr="000C529C">
        <w:rPr>
          <w:rFonts w:cstheme="minorHAnsi"/>
          <w:sz w:val="18"/>
          <w:szCs w:val="18"/>
          <w:lang w:val="en-US"/>
        </w:rPr>
        <w:t>Ferney</w:t>
      </w:r>
      <w:proofErr w:type="spellEnd"/>
      <w:r w:rsidRPr="000C529C">
        <w:rPr>
          <w:rFonts w:cstheme="minorHAnsi"/>
          <w:sz w:val="18"/>
          <w:szCs w:val="18"/>
          <w:lang w:val="en-US"/>
        </w:rPr>
        <w:t>-Voltaire, France (Geneva, 8-10 January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C13A" w14:textId="1098E08D" w:rsidR="00721657" w:rsidRPr="00A525CC" w:rsidRDefault="00A525CC" w:rsidP="006B122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0C529C">
      <w:rPr>
        <w:sz w:val="22"/>
        <w:szCs w:val="22"/>
        <w:lang w:val="de-CH"/>
      </w:rPr>
      <w:t>48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F301D">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827CA"/>
    <w:multiLevelType w:val="hybridMultilevel"/>
    <w:tmpl w:val="6406BC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446DAF"/>
    <w:multiLevelType w:val="hybridMultilevel"/>
    <w:tmpl w:val="5294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62414"/>
    <w:multiLevelType w:val="hybridMultilevel"/>
    <w:tmpl w:val="23A240AC"/>
    <w:lvl w:ilvl="0" w:tplc="F57C48E6">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7085A"/>
    <w:multiLevelType w:val="hybridMultilevel"/>
    <w:tmpl w:val="BCAEEC7C"/>
    <w:lvl w:ilvl="0" w:tplc="079ADEEC">
      <w:start w:val="1"/>
      <w:numFmt w:val="decimal"/>
      <w:lvlText w:val="%1."/>
      <w:lvlJc w:val="left"/>
      <w:pPr>
        <w:ind w:left="720" w:hanging="360"/>
      </w:pPr>
      <w:rPr>
        <w:rFonts w:asciiTheme="majorHAnsi" w:hAnsiTheme="majorHAnsi" w:cstheme="maj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4915EF2"/>
    <w:multiLevelType w:val="hybridMultilevel"/>
    <w:tmpl w:val="A55AF07C"/>
    <w:lvl w:ilvl="0" w:tplc="968C1562">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B5F84"/>
    <w:multiLevelType w:val="hybridMultilevel"/>
    <w:tmpl w:val="E402DCB2"/>
    <w:lvl w:ilvl="0" w:tplc="5A3C1964">
      <w:start w:val="1"/>
      <w:numFmt w:val="decimal"/>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529C"/>
    <w:rsid w:val="000C7B84"/>
    <w:rsid w:val="000D261B"/>
    <w:rsid w:val="000D58A3"/>
    <w:rsid w:val="000E3ED4"/>
    <w:rsid w:val="000E3F9C"/>
    <w:rsid w:val="000E7E5E"/>
    <w:rsid w:val="000F1550"/>
    <w:rsid w:val="000F251B"/>
    <w:rsid w:val="000F5FE8"/>
    <w:rsid w:val="000F6644"/>
    <w:rsid w:val="00100833"/>
    <w:rsid w:val="00102F72"/>
    <w:rsid w:val="001047F5"/>
    <w:rsid w:val="00107E85"/>
    <w:rsid w:val="001106B4"/>
    <w:rsid w:val="00113EE8"/>
    <w:rsid w:val="0011455A"/>
    <w:rsid w:val="00114A65"/>
    <w:rsid w:val="00132436"/>
    <w:rsid w:val="00133061"/>
    <w:rsid w:val="00141699"/>
    <w:rsid w:val="00147000"/>
    <w:rsid w:val="00163091"/>
    <w:rsid w:val="001645CB"/>
    <w:rsid w:val="00166305"/>
    <w:rsid w:val="00167545"/>
    <w:rsid w:val="001703C6"/>
    <w:rsid w:val="00173781"/>
    <w:rsid w:val="00175ADF"/>
    <w:rsid w:val="00175CAE"/>
    <w:rsid w:val="001828DB"/>
    <w:rsid w:val="00184F54"/>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322C"/>
    <w:rsid w:val="002548C3"/>
    <w:rsid w:val="00257ACD"/>
    <w:rsid w:val="00262908"/>
    <w:rsid w:val="002650F4"/>
    <w:rsid w:val="002715FD"/>
    <w:rsid w:val="002770B1"/>
    <w:rsid w:val="00285B33"/>
    <w:rsid w:val="00287A3C"/>
    <w:rsid w:val="00291821"/>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2E7"/>
    <w:rsid w:val="00386A89"/>
    <w:rsid w:val="0039648E"/>
    <w:rsid w:val="003A5AFE"/>
    <w:rsid w:val="003A5D5F"/>
    <w:rsid w:val="003A7FFE"/>
    <w:rsid w:val="003B0A63"/>
    <w:rsid w:val="003B50E1"/>
    <w:rsid w:val="003C1746"/>
    <w:rsid w:val="003C2AA9"/>
    <w:rsid w:val="003C58BF"/>
    <w:rsid w:val="003D451D"/>
    <w:rsid w:val="003E670C"/>
    <w:rsid w:val="003F2DD8"/>
    <w:rsid w:val="003F3F2D"/>
    <w:rsid w:val="003F50B2"/>
    <w:rsid w:val="00400CCF"/>
    <w:rsid w:val="00401BFF"/>
    <w:rsid w:val="00404424"/>
    <w:rsid w:val="0041156B"/>
    <w:rsid w:val="004122C5"/>
    <w:rsid w:val="00413B78"/>
    <w:rsid w:val="00416DDE"/>
    <w:rsid w:val="00423426"/>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6153"/>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41F7"/>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49AE"/>
    <w:rsid w:val="0065521B"/>
    <w:rsid w:val="00671EF6"/>
    <w:rsid w:val="0067205B"/>
    <w:rsid w:val="006748F8"/>
    <w:rsid w:val="00680489"/>
    <w:rsid w:val="00683C32"/>
    <w:rsid w:val="0068670E"/>
    <w:rsid w:val="00690BB2"/>
    <w:rsid w:val="00693D09"/>
    <w:rsid w:val="006A6549"/>
    <w:rsid w:val="006A7710"/>
    <w:rsid w:val="006A7A61"/>
    <w:rsid w:val="006B122F"/>
    <w:rsid w:val="006B1E59"/>
    <w:rsid w:val="006B2FFB"/>
    <w:rsid w:val="006C10A2"/>
    <w:rsid w:val="006C1F18"/>
    <w:rsid w:val="006D40D5"/>
    <w:rsid w:val="006F009A"/>
    <w:rsid w:val="006F3D93"/>
    <w:rsid w:val="007019B1"/>
    <w:rsid w:val="007128D2"/>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96BE7"/>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4BE2"/>
    <w:rsid w:val="00845B11"/>
    <w:rsid w:val="00852081"/>
    <w:rsid w:val="00867FC0"/>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59B8"/>
    <w:rsid w:val="00935FF0"/>
    <w:rsid w:val="00941A0D"/>
    <w:rsid w:val="009431F8"/>
    <w:rsid w:val="00947A35"/>
    <w:rsid w:val="0096201B"/>
    <w:rsid w:val="00962081"/>
    <w:rsid w:val="00966CB5"/>
    <w:rsid w:val="00975786"/>
    <w:rsid w:val="00981CB7"/>
    <w:rsid w:val="00983E1F"/>
    <w:rsid w:val="00993F46"/>
    <w:rsid w:val="00997358"/>
    <w:rsid w:val="009A3D0D"/>
    <w:rsid w:val="009A422F"/>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331A"/>
    <w:rsid w:val="00A705E8"/>
    <w:rsid w:val="00A721F4"/>
    <w:rsid w:val="00A9392C"/>
    <w:rsid w:val="00A9462B"/>
    <w:rsid w:val="00A97D59"/>
    <w:rsid w:val="00AA095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2C44"/>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B7A87"/>
    <w:rsid w:val="00BC10A0"/>
    <w:rsid w:val="00BC7BA2"/>
    <w:rsid w:val="00BD426B"/>
    <w:rsid w:val="00BD79F0"/>
    <w:rsid w:val="00BE2B4D"/>
    <w:rsid w:val="00C015F8"/>
    <w:rsid w:val="00C07E26"/>
    <w:rsid w:val="00C1011C"/>
    <w:rsid w:val="00C12F94"/>
    <w:rsid w:val="00C147B9"/>
    <w:rsid w:val="00C177C5"/>
    <w:rsid w:val="00C25808"/>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5D2A"/>
    <w:rsid w:val="00D10FC7"/>
    <w:rsid w:val="00D1519F"/>
    <w:rsid w:val="00D20E99"/>
    <w:rsid w:val="00D21C83"/>
    <w:rsid w:val="00D35BDD"/>
    <w:rsid w:val="00D63006"/>
    <w:rsid w:val="00D72301"/>
    <w:rsid w:val="00D8064E"/>
    <w:rsid w:val="00D870E6"/>
    <w:rsid w:val="00D911DE"/>
    <w:rsid w:val="00D91B97"/>
    <w:rsid w:val="00D9362F"/>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03BE"/>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231"/>
    <w:rsid w:val="00F25586"/>
    <w:rsid w:val="00F2651D"/>
    <w:rsid w:val="00F27362"/>
    <w:rsid w:val="00F2774E"/>
    <w:rsid w:val="00F31498"/>
    <w:rsid w:val="00F32FEF"/>
    <w:rsid w:val="00F41B1C"/>
    <w:rsid w:val="00F42E13"/>
    <w:rsid w:val="00F42F1C"/>
    <w:rsid w:val="00F43B44"/>
    <w:rsid w:val="00F440E5"/>
    <w:rsid w:val="00F448F6"/>
    <w:rsid w:val="00F52741"/>
    <w:rsid w:val="00F53D8A"/>
    <w:rsid w:val="00F5483C"/>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0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96950B"/>
  <w15:docId w15:val="{908F93AE-9291-4C82-8EED-832D829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1106B4"/>
    <w:rPr>
      <w:color w:val="800080" w:themeColor="followedHyperlink"/>
      <w:u w:val="single"/>
    </w:rPr>
  </w:style>
  <w:style w:type="character" w:customStyle="1" w:styleId="FootnoteTextChar">
    <w:name w:val="Footnote Text Char"/>
    <w:basedOn w:val="DefaultParagraphFont"/>
    <w:link w:val="FootnoteText"/>
    <w:uiPriority w:val="99"/>
    <w:rsid w:val="006549AE"/>
    <w:rPr>
      <w:rFonts w:asciiTheme="minorHAnsi" w:hAnsiTheme="minorHAnsi"/>
      <w:sz w:val="24"/>
      <w:lang w:val="en-GB" w:eastAsia="en-US"/>
    </w:rPr>
  </w:style>
  <w:style w:type="paragraph" w:styleId="BodyText">
    <w:name w:val="Body Text"/>
    <w:basedOn w:val="Normal"/>
    <w:link w:val="BodyTextChar"/>
    <w:uiPriority w:val="99"/>
    <w:unhideWhenUsed/>
    <w:rsid w:val="006549AE"/>
    <w:pPr>
      <w:tabs>
        <w:tab w:val="clear" w:pos="794"/>
        <w:tab w:val="clear" w:pos="1191"/>
        <w:tab w:val="clear" w:pos="1588"/>
        <w:tab w:val="clear" w:pos="1985"/>
      </w:tabs>
      <w:overflowPunct/>
      <w:autoSpaceDE/>
      <w:autoSpaceDN/>
      <w:adjustRightInd/>
      <w:spacing w:before="0" w:after="120" w:line="360" w:lineRule="auto"/>
      <w:jc w:val="both"/>
      <w:textAlignment w:val="auto"/>
    </w:pPr>
    <w:rPr>
      <w:rFonts w:ascii="Times New Roman" w:eastAsiaTheme="minorEastAsia" w:hAnsi="Times New Roman" w:cstheme="minorBidi"/>
      <w:szCs w:val="24"/>
      <w:lang w:val="de-DE" w:eastAsia="de-DE"/>
    </w:rPr>
  </w:style>
  <w:style w:type="character" w:customStyle="1" w:styleId="BodyTextChar">
    <w:name w:val="Body Text Char"/>
    <w:basedOn w:val="DefaultParagraphFont"/>
    <w:link w:val="BodyText"/>
    <w:uiPriority w:val="99"/>
    <w:rsid w:val="006549AE"/>
    <w:rPr>
      <w:rFonts w:ascii="Times New Roman" w:eastAsiaTheme="minorEastAsia" w:hAnsi="Times New Roman" w:cstheme="minorBid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p/Pages/guideline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Cybersecurity/Documents/RES_179_rev_Dubai.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ybersecurity/Pages/COP.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p/Pages/guidelines.aspx" TargetMode="External"/><Relationship Id="rId4" Type="http://schemas.openxmlformats.org/officeDocument/2006/relationships/settings" Target="settings.xml"/><Relationship Id="rId9" Type="http://schemas.openxmlformats.org/officeDocument/2006/relationships/hyperlink" Target="https://www.itu.int/en/ITU-D/Cybersecurity/Documents/RES_179_rev_Dubai.pdf" TargetMode="External"/><Relationship Id="rId14" Type="http://schemas.openxmlformats.org/officeDocument/2006/relationships/hyperlink" Target="https://www.itu.int/en/ITU-D/Cybersecurity/Pages/COP.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fermun/202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mas\AppData\Roaming\Microsoft\Templates\PE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33040-552C-4E4D-AFC0-293956DA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PE_TDAG20.dotx</Template>
  <TotalTime>4</TotalTime>
  <Pages>3</Pages>
  <Words>1012</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BDT-nd</cp:lastModifiedBy>
  <cp:revision>7</cp:revision>
  <cp:lastPrinted>2014-11-04T09:22:00Z</cp:lastPrinted>
  <dcterms:created xsi:type="dcterms:W3CDTF">2020-05-18T16:39:00Z</dcterms:created>
  <dcterms:modified xsi:type="dcterms:W3CDTF">2020-05-19T07:51:00Z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